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Default Extension="png" ContentType="image/png"/>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group style="position:absolute;margin-left:86.519997pt;margin-top:70.836067pt;width:88.85pt;height:641.9pt;mso-position-horizontal-relative:page;mso-position-vertical-relative:page;z-index:-339928" coordorigin="1730,1417" coordsize="1777,12838">
            <v:shape style="position:absolute;left:1730;top:1417;width:1776;height:1553" type="#_x0000_t75" stroked="false">
              <v:imagedata r:id="rId5" o:title=""/>
            </v:shape>
            <v:shape style="position:absolute;left:1874;top:12604;width:1467;height:1651" type="#_x0000_t75" stroked="false">
              <v:imagedata r:id="rId6" o:title=""/>
            </v:shape>
            <v:line style="position:absolute" from="2609,2882" to="2609,12711" stroked="true" strokeweight="2.22288pt" strokecolor="#000000"/>
            <w10:wrap type="none"/>
          </v:group>
        </w:pict>
      </w:r>
    </w:p>
    <w:p>
      <w:pPr>
        <w:pStyle w:val="BodyText"/>
        <w:spacing w:before="2"/>
        <w:rPr>
          <w:rFonts w:ascii="Times New Roman"/>
          <w:sz w:val="20"/>
        </w:rPr>
      </w:pPr>
    </w:p>
    <w:p>
      <w:pPr>
        <w:spacing w:before="66"/>
        <w:ind w:left="2438" w:right="285" w:firstLine="0"/>
        <w:jc w:val="center"/>
        <w:rPr>
          <w:b/>
          <w:sz w:val="25"/>
        </w:rPr>
      </w:pPr>
      <w:r>
        <w:rPr>
          <w:b/>
          <w:sz w:val="25"/>
        </w:rPr>
        <w:t>UNIVERSIDAD  AUTÓNOMA DEL  ESTADO DE MÉXICO</w:t>
      </w:r>
    </w:p>
    <w:p>
      <w:pPr>
        <w:pStyle w:val="BodyText"/>
        <w:spacing w:before="11"/>
        <w:rPr>
          <w:b/>
          <w:sz w:val="23"/>
        </w:rPr>
      </w:pPr>
    </w:p>
    <w:p>
      <w:pPr>
        <w:spacing w:line="630" w:lineRule="atLeast" w:before="0"/>
        <w:ind w:left="3781" w:right="725" w:firstLine="42"/>
        <w:jc w:val="left"/>
        <w:rPr>
          <w:b/>
          <w:sz w:val="25"/>
        </w:rPr>
      </w:pPr>
      <w:r>
        <w:rPr>
          <w:b/>
          <w:sz w:val="25"/>
        </w:rPr>
        <w:t>FACULTAD DE ODONTOLOGÍA CENTRO  DE INVESTIGACIÓN</w:t>
      </w:r>
    </w:p>
    <w:p>
      <w:pPr>
        <w:spacing w:line="357" w:lineRule="auto" w:before="144"/>
        <w:ind w:left="3947" w:right="725" w:hanging="1277"/>
        <w:jc w:val="left"/>
        <w:rPr>
          <w:b/>
          <w:sz w:val="21"/>
        </w:rPr>
      </w:pPr>
      <w:r>
        <w:rPr>
          <w:b/>
          <w:sz w:val="25"/>
        </w:rPr>
        <w:t>Y ESTUDIOS AVANZADOS EN ODONTOLOGÍA “DR.  KEISABURO MIYATA</w:t>
      </w:r>
      <w:r>
        <w:rPr>
          <w:b/>
          <w:sz w:val="21"/>
        </w:rPr>
        <w:t>”</w:t>
      </w:r>
    </w:p>
    <w:p>
      <w:pPr>
        <w:pStyle w:val="BodyText"/>
        <w:rPr>
          <w:b/>
        </w:rPr>
      </w:pPr>
    </w:p>
    <w:p>
      <w:pPr>
        <w:spacing w:line="357" w:lineRule="auto" w:before="159"/>
        <w:ind w:left="1813" w:right="99" w:hanging="2"/>
        <w:jc w:val="center"/>
        <w:rPr>
          <w:b/>
          <w:sz w:val="25"/>
        </w:rPr>
      </w:pPr>
      <w:r>
        <w:rPr>
          <w:b/>
          <w:sz w:val="25"/>
        </w:rPr>
        <w:t>IDENTIFICACIÓN DE MICRONUCLEOS Y ANORMALIDADES NUCLEARES EN MUCOSA BUCAL DE NIÑOS EXPUESTOS   Y</w:t>
      </w:r>
    </w:p>
    <w:p>
      <w:pPr>
        <w:spacing w:before="7"/>
        <w:ind w:left="2278" w:right="285" w:firstLine="0"/>
        <w:jc w:val="center"/>
        <w:rPr>
          <w:b/>
          <w:sz w:val="25"/>
        </w:rPr>
      </w:pPr>
      <w:r>
        <w:rPr>
          <w:b/>
          <w:sz w:val="25"/>
        </w:rPr>
        <w:t>NO EXPUESTOS  A PLAGUICIDAS</w:t>
      </w:r>
    </w:p>
    <w:p>
      <w:pPr>
        <w:pStyle w:val="BodyText"/>
        <w:rPr>
          <w:b/>
        </w:rPr>
      </w:pPr>
    </w:p>
    <w:p>
      <w:pPr>
        <w:pStyle w:val="BodyText"/>
        <w:spacing w:before="9"/>
        <w:rPr>
          <w:b/>
          <w:sz w:val="25"/>
        </w:rPr>
      </w:pPr>
    </w:p>
    <w:p>
      <w:pPr>
        <w:spacing w:before="1"/>
        <w:ind w:left="2048" w:right="285" w:firstLine="0"/>
        <w:jc w:val="center"/>
        <w:rPr>
          <w:b/>
          <w:sz w:val="42"/>
        </w:rPr>
      </w:pPr>
      <w:r>
        <w:rPr>
          <w:b/>
          <w:w w:val="105"/>
          <w:sz w:val="42"/>
        </w:rPr>
        <w:t>TESIS</w:t>
      </w:r>
    </w:p>
    <w:p>
      <w:pPr>
        <w:pStyle w:val="BodyText"/>
        <w:spacing w:before="2"/>
        <w:rPr>
          <w:b/>
          <w:sz w:val="38"/>
        </w:rPr>
      </w:pPr>
    </w:p>
    <w:p>
      <w:pPr>
        <w:spacing w:line="357" w:lineRule="auto" w:before="0"/>
        <w:ind w:left="2975" w:right="908" w:hanging="144"/>
        <w:jc w:val="center"/>
        <w:rPr>
          <w:b/>
          <w:sz w:val="25"/>
        </w:rPr>
      </w:pPr>
      <w:r>
        <w:rPr>
          <w:b/>
          <w:sz w:val="25"/>
        </w:rPr>
        <w:t>QUE PARA OBTENER EL GRADO DE: MAESTRÍA  EN  CIENCIAS ODONTOLÓGICAS</w:t>
      </w:r>
    </w:p>
    <w:p>
      <w:pPr>
        <w:pStyle w:val="BodyText"/>
        <w:rPr>
          <w:b/>
        </w:rPr>
      </w:pPr>
    </w:p>
    <w:p>
      <w:pPr>
        <w:spacing w:before="191"/>
        <w:ind w:left="2137" w:right="285" w:firstLine="0"/>
        <w:jc w:val="center"/>
        <w:rPr>
          <w:b/>
          <w:sz w:val="25"/>
        </w:rPr>
      </w:pPr>
      <w:r>
        <w:rPr>
          <w:b/>
          <w:sz w:val="25"/>
        </w:rPr>
        <w:t>PRESENTA:</w:t>
      </w:r>
    </w:p>
    <w:p>
      <w:pPr>
        <w:pStyle w:val="BodyText"/>
        <w:rPr>
          <w:b/>
        </w:rPr>
      </w:pPr>
    </w:p>
    <w:p>
      <w:pPr>
        <w:pStyle w:val="BodyText"/>
        <w:spacing w:before="6"/>
        <w:rPr>
          <w:b/>
          <w:sz w:val="28"/>
        </w:rPr>
      </w:pPr>
    </w:p>
    <w:p>
      <w:pPr>
        <w:spacing w:before="0"/>
        <w:ind w:left="3739" w:right="725" w:firstLine="0"/>
        <w:jc w:val="left"/>
        <w:rPr>
          <w:b/>
          <w:sz w:val="25"/>
        </w:rPr>
      </w:pPr>
      <w:r>
        <w:rPr>
          <w:b/>
          <w:sz w:val="25"/>
        </w:rPr>
        <w:t>C.D. AYUSI  ALONSO ZOTEA</w:t>
      </w:r>
    </w:p>
    <w:p>
      <w:pPr>
        <w:pStyle w:val="BodyText"/>
        <w:rPr>
          <w:b/>
        </w:rPr>
      </w:pPr>
    </w:p>
    <w:p>
      <w:pPr>
        <w:pStyle w:val="BodyText"/>
        <w:spacing w:before="5"/>
        <w:rPr>
          <w:b/>
          <w:sz w:val="28"/>
        </w:rPr>
      </w:pPr>
    </w:p>
    <w:p>
      <w:pPr>
        <w:spacing w:before="1"/>
        <w:ind w:left="2141" w:right="285" w:firstLine="0"/>
        <w:jc w:val="center"/>
        <w:rPr>
          <w:b/>
          <w:sz w:val="25"/>
        </w:rPr>
      </w:pPr>
      <w:r>
        <w:rPr>
          <w:b/>
          <w:sz w:val="25"/>
        </w:rPr>
        <w:t>TUTOR</w:t>
      </w:r>
      <w:r>
        <w:rPr>
          <w:b/>
          <w:spacing w:val="57"/>
          <w:sz w:val="25"/>
        </w:rPr>
        <w:t> </w:t>
      </w:r>
      <w:r>
        <w:rPr>
          <w:b/>
          <w:sz w:val="25"/>
        </w:rPr>
        <w:t>ACADÉMICO</w:t>
      </w:r>
    </w:p>
    <w:p>
      <w:pPr>
        <w:spacing w:before="144"/>
        <w:ind w:left="2136" w:right="285" w:firstLine="0"/>
        <w:jc w:val="center"/>
        <w:rPr>
          <w:b/>
          <w:sz w:val="25"/>
        </w:rPr>
      </w:pPr>
      <w:r>
        <w:rPr>
          <w:b/>
          <w:sz w:val="25"/>
        </w:rPr>
        <w:t>Dra. en O. BLANCA SILVIA GONZÁLEZ </w:t>
      </w:r>
      <w:r>
        <w:rPr>
          <w:b/>
          <w:spacing w:val="63"/>
          <w:sz w:val="25"/>
        </w:rPr>
        <w:t> </w:t>
      </w:r>
      <w:r>
        <w:rPr>
          <w:b/>
          <w:sz w:val="25"/>
        </w:rPr>
        <w:t>LÓPEZ</w:t>
      </w:r>
    </w:p>
    <w:p>
      <w:pPr>
        <w:pStyle w:val="BodyText"/>
        <w:rPr>
          <w:b/>
        </w:rPr>
      </w:pPr>
    </w:p>
    <w:p>
      <w:pPr>
        <w:pStyle w:val="BodyText"/>
        <w:spacing w:before="8"/>
        <w:rPr>
          <w:b/>
          <w:sz w:val="25"/>
        </w:rPr>
      </w:pPr>
    </w:p>
    <w:p>
      <w:pPr>
        <w:spacing w:before="0"/>
        <w:ind w:left="2000" w:right="285" w:firstLine="0"/>
        <w:jc w:val="center"/>
        <w:rPr>
          <w:b/>
          <w:sz w:val="25"/>
        </w:rPr>
      </w:pPr>
      <w:r>
        <w:rPr>
          <w:b/>
          <w:sz w:val="25"/>
        </w:rPr>
        <w:t>TUTORES</w:t>
      </w:r>
      <w:r>
        <w:rPr>
          <w:b/>
          <w:spacing w:val="60"/>
          <w:sz w:val="25"/>
        </w:rPr>
        <w:t> </w:t>
      </w:r>
      <w:r>
        <w:rPr>
          <w:b/>
          <w:sz w:val="25"/>
        </w:rPr>
        <w:t>ADJUNTOS</w:t>
      </w:r>
    </w:p>
    <w:p>
      <w:pPr>
        <w:spacing w:before="140"/>
        <w:ind w:left="1988" w:right="285" w:firstLine="0"/>
        <w:jc w:val="center"/>
        <w:rPr>
          <w:b/>
          <w:sz w:val="25"/>
        </w:rPr>
      </w:pPr>
      <w:r>
        <w:rPr>
          <w:b/>
          <w:sz w:val="25"/>
        </w:rPr>
        <w:t>Dra. en C. OLIVIA TORRES  BUGARÍN</w:t>
      </w:r>
    </w:p>
    <w:p>
      <w:pPr>
        <w:spacing w:before="139"/>
        <w:ind w:left="2391" w:right="285" w:firstLine="0"/>
        <w:jc w:val="center"/>
        <w:rPr>
          <w:b/>
          <w:sz w:val="25"/>
        </w:rPr>
      </w:pPr>
      <w:r>
        <w:rPr>
          <w:b/>
          <w:sz w:val="25"/>
        </w:rPr>
        <w:t>M. en C. S. JULIO B. ROBLES  NAVARRO</w:t>
      </w:r>
    </w:p>
    <w:p>
      <w:pPr>
        <w:pStyle w:val="BodyText"/>
        <w:spacing w:before="4"/>
        <w:rPr>
          <w:b/>
          <w:sz w:val="35"/>
        </w:rPr>
      </w:pPr>
    </w:p>
    <w:p>
      <w:pPr>
        <w:spacing w:before="0"/>
        <w:ind w:left="2127" w:right="285" w:firstLine="0"/>
        <w:jc w:val="center"/>
        <w:rPr>
          <w:b/>
          <w:sz w:val="23"/>
        </w:rPr>
      </w:pPr>
      <w:r>
        <w:rPr>
          <w:b/>
          <w:w w:val="105"/>
          <w:sz w:val="23"/>
        </w:rPr>
        <w:t>TOLUCA, ESTADO DE MÉXICO, AGOSTO DE 2015</w:t>
      </w:r>
    </w:p>
    <w:p>
      <w:pPr>
        <w:spacing w:after="0"/>
        <w:jc w:val="center"/>
        <w:rPr>
          <w:sz w:val="23"/>
        </w:rPr>
        <w:sectPr>
          <w:type w:val="continuous"/>
          <w:pgSz w:w="12240" w:h="15840"/>
          <w:pgMar w:top="1420" w:bottom="280" w:left="1620" w:right="130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Heading4"/>
        <w:spacing w:before="213"/>
        <w:ind w:left="3383" w:right="3383"/>
        <w:jc w:val="center"/>
        <w:rPr>
          <w:rFonts w:ascii="Verdana"/>
        </w:rPr>
      </w:pPr>
      <w:r>
        <w:rPr>
          <w:rFonts w:ascii="Verdana"/>
          <w:w w:val="95"/>
        </w:rPr>
        <w:t>AGRADECIMIENTOS</w:t>
      </w:r>
    </w:p>
    <w:p>
      <w:pPr>
        <w:pStyle w:val="BodyText"/>
        <w:rPr>
          <w:rFonts w:ascii="Verdana"/>
          <w:b/>
        </w:rPr>
      </w:pPr>
    </w:p>
    <w:p>
      <w:pPr>
        <w:pStyle w:val="BodyText"/>
        <w:rPr>
          <w:rFonts w:ascii="Verdana"/>
          <w:b/>
        </w:rPr>
      </w:pPr>
    </w:p>
    <w:p>
      <w:pPr>
        <w:pStyle w:val="BodyText"/>
        <w:spacing w:line="280" w:lineRule="auto" w:before="197"/>
        <w:ind w:left="118" w:right="117"/>
        <w:jc w:val="both"/>
        <w:rPr>
          <w:rFonts w:ascii="Verdana" w:hAnsi="Verdana"/>
        </w:rPr>
      </w:pPr>
      <w:r>
        <w:rPr>
          <w:rFonts w:ascii="Verdana" w:hAnsi="Verdana"/>
        </w:rPr>
        <w:t>Quiero agradecer sinceramente a aquellas personas que compartieron sus conocimientos conmigo para hacer posible la conclusión de esta tesis.</w:t>
      </w:r>
    </w:p>
    <w:p>
      <w:pPr>
        <w:pStyle w:val="BodyText"/>
        <w:spacing w:line="278" w:lineRule="auto" w:before="197"/>
        <w:ind w:left="118" w:right="117"/>
        <w:jc w:val="both"/>
        <w:rPr>
          <w:rFonts w:ascii="Verdana" w:hAnsi="Verdana"/>
        </w:rPr>
      </w:pPr>
      <w:r>
        <w:rPr>
          <w:rFonts w:ascii="Verdana" w:hAnsi="Verdana"/>
        </w:rPr>
        <w:t>Especialmente</w:t>
      </w:r>
      <w:r>
        <w:rPr>
          <w:rFonts w:ascii="Verdana" w:hAnsi="Verdana"/>
          <w:spacing w:val="-28"/>
        </w:rPr>
        <w:t> </w:t>
      </w:r>
      <w:r>
        <w:rPr>
          <w:rFonts w:ascii="Verdana" w:hAnsi="Verdana"/>
        </w:rPr>
        <w:t>agradezco</w:t>
      </w:r>
      <w:r>
        <w:rPr>
          <w:rFonts w:ascii="Verdana" w:hAnsi="Verdana"/>
          <w:spacing w:val="-29"/>
        </w:rPr>
        <w:t> </w:t>
      </w:r>
      <w:r>
        <w:rPr>
          <w:rFonts w:ascii="Verdana" w:hAnsi="Verdana"/>
        </w:rPr>
        <w:t>a</w:t>
      </w:r>
      <w:r>
        <w:rPr>
          <w:rFonts w:ascii="Verdana" w:hAnsi="Verdana"/>
          <w:spacing w:val="-29"/>
        </w:rPr>
        <w:t> </w:t>
      </w:r>
      <w:r>
        <w:rPr>
          <w:rFonts w:ascii="Verdana" w:hAnsi="Verdana"/>
        </w:rPr>
        <w:t>mis</w:t>
      </w:r>
      <w:r>
        <w:rPr>
          <w:rFonts w:ascii="Verdana" w:hAnsi="Verdana"/>
          <w:spacing w:val="-30"/>
        </w:rPr>
        <w:t> </w:t>
      </w:r>
      <w:r>
        <w:rPr>
          <w:rFonts w:ascii="Verdana" w:hAnsi="Verdana"/>
        </w:rPr>
        <w:t>tutores</w:t>
      </w:r>
      <w:r>
        <w:rPr>
          <w:rFonts w:ascii="Verdana" w:hAnsi="Verdana"/>
          <w:spacing w:val="-27"/>
        </w:rPr>
        <w:t> </w:t>
      </w:r>
      <w:r>
        <w:rPr>
          <w:rFonts w:ascii="Verdana" w:hAnsi="Verdana"/>
        </w:rPr>
        <w:t>Dra.</w:t>
      </w:r>
      <w:r>
        <w:rPr>
          <w:rFonts w:ascii="Verdana" w:hAnsi="Verdana"/>
          <w:spacing w:val="-30"/>
        </w:rPr>
        <w:t> </w:t>
      </w:r>
      <w:r>
        <w:rPr>
          <w:rFonts w:ascii="Verdana" w:hAnsi="Verdana"/>
        </w:rPr>
        <w:t>Blanca</w:t>
      </w:r>
      <w:r>
        <w:rPr>
          <w:rFonts w:ascii="Verdana" w:hAnsi="Verdana"/>
          <w:spacing w:val="-29"/>
        </w:rPr>
        <w:t> </w:t>
      </w:r>
      <w:r>
        <w:rPr>
          <w:rFonts w:ascii="Verdana" w:hAnsi="Verdana"/>
        </w:rPr>
        <w:t>Silvia</w:t>
      </w:r>
      <w:r>
        <w:rPr>
          <w:rFonts w:ascii="Verdana" w:hAnsi="Verdana"/>
          <w:spacing w:val="-29"/>
        </w:rPr>
        <w:t> </w:t>
      </w:r>
      <w:r>
        <w:rPr>
          <w:rFonts w:ascii="Verdana" w:hAnsi="Verdana"/>
        </w:rPr>
        <w:t>González</w:t>
      </w:r>
      <w:r>
        <w:rPr>
          <w:rFonts w:ascii="Verdana" w:hAnsi="Verdana"/>
          <w:spacing w:val="-24"/>
        </w:rPr>
        <w:t> </w:t>
      </w:r>
      <w:r>
        <w:rPr>
          <w:rFonts w:ascii="Verdana" w:hAnsi="Verdana"/>
        </w:rPr>
        <w:t>López</w:t>
      </w:r>
      <w:r>
        <w:rPr>
          <w:rFonts w:ascii="Verdana" w:hAnsi="Verdana"/>
          <w:spacing w:val="-30"/>
        </w:rPr>
        <w:t> </w:t>
      </w:r>
      <w:r>
        <w:rPr>
          <w:rFonts w:ascii="Verdana" w:hAnsi="Verdana"/>
        </w:rPr>
        <w:t>por </w:t>
      </w:r>
      <w:r>
        <w:rPr>
          <w:rFonts w:ascii="Verdana" w:hAnsi="Verdana"/>
          <w:spacing w:val="-1"/>
          <w:w w:val="86"/>
        </w:rPr>
        <w:t>s</w:t>
      </w:r>
      <w:r>
        <w:rPr>
          <w:rFonts w:ascii="Verdana" w:hAnsi="Verdana"/>
          <w:w w:val="86"/>
        </w:rPr>
        <w:t>u</w:t>
      </w:r>
      <w:r>
        <w:rPr>
          <w:rFonts w:ascii="Verdana" w:hAnsi="Verdana"/>
        </w:rPr>
        <w:t> </w:t>
      </w:r>
      <w:r>
        <w:rPr>
          <w:rFonts w:ascii="Verdana" w:hAnsi="Verdana"/>
          <w:spacing w:val="-37"/>
        </w:rPr>
        <w:t> </w:t>
      </w:r>
      <w:r>
        <w:rPr>
          <w:rFonts w:ascii="Verdana" w:hAnsi="Verdana"/>
          <w:spacing w:val="-1"/>
          <w:w w:val="98"/>
        </w:rPr>
        <w:t>pr</w:t>
      </w:r>
      <w:r>
        <w:rPr>
          <w:rFonts w:ascii="Verdana" w:hAnsi="Verdana"/>
          <w:spacing w:val="-2"/>
          <w:w w:val="98"/>
        </w:rPr>
        <w:t>o</w:t>
      </w:r>
      <w:r>
        <w:rPr>
          <w:rFonts w:ascii="Verdana" w:hAnsi="Verdana"/>
          <w:spacing w:val="-1"/>
          <w:w w:val="89"/>
        </w:rPr>
        <w:t>f</w:t>
      </w:r>
      <w:r>
        <w:rPr>
          <w:rFonts w:ascii="Verdana" w:hAnsi="Verdana"/>
          <w:w w:val="95"/>
        </w:rPr>
        <w:t>esio</w:t>
      </w:r>
      <w:r>
        <w:rPr>
          <w:rFonts w:ascii="Verdana" w:hAnsi="Verdana"/>
          <w:spacing w:val="1"/>
          <w:w w:val="95"/>
        </w:rPr>
        <w:t>n</w:t>
      </w:r>
      <w:r>
        <w:rPr>
          <w:rFonts w:ascii="Verdana" w:hAnsi="Verdana"/>
          <w:spacing w:val="-1"/>
          <w:w w:val="113"/>
        </w:rPr>
        <w:t>a</w:t>
      </w:r>
      <w:r>
        <w:rPr>
          <w:rFonts w:ascii="Verdana" w:hAnsi="Verdana"/>
          <w:spacing w:val="4"/>
          <w:w w:val="72"/>
        </w:rPr>
        <w:t>l</w:t>
      </w:r>
      <w:r>
        <w:rPr>
          <w:rFonts w:ascii="Verdana" w:hAnsi="Verdana"/>
          <w:spacing w:val="-1"/>
          <w:w w:val="73"/>
        </w:rPr>
        <w:t>i</w:t>
      </w:r>
      <w:r>
        <w:rPr>
          <w:rFonts w:ascii="Verdana" w:hAnsi="Verdana"/>
          <w:spacing w:val="-2"/>
          <w:w w:val="73"/>
        </w:rPr>
        <w:t>s</w:t>
      </w:r>
      <w:r>
        <w:rPr>
          <w:rFonts w:ascii="Verdana" w:hAnsi="Verdana"/>
          <w:spacing w:val="2"/>
          <w:w w:val="96"/>
        </w:rPr>
        <w:t>m</w:t>
      </w:r>
      <w:r>
        <w:rPr>
          <w:rFonts w:ascii="Verdana" w:hAnsi="Verdana"/>
          <w:w w:val="107"/>
        </w:rPr>
        <w:t>o</w:t>
      </w:r>
      <w:r>
        <w:rPr>
          <w:rFonts w:ascii="Verdana" w:hAnsi="Verdana"/>
        </w:rPr>
        <w:t> </w:t>
      </w:r>
      <w:r>
        <w:rPr>
          <w:rFonts w:ascii="Verdana" w:hAnsi="Verdana"/>
          <w:spacing w:val="-39"/>
        </w:rPr>
        <w:t> </w:t>
      </w:r>
      <w:r>
        <w:rPr>
          <w:rFonts w:ascii="Verdana" w:hAnsi="Verdana"/>
          <w:w w:val="90"/>
        </w:rPr>
        <w:t>y</w:t>
      </w:r>
      <w:r>
        <w:rPr>
          <w:rFonts w:ascii="Verdana" w:hAnsi="Verdana"/>
        </w:rPr>
        <w:t> </w:t>
      </w:r>
      <w:r>
        <w:rPr>
          <w:rFonts w:ascii="Verdana" w:hAnsi="Verdana"/>
          <w:spacing w:val="-39"/>
        </w:rPr>
        <w:t> </w:t>
      </w:r>
      <w:r>
        <w:rPr>
          <w:rFonts w:ascii="Verdana" w:hAnsi="Verdana"/>
          <w:spacing w:val="2"/>
          <w:w w:val="96"/>
        </w:rPr>
        <w:t>m</w:t>
      </w:r>
      <w:r>
        <w:rPr>
          <w:rFonts w:ascii="Verdana" w:hAnsi="Verdana"/>
          <w:spacing w:val="1"/>
          <w:w w:val="107"/>
        </w:rPr>
        <w:t>o</w:t>
      </w:r>
      <w:r>
        <w:rPr>
          <w:rFonts w:ascii="Verdana" w:hAnsi="Verdana"/>
          <w:spacing w:val="-5"/>
          <w:w w:val="85"/>
        </w:rPr>
        <w:t>t</w:t>
      </w:r>
      <w:r>
        <w:rPr>
          <w:rFonts w:ascii="Verdana" w:hAnsi="Verdana"/>
          <w:spacing w:val="-1"/>
          <w:w w:val="87"/>
        </w:rPr>
        <w:t>iv</w:t>
      </w:r>
      <w:r>
        <w:rPr>
          <w:rFonts w:ascii="Verdana" w:hAnsi="Verdana"/>
          <w:spacing w:val="-1"/>
          <w:w w:val="113"/>
        </w:rPr>
        <w:t>a</w:t>
      </w:r>
      <w:r>
        <w:rPr>
          <w:rFonts w:ascii="Verdana" w:hAnsi="Verdana"/>
          <w:w w:val="124"/>
        </w:rPr>
        <w:t>c</w:t>
      </w:r>
      <w:r>
        <w:rPr>
          <w:rFonts w:ascii="Verdana" w:hAnsi="Verdana"/>
          <w:spacing w:val="-1"/>
          <w:w w:val="97"/>
        </w:rPr>
        <w:t>i</w:t>
      </w:r>
      <w:r>
        <w:rPr>
          <w:rFonts w:ascii="Verdana" w:hAnsi="Verdana"/>
          <w:spacing w:val="-2"/>
          <w:w w:val="97"/>
        </w:rPr>
        <w:t>ó</w:t>
      </w:r>
      <w:r>
        <w:rPr>
          <w:rFonts w:ascii="Verdana" w:hAnsi="Verdana"/>
          <w:spacing w:val="2"/>
          <w:w w:val="96"/>
        </w:rPr>
        <w:t>n</w:t>
      </w:r>
      <w:r>
        <w:rPr>
          <w:rFonts w:ascii="Verdana" w:hAnsi="Verdana"/>
          <w:w w:val="60"/>
        </w:rPr>
        <w:t>;</w:t>
      </w:r>
      <w:r>
        <w:rPr>
          <w:rFonts w:ascii="Verdana" w:hAnsi="Verdana"/>
        </w:rPr>
        <w:t> </w:t>
      </w:r>
      <w:r>
        <w:rPr>
          <w:rFonts w:ascii="Verdana" w:hAnsi="Verdana"/>
          <w:spacing w:val="-33"/>
        </w:rPr>
        <w:t> </w:t>
      </w:r>
      <w:r>
        <w:rPr>
          <w:rFonts w:ascii="Verdana" w:hAnsi="Verdana"/>
          <w:spacing w:val="-1"/>
          <w:w w:val="96"/>
        </w:rPr>
        <w:t>D</w:t>
      </w:r>
      <w:r>
        <w:rPr>
          <w:rFonts w:ascii="Verdana" w:hAnsi="Verdana"/>
          <w:w w:val="95"/>
        </w:rPr>
        <w:t>r</w:t>
      </w:r>
      <w:r>
        <w:rPr>
          <w:rFonts w:ascii="Verdana" w:hAnsi="Verdana"/>
          <w:spacing w:val="1"/>
          <w:w w:val="95"/>
        </w:rPr>
        <w:t>a</w:t>
      </w:r>
      <w:r>
        <w:rPr>
          <w:rFonts w:ascii="Verdana" w:hAnsi="Verdana"/>
          <w:w w:val="76"/>
        </w:rPr>
        <w:t>.</w:t>
      </w:r>
      <w:r>
        <w:rPr>
          <w:rFonts w:ascii="Verdana" w:hAnsi="Verdana"/>
        </w:rPr>
        <w:t> </w:t>
      </w:r>
      <w:r>
        <w:rPr>
          <w:rFonts w:ascii="Verdana" w:hAnsi="Verdana"/>
          <w:spacing w:val="-37"/>
        </w:rPr>
        <w:t> </w:t>
      </w:r>
      <w:r>
        <w:rPr>
          <w:rFonts w:ascii="Verdana" w:hAnsi="Verdana"/>
          <w:spacing w:val="-3"/>
          <w:w w:val="110"/>
        </w:rPr>
        <w:t>O</w:t>
      </w:r>
      <w:r>
        <w:rPr>
          <w:rFonts w:ascii="Verdana" w:hAnsi="Verdana"/>
          <w:spacing w:val="4"/>
          <w:w w:val="72"/>
        </w:rPr>
        <w:t>l</w:t>
      </w:r>
      <w:r>
        <w:rPr>
          <w:rFonts w:ascii="Verdana" w:hAnsi="Verdana"/>
          <w:spacing w:val="-1"/>
          <w:w w:val="87"/>
        </w:rPr>
        <w:t>iv</w:t>
      </w:r>
      <w:r>
        <w:rPr>
          <w:rFonts w:ascii="Verdana" w:hAnsi="Verdana"/>
          <w:spacing w:val="-1"/>
          <w:w w:val="100"/>
        </w:rPr>
        <w:t>i</w:t>
      </w:r>
      <w:r>
        <w:rPr>
          <w:rFonts w:ascii="Verdana" w:hAnsi="Verdana"/>
          <w:w w:val="100"/>
        </w:rPr>
        <w:t>a</w:t>
      </w:r>
      <w:r>
        <w:rPr>
          <w:rFonts w:ascii="Verdana" w:hAnsi="Verdana"/>
        </w:rPr>
        <w:t> </w:t>
      </w:r>
      <w:r>
        <w:rPr>
          <w:rFonts w:ascii="Verdana" w:hAnsi="Verdana"/>
          <w:spacing w:val="-38"/>
        </w:rPr>
        <w:t> </w:t>
      </w:r>
      <w:r>
        <w:rPr>
          <w:rFonts w:ascii="Verdana" w:hAnsi="Verdana"/>
          <w:spacing w:val="-2"/>
          <w:w w:val="69"/>
        </w:rPr>
        <w:t>T</w:t>
      </w:r>
      <w:r>
        <w:rPr>
          <w:rFonts w:ascii="Verdana" w:hAnsi="Verdana"/>
          <w:spacing w:val="-2"/>
          <w:w w:val="107"/>
        </w:rPr>
        <w:t>o</w:t>
      </w:r>
      <w:r>
        <w:rPr>
          <w:rFonts w:ascii="Verdana" w:hAnsi="Verdana"/>
          <w:w w:val="83"/>
        </w:rPr>
        <w:t>rres</w:t>
      </w:r>
      <w:r>
        <w:rPr>
          <w:rFonts w:ascii="Verdana" w:hAnsi="Verdana"/>
        </w:rPr>
        <w:t> </w:t>
      </w:r>
      <w:r>
        <w:rPr>
          <w:rFonts w:ascii="Verdana" w:hAnsi="Verdana"/>
          <w:spacing w:val="-35"/>
        </w:rPr>
        <w:t> </w:t>
      </w:r>
      <w:r>
        <w:rPr>
          <w:rFonts w:ascii="Verdana" w:hAnsi="Verdana"/>
          <w:spacing w:val="-1"/>
          <w:w w:val="83"/>
        </w:rPr>
        <w:t>B</w:t>
      </w:r>
      <w:r>
        <w:rPr>
          <w:rFonts w:ascii="Verdana" w:hAnsi="Verdana"/>
          <w:w w:val="105"/>
        </w:rPr>
        <w:t>ug</w:t>
      </w:r>
      <w:r>
        <w:rPr>
          <w:rFonts w:ascii="Verdana" w:hAnsi="Verdana"/>
          <w:spacing w:val="-1"/>
          <w:w w:val="105"/>
        </w:rPr>
        <w:t>a</w:t>
      </w:r>
      <w:r>
        <w:rPr>
          <w:rFonts w:ascii="Verdana" w:hAnsi="Verdana"/>
          <w:w w:val="83"/>
        </w:rPr>
        <w:t>rin</w:t>
      </w:r>
      <w:r>
        <w:rPr>
          <w:rFonts w:ascii="Verdana" w:hAnsi="Verdana"/>
        </w:rPr>
        <w:t> </w:t>
      </w:r>
      <w:r>
        <w:rPr>
          <w:rFonts w:ascii="Verdana" w:hAnsi="Verdana"/>
          <w:spacing w:val="-36"/>
        </w:rPr>
        <w:t> </w:t>
      </w:r>
      <w:r>
        <w:rPr>
          <w:rFonts w:ascii="Verdana" w:hAnsi="Verdana"/>
          <w:spacing w:val="-1"/>
          <w:w w:val="108"/>
        </w:rPr>
        <w:t>p</w:t>
      </w:r>
      <w:r>
        <w:rPr>
          <w:rFonts w:ascii="Verdana" w:hAnsi="Verdana"/>
          <w:spacing w:val="-2"/>
          <w:w w:val="108"/>
        </w:rPr>
        <w:t>o</w:t>
      </w:r>
      <w:r>
        <w:rPr>
          <w:rFonts w:ascii="Verdana" w:hAnsi="Verdana"/>
          <w:w w:val="70"/>
        </w:rPr>
        <w:t>r</w:t>
      </w:r>
      <w:r>
        <w:rPr>
          <w:rFonts w:ascii="Verdana" w:hAnsi="Verdana"/>
        </w:rPr>
        <w:t> </w:t>
      </w:r>
      <w:r>
        <w:rPr>
          <w:rFonts w:ascii="Verdana" w:hAnsi="Verdana"/>
          <w:spacing w:val="-38"/>
        </w:rPr>
        <w:t> </w:t>
      </w:r>
      <w:r>
        <w:rPr>
          <w:rFonts w:ascii="Verdana" w:hAnsi="Verdana"/>
          <w:spacing w:val="-1"/>
          <w:w w:val="86"/>
        </w:rPr>
        <w:t>s</w:t>
      </w:r>
      <w:r>
        <w:rPr>
          <w:rFonts w:ascii="Verdana" w:hAnsi="Verdana"/>
          <w:w w:val="86"/>
        </w:rPr>
        <w:t>u</w:t>
      </w:r>
      <w:r>
        <w:rPr>
          <w:rFonts w:ascii="Verdana" w:hAnsi="Verdana"/>
        </w:rPr>
        <w:t> </w:t>
      </w:r>
      <w:r>
        <w:rPr>
          <w:rFonts w:ascii="Verdana" w:hAnsi="Verdana"/>
          <w:spacing w:val="-34"/>
        </w:rPr>
        <w:t> </w:t>
      </w:r>
      <w:r>
        <w:rPr>
          <w:rFonts w:ascii="Verdana" w:hAnsi="Verdana"/>
          <w:spacing w:val="-1"/>
          <w:w w:val="113"/>
        </w:rPr>
        <w:t>a</w:t>
      </w:r>
      <w:r>
        <w:rPr>
          <w:rFonts w:ascii="Verdana" w:hAnsi="Verdana"/>
          <w:spacing w:val="-1"/>
          <w:w w:val="87"/>
        </w:rPr>
        <w:t>se</w:t>
      </w:r>
      <w:r>
        <w:rPr>
          <w:rFonts w:ascii="Verdana" w:hAnsi="Verdana"/>
          <w:w w:val="87"/>
        </w:rPr>
        <w:t>s</w:t>
      </w:r>
      <w:r>
        <w:rPr>
          <w:rFonts w:ascii="Verdana" w:hAnsi="Verdana"/>
          <w:spacing w:val="-2"/>
          <w:w w:val="107"/>
        </w:rPr>
        <w:t>o</w:t>
      </w:r>
      <w:r>
        <w:rPr>
          <w:rFonts w:ascii="Verdana" w:hAnsi="Verdana"/>
          <w:w w:val="71"/>
        </w:rPr>
        <w:t>r</w:t>
      </w:r>
      <w:r>
        <w:rPr>
          <w:rFonts w:ascii="Verdana" w:hAnsi="Verdana"/>
          <w:spacing w:val="4"/>
          <w:w w:val="71"/>
        </w:rPr>
        <w:t>í</w:t>
      </w:r>
      <w:r>
        <w:rPr>
          <w:rFonts w:ascii="Verdana" w:hAnsi="Verdana"/>
          <w:w w:val="113"/>
        </w:rPr>
        <w:t>a </w:t>
      </w:r>
      <w:r>
        <w:rPr>
          <w:rFonts w:ascii="Verdana" w:hAnsi="Verdana"/>
        </w:rPr>
        <w:t>siempre</w:t>
      </w:r>
      <w:r>
        <w:rPr>
          <w:rFonts w:ascii="Verdana" w:hAnsi="Verdana"/>
          <w:spacing w:val="-22"/>
        </w:rPr>
        <w:t> </w:t>
      </w:r>
      <w:r>
        <w:rPr>
          <w:rFonts w:ascii="Verdana" w:hAnsi="Verdana"/>
        </w:rPr>
        <w:t>dispuesta</w:t>
      </w:r>
      <w:r>
        <w:rPr>
          <w:rFonts w:ascii="Verdana" w:hAnsi="Verdana"/>
          <w:spacing w:val="-22"/>
        </w:rPr>
        <w:t> </w:t>
      </w:r>
      <w:r>
        <w:rPr>
          <w:rFonts w:ascii="Verdana" w:hAnsi="Verdana"/>
        </w:rPr>
        <w:t>aún</w:t>
      </w:r>
      <w:r>
        <w:rPr>
          <w:rFonts w:ascii="Verdana" w:hAnsi="Verdana"/>
          <w:spacing w:val="-21"/>
        </w:rPr>
        <w:t> </w:t>
      </w:r>
      <w:r>
        <w:rPr>
          <w:rFonts w:ascii="Verdana" w:hAnsi="Verdana"/>
        </w:rPr>
        <w:t>en</w:t>
      </w:r>
      <w:r>
        <w:rPr>
          <w:rFonts w:ascii="Verdana" w:hAnsi="Verdana"/>
          <w:spacing w:val="-21"/>
        </w:rPr>
        <w:t> </w:t>
      </w:r>
      <w:r>
        <w:rPr>
          <w:rFonts w:ascii="Verdana" w:hAnsi="Verdana"/>
        </w:rPr>
        <w:t>la</w:t>
      </w:r>
      <w:r>
        <w:rPr>
          <w:rFonts w:ascii="Verdana" w:hAnsi="Verdana"/>
          <w:spacing w:val="-22"/>
        </w:rPr>
        <w:t> </w:t>
      </w:r>
      <w:r>
        <w:rPr>
          <w:rFonts w:ascii="Verdana" w:hAnsi="Verdana"/>
        </w:rPr>
        <w:t>distancia</w:t>
      </w:r>
      <w:r>
        <w:rPr>
          <w:rFonts w:ascii="Verdana" w:hAnsi="Verdana"/>
          <w:spacing w:val="-21"/>
        </w:rPr>
        <w:t> </w:t>
      </w:r>
      <w:r>
        <w:rPr>
          <w:rFonts w:ascii="Verdana" w:hAnsi="Verdana"/>
        </w:rPr>
        <w:t>y</w:t>
      </w:r>
      <w:r>
        <w:rPr>
          <w:rFonts w:ascii="Verdana" w:hAnsi="Verdana"/>
          <w:spacing w:val="-21"/>
        </w:rPr>
        <w:t> </w:t>
      </w:r>
      <w:r>
        <w:rPr>
          <w:rFonts w:ascii="Verdana" w:hAnsi="Verdana"/>
        </w:rPr>
        <w:t>al</w:t>
      </w:r>
      <w:r>
        <w:rPr>
          <w:rFonts w:ascii="Verdana" w:hAnsi="Verdana"/>
          <w:spacing w:val="-19"/>
        </w:rPr>
        <w:t> </w:t>
      </w:r>
      <w:r>
        <w:rPr>
          <w:rFonts w:ascii="Verdana" w:hAnsi="Verdana"/>
        </w:rPr>
        <w:t>Dr.</w:t>
      </w:r>
      <w:r>
        <w:rPr>
          <w:rFonts w:ascii="Verdana" w:hAnsi="Verdana"/>
          <w:spacing w:val="-21"/>
        </w:rPr>
        <w:t> </w:t>
      </w:r>
      <w:r>
        <w:rPr>
          <w:rFonts w:ascii="Verdana" w:hAnsi="Verdana"/>
        </w:rPr>
        <w:t>Julio</w:t>
      </w:r>
      <w:r>
        <w:rPr>
          <w:rFonts w:ascii="Verdana" w:hAnsi="Verdana"/>
          <w:spacing w:val="-22"/>
        </w:rPr>
        <w:t> </w:t>
      </w:r>
      <w:r>
        <w:rPr>
          <w:rFonts w:ascii="Verdana" w:hAnsi="Verdana"/>
        </w:rPr>
        <w:t>B.</w:t>
      </w:r>
      <w:r>
        <w:rPr>
          <w:rFonts w:ascii="Verdana" w:hAnsi="Verdana"/>
          <w:spacing w:val="-21"/>
        </w:rPr>
        <w:t> </w:t>
      </w:r>
      <w:r>
        <w:rPr>
          <w:rFonts w:ascii="Verdana" w:hAnsi="Verdana"/>
        </w:rPr>
        <w:t>Robles</w:t>
      </w:r>
      <w:r>
        <w:rPr>
          <w:rFonts w:ascii="Verdana" w:hAnsi="Verdana"/>
          <w:spacing w:val="-23"/>
        </w:rPr>
        <w:t> </w:t>
      </w:r>
      <w:r>
        <w:rPr>
          <w:rFonts w:ascii="Verdana" w:hAnsi="Verdana"/>
        </w:rPr>
        <w:t>Navarro</w:t>
      </w:r>
      <w:r>
        <w:rPr>
          <w:rFonts w:ascii="Verdana" w:hAnsi="Verdana"/>
          <w:spacing w:val="-21"/>
        </w:rPr>
        <w:t> </w:t>
      </w:r>
      <w:r>
        <w:rPr>
          <w:rFonts w:ascii="Verdana" w:hAnsi="Verdana"/>
        </w:rPr>
        <w:t>por</w:t>
      </w:r>
      <w:r>
        <w:rPr>
          <w:rFonts w:ascii="Verdana" w:hAnsi="Verdana"/>
          <w:spacing w:val="-20"/>
        </w:rPr>
        <w:t> </w:t>
      </w:r>
      <w:r>
        <w:rPr>
          <w:rFonts w:ascii="Verdana" w:hAnsi="Verdana"/>
        </w:rPr>
        <w:t>sus ideas</w:t>
      </w:r>
      <w:r>
        <w:rPr>
          <w:rFonts w:ascii="Verdana" w:hAnsi="Verdana"/>
          <w:spacing w:val="-22"/>
        </w:rPr>
        <w:t> </w:t>
      </w:r>
      <w:r>
        <w:rPr>
          <w:rFonts w:ascii="Verdana" w:hAnsi="Verdana"/>
        </w:rPr>
        <w:t>y</w:t>
      </w:r>
      <w:r>
        <w:rPr>
          <w:rFonts w:ascii="Verdana" w:hAnsi="Verdana"/>
          <w:spacing w:val="-22"/>
        </w:rPr>
        <w:t> </w:t>
      </w:r>
      <w:r>
        <w:rPr>
          <w:rFonts w:ascii="Verdana" w:hAnsi="Verdana"/>
        </w:rPr>
        <w:t>recomendaciones</w:t>
      </w:r>
      <w:r>
        <w:rPr>
          <w:rFonts w:ascii="Verdana" w:hAnsi="Verdana"/>
          <w:spacing w:val="-21"/>
        </w:rPr>
        <w:t> </w:t>
      </w:r>
      <w:r>
        <w:rPr>
          <w:rFonts w:ascii="Verdana" w:hAnsi="Verdana"/>
        </w:rPr>
        <w:t>respecto</w:t>
      </w:r>
      <w:r>
        <w:rPr>
          <w:rFonts w:ascii="Verdana" w:hAnsi="Verdana"/>
          <w:spacing w:val="-23"/>
        </w:rPr>
        <w:t> </w:t>
      </w:r>
      <w:r>
        <w:rPr>
          <w:rFonts w:ascii="Verdana" w:hAnsi="Verdana"/>
        </w:rPr>
        <w:t>a</w:t>
      </w:r>
      <w:r>
        <w:rPr>
          <w:rFonts w:ascii="Verdana" w:hAnsi="Verdana"/>
          <w:spacing w:val="-21"/>
        </w:rPr>
        <w:t> </w:t>
      </w:r>
      <w:r>
        <w:rPr>
          <w:rFonts w:ascii="Verdana" w:hAnsi="Verdana"/>
        </w:rPr>
        <w:t>esta</w:t>
      </w:r>
      <w:r>
        <w:rPr>
          <w:rFonts w:ascii="Verdana" w:hAnsi="Verdana"/>
          <w:spacing w:val="-21"/>
        </w:rPr>
        <w:t> </w:t>
      </w:r>
      <w:r>
        <w:rPr>
          <w:rFonts w:ascii="Verdana" w:hAnsi="Verdana"/>
        </w:rPr>
        <w:t>investigación.</w:t>
      </w: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rPr>
          <w:rFonts w:ascii="Verdana"/>
        </w:rPr>
      </w:pPr>
    </w:p>
    <w:p>
      <w:pPr>
        <w:pStyle w:val="BodyText"/>
        <w:spacing w:before="1"/>
        <w:rPr>
          <w:rFonts w:ascii="Verdana"/>
          <w:sz w:val="29"/>
        </w:rPr>
      </w:pPr>
    </w:p>
    <w:p>
      <w:pPr>
        <w:pStyle w:val="Heading4"/>
        <w:spacing w:before="0"/>
        <w:ind w:left="3382" w:right="3383"/>
        <w:jc w:val="center"/>
        <w:rPr>
          <w:rFonts w:ascii="Verdana"/>
        </w:rPr>
      </w:pPr>
      <w:r>
        <w:rPr>
          <w:rFonts w:ascii="Verdana"/>
          <w:w w:val="90"/>
        </w:rPr>
        <w:t>DEDICATORIA</w:t>
      </w:r>
    </w:p>
    <w:p>
      <w:pPr>
        <w:pStyle w:val="BodyText"/>
        <w:rPr>
          <w:rFonts w:ascii="Verdana"/>
          <w:b/>
        </w:rPr>
      </w:pPr>
    </w:p>
    <w:p>
      <w:pPr>
        <w:pStyle w:val="BodyText"/>
        <w:rPr>
          <w:rFonts w:ascii="Verdana"/>
          <w:b/>
        </w:rPr>
      </w:pPr>
    </w:p>
    <w:p>
      <w:pPr>
        <w:pStyle w:val="BodyText"/>
        <w:spacing w:line="278" w:lineRule="auto" w:before="200"/>
        <w:ind w:left="118" w:right="124"/>
        <w:jc w:val="both"/>
        <w:rPr>
          <w:rFonts w:ascii="Verdana" w:hAnsi="Verdana"/>
        </w:rPr>
      </w:pPr>
      <w:r>
        <w:rPr>
          <w:rFonts w:ascii="Verdana" w:hAnsi="Verdana"/>
        </w:rPr>
        <w:t>Gracias</w:t>
      </w:r>
      <w:r>
        <w:rPr>
          <w:rFonts w:ascii="Verdana" w:hAnsi="Verdana"/>
          <w:spacing w:val="-8"/>
        </w:rPr>
        <w:t> </w:t>
      </w:r>
      <w:r>
        <w:rPr>
          <w:rFonts w:ascii="Verdana" w:hAnsi="Verdana"/>
        </w:rPr>
        <w:t>a</w:t>
      </w:r>
      <w:r>
        <w:rPr>
          <w:rFonts w:ascii="Verdana" w:hAnsi="Verdana"/>
          <w:spacing w:val="-8"/>
        </w:rPr>
        <w:t> </w:t>
      </w:r>
      <w:r>
        <w:rPr>
          <w:rFonts w:ascii="Verdana" w:hAnsi="Verdana"/>
        </w:rPr>
        <w:t>mis</w:t>
      </w:r>
      <w:r>
        <w:rPr>
          <w:rFonts w:ascii="Verdana" w:hAnsi="Verdana"/>
          <w:spacing w:val="-8"/>
        </w:rPr>
        <w:t> </w:t>
      </w:r>
      <w:r>
        <w:rPr>
          <w:rFonts w:ascii="Verdana" w:hAnsi="Verdana"/>
        </w:rPr>
        <w:t>padres</w:t>
      </w:r>
      <w:r>
        <w:rPr>
          <w:rFonts w:ascii="Verdana" w:hAnsi="Verdana"/>
          <w:b/>
        </w:rPr>
        <w:t>,</w:t>
      </w:r>
      <w:r>
        <w:rPr>
          <w:rFonts w:ascii="Verdana" w:hAnsi="Verdana"/>
          <w:b/>
          <w:spacing w:val="-5"/>
        </w:rPr>
        <w:t> </w:t>
      </w:r>
      <w:r>
        <w:rPr>
          <w:rFonts w:ascii="Verdana" w:hAnsi="Verdana"/>
        </w:rPr>
        <w:t>que</w:t>
      </w:r>
      <w:r>
        <w:rPr>
          <w:rFonts w:ascii="Verdana" w:hAnsi="Verdana"/>
          <w:spacing w:val="-8"/>
        </w:rPr>
        <w:t> </w:t>
      </w:r>
      <w:r>
        <w:rPr>
          <w:rFonts w:ascii="Verdana" w:hAnsi="Verdana"/>
        </w:rPr>
        <w:t>siempre</w:t>
      </w:r>
      <w:r>
        <w:rPr>
          <w:rFonts w:ascii="Verdana" w:hAnsi="Verdana"/>
          <w:spacing w:val="-8"/>
        </w:rPr>
        <w:t> </w:t>
      </w:r>
      <w:r>
        <w:rPr>
          <w:rFonts w:ascii="Verdana" w:hAnsi="Verdana"/>
        </w:rPr>
        <w:t>estuvieron</w:t>
      </w:r>
      <w:r>
        <w:rPr>
          <w:rFonts w:ascii="Verdana" w:hAnsi="Verdana"/>
          <w:spacing w:val="-8"/>
        </w:rPr>
        <w:t> </w:t>
      </w:r>
      <w:r>
        <w:rPr>
          <w:rFonts w:ascii="Verdana" w:hAnsi="Verdana"/>
        </w:rPr>
        <w:t>listos</w:t>
      </w:r>
      <w:r>
        <w:rPr>
          <w:rFonts w:ascii="Verdana" w:hAnsi="Verdana"/>
          <w:spacing w:val="-8"/>
        </w:rPr>
        <w:t> </w:t>
      </w:r>
      <w:r>
        <w:rPr>
          <w:rFonts w:ascii="Verdana" w:hAnsi="Verdana"/>
        </w:rPr>
        <w:t>para</w:t>
      </w:r>
      <w:r>
        <w:rPr>
          <w:rFonts w:ascii="Verdana" w:hAnsi="Verdana"/>
          <w:spacing w:val="-9"/>
        </w:rPr>
        <w:t> </w:t>
      </w:r>
      <w:r>
        <w:rPr>
          <w:rFonts w:ascii="Verdana" w:hAnsi="Verdana"/>
        </w:rPr>
        <w:t>brindarme</w:t>
      </w:r>
      <w:r>
        <w:rPr>
          <w:rFonts w:ascii="Verdana" w:hAnsi="Verdana"/>
          <w:spacing w:val="-8"/>
        </w:rPr>
        <w:t> </w:t>
      </w:r>
      <w:r>
        <w:rPr>
          <w:rFonts w:ascii="Verdana" w:hAnsi="Verdana"/>
        </w:rPr>
        <w:t>toda</w:t>
      </w:r>
      <w:r>
        <w:rPr>
          <w:rFonts w:ascii="Verdana" w:hAnsi="Verdana"/>
          <w:spacing w:val="-9"/>
        </w:rPr>
        <w:t> </w:t>
      </w:r>
      <w:r>
        <w:rPr>
          <w:rFonts w:ascii="Verdana" w:hAnsi="Verdana"/>
        </w:rPr>
        <w:t>su ayuda, ahora me toca regresar un poquito de todo lo inmenso que me han otorgado.</w:t>
      </w:r>
      <w:r>
        <w:rPr>
          <w:rFonts w:ascii="Verdana" w:hAnsi="Verdana"/>
          <w:spacing w:val="-23"/>
        </w:rPr>
        <w:t> </w:t>
      </w:r>
      <w:r>
        <w:rPr>
          <w:rFonts w:ascii="Verdana" w:hAnsi="Verdana"/>
        </w:rPr>
        <w:t>Con</w:t>
      </w:r>
      <w:r>
        <w:rPr>
          <w:rFonts w:ascii="Verdana" w:hAnsi="Verdana"/>
          <w:spacing w:val="-18"/>
        </w:rPr>
        <w:t> </w:t>
      </w:r>
      <w:r>
        <w:rPr>
          <w:rFonts w:ascii="Verdana" w:hAnsi="Verdana"/>
        </w:rPr>
        <w:t>todo</w:t>
      </w:r>
      <w:r>
        <w:rPr>
          <w:rFonts w:ascii="Verdana" w:hAnsi="Verdana"/>
          <w:spacing w:val="-23"/>
        </w:rPr>
        <w:t> </w:t>
      </w:r>
      <w:r>
        <w:rPr>
          <w:rFonts w:ascii="Verdana" w:hAnsi="Verdana"/>
        </w:rPr>
        <w:t>mi</w:t>
      </w:r>
      <w:r>
        <w:rPr>
          <w:rFonts w:ascii="Verdana" w:hAnsi="Verdana"/>
          <w:spacing w:val="-23"/>
        </w:rPr>
        <w:t> </w:t>
      </w:r>
      <w:r>
        <w:rPr>
          <w:rFonts w:ascii="Verdana" w:hAnsi="Verdana"/>
        </w:rPr>
        <w:t>cariño</w:t>
      </w:r>
      <w:r>
        <w:rPr>
          <w:rFonts w:ascii="Verdana" w:hAnsi="Verdana"/>
          <w:spacing w:val="-22"/>
        </w:rPr>
        <w:t> </w:t>
      </w:r>
      <w:r>
        <w:rPr>
          <w:rFonts w:ascii="Verdana" w:hAnsi="Verdana"/>
        </w:rPr>
        <w:t>les</w:t>
      </w:r>
      <w:r>
        <w:rPr>
          <w:rFonts w:ascii="Verdana" w:hAnsi="Verdana"/>
          <w:spacing w:val="-23"/>
        </w:rPr>
        <w:t> </w:t>
      </w:r>
      <w:r>
        <w:rPr>
          <w:rFonts w:ascii="Verdana" w:hAnsi="Verdana"/>
        </w:rPr>
        <w:t>dedico</w:t>
      </w:r>
      <w:r>
        <w:rPr>
          <w:rFonts w:ascii="Verdana" w:hAnsi="Verdana"/>
          <w:spacing w:val="-23"/>
        </w:rPr>
        <w:t> </w:t>
      </w:r>
      <w:r>
        <w:rPr>
          <w:rFonts w:ascii="Verdana" w:hAnsi="Verdana"/>
        </w:rPr>
        <w:t>esta</w:t>
      </w:r>
      <w:r>
        <w:rPr>
          <w:rFonts w:ascii="Verdana" w:hAnsi="Verdana"/>
          <w:spacing w:val="-18"/>
        </w:rPr>
        <w:t> </w:t>
      </w:r>
      <w:r>
        <w:rPr>
          <w:rFonts w:ascii="Verdana" w:hAnsi="Verdana"/>
        </w:rPr>
        <w:t>tesis</w:t>
      </w:r>
    </w:p>
    <w:p>
      <w:pPr>
        <w:spacing w:after="0" w:line="278" w:lineRule="auto"/>
        <w:jc w:val="both"/>
        <w:rPr>
          <w:rFonts w:ascii="Verdana" w:hAnsi="Verdana"/>
        </w:rPr>
        <w:sectPr>
          <w:pgSz w:w="12240" w:h="15840"/>
          <w:pgMar w:top="1500" w:bottom="280" w:left="1300" w:right="1580"/>
        </w:sectPr>
      </w:pPr>
    </w:p>
    <w:p>
      <w:pPr>
        <w:pStyle w:val="BodyText"/>
        <w:spacing w:before="6"/>
        <w:rPr>
          <w:rFonts w:ascii="Verdana"/>
          <w:sz w:val="28"/>
        </w:rPr>
      </w:pPr>
    </w:p>
    <w:p>
      <w:pPr>
        <w:pStyle w:val="Heading4"/>
        <w:ind w:left="4393" w:right="4393"/>
        <w:jc w:val="center"/>
      </w:pPr>
      <w:r>
        <w:rPr/>
        <w:t>INDICE</w:t>
      </w:r>
    </w:p>
    <w:p>
      <w:pPr>
        <w:pStyle w:val="Heading4"/>
        <w:tabs>
          <w:tab w:pos="685" w:val="left" w:leader="none"/>
          <w:tab w:pos="9525" w:val="right" w:leader="none"/>
        </w:tabs>
        <w:spacing w:before="821"/>
        <w:ind w:left="118"/>
        <w:rPr>
          <w:rFonts w:ascii="Calibri" w:hAnsi="Calibri"/>
          <w:sz w:val="22"/>
        </w:rPr>
      </w:pPr>
      <w:r>
        <w:rPr/>
        <w:t>I.</w:t>
        <w:tab/>
        <w:t>INTRODUCCIÓN………………………………………………………………….</w:t>
      </w:r>
      <w:r>
        <w:rPr>
          <w:rFonts w:ascii="Calibri" w:hAnsi="Calibri"/>
          <w:position w:val="1"/>
          <w:sz w:val="22"/>
        </w:rPr>
        <w:tab/>
        <w:t>1</w:t>
      </w:r>
    </w:p>
    <w:p>
      <w:pPr>
        <w:pStyle w:val="Heading4"/>
        <w:tabs>
          <w:tab w:pos="685" w:val="left" w:leader="none"/>
          <w:tab w:pos="9525" w:val="right" w:leader="none"/>
        </w:tabs>
        <w:spacing w:before="276"/>
        <w:ind w:left="118"/>
        <w:rPr>
          <w:rFonts w:ascii="Calibri" w:hAnsi="Calibri"/>
          <w:sz w:val="22"/>
        </w:rPr>
      </w:pPr>
      <w:r>
        <w:rPr/>
        <w:t>II.</w:t>
        <w:tab/>
        <w:t>ANTECEDENTES………………………………………………………………...</w:t>
      </w:r>
      <w:r>
        <w:rPr>
          <w:rFonts w:ascii="Calibri" w:hAnsi="Calibri"/>
          <w:position w:val="1"/>
          <w:sz w:val="22"/>
        </w:rPr>
        <w:tab/>
        <w:t>4</w:t>
      </w:r>
    </w:p>
    <w:p>
      <w:pPr>
        <w:pStyle w:val="Heading4"/>
        <w:numPr>
          <w:ilvl w:val="0"/>
          <w:numId w:val="1"/>
        </w:numPr>
        <w:tabs>
          <w:tab w:pos="1113" w:val="left" w:leader="none"/>
          <w:tab w:pos="9525" w:val="right" w:leader="none"/>
        </w:tabs>
        <w:spacing w:line="240" w:lineRule="auto" w:before="141" w:after="0"/>
        <w:ind w:left="1112" w:right="0" w:hanging="286"/>
        <w:jc w:val="left"/>
        <w:rPr>
          <w:rFonts w:ascii="Calibri" w:hAnsi="Calibri"/>
          <w:sz w:val="22"/>
        </w:rPr>
      </w:pPr>
      <w:r>
        <w:rPr/>
        <w:t>Definición e historia de</w:t>
      </w:r>
      <w:r>
        <w:rPr>
          <w:spacing w:val="-5"/>
        </w:rPr>
        <w:t> </w:t>
      </w:r>
      <w:r>
        <w:rPr/>
        <w:t>los</w:t>
      </w:r>
      <w:r>
        <w:rPr>
          <w:spacing w:val="-2"/>
        </w:rPr>
        <w:t> </w:t>
      </w:r>
      <w:r>
        <w:rPr/>
        <w:t>plaguicidas…………………...…….………….</w:t>
      </w:r>
      <w:r>
        <w:rPr>
          <w:rFonts w:ascii="Calibri" w:hAnsi="Calibri"/>
          <w:position w:val="1"/>
          <w:sz w:val="22"/>
        </w:rPr>
        <w:tab/>
        <w:t>7</w:t>
      </w:r>
    </w:p>
    <w:p>
      <w:pPr>
        <w:pStyle w:val="Heading4"/>
        <w:numPr>
          <w:ilvl w:val="1"/>
          <w:numId w:val="1"/>
        </w:numPr>
        <w:tabs>
          <w:tab w:pos="1820" w:val="left" w:leader="none"/>
          <w:tab w:pos="1821" w:val="left" w:leader="none"/>
          <w:tab w:pos="9525" w:val="right" w:leader="none"/>
        </w:tabs>
        <w:spacing w:line="240" w:lineRule="auto" w:before="132" w:after="0"/>
        <w:ind w:left="1820" w:right="0" w:hanging="569"/>
        <w:jc w:val="left"/>
        <w:rPr>
          <w:rFonts w:ascii="Calibri" w:hAnsi="Calibri"/>
          <w:sz w:val="22"/>
        </w:rPr>
      </w:pPr>
      <w:r>
        <w:rPr/>
        <w:t>Clasificación de</w:t>
      </w:r>
      <w:r>
        <w:rPr>
          <w:spacing w:val="-3"/>
        </w:rPr>
        <w:t> </w:t>
      </w:r>
      <w:r>
        <w:rPr/>
        <w:t>los</w:t>
      </w:r>
      <w:r>
        <w:rPr>
          <w:spacing w:val="-2"/>
        </w:rPr>
        <w:t> </w:t>
      </w:r>
      <w:r>
        <w:rPr/>
        <w:t>plaguicidas…………..…………………………</w:t>
      </w:r>
      <w:r>
        <w:rPr>
          <w:rFonts w:ascii="Calibri" w:hAnsi="Calibri"/>
          <w:position w:val="1"/>
          <w:sz w:val="22"/>
        </w:rPr>
        <w:tab/>
        <w:t>9</w:t>
      </w:r>
    </w:p>
    <w:p>
      <w:pPr>
        <w:pStyle w:val="Heading4"/>
        <w:tabs>
          <w:tab w:pos="1820" w:val="left" w:leader="none"/>
          <w:tab w:pos="9525" w:val="right" w:leader="none"/>
        </w:tabs>
        <w:spacing w:before="139"/>
        <w:ind w:left="1251"/>
        <w:rPr>
          <w:rFonts w:ascii="Calibri" w:hAnsi="Calibri"/>
          <w:sz w:val="22"/>
        </w:rPr>
      </w:pPr>
      <w:r>
        <w:rPr/>
        <w:t>b.</w:t>
        <w:tab/>
        <w:t>Nivel</w:t>
      </w:r>
      <w:r>
        <w:rPr>
          <w:spacing w:val="-1"/>
        </w:rPr>
        <w:t> </w:t>
      </w:r>
      <w:r>
        <w:rPr/>
        <w:t>de</w:t>
      </w:r>
      <w:r>
        <w:rPr>
          <w:spacing w:val="-1"/>
        </w:rPr>
        <w:t> </w:t>
      </w:r>
      <w:r>
        <w:rPr/>
        <w:t>toxicidad………………………………………………………</w:t>
      </w:r>
      <w:r>
        <w:rPr>
          <w:rFonts w:ascii="Calibri" w:hAnsi="Calibri"/>
          <w:position w:val="1"/>
          <w:sz w:val="22"/>
        </w:rPr>
        <w:tab/>
        <w:t>13</w:t>
      </w:r>
    </w:p>
    <w:p>
      <w:pPr>
        <w:pStyle w:val="Heading4"/>
        <w:tabs>
          <w:tab w:pos="1820" w:val="left" w:leader="none"/>
          <w:tab w:pos="9525" w:val="right" w:leader="none"/>
        </w:tabs>
        <w:spacing w:before="144"/>
        <w:ind w:left="1251"/>
        <w:rPr>
          <w:rFonts w:ascii="Calibri" w:hAnsi="Calibri"/>
          <w:sz w:val="22"/>
        </w:rPr>
      </w:pPr>
      <w:r>
        <w:rPr/>
        <w:t>c.</w:t>
        <w:tab/>
        <w:t>Efectos en</w:t>
      </w:r>
      <w:r>
        <w:rPr>
          <w:spacing w:val="-4"/>
        </w:rPr>
        <w:t> </w:t>
      </w:r>
      <w:r>
        <w:rPr/>
        <w:t>la</w:t>
      </w:r>
      <w:r>
        <w:rPr>
          <w:spacing w:val="-2"/>
        </w:rPr>
        <w:t> </w:t>
      </w:r>
      <w:r>
        <w:rPr/>
        <w:t>salud……………………………………………………</w:t>
      </w:r>
      <w:r>
        <w:rPr>
          <w:rFonts w:ascii="Calibri" w:hAnsi="Calibri"/>
          <w:position w:val="1"/>
          <w:sz w:val="22"/>
        </w:rPr>
        <w:tab/>
        <w:t>14</w:t>
      </w:r>
    </w:p>
    <w:p>
      <w:pPr>
        <w:pStyle w:val="Heading4"/>
        <w:numPr>
          <w:ilvl w:val="0"/>
          <w:numId w:val="1"/>
        </w:numPr>
        <w:tabs>
          <w:tab w:pos="1113" w:val="left" w:leader="none"/>
          <w:tab w:pos="9525" w:val="right" w:leader="dot"/>
        </w:tabs>
        <w:spacing w:line="240" w:lineRule="auto" w:before="122" w:after="0"/>
        <w:ind w:left="1112" w:right="0" w:hanging="286"/>
        <w:jc w:val="left"/>
        <w:rPr>
          <w:rFonts w:ascii="Calibri"/>
          <w:sz w:val="22"/>
        </w:rPr>
      </w:pPr>
      <w:r>
        <w:rPr/>
        <w:t>Floricultura.</w:t>
      </w:r>
      <w:r>
        <w:rPr>
          <w:rFonts w:ascii="Calibri"/>
          <w:position w:val="1"/>
          <w:sz w:val="22"/>
        </w:rPr>
        <w:tab/>
        <w:t>18</w:t>
      </w:r>
    </w:p>
    <w:p>
      <w:pPr>
        <w:pStyle w:val="Heading4"/>
        <w:numPr>
          <w:ilvl w:val="1"/>
          <w:numId w:val="1"/>
        </w:numPr>
        <w:tabs>
          <w:tab w:pos="1820" w:val="left" w:leader="none"/>
          <w:tab w:pos="1821" w:val="left" w:leader="none"/>
          <w:tab w:pos="9525" w:val="right" w:leader="dot"/>
        </w:tabs>
        <w:spacing w:line="240" w:lineRule="auto" w:before="141" w:after="0"/>
        <w:ind w:left="1820" w:right="0" w:hanging="569"/>
        <w:jc w:val="left"/>
        <w:rPr>
          <w:rFonts w:ascii="Calibri" w:hAnsi="Calibri"/>
          <w:sz w:val="22"/>
        </w:rPr>
      </w:pPr>
      <w:r>
        <w:rPr/>
        <w:t>La floricultura y uso de plaguicidas en</w:t>
      </w:r>
      <w:r>
        <w:rPr>
          <w:spacing w:val="-9"/>
        </w:rPr>
        <w:t> </w:t>
      </w:r>
      <w:r>
        <w:rPr/>
        <w:t>Villa</w:t>
      </w:r>
      <w:r>
        <w:rPr>
          <w:spacing w:val="-1"/>
        </w:rPr>
        <w:t> </w:t>
      </w:r>
      <w:r>
        <w:rPr/>
        <w:t>Guerrero…</w:t>
      </w:r>
      <w:r>
        <w:rPr>
          <w:rFonts w:ascii="Calibri" w:hAnsi="Calibri"/>
          <w:position w:val="1"/>
          <w:sz w:val="22"/>
        </w:rPr>
        <w:tab/>
        <w:t>19</w:t>
      </w:r>
    </w:p>
    <w:p>
      <w:pPr>
        <w:pStyle w:val="Heading4"/>
        <w:numPr>
          <w:ilvl w:val="0"/>
          <w:numId w:val="1"/>
        </w:numPr>
        <w:tabs>
          <w:tab w:pos="1113" w:val="left" w:leader="none"/>
          <w:tab w:pos="9525" w:val="right" w:leader="dot"/>
        </w:tabs>
        <w:spacing w:line="240" w:lineRule="auto" w:before="132" w:after="0"/>
        <w:ind w:left="1112" w:right="0" w:hanging="286"/>
        <w:jc w:val="left"/>
        <w:rPr>
          <w:rFonts w:ascii="Calibri" w:hAnsi="Calibri"/>
          <w:sz w:val="22"/>
        </w:rPr>
      </w:pPr>
      <w:r>
        <w:rPr/>
        <w:t>Efecto de los plaguicidas en la salud de</w:t>
      </w:r>
      <w:r>
        <w:rPr>
          <w:spacing w:val="-7"/>
        </w:rPr>
        <w:t> </w:t>
      </w:r>
      <w:r>
        <w:rPr/>
        <w:t>los</w:t>
      </w:r>
      <w:r>
        <w:rPr>
          <w:spacing w:val="-1"/>
        </w:rPr>
        <w:t> </w:t>
      </w:r>
      <w:r>
        <w:rPr/>
        <w:t>niños</w:t>
      </w:r>
      <w:r>
        <w:rPr>
          <w:rFonts w:ascii="Calibri" w:hAnsi="Calibri"/>
          <w:position w:val="1"/>
          <w:sz w:val="22"/>
        </w:rPr>
        <w:tab/>
        <w:t>22</w:t>
      </w:r>
    </w:p>
    <w:p>
      <w:pPr>
        <w:pStyle w:val="Heading4"/>
        <w:tabs>
          <w:tab w:pos="1820" w:val="left" w:leader="none"/>
          <w:tab w:pos="9525" w:val="right" w:leader="none"/>
        </w:tabs>
        <w:spacing w:before="146"/>
        <w:ind w:left="1251"/>
        <w:rPr>
          <w:rFonts w:ascii="Calibri" w:hAnsi="Calibri"/>
          <w:sz w:val="22"/>
        </w:rPr>
      </w:pPr>
      <w:r>
        <w:rPr/>
        <w:t>a.</w:t>
        <w:tab/>
        <w:t>Vías</w:t>
      </w:r>
      <w:r>
        <w:rPr>
          <w:spacing w:val="-1"/>
        </w:rPr>
        <w:t> </w:t>
      </w:r>
      <w:r>
        <w:rPr/>
        <w:t>de</w:t>
      </w:r>
      <w:r>
        <w:rPr>
          <w:spacing w:val="1"/>
        </w:rPr>
        <w:t> </w:t>
      </w:r>
      <w:r>
        <w:rPr/>
        <w:t>contacto………………………………………………………</w:t>
      </w:r>
      <w:r>
        <w:rPr>
          <w:rFonts w:ascii="Calibri" w:hAnsi="Calibri"/>
          <w:position w:val="1"/>
          <w:sz w:val="22"/>
        </w:rPr>
        <w:tab/>
        <w:t>25</w:t>
      </w:r>
    </w:p>
    <w:p>
      <w:pPr>
        <w:pStyle w:val="Heading4"/>
        <w:numPr>
          <w:ilvl w:val="0"/>
          <w:numId w:val="1"/>
        </w:numPr>
        <w:tabs>
          <w:tab w:pos="1113" w:val="left" w:leader="none"/>
          <w:tab w:pos="9525" w:val="right" w:leader="none"/>
        </w:tabs>
        <w:spacing w:line="240" w:lineRule="auto" w:before="146" w:after="0"/>
        <w:ind w:left="1112" w:right="0" w:hanging="286"/>
        <w:jc w:val="left"/>
        <w:rPr>
          <w:rFonts w:ascii="Calibri" w:hAnsi="Calibri"/>
          <w:sz w:val="22"/>
        </w:rPr>
      </w:pPr>
      <w:r>
        <w:rPr/>
        <w:t>Características de la</w:t>
      </w:r>
      <w:r>
        <w:rPr>
          <w:spacing w:val="-6"/>
        </w:rPr>
        <w:t> </w:t>
      </w:r>
      <w:r>
        <w:rPr/>
        <w:t>mucosa</w:t>
      </w:r>
      <w:r>
        <w:rPr>
          <w:spacing w:val="-1"/>
        </w:rPr>
        <w:t> </w:t>
      </w:r>
      <w:r>
        <w:rPr/>
        <w:t>bucal………………………………………</w:t>
      </w:r>
      <w:r>
        <w:rPr>
          <w:rFonts w:ascii="Calibri" w:hAnsi="Calibri"/>
          <w:position w:val="1"/>
          <w:sz w:val="22"/>
        </w:rPr>
        <w:tab/>
        <w:t>27</w:t>
      </w:r>
    </w:p>
    <w:p>
      <w:pPr>
        <w:pStyle w:val="Heading4"/>
        <w:numPr>
          <w:ilvl w:val="0"/>
          <w:numId w:val="1"/>
        </w:numPr>
        <w:tabs>
          <w:tab w:pos="1187" w:val="left" w:leader="none"/>
          <w:tab w:pos="9525" w:val="right" w:leader="dot"/>
        </w:tabs>
        <w:spacing w:line="240" w:lineRule="auto" w:before="146" w:after="0"/>
        <w:ind w:left="1186" w:right="0" w:hanging="360"/>
        <w:jc w:val="left"/>
        <w:rPr>
          <w:rFonts w:ascii="Calibri" w:hAnsi="Calibri"/>
          <w:sz w:val="22"/>
        </w:rPr>
      </w:pPr>
      <w:r>
        <w:rPr/>
        <w:t>Evaluación del</w:t>
      </w:r>
      <w:r>
        <w:rPr>
          <w:spacing w:val="-1"/>
        </w:rPr>
        <w:t> </w:t>
      </w:r>
      <w:r>
        <w:rPr/>
        <w:t>daño</w:t>
      </w:r>
      <w:r>
        <w:rPr>
          <w:spacing w:val="-4"/>
        </w:rPr>
        <w:t> </w:t>
      </w:r>
      <w:r>
        <w:rPr/>
        <w:t>genotóxico…</w:t>
      </w:r>
      <w:r>
        <w:rPr>
          <w:rFonts w:ascii="Calibri" w:hAnsi="Calibri"/>
          <w:position w:val="1"/>
          <w:sz w:val="22"/>
        </w:rPr>
        <w:tab/>
        <w:t>33</w:t>
      </w:r>
    </w:p>
    <w:p>
      <w:pPr>
        <w:pStyle w:val="Heading4"/>
        <w:numPr>
          <w:ilvl w:val="1"/>
          <w:numId w:val="1"/>
        </w:numPr>
        <w:tabs>
          <w:tab w:pos="1820" w:val="left" w:leader="none"/>
          <w:tab w:pos="1821" w:val="left" w:leader="none"/>
          <w:tab w:pos="9525" w:val="right" w:leader="none"/>
        </w:tabs>
        <w:spacing w:line="240" w:lineRule="auto" w:before="146" w:after="0"/>
        <w:ind w:left="1820" w:right="0" w:hanging="569"/>
        <w:jc w:val="left"/>
        <w:rPr>
          <w:rFonts w:ascii="Calibri" w:hAnsi="Calibri"/>
          <w:sz w:val="22"/>
        </w:rPr>
      </w:pPr>
      <w:r>
        <w:rPr/>
        <w:t>Biomarcadores de</w:t>
      </w:r>
      <w:r>
        <w:rPr>
          <w:spacing w:val="-4"/>
        </w:rPr>
        <w:t> </w:t>
      </w:r>
      <w:r>
        <w:rPr/>
        <w:t>daño</w:t>
      </w:r>
      <w:r>
        <w:rPr>
          <w:spacing w:val="-1"/>
        </w:rPr>
        <w:t> </w:t>
      </w:r>
      <w:r>
        <w:rPr/>
        <w:t>genético…………………………………</w:t>
      </w:r>
      <w:r>
        <w:rPr>
          <w:rFonts w:ascii="Calibri" w:hAnsi="Calibri"/>
          <w:position w:val="1"/>
          <w:sz w:val="22"/>
        </w:rPr>
        <w:tab/>
        <w:t>34</w:t>
      </w:r>
    </w:p>
    <w:p>
      <w:pPr>
        <w:pStyle w:val="Heading4"/>
        <w:tabs>
          <w:tab w:pos="9525" w:val="right" w:leader="dot"/>
        </w:tabs>
        <w:spacing w:before="147"/>
        <w:ind w:left="1820"/>
        <w:rPr>
          <w:rFonts w:ascii="Calibri"/>
          <w:sz w:val="22"/>
        </w:rPr>
      </w:pPr>
      <w:r>
        <w:rPr/>
        <w:t>5.1.2.  Biomarcadores</w:t>
      </w:r>
      <w:r>
        <w:rPr>
          <w:spacing w:val="-1"/>
        </w:rPr>
        <w:t> </w:t>
      </w:r>
      <w:r>
        <w:rPr/>
        <w:t>de efecto</w:t>
      </w:r>
      <w:r>
        <w:rPr>
          <w:rFonts w:ascii="Calibri"/>
          <w:position w:val="1"/>
          <w:sz w:val="22"/>
        </w:rPr>
        <w:tab/>
        <w:t>37</w:t>
      </w:r>
    </w:p>
    <w:p>
      <w:pPr>
        <w:pStyle w:val="Heading4"/>
        <w:numPr>
          <w:ilvl w:val="0"/>
          <w:numId w:val="1"/>
        </w:numPr>
        <w:tabs>
          <w:tab w:pos="1187" w:val="left" w:leader="none"/>
          <w:tab w:pos="9525" w:val="right" w:leader="none"/>
        </w:tabs>
        <w:spacing w:line="240" w:lineRule="auto" w:before="144" w:after="0"/>
        <w:ind w:left="1186" w:right="0" w:hanging="360"/>
        <w:jc w:val="left"/>
        <w:rPr>
          <w:rFonts w:ascii="Calibri" w:hAnsi="Calibri"/>
          <w:sz w:val="22"/>
        </w:rPr>
      </w:pPr>
      <w:r>
        <w:rPr/>
        <w:t>El ensayo</w:t>
      </w:r>
      <w:r>
        <w:rPr>
          <w:spacing w:val="-2"/>
        </w:rPr>
        <w:t> </w:t>
      </w:r>
      <w:r>
        <w:rPr/>
        <w:t>de</w:t>
      </w:r>
      <w:r>
        <w:rPr>
          <w:spacing w:val="2"/>
        </w:rPr>
        <w:t> </w:t>
      </w:r>
      <w:r>
        <w:rPr/>
        <w:t>micronúcleos…………………………………………………</w:t>
      </w:r>
      <w:r>
        <w:rPr>
          <w:rFonts w:ascii="Calibri" w:hAnsi="Calibri"/>
          <w:position w:val="1"/>
          <w:sz w:val="22"/>
        </w:rPr>
        <w:tab/>
        <w:t>39</w:t>
      </w:r>
    </w:p>
    <w:p>
      <w:pPr>
        <w:pStyle w:val="Heading4"/>
        <w:numPr>
          <w:ilvl w:val="1"/>
          <w:numId w:val="1"/>
        </w:numPr>
        <w:tabs>
          <w:tab w:pos="1820" w:val="left" w:leader="none"/>
          <w:tab w:pos="1821" w:val="left" w:leader="none"/>
          <w:tab w:pos="9525" w:val="right" w:leader="none"/>
        </w:tabs>
        <w:spacing w:line="240" w:lineRule="auto" w:before="146" w:after="0"/>
        <w:ind w:left="1820" w:right="0" w:hanging="569"/>
        <w:jc w:val="left"/>
        <w:rPr>
          <w:rFonts w:ascii="Calibri" w:hAnsi="Calibri"/>
          <w:sz w:val="22"/>
        </w:rPr>
      </w:pPr>
      <w:r>
        <w:rPr/>
        <w:t>Micronúcleos del</w:t>
      </w:r>
      <w:r>
        <w:rPr>
          <w:spacing w:val="-5"/>
        </w:rPr>
        <w:t> </w:t>
      </w:r>
      <w:r>
        <w:rPr/>
        <w:t>epitelio</w:t>
      </w:r>
      <w:r>
        <w:rPr>
          <w:spacing w:val="-1"/>
        </w:rPr>
        <w:t> </w:t>
      </w:r>
      <w:r>
        <w:rPr/>
        <w:t>bucal……………………………………</w:t>
      </w:r>
      <w:r>
        <w:rPr>
          <w:rFonts w:ascii="Calibri" w:hAnsi="Calibri"/>
          <w:position w:val="1"/>
          <w:sz w:val="22"/>
        </w:rPr>
        <w:tab/>
        <w:t>41</w:t>
      </w:r>
    </w:p>
    <w:p>
      <w:pPr>
        <w:pStyle w:val="Heading4"/>
        <w:numPr>
          <w:ilvl w:val="1"/>
          <w:numId w:val="1"/>
        </w:numPr>
        <w:tabs>
          <w:tab w:pos="1820" w:val="left" w:leader="none"/>
          <w:tab w:pos="1821" w:val="left" w:leader="none"/>
          <w:tab w:pos="9525" w:val="right" w:leader="none"/>
        </w:tabs>
        <w:spacing w:line="240" w:lineRule="auto" w:before="146" w:after="0"/>
        <w:ind w:left="1820" w:right="0" w:hanging="569"/>
        <w:jc w:val="left"/>
        <w:rPr>
          <w:rFonts w:ascii="Calibri" w:hAnsi="Calibri"/>
          <w:sz w:val="22"/>
        </w:rPr>
      </w:pPr>
      <w:r>
        <w:rPr/>
        <w:t>Otras</w:t>
      </w:r>
      <w:r>
        <w:rPr>
          <w:spacing w:val="-1"/>
        </w:rPr>
        <w:t> </w:t>
      </w:r>
      <w:r>
        <w:rPr/>
        <w:t>anormalidades</w:t>
      </w:r>
      <w:r>
        <w:rPr>
          <w:spacing w:val="-3"/>
        </w:rPr>
        <w:t> </w:t>
      </w:r>
      <w:r>
        <w:rPr/>
        <w:t>nucleares……………………………………</w:t>
      </w:r>
      <w:r>
        <w:rPr>
          <w:rFonts w:ascii="Calibri" w:hAnsi="Calibri"/>
          <w:position w:val="1"/>
          <w:sz w:val="22"/>
        </w:rPr>
        <w:tab/>
        <w:t>43</w:t>
      </w:r>
    </w:p>
    <w:p>
      <w:pPr>
        <w:pStyle w:val="Heading4"/>
        <w:tabs>
          <w:tab w:pos="685" w:val="left" w:leader="none"/>
          <w:tab w:pos="9525" w:val="right" w:leader="none"/>
        </w:tabs>
        <w:spacing w:before="276"/>
        <w:ind w:left="118"/>
        <w:rPr>
          <w:rFonts w:ascii="Calibri" w:hAnsi="Calibri"/>
          <w:sz w:val="22"/>
        </w:rPr>
      </w:pPr>
      <w:r>
        <w:rPr/>
        <w:t>III.</w:t>
        <w:tab/>
        <w:t>PLANTEAMIENTO</w:t>
      </w:r>
      <w:r>
        <w:rPr>
          <w:spacing w:val="-2"/>
        </w:rPr>
        <w:t> </w:t>
      </w:r>
      <w:r>
        <w:rPr/>
        <w:t>DEL</w:t>
      </w:r>
      <w:r>
        <w:rPr>
          <w:spacing w:val="-2"/>
        </w:rPr>
        <w:t> </w:t>
      </w:r>
      <w:r>
        <w:rPr/>
        <w:t>PROBLEMA…………………………………………….</w:t>
      </w:r>
      <w:r>
        <w:rPr>
          <w:rFonts w:ascii="Calibri" w:hAnsi="Calibri"/>
          <w:position w:val="1"/>
          <w:sz w:val="22"/>
        </w:rPr>
        <w:tab/>
        <w:t>48</w:t>
      </w:r>
    </w:p>
    <w:p>
      <w:pPr>
        <w:pStyle w:val="Heading4"/>
        <w:tabs>
          <w:tab w:pos="685" w:val="left" w:leader="none"/>
          <w:tab w:pos="9525" w:val="right" w:leader="none"/>
        </w:tabs>
        <w:spacing w:before="276"/>
        <w:ind w:left="118"/>
        <w:rPr>
          <w:rFonts w:ascii="Calibri" w:hAnsi="Calibri"/>
          <w:sz w:val="22"/>
        </w:rPr>
      </w:pPr>
      <w:r>
        <w:rPr/>
        <w:t>IV.</w:t>
        <w:tab/>
        <w:t>JUSTIFICACIÓN…………………………………………………………………….</w:t>
      </w:r>
      <w:r>
        <w:rPr>
          <w:rFonts w:ascii="Calibri" w:hAnsi="Calibri"/>
          <w:position w:val="1"/>
          <w:sz w:val="22"/>
        </w:rPr>
        <w:tab/>
        <w:t>49</w:t>
      </w:r>
    </w:p>
    <w:p>
      <w:pPr>
        <w:pStyle w:val="ListParagraph"/>
        <w:numPr>
          <w:ilvl w:val="0"/>
          <w:numId w:val="2"/>
        </w:numPr>
        <w:tabs>
          <w:tab w:pos="685" w:val="left" w:leader="none"/>
          <w:tab w:pos="686" w:val="left" w:leader="none"/>
          <w:tab w:pos="9525" w:val="right" w:leader="dot"/>
        </w:tabs>
        <w:spacing w:line="240" w:lineRule="auto" w:before="276" w:after="0"/>
        <w:ind w:left="685" w:right="0" w:hanging="567"/>
        <w:jc w:val="left"/>
        <w:rPr>
          <w:rFonts w:ascii="Calibri"/>
          <w:b/>
          <w:sz w:val="22"/>
        </w:rPr>
      </w:pPr>
      <w:r>
        <w:rPr>
          <w:b/>
          <w:sz w:val="24"/>
        </w:rPr>
        <w:t>OBJETIVOS</w:t>
      </w:r>
      <w:r>
        <w:rPr>
          <w:rFonts w:ascii="Calibri"/>
          <w:b/>
          <w:position w:val="1"/>
          <w:sz w:val="22"/>
        </w:rPr>
        <w:tab/>
        <w:t>51</w:t>
      </w:r>
    </w:p>
    <w:p>
      <w:pPr>
        <w:pStyle w:val="Heading4"/>
        <w:tabs>
          <w:tab w:pos="685" w:val="left" w:leader="none"/>
          <w:tab w:pos="9525" w:val="right" w:leader="none"/>
        </w:tabs>
        <w:spacing w:before="276"/>
        <w:ind w:left="118"/>
        <w:rPr>
          <w:rFonts w:ascii="Calibri" w:hAnsi="Calibri"/>
          <w:sz w:val="22"/>
        </w:rPr>
      </w:pPr>
      <w:r>
        <w:rPr/>
        <w:t>VI.</w:t>
        <w:tab/>
        <w:t>HIPÓTESIS…………………………………………………………………….……</w:t>
      </w:r>
      <w:r>
        <w:rPr>
          <w:rFonts w:ascii="Calibri" w:hAnsi="Calibri"/>
          <w:position w:val="1"/>
          <w:sz w:val="22"/>
        </w:rPr>
        <w:tab/>
        <w:t>52</w:t>
      </w:r>
    </w:p>
    <w:p>
      <w:pPr>
        <w:pStyle w:val="Heading4"/>
        <w:tabs>
          <w:tab w:pos="685" w:val="left" w:leader="none"/>
          <w:tab w:pos="9525" w:val="right" w:leader="none"/>
        </w:tabs>
        <w:spacing w:before="276"/>
        <w:ind w:left="118"/>
        <w:rPr>
          <w:rFonts w:ascii="Calibri" w:hAnsi="Calibri"/>
          <w:sz w:val="22"/>
        </w:rPr>
      </w:pPr>
      <w:r>
        <w:rPr/>
        <w:t>VII.</w:t>
        <w:tab/>
        <w:t>MÉTODO Y</w:t>
      </w:r>
      <w:r>
        <w:rPr>
          <w:spacing w:val="-2"/>
        </w:rPr>
        <w:t> </w:t>
      </w:r>
      <w:r>
        <w:rPr/>
        <w:t>MATERIALES……………………………………………………….</w:t>
      </w:r>
      <w:r>
        <w:rPr>
          <w:rFonts w:ascii="Calibri" w:hAnsi="Calibri"/>
          <w:position w:val="1"/>
          <w:sz w:val="22"/>
        </w:rPr>
        <w:tab/>
        <w:t>53</w:t>
      </w:r>
    </w:p>
    <w:p>
      <w:pPr>
        <w:pStyle w:val="Heading4"/>
        <w:tabs>
          <w:tab w:pos="9525" w:val="right" w:leader="none"/>
        </w:tabs>
        <w:spacing w:before="276"/>
        <w:ind w:left="118"/>
        <w:rPr>
          <w:rFonts w:ascii="Calibri" w:hAnsi="Calibri"/>
          <w:sz w:val="22"/>
        </w:rPr>
      </w:pPr>
      <w:r>
        <w:rPr/>
        <w:t>VIII. </w:t>
      </w:r>
      <w:r>
        <w:rPr>
          <w:spacing w:val="3"/>
        </w:rPr>
        <w:t> </w:t>
      </w:r>
      <w:r>
        <w:rPr/>
        <w:t>RESULTADOS……………………………………………………………………….</w:t>
      </w:r>
      <w:r>
        <w:rPr>
          <w:rFonts w:ascii="Calibri" w:hAnsi="Calibri"/>
          <w:position w:val="1"/>
          <w:sz w:val="22"/>
        </w:rPr>
        <w:tab/>
        <w:t>69</w:t>
      </w:r>
    </w:p>
    <w:p>
      <w:pPr>
        <w:pStyle w:val="Heading4"/>
        <w:numPr>
          <w:ilvl w:val="1"/>
          <w:numId w:val="2"/>
        </w:numPr>
        <w:tabs>
          <w:tab w:pos="1252" w:val="left" w:leader="none"/>
          <w:tab w:pos="9525" w:val="right" w:leader="dot"/>
        </w:tabs>
        <w:spacing w:line="240" w:lineRule="auto" w:before="139" w:after="0"/>
        <w:ind w:left="1251" w:right="0" w:hanging="281"/>
        <w:jc w:val="left"/>
        <w:rPr>
          <w:rFonts w:ascii="Calibri" w:hAnsi="Calibri"/>
          <w:sz w:val="22"/>
        </w:rPr>
      </w:pPr>
      <w:r>
        <w:rPr/>
        <w:t>Acuse de Recibido del</w:t>
      </w:r>
      <w:r>
        <w:rPr>
          <w:spacing w:val="2"/>
        </w:rPr>
        <w:t> </w:t>
      </w:r>
      <w:r>
        <w:rPr/>
        <w:t>Artículo…</w:t>
      </w:r>
      <w:r>
        <w:rPr>
          <w:rFonts w:ascii="Calibri" w:hAnsi="Calibri"/>
          <w:position w:val="1"/>
          <w:sz w:val="22"/>
        </w:rPr>
        <w:tab/>
        <w:t>69</w:t>
      </w:r>
    </w:p>
    <w:p>
      <w:pPr>
        <w:pStyle w:val="ListParagraph"/>
        <w:numPr>
          <w:ilvl w:val="1"/>
          <w:numId w:val="2"/>
        </w:numPr>
        <w:tabs>
          <w:tab w:pos="1252" w:val="left" w:leader="none"/>
          <w:tab w:pos="9525" w:val="right" w:leader="dot"/>
        </w:tabs>
        <w:spacing w:line="240" w:lineRule="auto" w:before="132" w:after="0"/>
        <w:ind w:left="1251" w:right="0" w:hanging="281"/>
        <w:jc w:val="left"/>
        <w:rPr>
          <w:rFonts w:ascii="Calibri" w:hAnsi="Calibri"/>
          <w:b/>
          <w:sz w:val="22"/>
        </w:rPr>
      </w:pPr>
      <w:r>
        <w:rPr>
          <w:b/>
          <w:sz w:val="24"/>
        </w:rPr>
        <w:t>Artículo…</w:t>
      </w:r>
      <w:r>
        <w:rPr>
          <w:rFonts w:ascii="Calibri" w:hAnsi="Calibri"/>
          <w:b/>
          <w:position w:val="1"/>
          <w:sz w:val="22"/>
        </w:rPr>
        <w:tab/>
        <w:t>70</w:t>
      </w:r>
    </w:p>
    <w:p>
      <w:pPr>
        <w:spacing w:after="0" w:line="240" w:lineRule="auto"/>
        <w:jc w:val="left"/>
        <w:rPr>
          <w:rFonts w:ascii="Calibri" w:hAnsi="Calibri"/>
          <w:sz w:val="22"/>
        </w:rPr>
        <w:sectPr>
          <w:pgSz w:w="12240" w:h="15840"/>
          <w:pgMar w:top="1500" w:bottom="280" w:left="1300" w:right="1300"/>
        </w:sectPr>
      </w:pPr>
    </w:p>
    <w:p>
      <w:pPr>
        <w:pStyle w:val="Heading4"/>
        <w:numPr>
          <w:ilvl w:val="1"/>
          <w:numId w:val="2"/>
        </w:numPr>
        <w:tabs>
          <w:tab w:pos="1252" w:val="left" w:leader="none"/>
          <w:tab w:pos="9525" w:val="right" w:leader="none"/>
        </w:tabs>
        <w:spacing w:line="240" w:lineRule="auto" w:before="197" w:after="0"/>
        <w:ind w:left="1251" w:right="0" w:hanging="281"/>
        <w:jc w:val="left"/>
        <w:rPr>
          <w:rFonts w:ascii="Calibri" w:hAnsi="Calibri"/>
          <w:sz w:val="22"/>
        </w:rPr>
      </w:pPr>
      <w:r>
        <w:rPr/>
        <w:t>Descripción General</w:t>
      </w:r>
      <w:r>
        <w:rPr>
          <w:spacing w:val="-6"/>
        </w:rPr>
        <w:t> </w:t>
      </w:r>
      <w:r>
        <w:rPr/>
        <w:t>de</w:t>
      </w:r>
      <w:r>
        <w:rPr>
          <w:spacing w:val="-1"/>
        </w:rPr>
        <w:t> </w:t>
      </w:r>
      <w:r>
        <w:rPr/>
        <w:t>Resultados……………………………..………</w:t>
      </w:r>
      <w:r>
        <w:rPr>
          <w:rFonts w:ascii="Calibri" w:hAnsi="Calibri"/>
          <w:position w:val="1"/>
          <w:sz w:val="22"/>
        </w:rPr>
        <w:tab/>
        <w:t>95</w:t>
      </w:r>
    </w:p>
    <w:p>
      <w:pPr>
        <w:pStyle w:val="Heading4"/>
        <w:tabs>
          <w:tab w:pos="685" w:val="left" w:leader="none"/>
          <w:tab w:pos="9524" w:val="right" w:leader="dot"/>
        </w:tabs>
        <w:spacing w:before="115"/>
        <w:ind w:left="118"/>
        <w:rPr>
          <w:rFonts w:ascii="Calibri"/>
          <w:sz w:val="22"/>
        </w:rPr>
      </w:pPr>
      <w:r>
        <w:rPr/>
        <w:t>IX.</w:t>
        <w:tab/>
        <w:t>TABLAS</w:t>
      </w:r>
      <w:r>
        <w:rPr>
          <w:spacing w:val="-1"/>
        </w:rPr>
        <w:t> </w:t>
      </w:r>
      <w:r>
        <w:rPr/>
        <w:t>Y</w:t>
      </w:r>
      <w:r>
        <w:rPr>
          <w:spacing w:val="-3"/>
        </w:rPr>
        <w:t> </w:t>
      </w:r>
      <w:r>
        <w:rPr/>
        <w:t>FIGURAS</w:t>
      </w:r>
      <w:r>
        <w:rPr>
          <w:rFonts w:ascii="Calibri"/>
          <w:position w:val="1"/>
          <w:sz w:val="22"/>
        </w:rPr>
        <w:tab/>
        <w:t>100</w:t>
      </w:r>
    </w:p>
    <w:p>
      <w:pPr>
        <w:pStyle w:val="Heading4"/>
        <w:tabs>
          <w:tab w:pos="685" w:val="left" w:leader="none"/>
          <w:tab w:pos="9524" w:val="right" w:leader="none"/>
        </w:tabs>
        <w:spacing w:before="276"/>
        <w:ind w:left="118"/>
        <w:rPr>
          <w:rFonts w:ascii="Calibri" w:hAnsi="Calibri"/>
          <w:sz w:val="22"/>
        </w:rPr>
      </w:pPr>
      <w:r>
        <w:rPr/>
        <w:t>X.</w:t>
        <w:tab/>
        <w:t>DISCUSIÓN…………………………………………………………………………</w:t>
      </w:r>
      <w:r>
        <w:rPr>
          <w:rFonts w:ascii="Calibri" w:hAnsi="Calibri"/>
          <w:position w:val="1"/>
          <w:sz w:val="22"/>
        </w:rPr>
        <w:tab/>
        <w:t>106</w:t>
      </w:r>
    </w:p>
    <w:p>
      <w:pPr>
        <w:pStyle w:val="ListParagraph"/>
        <w:numPr>
          <w:ilvl w:val="0"/>
          <w:numId w:val="3"/>
        </w:numPr>
        <w:tabs>
          <w:tab w:pos="685" w:val="left" w:leader="none"/>
          <w:tab w:pos="686" w:val="left" w:leader="none"/>
          <w:tab w:pos="9524" w:val="right" w:leader="dot"/>
        </w:tabs>
        <w:spacing w:line="240" w:lineRule="auto" w:before="276" w:after="0"/>
        <w:ind w:left="685" w:right="0" w:hanging="567"/>
        <w:jc w:val="left"/>
        <w:rPr>
          <w:rFonts w:ascii="Calibri"/>
          <w:b/>
          <w:sz w:val="22"/>
        </w:rPr>
      </w:pPr>
      <w:r>
        <w:rPr>
          <w:b/>
          <w:sz w:val="24"/>
        </w:rPr>
        <w:t>CONCLUSIONES</w:t>
      </w:r>
      <w:r>
        <w:rPr>
          <w:rFonts w:ascii="Calibri"/>
          <w:b/>
          <w:position w:val="1"/>
          <w:sz w:val="22"/>
        </w:rPr>
        <w:tab/>
        <w:t>114</w:t>
      </w:r>
    </w:p>
    <w:p>
      <w:pPr>
        <w:pStyle w:val="ListParagraph"/>
        <w:numPr>
          <w:ilvl w:val="1"/>
          <w:numId w:val="3"/>
        </w:numPr>
        <w:tabs>
          <w:tab w:pos="839" w:val="left" w:leader="none"/>
          <w:tab w:pos="9524" w:val="right" w:leader="dot"/>
        </w:tabs>
        <w:spacing w:line="240" w:lineRule="auto" w:before="185" w:after="0"/>
        <w:ind w:left="838" w:right="0" w:hanging="360"/>
        <w:jc w:val="left"/>
        <w:rPr>
          <w:rFonts w:ascii="Calibri"/>
          <w:b/>
          <w:sz w:val="22"/>
        </w:rPr>
      </w:pPr>
      <w:r>
        <w:rPr>
          <w:b/>
          <w:sz w:val="24"/>
        </w:rPr>
        <w:t>Recomendaciones</w:t>
      </w:r>
      <w:r>
        <w:rPr>
          <w:rFonts w:ascii="Calibri"/>
          <w:b/>
          <w:position w:val="1"/>
          <w:sz w:val="22"/>
        </w:rPr>
        <w:tab/>
        <w:t>114</w:t>
      </w:r>
    </w:p>
    <w:p>
      <w:pPr>
        <w:pStyle w:val="ListParagraph"/>
        <w:numPr>
          <w:ilvl w:val="0"/>
          <w:numId w:val="3"/>
        </w:numPr>
        <w:tabs>
          <w:tab w:pos="685" w:val="left" w:leader="none"/>
          <w:tab w:pos="686" w:val="left" w:leader="none"/>
          <w:tab w:pos="9524" w:val="right" w:leader="dot"/>
        </w:tabs>
        <w:spacing w:line="240" w:lineRule="auto" w:before="146" w:after="0"/>
        <w:ind w:left="685" w:right="0" w:hanging="567"/>
        <w:jc w:val="left"/>
        <w:rPr>
          <w:rFonts w:ascii="Calibri" w:hAnsi="Calibri"/>
          <w:b/>
          <w:sz w:val="22"/>
        </w:rPr>
      </w:pPr>
      <w:r>
        <w:rPr>
          <w:b/>
          <w:sz w:val="24"/>
        </w:rPr>
        <w:t>RESUMEN…</w:t>
      </w:r>
      <w:r>
        <w:rPr>
          <w:rFonts w:ascii="Calibri" w:hAnsi="Calibri"/>
          <w:b/>
          <w:position w:val="1"/>
          <w:sz w:val="22"/>
        </w:rPr>
        <w:tab/>
        <w:t>115</w:t>
      </w:r>
    </w:p>
    <w:p>
      <w:pPr>
        <w:pStyle w:val="ListParagraph"/>
        <w:numPr>
          <w:ilvl w:val="0"/>
          <w:numId w:val="3"/>
        </w:numPr>
        <w:tabs>
          <w:tab w:pos="686" w:val="left" w:leader="none"/>
          <w:tab w:pos="9524" w:val="right" w:leader="dot"/>
        </w:tabs>
        <w:spacing w:line="240" w:lineRule="auto" w:before="276" w:after="0"/>
        <w:ind w:left="685" w:right="0" w:hanging="567"/>
        <w:jc w:val="left"/>
        <w:rPr>
          <w:rFonts w:ascii="Calibri" w:hAnsi="Calibri"/>
          <w:b/>
          <w:sz w:val="22"/>
        </w:rPr>
      </w:pPr>
      <w:r>
        <w:rPr>
          <w:b/>
          <w:sz w:val="24"/>
        </w:rPr>
        <w:t>BIBLIOGRAFÍA</w:t>
      </w:r>
      <w:r>
        <w:rPr>
          <w:rFonts w:ascii="Calibri" w:hAnsi="Calibri"/>
          <w:b/>
          <w:position w:val="1"/>
          <w:sz w:val="22"/>
        </w:rPr>
        <w:tab/>
        <w:t>117</w:t>
      </w:r>
    </w:p>
    <w:p>
      <w:pPr>
        <w:pStyle w:val="ListParagraph"/>
        <w:numPr>
          <w:ilvl w:val="0"/>
          <w:numId w:val="3"/>
        </w:numPr>
        <w:tabs>
          <w:tab w:pos="686" w:val="left" w:leader="none"/>
          <w:tab w:pos="9524" w:val="right" w:leader="dot"/>
        </w:tabs>
        <w:spacing w:line="240" w:lineRule="auto" w:before="276" w:after="0"/>
        <w:ind w:left="685" w:right="0" w:hanging="567"/>
        <w:jc w:val="left"/>
        <w:rPr>
          <w:rFonts w:ascii="Calibri"/>
          <w:b/>
          <w:sz w:val="22"/>
        </w:rPr>
      </w:pPr>
      <w:r>
        <w:rPr>
          <w:b/>
          <w:sz w:val="24"/>
        </w:rPr>
        <w:t>ANEXOS</w:t>
      </w:r>
      <w:r>
        <w:rPr>
          <w:rFonts w:ascii="Calibri"/>
          <w:b/>
          <w:position w:val="1"/>
          <w:sz w:val="22"/>
        </w:rPr>
        <w:tab/>
        <w:t>129</w:t>
      </w:r>
    </w:p>
    <w:p>
      <w:pPr>
        <w:pStyle w:val="ListParagraph"/>
        <w:numPr>
          <w:ilvl w:val="1"/>
          <w:numId w:val="3"/>
        </w:numPr>
        <w:tabs>
          <w:tab w:pos="1252" w:val="left" w:leader="none"/>
          <w:tab w:pos="9524" w:val="right" w:leader="dot"/>
        </w:tabs>
        <w:spacing w:line="240" w:lineRule="auto" w:before="139" w:after="0"/>
        <w:ind w:left="1251" w:right="0" w:hanging="281"/>
        <w:jc w:val="left"/>
        <w:rPr>
          <w:rFonts w:ascii="Calibri"/>
          <w:b/>
          <w:sz w:val="22"/>
        </w:rPr>
      </w:pPr>
      <w:r>
        <w:rPr>
          <w:b/>
          <w:sz w:val="24"/>
        </w:rPr>
        <w:t>Cuestionario.</w:t>
      </w:r>
      <w:r>
        <w:rPr>
          <w:rFonts w:ascii="Calibri"/>
          <w:b/>
          <w:position w:val="1"/>
          <w:sz w:val="22"/>
        </w:rPr>
        <w:tab/>
        <w:t>129</w:t>
      </w:r>
    </w:p>
    <w:p>
      <w:pPr>
        <w:pStyle w:val="Heading4"/>
        <w:numPr>
          <w:ilvl w:val="1"/>
          <w:numId w:val="3"/>
        </w:numPr>
        <w:tabs>
          <w:tab w:pos="1252" w:val="left" w:leader="none"/>
        </w:tabs>
        <w:spacing w:line="274" w:lineRule="exact" w:before="233" w:after="0"/>
        <w:ind w:left="1251" w:right="0" w:hanging="281"/>
        <w:jc w:val="left"/>
      </w:pPr>
      <w:r>
        <w:rPr/>
        <w:t>Conteo individual de micronúcleos y alteraciones nucleares</w:t>
      </w:r>
      <w:r>
        <w:rPr>
          <w:spacing w:val="-16"/>
        </w:rPr>
        <w:t> </w:t>
      </w:r>
      <w:r>
        <w:rPr/>
        <w:t>de</w:t>
      </w:r>
    </w:p>
    <w:p>
      <w:pPr>
        <w:tabs>
          <w:tab w:pos="9524" w:val="right" w:leader="dot"/>
        </w:tabs>
        <w:spacing w:line="278" w:lineRule="exact" w:before="0"/>
        <w:ind w:left="1251" w:right="0" w:firstLine="0"/>
        <w:jc w:val="left"/>
        <w:rPr>
          <w:rFonts w:ascii="Calibri" w:hAnsi="Calibri"/>
          <w:b/>
          <w:sz w:val="22"/>
        </w:rPr>
      </w:pPr>
      <w:r>
        <w:rPr>
          <w:b/>
          <w:sz w:val="24"/>
        </w:rPr>
        <w:t>niños</w:t>
      </w:r>
      <w:r>
        <w:rPr>
          <w:b/>
          <w:spacing w:val="-1"/>
          <w:sz w:val="24"/>
        </w:rPr>
        <w:t> </w:t>
      </w:r>
      <w:r>
        <w:rPr>
          <w:b/>
          <w:sz w:val="24"/>
        </w:rPr>
        <w:t>expuestos</w:t>
      </w:r>
      <w:r>
        <w:rPr>
          <w:rFonts w:ascii="Calibri" w:hAnsi="Calibri"/>
          <w:b/>
          <w:position w:val="2"/>
          <w:sz w:val="22"/>
        </w:rPr>
        <w:tab/>
        <w:t>132</w:t>
      </w:r>
    </w:p>
    <w:p>
      <w:pPr>
        <w:pStyle w:val="Heading4"/>
        <w:numPr>
          <w:ilvl w:val="1"/>
          <w:numId w:val="3"/>
        </w:numPr>
        <w:tabs>
          <w:tab w:pos="1252" w:val="left" w:leader="none"/>
        </w:tabs>
        <w:spacing w:line="274" w:lineRule="exact" w:before="149" w:after="0"/>
        <w:ind w:left="1251" w:right="0" w:hanging="281"/>
        <w:jc w:val="left"/>
      </w:pPr>
      <w:r>
        <w:rPr/>
        <w:t>Conteo individual de micronúcleos y alteraciones nucleares</w:t>
      </w:r>
      <w:r>
        <w:rPr>
          <w:spacing w:val="-18"/>
        </w:rPr>
        <w:t> </w:t>
      </w:r>
      <w:r>
        <w:rPr/>
        <w:t>de</w:t>
      </w:r>
    </w:p>
    <w:p>
      <w:pPr>
        <w:pStyle w:val="Heading4"/>
        <w:tabs>
          <w:tab w:pos="9524" w:val="right" w:leader="dot"/>
        </w:tabs>
        <w:spacing w:line="278" w:lineRule="exact" w:before="0"/>
        <w:ind w:left="1251"/>
        <w:rPr>
          <w:rFonts w:ascii="Calibri" w:hAnsi="Calibri"/>
          <w:sz w:val="22"/>
        </w:rPr>
      </w:pPr>
      <w:r>
        <w:rPr/>
        <w:t>niños</w:t>
      </w:r>
      <w:r>
        <w:rPr>
          <w:spacing w:val="-1"/>
        </w:rPr>
        <w:t> </w:t>
      </w:r>
      <w:r>
        <w:rPr/>
        <w:t>no</w:t>
      </w:r>
      <w:r>
        <w:rPr>
          <w:spacing w:val="-1"/>
        </w:rPr>
        <w:t> </w:t>
      </w:r>
      <w:r>
        <w:rPr/>
        <w:t>expuestos</w:t>
      </w:r>
      <w:r>
        <w:rPr>
          <w:rFonts w:ascii="Calibri" w:hAnsi="Calibri"/>
          <w:position w:val="2"/>
          <w:sz w:val="22"/>
        </w:rPr>
        <w:tab/>
        <w:t>135</w:t>
      </w:r>
    </w:p>
    <w:p>
      <w:pPr>
        <w:pStyle w:val="Heading4"/>
        <w:numPr>
          <w:ilvl w:val="1"/>
          <w:numId w:val="3"/>
        </w:numPr>
        <w:tabs>
          <w:tab w:pos="1252" w:val="left" w:leader="none"/>
          <w:tab w:pos="9524" w:val="right" w:leader="dot"/>
        </w:tabs>
        <w:spacing w:line="240" w:lineRule="auto" w:before="158" w:after="0"/>
        <w:ind w:left="1251" w:right="0" w:hanging="281"/>
        <w:jc w:val="left"/>
        <w:rPr>
          <w:rFonts w:ascii="Calibri"/>
          <w:sz w:val="22"/>
        </w:rPr>
      </w:pPr>
      <w:r>
        <w:rPr/>
        <w:t>Presentaciones en foros:</w:t>
      </w:r>
      <w:r>
        <w:rPr>
          <w:spacing w:val="4"/>
        </w:rPr>
        <w:t> </w:t>
      </w:r>
      <w:r>
        <w:rPr/>
        <w:t>modalidad</w:t>
      </w:r>
      <w:r>
        <w:rPr>
          <w:spacing w:val="-4"/>
        </w:rPr>
        <w:t> </w:t>
      </w:r>
      <w:r>
        <w:rPr/>
        <w:t>cartel</w:t>
      </w:r>
      <w:r>
        <w:rPr>
          <w:rFonts w:ascii="Calibri"/>
          <w:position w:val="1"/>
          <w:sz w:val="22"/>
        </w:rPr>
        <w:tab/>
        <w:t>138</w:t>
      </w:r>
    </w:p>
    <w:p>
      <w:pPr>
        <w:pStyle w:val="ListParagraph"/>
        <w:numPr>
          <w:ilvl w:val="1"/>
          <w:numId w:val="3"/>
        </w:numPr>
        <w:tabs>
          <w:tab w:pos="1252" w:val="left" w:leader="none"/>
          <w:tab w:pos="9524" w:val="right" w:leader="dot"/>
        </w:tabs>
        <w:spacing w:line="240" w:lineRule="auto" w:before="137" w:after="0"/>
        <w:ind w:left="1251" w:right="0" w:hanging="281"/>
        <w:jc w:val="left"/>
        <w:rPr>
          <w:rFonts w:ascii="Calibri"/>
          <w:b/>
          <w:sz w:val="22"/>
        </w:rPr>
      </w:pPr>
      <w:r>
        <w:rPr>
          <w:b/>
          <w:sz w:val="24"/>
        </w:rPr>
        <w:t>Premios</w:t>
      </w:r>
      <w:r>
        <w:rPr>
          <w:rFonts w:ascii="Calibri"/>
          <w:b/>
          <w:position w:val="1"/>
          <w:sz w:val="22"/>
        </w:rPr>
        <w:tab/>
        <w:t>141</w:t>
      </w:r>
    </w:p>
    <w:p>
      <w:pPr>
        <w:spacing w:after="0" w:line="240" w:lineRule="auto"/>
        <w:jc w:val="left"/>
        <w:rPr>
          <w:rFonts w:ascii="Calibri"/>
          <w:sz w:val="22"/>
        </w:rPr>
        <w:sectPr>
          <w:pgSz w:w="12240" w:h="15840"/>
          <w:pgMar w:top="1500" w:bottom="280" w:left="1300" w:right="1300"/>
        </w:sectPr>
      </w:pPr>
    </w:p>
    <w:p>
      <w:pPr>
        <w:pStyle w:val="BodyText"/>
        <w:spacing w:before="4"/>
        <w:rPr>
          <w:rFonts w:ascii="Times New Roman"/>
          <w:sz w:val="17"/>
        </w:rPr>
      </w:pPr>
      <w:r>
        <w:rPr/>
        <w:pict>
          <v:group style="position:absolute;margin-left:1.56pt;margin-top:182.160004pt;width:610.450pt;height:372.6pt;mso-position-horizontal-relative:page;mso-position-vertical-relative:page;z-index:1072" coordorigin="31,3643" coordsize="12209,7452">
            <v:shape style="position:absolute;left:31;top:3643;width:12209;height:7452" type="#_x0000_t75" stroked="false">
              <v:imagedata r:id="rId7" o:title=""/>
            </v:shape>
            <v:shapetype id="_x0000_t202" o:spt="202" coordsize="21600,21600" path="m,l,21600r21600,l21600,xe">
              <v:stroke joinstyle="miter"/>
              <v:path gradientshapeok="t" o:connecttype="rect"/>
            </v:shapetype>
            <v:shape style="position:absolute;left:6665;top:5105;width:5482;height:620" type="#_x0000_t202" filled="false" stroked="false">
              <v:textbox inset="0,0,0,0">
                <w:txbxContent>
                  <w:p>
                    <w:pPr>
                      <w:spacing w:line="619" w:lineRule="exact" w:before="0"/>
                      <w:ind w:left="0" w:right="0" w:firstLine="0"/>
                      <w:jc w:val="left"/>
                      <w:rPr>
                        <w:sz w:val="62"/>
                      </w:rPr>
                    </w:pPr>
                    <w:r>
                      <w:rPr>
                        <w:color w:val="0EA09E"/>
                        <w:w w:val="89"/>
                        <w:sz w:val="62"/>
                        <w:shd w:fill="FFFFFF" w:color="auto" w:val="clear"/>
                      </w:rPr>
                      <w:t> </w:t>
                    </w:r>
                    <w:r>
                      <w:rPr>
                        <w:color w:val="0EA09E"/>
                        <w:w w:val="110"/>
                        <w:sz w:val="62"/>
                        <w:shd w:fill="FFFFFF" w:color="auto" w:val="clear"/>
                      </w:rPr>
                      <w:t>INTRODUCCIÓN</w:t>
                    </w:r>
                  </w:p>
                </w:txbxContent>
              </v:textbox>
              <w10:wrap type="none"/>
            </v:shape>
            <w10:wrap type="none"/>
          </v:group>
        </w:pict>
      </w:r>
    </w:p>
    <w:p>
      <w:pPr>
        <w:spacing w:after="0"/>
        <w:rPr>
          <w:rFonts w:ascii="Times New Roman"/>
          <w:sz w:val="17"/>
        </w:rPr>
        <w:sectPr>
          <w:pgSz w:w="12240" w:h="15840"/>
          <w:pgMar w:top="1500" w:bottom="280" w:left="0" w:right="0"/>
        </w:sectPr>
      </w:pPr>
    </w:p>
    <w:p>
      <w:pPr>
        <w:pStyle w:val="BodyText"/>
        <w:spacing w:before="4"/>
        <w:rPr>
          <w:rFonts w:ascii="Times New Roman"/>
          <w:sz w:val="11"/>
        </w:rPr>
      </w:pPr>
    </w:p>
    <w:p>
      <w:pPr>
        <w:pStyle w:val="Heading4"/>
        <w:numPr>
          <w:ilvl w:val="2"/>
          <w:numId w:val="3"/>
        </w:numPr>
        <w:tabs>
          <w:tab w:pos="1986" w:val="left" w:leader="none"/>
        </w:tabs>
        <w:spacing w:line="240" w:lineRule="auto" w:before="69" w:after="0"/>
        <w:ind w:left="1418" w:right="0" w:firstLine="0"/>
        <w:jc w:val="both"/>
      </w:pPr>
      <w:r>
        <w:rPr/>
        <w:t>INTRODUCCIÓN</w:t>
      </w:r>
    </w:p>
    <w:p>
      <w:pPr>
        <w:pStyle w:val="BodyText"/>
        <w:rPr>
          <w:b/>
        </w:rPr>
      </w:pPr>
    </w:p>
    <w:p>
      <w:pPr>
        <w:pStyle w:val="BodyText"/>
        <w:rPr>
          <w:b/>
        </w:rPr>
      </w:pPr>
    </w:p>
    <w:p>
      <w:pPr>
        <w:pStyle w:val="BodyText"/>
        <w:spacing w:before="7"/>
        <w:rPr>
          <w:b/>
          <w:sz w:val="34"/>
        </w:rPr>
      </w:pPr>
    </w:p>
    <w:p>
      <w:pPr>
        <w:pStyle w:val="BodyText"/>
        <w:spacing w:line="360" w:lineRule="auto"/>
        <w:ind w:left="1418" w:right="1696"/>
        <w:jc w:val="both"/>
      </w:pPr>
      <w:r>
        <w:rPr/>
        <w:t>La floricultura es un cultivo permanente y de cosecha diaria, en su conjunto, representa una alternativa económica importante. En México, el valor de la producción de flores aumentó en el periodo 2000 a 2011 y se considera al Estado de México como el principal productor nacional, aquí se destaca el municipio de Villa Guerrero por la producción de la cantidad y variedad de flores</w:t>
      </w:r>
      <w:r>
        <w:rPr>
          <w:position w:val="8"/>
          <w:sz w:val="16"/>
        </w:rPr>
        <w:t>1</w:t>
      </w:r>
      <w:r>
        <w:rPr/>
        <w:t>.</w:t>
      </w:r>
    </w:p>
    <w:p>
      <w:pPr>
        <w:pStyle w:val="BodyText"/>
        <w:spacing w:line="360" w:lineRule="auto" w:before="201"/>
        <w:ind w:left="1418" w:right="1702"/>
        <w:jc w:val="both"/>
      </w:pPr>
      <w:r>
        <w:rPr/>
        <w:t>Las flores son atacadas fácilmente por diversas plagas, para ser económicamente rentables, su cultivo requiere de grandes cantidades de plaguicidas, de la aplicación de fertilizantes, conservantes químicos y de la colocación de plásticos para cubrir los invernaderos</w:t>
      </w:r>
      <w:r>
        <w:rPr>
          <w:position w:val="8"/>
          <w:sz w:val="16"/>
        </w:rPr>
        <w:t>1</w:t>
      </w:r>
      <w:r>
        <w:rPr/>
        <w:t>. Además, como no se consumen como alimentos, el control del uso de plaguicidas tiene menos limitaciones en lo referente a niveles de residuos de plaguicidas. Por su parte, específicamente en la comunidad de San José de este municipio, la mayoría de los invernaderos se encuentran a máximo 100 metros de distancia de los hogares, escuelas y centro de salud, por esta razón los floricultores constituyen una población potencialmente expuesta, que entre los factores ocupacionales desempeñadas en el trabajo, el </w:t>
      </w:r>
      <w:r>
        <w:rPr>
          <w:spacing w:val="2"/>
        </w:rPr>
        <w:t>uso </w:t>
      </w:r>
      <w:r>
        <w:rPr/>
        <w:t>de equipo de protección y el lugar donde se desarrolla el trabajo (aire libre o invernadero), pueden acarrear una menor  o mayor exposición a estos</w:t>
      </w:r>
      <w:r>
        <w:rPr>
          <w:spacing w:val="-7"/>
        </w:rPr>
        <w:t> </w:t>
      </w:r>
      <w:r>
        <w:rPr/>
        <w:t>químicos</w:t>
      </w:r>
      <w:r>
        <w:rPr>
          <w:position w:val="8"/>
          <w:sz w:val="16"/>
        </w:rPr>
        <w:t>2</w:t>
      </w:r>
      <w:r>
        <w:rPr/>
        <w:t>.</w:t>
      </w:r>
    </w:p>
    <w:p>
      <w:pPr>
        <w:pStyle w:val="BodyText"/>
        <w:spacing w:line="360" w:lineRule="auto" w:before="200"/>
        <w:ind w:left="1418" w:right="1703"/>
        <w:jc w:val="both"/>
      </w:pPr>
      <w:r>
        <w:rPr/>
        <w:t>Está bien documentado que los efectos de la exposición prolongada a dosis bajas de plaguicidas son difíciles de evaluar, ya que los signos y síntomas asociados pueden no manifestarse clínicamente</w:t>
      </w:r>
      <w:r>
        <w:rPr>
          <w:position w:val="8"/>
          <w:sz w:val="16"/>
        </w:rPr>
        <w:t>3</w:t>
      </w:r>
      <w:r>
        <w:rPr/>
        <w:t>. Los niños que viven en entornos agrícolas son sometidos a una gran variedad de eventos que pueden conducir a la posibilidad de exposición acumulativa y multi-vía, tal es el caso de la presencia de residuos de plaguicidas de la ropa y zapatos de los trabajadores agrícolas después de la realización de tareas de campo.</w:t>
      </w:r>
    </w:p>
    <w:p>
      <w:pPr>
        <w:pStyle w:val="BodyText"/>
        <w:spacing w:line="360" w:lineRule="auto" w:before="204"/>
        <w:ind w:left="1418" w:right="1705"/>
        <w:jc w:val="both"/>
      </w:pPr>
      <w:r>
        <w:rPr/>
        <w:t>En comparación con los adultos, los niños son especialmente vulnerables a los efectos   adversos   de  los   plaguicidas   en  el  ambiente,  debido   a  su   constante</w:t>
      </w:r>
    </w:p>
    <w:p>
      <w:pPr>
        <w:spacing w:after="0" w:line="360" w:lineRule="auto"/>
        <w:jc w:val="both"/>
        <w:sectPr>
          <w:footerReference w:type="default" r:id="rId8"/>
          <w:pgSz w:w="12240" w:h="15840"/>
          <w:pgMar w:footer="599" w:header="0" w:top="1500" w:bottom="780" w:left="0" w:right="0"/>
          <w:pgNumType w:start="1"/>
        </w:sectPr>
      </w:pPr>
    </w:p>
    <w:p>
      <w:pPr>
        <w:pStyle w:val="BodyText"/>
        <w:spacing w:before="4"/>
        <w:rPr>
          <w:sz w:val="11"/>
        </w:rPr>
      </w:pPr>
    </w:p>
    <w:p>
      <w:pPr>
        <w:pStyle w:val="BodyText"/>
        <w:spacing w:line="355" w:lineRule="auto" w:before="69"/>
        <w:ind w:left="1418" w:right="1706"/>
        <w:jc w:val="both"/>
      </w:pPr>
      <w:r>
        <w:rPr/>
        <w:t>crecimiento y alta demanda energética, a su falta de madurez física, cognitiva y fisiológica</w:t>
      </w:r>
      <w:r>
        <w:rPr>
          <w:position w:val="8"/>
          <w:sz w:val="16"/>
        </w:rPr>
        <w:t>4</w:t>
      </w:r>
      <w:r>
        <w:rPr/>
        <w:t>.</w:t>
      </w:r>
    </w:p>
    <w:p>
      <w:pPr>
        <w:pStyle w:val="BodyText"/>
        <w:spacing w:line="357" w:lineRule="auto" w:before="206"/>
        <w:ind w:left="1418" w:right="1707"/>
        <w:jc w:val="both"/>
      </w:pPr>
      <w:r>
        <w:rPr/>
        <w:t>Por otra parte, se debe considerar que en la preparación de los plaguicidas se  utilizan diferentes formulaciones en las que se incluyen, compuestos genotóxicos y a menudo de manera simultánea en mezclas</w:t>
      </w:r>
      <w:r>
        <w:rPr>
          <w:spacing w:val="-15"/>
        </w:rPr>
        <w:t> </w:t>
      </w:r>
      <w:r>
        <w:rPr/>
        <w:t>complejas</w:t>
      </w:r>
      <w:r>
        <w:rPr>
          <w:position w:val="8"/>
          <w:sz w:val="16"/>
        </w:rPr>
        <w:t>5</w:t>
      </w:r>
      <w:r>
        <w:rPr/>
        <w:t>.</w:t>
      </w:r>
    </w:p>
    <w:p>
      <w:pPr>
        <w:pStyle w:val="BodyText"/>
        <w:spacing w:line="357" w:lineRule="auto" w:before="203"/>
        <w:ind w:left="1418" w:right="1697"/>
        <w:jc w:val="both"/>
      </w:pPr>
      <w:r>
        <w:rPr/>
        <w:t>Los agentes genotóxicos tienen el potencial de interactuar y dañar el ADN, también pueden ser iniciadores de cáncer, inducir o acelerar enfermedades crónicas, degenerativas, así como el aumento de malformaciones congénitas</w:t>
      </w:r>
      <w:r>
        <w:rPr>
          <w:position w:val="8"/>
          <w:sz w:val="16"/>
        </w:rPr>
        <w:t>6, 7</w:t>
      </w:r>
      <w:r>
        <w:rPr/>
        <w:t>.</w:t>
      </w:r>
    </w:p>
    <w:p>
      <w:pPr>
        <w:pStyle w:val="BodyText"/>
        <w:spacing w:line="357" w:lineRule="auto" w:before="203"/>
        <w:ind w:left="1418" w:right="1700"/>
        <w:jc w:val="both"/>
      </w:pPr>
      <w:r>
        <w:rPr/>
        <w:t>De acuerdo con este contexto, el monitoreo biológico en poblaciones expuestas es una herramienta de gran interés que permite estimar el riesgo genético resultante de la exposición ambiental a las sustancias químicas</w:t>
      </w:r>
      <w:r>
        <w:rPr>
          <w:position w:val="8"/>
          <w:sz w:val="16"/>
        </w:rPr>
        <w:t>8</w:t>
      </w:r>
      <w:r>
        <w:rPr/>
        <w:t>. Ante este panorama, la técnica  de micronúcleos (MN) y anormalidades nucleares (AN) en mucosa bucal, consiste en observar al microscopio la morfología de las células epiteliales superficiales y permite medir el daño genético a través de la proliferación, la diferenciación y muerte celular en células bucales exfoliadas. La prueba es rápida, sencilla, económica, mínimamente invasiva, relativamente indolora y bien aceptada por los</w:t>
      </w:r>
      <w:r>
        <w:rPr>
          <w:spacing w:val="-19"/>
        </w:rPr>
        <w:t> </w:t>
      </w:r>
      <w:r>
        <w:rPr/>
        <w:t>pacientes</w:t>
      </w:r>
      <w:r>
        <w:rPr>
          <w:position w:val="8"/>
          <w:sz w:val="16"/>
        </w:rPr>
        <w:t>9</w:t>
      </w:r>
      <w:r>
        <w:rPr/>
        <w:t>.</w:t>
      </w:r>
    </w:p>
    <w:p>
      <w:pPr>
        <w:pStyle w:val="BodyText"/>
        <w:spacing w:line="360" w:lineRule="auto" w:before="203"/>
        <w:ind w:left="1418" w:right="1699"/>
        <w:jc w:val="both"/>
      </w:pPr>
      <w:r>
        <w:rPr/>
        <w:t>Los MN son fragmentos acéntricos (fragmentos de cromosomas que carecen de un centrómero) o cromosomas enteros que no son capaces de migrar con el resto de los cromosomas durante la anafase del ciclo celular</w:t>
      </w:r>
      <w:r>
        <w:rPr>
          <w:position w:val="8"/>
          <w:sz w:val="16"/>
        </w:rPr>
        <w:t>10</w:t>
      </w:r>
      <w:r>
        <w:rPr/>
        <w:t>. Además de los MN en células exfoliadas Torres-Bugarin </w:t>
      </w:r>
      <w:r>
        <w:rPr>
          <w:i/>
        </w:rPr>
        <w:t>et al</w:t>
      </w:r>
      <w:r>
        <w:rPr/>
        <w:t>. (2013) describen otras AN, las que además de ser fenómenos que podrían ocurrir en procesos normales de diferenciación celular, son indicadores de daño al ADN, citotoxicidad y muerte celular, entre ellas se encuentran la cromatina condensada (CC), cariorrexis (CR), picnosis (PC), cariolisis (CL), núcleo lobulado también llamado prolongación nuclear, “budcell” o “broken eggs” (NL, BE) y la presencia de células con dos núcleos, llamadas células binucleadas (BN)</w:t>
      </w:r>
      <w:r>
        <w:rPr>
          <w:position w:val="8"/>
          <w:sz w:val="16"/>
        </w:rPr>
        <w:t>11, 12, 13</w:t>
      </w:r>
      <w:r>
        <w:rPr/>
        <w:t>.</w:t>
      </w:r>
    </w:p>
    <w:p>
      <w:pPr>
        <w:pStyle w:val="BodyText"/>
        <w:spacing w:line="360" w:lineRule="auto" w:before="200"/>
        <w:ind w:left="1418" w:right="1701"/>
        <w:jc w:val="both"/>
      </w:pPr>
      <w:r>
        <w:rPr/>
        <w:t>Se llevó a cabo un estudio transversal, analítico y comparativo. Se evaluaron 126 niños de ambos sexos de 6 a 12 años de edad; 63 niños pertenecían a la escuela primaria “Ciencia y Trabajo” (rodeada por invernaderos a no más de 100 metros de</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60" w:lineRule="auto" w:before="69"/>
        <w:ind w:left="1418" w:right="1698"/>
        <w:jc w:val="both"/>
      </w:pPr>
      <w:r>
        <w:rPr/>
        <w:t>distancia) de la comunidad de San José Villa Guerrero, cuya principal actividad económica es la floricultura (población expuesta a plaguicidas) y 63 niños de la escuela primaria “Axayácatl” del municipio de Mexicaltzingo (población no expuesta).</w:t>
      </w:r>
    </w:p>
    <w:p>
      <w:pPr>
        <w:pStyle w:val="BodyText"/>
        <w:spacing w:line="360" w:lineRule="auto" w:before="204"/>
        <w:ind w:left="1418" w:right="1698"/>
        <w:jc w:val="both"/>
      </w:pPr>
      <w:r>
        <w:rPr/>
        <w:t>Los padres de los niños firmaron el consentimiento informado y los niños dieron su asentimiento mediante su huella digital, posteriormente se tomaron frotis de la mucosa bucal, se tiñeron con naranja de acridina y fueron observados en un microscopio equipado con inmunofluorescencia. Se evaluaron 1000 células por laminilla.</w:t>
      </w:r>
    </w:p>
    <w:p>
      <w:pPr>
        <w:pStyle w:val="BodyText"/>
        <w:spacing w:line="360" w:lineRule="auto" w:before="205"/>
        <w:ind w:left="1418" w:right="1705"/>
        <w:jc w:val="both"/>
      </w:pPr>
      <w:r>
        <w:rPr/>
        <w:t>En la población infantil potencialmente expuesta a plaguicidas, se observó diferencia significativa de CB (p=0.002) con relación a los controles, en tanto que en el grupo control prevalecieron las células con CR (p=0.006) en comparación con grupo expuesto. Los valores de MN en los niños expuestos y no expuestos se encontraron dentro de parámetros normales.</w:t>
      </w:r>
    </w:p>
    <w:p>
      <w:pPr>
        <w:pStyle w:val="BodyText"/>
        <w:spacing w:line="360" w:lineRule="auto" w:before="204"/>
        <w:ind w:left="1418" w:right="1699"/>
        <w:jc w:val="both"/>
      </w:pPr>
      <w:r>
        <w:rPr/>
        <w:t>Por lo tanto, el hallazgo de AN en el grupo expuesto sugiere daño genotóxico por exposición a plaguicidas, debido a la continua exposición de </w:t>
      </w:r>
      <w:r>
        <w:rPr>
          <w:spacing w:val="2"/>
        </w:rPr>
        <w:t>los </w:t>
      </w:r>
      <w:r>
        <w:rPr/>
        <w:t>niños que trabajan en los invernaderos, a la exposición indirecta y la falta de medidas de</w:t>
      </w:r>
      <w:r>
        <w:rPr>
          <w:spacing w:val="-27"/>
        </w:rPr>
        <w:t> </w:t>
      </w:r>
      <w:r>
        <w:rPr/>
        <w:t>protección.</w:t>
      </w:r>
    </w:p>
    <w:p>
      <w:pPr>
        <w:spacing w:after="0" w:line="360" w:lineRule="auto"/>
        <w:jc w:val="both"/>
        <w:sectPr>
          <w:pgSz w:w="12240" w:h="15840"/>
          <w:pgMar w:header="0" w:footer="599" w:top="1500" w:bottom="780" w:left="0" w:right="0"/>
        </w:sectPr>
      </w:pPr>
    </w:p>
    <w:p>
      <w:pPr>
        <w:pStyle w:val="BodyText"/>
        <w:spacing w:before="4"/>
        <w:rPr>
          <w:rFonts w:ascii="Times New Roman"/>
          <w:sz w:val="17"/>
        </w:rPr>
      </w:pPr>
      <w:r>
        <w:rPr/>
        <w:pict>
          <v:group style="position:absolute;margin-left:1.56pt;margin-top:182.039993pt;width:610.450pt;height:372.75pt;mso-position-horizontal-relative:page;mso-position-vertical-relative:page;z-index:1120" coordorigin="31,3641" coordsize="12209,7455">
            <v:shape style="position:absolute;left:31;top:3641;width:12209;height:7454" type="#_x0000_t75" stroked="false">
              <v:imagedata r:id="rId10" o:title=""/>
            </v:shape>
            <v:shape style="position:absolute;left:6373;top:4916;width:5815;height:847" coordorigin="6373,4916" coordsize="5815,847" path="m12082,4916l6479,4916,6438,4924,6404,4947,6381,4981,6373,5022,6373,5657,6381,5698,6404,5732,6438,5755,6479,5763,12082,5763,12123,5755,12157,5732,12180,5698,12188,5657,12188,5022,12180,4981,12157,4947,12123,4924,12082,4916xe" filled="true" fillcolor="#ffffff" stroked="false">
              <v:path arrowok="t"/>
              <v:fill type="solid"/>
            </v:shape>
            <v:shape style="position:absolute;left:6544;top:5090;width:5466;height:620" type="#_x0000_t202" filled="false" stroked="false">
              <v:textbox inset="0,0,0,0">
                <w:txbxContent>
                  <w:p>
                    <w:pPr>
                      <w:spacing w:line="619" w:lineRule="exact" w:before="0"/>
                      <w:ind w:left="0" w:right="0" w:firstLine="0"/>
                      <w:jc w:val="left"/>
                      <w:rPr>
                        <w:sz w:val="62"/>
                      </w:rPr>
                    </w:pPr>
                    <w:r>
                      <w:rPr>
                        <w:color w:val="0EA09E"/>
                        <w:w w:val="105"/>
                        <w:sz w:val="62"/>
                      </w:rPr>
                      <w:t>ANTECEDENTES</w:t>
                    </w:r>
                  </w:p>
                </w:txbxContent>
              </v:textbox>
              <w10:wrap type="none"/>
            </v:shape>
            <w10:wrap type="none"/>
          </v:group>
        </w:pict>
      </w:r>
    </w:p>
    <w:p>
      <w:pPr>
        <w:spacing w:after="0"/>
        <w:rPr>
          <w:rFonts w:ascii="Times New Roman"/>
          <w:sz w:val="17"/>
        </w:rPr>
        <w:sectPr>
          <w:footerReference w:type="default" r:id="rId9"/>
          <w:pgSz w:w="12240" w:h="15840"/>
          <w:pgMar w:footer="0" w:header="0" w:top="1500" w:bottom="280" w:left="0" w:right="0"/>
        </w:sectPr>
      </w:pPr>
    </w:p>
    <w:p>
      <w:pPr>
        <w:pStyle w:val="BodyText"/>
        <w:spacing w:before="4"/>
        <w:rPr>
          <w:rFonts w:ascii="Times New Roman"/>
          <w:sz w:val="11"/>
        </w:rPr>
      </w:pPr>
    </w:p>
    <w:p>
      <w:pPr>
        <w:pStyle w:val="Heading4"/>
        <w:numPr>
          <w:ilvl w:val="2"/>
          <w:numId w:val="3"/>
        </w:numPr>
        <w:tabs>
          <w:tab w:pos="1986" w:val="left" w:leader="none"/>
        </w:tabs>
        <w:spacing w:line="240" w:lineRule="auto" w:before="69" w:after="0"/>
        <w:ind w:left="1985" w:right="0" w:hanging="567"/>
        <w:jc w:val="both"/>
      </w:pPr>
      <w:r>
        <w:rPr/>
        <w:t>ANTECEDENTES</w:t>
      </w:r>
    </w:p>
    <w:p>
      <w:pPr>
        <w:pStyle w:val="BodyText"/>
        <w:rPr>
          <w:b/>
        </w:rPr>
      </w:pPr>
    </w:p>
    <w:p>
      <w:pPr>
        <w:pStyle w:val="BodyText"/>
        <w:rPr>
          <w:b/>
        </w:rPr>
      </w:pPr>
    </w:p>
    <w:p>
      <w:pPr>
        <w:pStyle w:val="BodyText"/>
        <w:spacing w:before="10"/>
        <w:rPr>
          <w:b/>
          <w:sz w:val="20"/>
        </w:rPr>
      </w:pPr>
    </w:p>
    <w:p>
      <w:pPr>
        <w:pStyle w:val="BodyText"/>
        <w:spacing w:line="357" w:lineRule="auto"/>
        <w:ind w:left="1418" w:right="1699"/>
        <w:jc w:val="both"/>
      </w:pPr>
      <w:r>
        <w:rPr/>
        <w:t>Existen múltiples vías por las que los seres humanos se encuentran expuestos a plaguicidas (vías dérmica, inhalatoria y oral), que producen efectos dañinos a  la salud a mediano y largo plazo</w:t>
      </w:r>
      <w:r>
        <w:rPr>
          <w:position w:val="8"/>
          <w:sz w:val="16"/>
        </w:rPr>
        <w:t>14</w:t>
      </w:r>
      <w:r>
        <w:rPr/>
        <w:t>.</w:t>
      </w:r>
    </w:p>
    <w:p>
      <w:pPr>
        <w:pStyle w:val="BodyText"/>
        <w:spacing w:before="2"/>
        <w:rPr>
          <w:sz w:val="36"/>
        </w:rPr>
      </w:pPr>
    </w:p>
    <w:p>
      <w:pPr>
        <w:pStyle w:val="BodyText"/>
        <w:spacing w:line="360" w:lineRule="auto" w:before="1"/>
        <w:ind w:left="1418" w:right="1695"/>
        <w:jc w:val="both"/>
      </w:pPr>
      <w:r>
        <w:rPr/>
        <w:t>Se ha referido la importancia de evaluar el potencial genotóxico de los plaguicidas, debido a que existen suficientes evidencias experimentales y epidemiológicas que demuestran que el daño genético produce mutaciones y que el proceso cancerígeno se inicia y se favorece por la presencia de mutaciones en los oncogenes, en genes supresores de tumores y en los que codifican para los sistemas de reparación del ADN</w:t>
      </w:r>
      <w:r>
        <w:rPr>
          <w:position w:val="8"/>
          <w:sz w:val="16"/>
        </w:rPr>
        <w:t>15</w:t>
      </w:r>
      <w:r>
        <w:rPr/>
        <w:t>, por ello es necesario evaluar la exposición a sustancias tóxicas, mediante el biomonitoreo humano (HBM, por sus siglas en inglés), para identificar población en riesgo de exposición</w:t>
      </w:r>
      <w:r>
        <w:rPr>
          <w:position w:val="8"/>
          <w:sz w:val="16"/>
        </w:rPr>
        <w:t>16</w:t>
      </w:r>
      <w:r>
        <w:rPr/>
        <w:t>.</w:t>
      </w:r>
    </w:p>
    <w:p>
      <w:pPr>
        <w:pStyle w:val="BodyText"/>
        <w:rPr>
          <w:sz w:val="36"/>
        </w:rPr>
      </w:pPr>
    </w:p>
    <w:p>
      <w:pPr>
        <w:pStyle w:val="BodyText"/>
        <w:spacing w:line="357" w:lineRule="auto"/>
        <w:ind w:left="1418" w:right="1696"/>
        <w:jc w:val="both"/>
      </w:pPr>
      <w:r>
        <w:rPr/>
        <w:t>Entre los biomarcadores que se utilizan para detectar daño genotóxico está el  ensayo de MN, que en los últimos años el número de estudios que emplean este análisis ha crecido significativamente debido a su accesibilidad, eficiencia y costo</w:t>
      </w:r>
      <w:r>
        <w:rPr>
          <w:position w:val="8"/>
          <w:sz w:val="16"/>
        </w:rPr>
        <w:t>17, 18</w:t>
      </w:r>
      <w:r>
        <w:rPr/>
        <w:t>, la mayoría de ensayos de MN se realizan en linfocitos, pero últimamente también se utilizan células exfoliadas de la cavidad bucal</w:t>
      </w:r>
      <w:r>
        <w:rPr>
          <w:position w:val="8"/>
          <w:sz w:val="16"/>
        </w:rPr>
        <w:t>19,</w:t>
      </w:r>
      <w:r>
        <w:rPr>
          <w:spacing w:val="-14"/>
          <w:position w:val="8"/>
          <w:sz w:val="16"/>
        </w:rPr>
        <w:t> </w:t>
      </w:r>
      <w:r>
        <w:rPr>
          <w:position w:val="8"/>
          <w:sz w:val="16"/>
        </w:rPr>
        <w:t>20</w:t>
      </w:r>
      <w:r>
        <w:rPr/>
        <w:t>.</w:t>
      </w:r>
    </w:p>
    <w:p>
      <w:pPr>
        <w:pStyle w:val="BodyText"/>
        <w:spacing w:before="2"/>
        <w:rPr>
          <w:sz w:val="36"/>
        </w:rPr>
      </w:pPr>
    </w:p>
    <w:p>
      <w:pPr>
        <w:pStyle w:val="BodyText"/>
        <w:spacing w:line="355" w:lineRule="auto" w:before="1"/>
        <w:ind w:left="1418" w:right="1705"/>
        <w:jc w:val="both"/>
      </w:pPr>
      <w:r>
        <w:rPr/>
        <w:t>Además, de observar MN en las células exfoliadas también es posible evaluar la frecuencia de algunas AN como NL, BN, PC, CC, CR y CL</w:t>
      </w:r>
      <w:r>
        <w:rPr>
          <w:position w:val="8"/>
          <w:sz w:val="16"/>
        </w:rPr>
        <w:t>21</w:t>
      </w:r>
      <w:r>
        <w:rPr/>
        <w:t>.</w:t>
      </w:r>
    </w:p>
    <w:p>
      <w:pPr>
        <w:pStyle w:val="BodyText"/>
        <w:spacing w:before="3"/>
        <w:rPr>
          <w:sz w:val="36"/>
        </w:rPr>
      </w:pPr>
    </w:p>
    <w:p>
      <w:pPr>
        <w:pStyle w:val="BodyText"/>
        <w:spacing w:line="360" w:lineRule="auto" w:before="1"/>
        <w:ind w:left="1418" w:right="1701"/>
        <w:jc w:val="both"/>
      </w:pPr>
      <w:r>
        <w:rPr/>
        <w:t>Holland </w:t>
      </w:r>
      <w:r>
        <w:rPr>
          <w:i/>
        </w:rPr>
        <w:t>et al</w:t>
      </w:r>
      <w:r>
        <w:rPr/>
        <w:t>. (2011) hacen referencia de la importancia de la población infantil expuesta a plaguicidas, debido a que los niños pueden tener mayor sensibilidad a los agentes genotóxicos en comparación con los adultos y daños genéticos que ocurren en edades tempranas ya que se encuentran en mayor riesgo de tener efectos adversos para su salud.</w:t>
      </w:r>
    </w:p>
    <w:p>
      <w:pPr>
        <w:spacing w:after="0" w:line="360" w:lineRule="auto"/>
        <w:jc w:val="both"/>
        <w:sectPr>
          <w:footerReference w:type="default" r:id="rId11"/>
          <w:pgSz w:w="12240" w:h="15840"/>
          <w:pgMar w:footer="599" w:header="0" w:top="1500" w:bottom="780" w:left="0" w:right="0"/>
          <w:pgNumType w:start="4"/>
        </w:sectPr>
      </w:pPr>
    </w:p>
    <w:p>
      <w:pPr>
        <w:pStyle w:val="BodyText"/>
        <w:spacing w:before="4"/>
        <w:rPr>
          <w:sz w:val="11"/>
        </w:rPr>
      </w:pPr>
    </w:p>
    <w:p>
      <w:pPr>
        <w:pStyle w:val="BodyText"/>
        <w:spacing w:line="360" w:lineRule="auto" w:before="69"/>
        <w:ind w:left="1418" w:right="1699"/>
        <w:jc w:val="both"/>
      </w:pPr>
      <w:r>
        <w:rPr/>
        <w:t>Los estudios que evalúan la presencia de células con MN y otras AN en mucosa bucal específicamente en niños expuestos son escasos, además difieren en características con los adultos como el grado de exposición, también el tipo o mezclas de plaguicidas que se emplean en los cultivos, así como la técnica de tinción y la evaluación de factores que pueden disminuir o aumentar la presencia de MN y AN.</w:t>
      </w:r>
    </w:p>
    <w:p>
      <w:pPr>
        <w:pStyle w:val="BodyText"/>
      </w:pPr>
    </w:p>
    <w:p>
      <w:pPr>
        <w:pStyle w:val="BodyText"/>
        <w:spacing w:line="360" w:lineRule="auto" w:before="139"/>
        <w:ind w:left="1418" w:right="1698"/>
        <w:jc w:val="both"/>
      </w:pPr>
      <w:r>
        <w:rPr/>
        <w:t>Benitez </w:t>
      </w:r>
      <w:r>
        <w:rPr>
          <w:i/>
        </w:rPr>
        <w:t>et al</w:t>
      </w:r>
      <w:r>
        <w:rPr/>
        <w:t>. (2010) determinaron la frecuencia de MN en células exfoliadas de la mucosa oral y la frecuencia de AN en niños expuestos potencialmente a plaguicidas en la población de Ñemby; las muestras se tiñeron con fuscina, los resultados muestran en el grupo expuesto promedio mayor de MN (p&lt;0,0001), CB (p&lt;0,0001), CR (p&lt;0,004) y PC (p&lt;0,03) en comparación con los niños no expuestos.</w:t>
      </w:r>
    </w:p>
    <w:p>
      <w:pPr>
        <w:pStyle w:val="BodyText"/>
      </w:pPr>
    </w:p>
    <w:p>
      <w:pPr>
        <w:pStyle w:val="BodyText"/>
        <w:spacing w:line="360" w:lineRule="auto" w:before="139"/>
        <w:ind w:left="1418" w:right="1697"/>
        <w:jc w:val="both"/>
      </w:pPr>
      <w:r>
        <w:rPr/>
        <w:t>Bernardi </w:t>
      </w:r>
      <w:r>
        <w:rPr>
          <w:i/>
        </w:rPr>
        <w:t>et al</w:t>
      </w:r>
      <w:r>
        <w:rPr/>
        <w:t>. (2015), determinaron la frecuencia de MN en células exfoliadas de la mucosa bucal en niños expuestos a plaguicidas en la provincia de Córdoba, Argentina, no mencionan la técnica de tinción, pero encontraron diferencias significativas de MN entre los niños expuestos (p&lt;0.05) respecto al grupo no expuesto.</w:t>
      </w:r>
    </w:p>
    <w:p>
      <w:pPr>
        <w:pStyle w:val="BodyText"/>
      </w:pPr>
    </w:p>
    <w:p>
      <w:pPr>
        <w:pStyle w:val="BodyText"/>
        <w:spacing w:line="360" w:lineRule="auto" w:before="142"/>
        <w:ind w:left="1418" w:right="1695"/>
        <w:jc w:val="both"/>
      </w:pPr>
      <w:r>
        <w:rPr/>
        <w:t>Por su parte los estudios realizados en adultos mediante el ensayo de MN en sangre y células exfoliadas son más numerosos, por ejemplo Coskun </w:t>
      </w:r>
      <w:r>
        <w:rPr>
          <w:i/>
        </w:rPr>
        <w:t>et al</w:t>
      </w:r>
      <w:r>
        <w:rPr/>
        <w:t>. (2011) determinaron la incidencia de MN, NL y CB en linfocitos de sangre periférica de 46 agricultores expuestos a plaguicidas en Çanakkale, Turquía, para ello las muestras se tiñeron con Giemsa y demostraron la asociación entre daño cromosómico y la exposición ocupacional</w:t>
      </w:r>
      <w:r>
        <w:rPr>
          <w:spacing w:val="-9"/>
        </w:rPr>
        <w:t> </w:t>
      </w:r>
      <w:r>
        <w:rPr/>
        <w:t>(p&lt;0.05).</w:t>
      </w:r>
    </w:p>
    <w:p>
      <w:pPr>
        <w:pStyle w:val="BodyText"/>
      </w:pPr>
    </w:p>
    <w:p>
      <w:pPr>
        <w:pStyle w:val="BodyText"/>
        <w:spacing w:line="360" w:lineRule="auto" w:before="142"/>
        <w:ind w:left="1418" w:right="1698"/>
        <w:jc w:val="both"/>
      </w:pPr>
      <w:r>
        <w:rPr/>
        <w:t>En Portugal se realizó un estudio de biomonitoreo citogenético en 33 trabajadores expuestos a los plaguicidas en el distrito de Porto, a través del ensayo de MN, las muestras fueron a través de sangre y los resultados obtenidos mostraron incremento significativo en la frecuencia de MN (p&lt;0.001), en las personas ocupacionalmente expuestas comparadas con el grupo control</w:t>
      </w:r>
      <w:r>
        <w:rPr>
          <w:position w:val="8"/>
          <w:sz w:val="16"/>
        </w:rPr>
        <w:t>25</w:t>
      </w:r>
      <w:r>
        <w:rPr/>
        <w:t>.</w:t>
      </w:r>
    </w:p>
    <w:p>
      <w:pPr>
        <w:spacing w:after="0" w:line="360" w:lineRule="auto"/>
        <w:jc w:val="both"/>
        <w:sectPr>
          <w:pgSz w:w="12240" w:h="15840"/>
          <w:pgMar w:header="0" w:footer="599" w:top="1500" w:bottom="780" w:left="0" w:right="0"/>
        </w:sectPr>
      </w:pPr>
    </w:p>
    <w:p>
      <w:pPr>
        <w:pStyle w:val="BodyText"/>
        <w:spacing w:before="1"/>
        <w:rPr>
          <w:sz w:val="11"/>
        </w:rPr>
      </w:pPr>
    </w:p>
    <w:p>
      <w:pPr>
        <w:pStyle w:val="BodyText"/>
        <w:spacing w:line="360" w:lineRule="auto" w:before="70"/>
        <w:ind w:left="1418" w:right="1697"/>
        <w:jc w:val="both"/>
      </w:pPr>
      <w:r>
        <w:rPr/>
        <w:t>Moura </w:t>
      </w:r>
      <w:r>
        <w:rPr>
          <w:i/>
        </w:rPr>
        <w:t>et al</w:t>
      </w:r>
      <w:r>
        <w:rPr/>
        <w:t>. (2009) utilizaron el análisis de MN en mucosa bucal, de agricultores brasileños de soya expuestos a plaguicidas, con la ayuda de la tinción Giemsa, mostraron que el número de células con MN en el grupo expuesto (3.55±2.13) fue significativamente mayor que en el grupo control (1.78±1.23).</w:t>
      </w:r>
    </w:p>
    <w:p>
      <w:pPr>
        <w:pStyle w:val="BodyText"/>
      </w:pPr>
    </w:p>
    <w:p>
      <w:pPr>
        <w:pStyle w:val="BodyText"/>
        <w:spacing w:line="360" w:lineRule="auto" w:before="142"/>
        <w:ind w:left="1418" w:right="1696"/>
        <w:jc w:val="both"/>
      </w:pPr>
      <w:r>
        <w:rPr/>
        <w:t>En México, hay pocos estudios de niños expuestos a plaguicidas que utilicen el ensayo de MN, en 2013, en Sinaloa en un grupo de niños que viven cerca de un área agrícola, expuestos a mezclas de plaguicidas se evaluó la frecuencia de MN en células exfoliadas bucales, utilizaron la tinción fuelgen, mostraron incremento significativo en la frecuencia de MN así como CB, NL, CR y CL (p&lt;0.0001) en comparación con el grupo control</w:t>
      </w:r>
      <w:r>
        <w:rPr>
          <w:position w:val="8"/>
          <w:sz w:val="16"/>
        </w:rPr>
        <w:t>27</w:t>
      </w:r>
      <w:r>
        <w:rPr/>
        <w:t>.</w:t>
      </w:r>
    </w:p>
    <w:p>
      <w:pPr>
        <w:spacing w:after="0" w:line="360" w:lineRule="auto"/>
        <w:jc w:val="both"/>
        <w:sectPr>
          <w:pgSz w:w="12240" w:h="15840"/>
          <w:pgMar w:header="0" w:footer="599" w:top="1500" w:bottom="780" w:left="0" w:right="0"/>
        </w:sectPr>
      </w:pPr>
    </w:p>
    <w:p>
      <w:pPr>
        <w:pStyle w:val="BodyText"/>
        <w:rPr>
          <w:sz w:val="20"/>
        </w:rPr>
      </w:pPr>
    </w:p>
    <w:p>
      <w:pPr>
        <w:pStyle w:val="Heading4"/>
        <w:numPr>
          <w:ilvl w:val="3"/>
          <w:numId w:val="3"/>
        </w:numPr>
        <w:tabs>
          <w:tab w:pos="2139" w:val="left" w:leader="none"/>
        </w:tabs>
        <w:spacing w:line="240" w:lineRule="auto" w:before="210" w:after="0"/>
        <w:ind w:left="2138" w:right="0" w:hanging="360"/>
        <w:jc w:val="left"/>
      </w:pPr>
      <w:r>
        <w:rPr/>
        <w:t>Definición e historia de los</w:t>
      </w:r>
      <w:r>
        <w:rPr>
          <w:spacing w:val="-7"/>
        </w:rPr>
        <w:t> </w:t>
      </w:r>
      <w:r>
        <w:rPr/>
        <w:t>plaguicidas</w:t>
      </w:r>
    </w:p>
    <w:p>
      <w:pPr>
        <w:pStyle w:val="BodyText"/>
        <w:rPr>
          <w:b/>
        </w:rPr>
      </w:pPr>
    </w:p>
    <w:p>
      <w:pPr>
        <w:pStyle w:val="BodyText"/>
        <w:rPr>
          <w:b/>
        </w:rPr>
      </w:pPr>
    </w:p>
    <w:p>
      <w:pPr>
        <w:pStyle w:val="BodyText"/>
        <w:spacing w:line="357" w:lineRule="auto"/>
        <w:ind w:left="1418" w:right="1698"/>
        <w:jc w:val="both"/>
      </w:pPr>
      <w:r>
        <w:rPr/>
        <w:t>Un plaguicida representa una amplia gama de productos químicos, naturales o sintéticos</w:t>
      </w:r>
      <w:r>
        <w:rPr>
          <w:position w:val="8"/>
          <w:sz w:val="16"/>
        </w:rPr>
        <w:t>28</w:t>
      </w:r>
      <w:r>
        <w:rPr/>
        <w:t>, con diversos grados de toxicidad</w:t>
      </w:r>
      <w:r>
        <w:rPr>
          <w:position w:val="8"/>
          <w:sz w:val="16"/>
        </w:rPr>
        <w:t>29</w:t>
      </w:r>
      <w:r>
        <w:rPr/>
        <w:t>, destinados a eliminar o controlar plagas que interfieran en la producción de cultivos y contribuir al control de vectores de diversas enfermedades</w:t>
      </w:r>
      <w:r>
        <w:rPr>
          <w:position w:val="8"/>
          <w:sz w:val="16"/>
        </w:rPr>
        <w:t>30</w:t>
      </w:r>
      <w:r>
        <w:rPr/>
        <w:t>, por su parte The Food and Agricultural Organization (FAO) en colaboración con the United Nations Environment Programme (UNEP) definen a los plaguicidas como productos químicos destinados a combatir los  ataques de las diferentes plagas y vectores en cultivos agrícolas, animales domésticos y seres</w:t>
      </w:r>
      <w:r>
        <w:rPr>
          <w:spacing w:val="-7"/>
        </w:rPr>
        <w:t> </w:t>
      </w:r>
      <w:r>
        <w:rPr/>
        <w:t>humanos</w:t>
      </w:r>
      <w:r>
        <w:rPr>
          <w:position w:val="8"/>
          <w:sz w:val="16"/>
        </w:rPr>
        <w:t>31</w:t>
      </w:r>
      <w:r>
        <w:rPr/>
        <w:t>.</w:t>
      </w:r>
    </w:p>
    <w:p>
      <w:pPr>
        <w:pStyle w:val="BodyText"/>
        <w:spacing w:before="2"/>
        <w:rPr>
          <w:sz w:val="36"/>
        </w:rPr>
      </w:pPr>
    </w:p>
    <w:p>
      <w:pPr>
        <w:pStyle w:val="BodyText"/>
        <w:spacing w:line="357" w:lineRule="auto" w:before="1"/>
        <w:ind w:left="1418" w:right="1699"/>
        <w:jc w:val="both"/>
      </w:pPr>
      <w:r>
        <w:rPr/>
        <w:t>Los plaguicidas se conocen desde la antigüedad, los primeros datos escritos que se tiene sobre su uso, datan del año 1550 a.C., como una serie de preparaciones para eliminar las moscas del interior de las viviendas</w:t>
      </w:r>
      <w:r>
        <w:rPr>
          <w:position w:val="8"/>
          <w:sz w:val="16"/>
        </w:rPr>
        <w:t>32, 33 </w:t>
      </w:r>
      <w:r>
        <w:rPr/>
        <w:t>pero es a partir del año 1800 que se inicia el desarrollo de los plaguicidas, combinando diferentes productos para combatir las plagas y surge la primera generación de químicos</w:t>
      </w:r>
      <w:r>
        <w:rPr>
          <w:position w:val="8"/>
          <w:sz w:val="16"/>
        </w:rPr>
        <w:t>31</w:t>
      </w:r>
      <w:r>
        <w:rPr/>
        <w:t>.</w:t>
      </w:r>
    </w:p>
    <w:p>
      <w:pPr>
        <w:pStyle w:val="BodyText"/>
        <w:spacing w:before="3"/>
        <w:rPr>
          <w:sz w:val="36"/>
        </w:rPr>
      </w:pPr>
    </w:p>
    <w:p>
      <w:pPr>
        <w:pStyle w:val="BodyText"/>
        <w:spacing w:line="357" w:lineRule="auto"/>
        <w:ind w:left="1418" w:right="1700"/>
        <w:jc w:val="both"/>
      </w:pPr>
      <w:r>
        <w:rPr/>
        <w:t>Entre 1930 y 1940, como resultado de la investigación orientada al desarrollo de armas químicas, aparece la segunda generación de plaguicidas a base de compuestos orgánicos sintéticos</w:t>
      </w:r>
      <w:r>
        <w:rPr>
          <w:position w:val="8"/>
          <w:sz w:val="16"/>
        </w:rPr>
        <w:t>34, 31</w:t>
      </w:r>
      <w:r>
        <w:rPr/>
        <w:t>, así el primer plaguicida orgánico sintético importante fue el Dicloro Difenil Tricloroetano (DDT), en 1874 fue sintetizado por Zeidler</w:t>
      </w:r>
      <w:r>
        <w:rPr>
          <w:position w:val="8"/>
          <w:sz w:val="16"/>
        </w:rPr>
        <w:t>35 </w:t>
      </w:r>
      <w:r>
        <w:rPr/>
        <w:t>y se utilizó por primera vez durante la segunda guerra mundial, en 1945 se comercializó en Estados Unidos de América. En esa misma década, Alemania comenzó a fabricar insecticidas organofosforados e investigadores ingleses descubrieron los carbamatos</w:t>
      </w:r>
      <w:r>
        <w:rPr>
          <w:position w:val="8"/>
          <w:sz w:val="16"/>
        </w:rPr>
        <w:t>34</w:t>
      </w:r>
      <w:r>
        <w:rPr/>
        <w:t>.</w:t>
      </w:r>
    </w:p>
    <w:p>
      <w:pPr>
        <w:pStyle w:val="BodyText"/>
        <w:spacing w:before="2"/>
        <w:rPr>
          <w:sz w:val="36"/>
        </w:rPr>
      </w:pPr>
    </w:p>
    <w:p>
      <w:pPr>
        <w:pStyle w:val="BodyText"/>
        <w:spacing w:line="360" w:lineRule="auto" w:before="1"/>
        <w:ind w:left="1418" w:right="1700"/>
        <w:jc w:val="both"/>
      </w:pPr>
      <w:r>
        <w:rPr/>
        <w:t>El uso de plaguicidas ha traído grandes beneficios, sin embargo, todos son biocidas, lo que implica que tengan elevada toxicidad, contienen ingredientes activos, pero también ingredientes contaminantes e ingredientes inactivos que son sustancias tóxicas.   Y   se   encuentran   en   diferentes   presentaciones:   sólidos   o     líquidos</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57" w:lineRule="auto" w:before="69"/>
        <w:ind w:left="1418" w:right="1696"/>
        <w:jc w:val="both"/>
      </w:pPr>
      <w:r>
        <w:rPr/>
        <w:t>concentrados; soluciones o emulsiones de agua o solventes orgánicos; aerosoles; gránulos; mezclas de arena; polvos y fumigantes, cuando no se utilizan adecuadamente alteran los mecanismos naturales de control biológico de plagas</w:t>
      </w:r>
      <w:r>
        <w:rPr>
          <w:position w:val="8"/>
          <w:sz w:val="16"/>
        </w:rPr>
        <w:t>36</w:t>
      </w:r>
      <w:r>
        <w:rPr/>
        <w:t>.</w:t>
      </w:r>
    </w:p>
    <w:p>
      <w:pPr>
        <w:pStyle w:val="BodyText"/>
        <w:spacing w:before="2"/>
        <w:rPr>
          <w:sz w:val="36"/>
        </w:rPr>
      </w:pPr>
    </w:p>
    <w:p>
      <w:pPr>
        <w:pStyle w:val="BodyText"/>
        <w:spacing w:line="360" w:lineRule="auto" w:before="1"/>
        <w:ind w:left="1418" w:right="1696"/>
        <w:jc w:val="both"/>
      </w:pPr>
      <w:r>
        <w:rPr/>
        <w:pict>
          <v:rect style="position:absolute;margin-left:470.980011pt;margin-top:82.951859pt;width:16.080000pt;height:13.824pt;mso-position-horizontal-relative:page;mso-position-vertical-relative:paragraph;z-index:-339808" filled="true" fillcolor="#f9f9f9" stroked="false">
            <v:fill type="solid"/>
            <w10:wrap type="none"/>
          </v:rect>
        </w:pict>
      </w:r>
      <w:r>
        <w:rPr/>
        <w:t>A partir de los años setenta, los gobiernos se centraron en la elaboración de instrumentos para evaluar los riesgos y determinar la seguridad de los productos químicos. En 1995, el Programa de las Naciones Unidas para el Medio Ambiente (PNUMA) decidió iniciar un proceso de evaluación de plaguicidas organofosforados y el Foro Intergubernamental sobre Seguridad Química (FISQ) elaboró recomendaciones para la adopción de medidas internacionales de los productos químicos, reducción de riesgos y gestión de residuos</w:t>
      </w:r>
      <w:r>
        <w:rPr>
          <w:position w:val="8"/>
          <w:sz w:val="16"/>
        </w:rPr>
        <w:t>33</w:t>
      </w:r>
      <w:r>
        <w:rPr/>
        <w:t>.</w:t>
      </w:r>
    </w:p>
    <w:p>
      <w:pPr>
        <w:pStyle w:val="BodyText"/>
        <w:rPr>
          <w:sz w:val="36"/>
        </w:rPr>
      </w:pPr>
    </w:p>
    <w:p>
      <w:pPr>
        <w:pStyle w:val="BodyText"/>
        <w:spacing w:line="357" w:lineRule="auto"/>
        <w:ind w:left="1418" w:right="1705"/>
        <w:jc w:val="both"/>
      </w:pPr>
      <w:r>
        <w:rPr/>
        <w:pict>
          <v:line style="position:absolute;mso-position-horizontal-relative:page;mso-position-vertical-relative:paragraph;z-index:-339784" from="477.100006pt,62.135857pt" to="477.100006pt,75.935857pt" stroked="true" strokeweight="3.36pt" strokecolor="#f9f9f9">
            <w10:wrap type="none"/>
          </v:line>
        </w:pict>
      </w:r>
      <w:r>
        <w:rPr/>
        <w:t>El Convenio de Estocolmo firmado en 2001, representó la culminación de una lucha ambiental que duró más de medio siglo, supone el reconocimiento de las propiedades tóxicas, persistentes y bioacumulativas de los plaguicidas, su capacidad de transportarse a largas distancias y los problemas de salud que</w:t>
      </w:r>
      <w:r>
        <w:rPr>
          <w:spacing w:val="-21"/>
        </w:rPr>
        <w:t> </w:t>
      </w:r>
      <w:r>
        <w:rPr/>
        <w:t>originan</w:t>
      </w:r>
      <w:r>
        <w:rPr>
          <w:position w:val="8"/>
          <w:sz w:val="16"/>
        </w:rPr>
        <w:t>37</w:t>
      </w:r>
      <w:r>
        <w:rPr/>
        <w:t>.</w:t>
      </w:r>
    </w:p>
    <w:p>
      <w:pPr>
        <w:spacing w:after="0" w:line="357" w:lineRule="auto"/>
        <w:jc w:val="both"/>
        <w:sectPr>
          <w:pgSz w:w="12240" w:h="15840"/>
          <w:pgMar w:header="0" w:footer="599" w:top="1500" w:bottom="780" w:left="0" w:right="0"/>
        </w:sectPr>
      </w:pPr>
    </w:p>
    <w:p>
      <w:pPr>
        <w:pStyle w:val="BodyText"/>
        <w:spacing w:before="4"/>
        <w:rPr>
          <w:sz w:val="11"/>
        </w:rPr>
      </w:pPr>
    </w:p>
    <w:p>
      <w:pPr>
        <w:pStyle w:val="Heading4"/>
        <w:numPr>
          <w:ilvl w:val="1"/>
          <w:numId w:val="4"/>
        </w:numPr>
        <w:tabs>
          <w:tab w:pos="2838" w:val="left" w:leader="none"/>
        </w:tabs>
        <w:spacing w:line="240" w:lineRule="auto" w:before="69" w:after="0"/>
        <w:ind w:left="2837" w:right="0" w:hanging="567"/>
        <w:jc w:val="left"/>
      </w:pPr>
      <w:r>
        <w:rPr/>
        <w:t>Clasificación de los</w:t>
      </w:r>
      <w:r>
        <w:rPr>
          <w:spacing w:val="-11"/>
        </w:rPr>
        <w:t> </w:t>
      </w:r>
      <w:r>
        <w:rPr/>
        <w:t>plaguicidas</w:t>
      </w:r>
    </w:p>
    <w:p>
      <w:pPr>
        <w:pStyle w:val="BodyText"/>
        <w:rPr>
          <w:b/>
        </w:rPr>
      </w:pPr>
    </w:p>
    <w:p>
      <w:pPr>
        <w:pStyle w:val="BodyText"/>
        <w:rPr>
          <w:b/>
        </w:rPr>
      </w:pPr>
    </w:p>
    <w:p>
      <w:pPr>
        <w:pStyle w:val="BodyText"/>
        <w:spacing w:line="357" w:lineRule="auto"/>
        <w:ind w:left="1418" w:right="1699"/>
        <w:jc w:val="both"/>
      </w:pPr>
      <w:r>
        <w:rPr/>
        <w:t>Dada la amplia cantidad de sustancias y combinaciones de compuestos, los plaguicidas se clasifican de acuerdo al modo de acción, al tipo de plagas que atacan y a su estructura química (tabla 1 y</w:t>
      </w:r>
      <w:r>
        <w:rPr>
          <w:spacing w:val="-6"/>
        </w:rPr>
        <w:t> </w:t>
      </w:r>
      <w:r>
        <w:rPr/>
        <w:t>2)</w:t>
      </w:r>
      <w:r>
        <w:rPr>
          <w:position w:val="8"/>
          <w:sz w:val="16"/>
        </w:rPr>
        <w:t>30</w:t>
      </w:r>
      <w:r>
        <w:rPr/>
        <w:t>.</w:t>
      </w:r>
    </w:p>
    <w:p>
      <w:pPr>
        <w:pStyle w:val="BodyText"/>
        <w:rPr>
          <w:sz w:val="26"/>
        </w:rPr>
      </w:pPr>
    </w:p>
    <w:p>
      <w:pPr>
        <w:pStyle w:val="BodyText"/>
        <w:rPr>
          <w:sz w:val="26"/>
        </w:rPr>
      </w:pPr>
    </w:p>
    <w:p>
      <w:pPr>
        <w:pStyle w:val="BodyText"/>
        <w:rPr>
          <w:sz w:val="26"/>
        </w:rPr>
      </w:pPr>
    </w:p>
    <w:p>
      <w:pPr>
        <w:pStyle w:val="Heading4"/>
        <w:spacing w:before="214"/>
        <w:ind w:left="1426"/>
        <w:jc w:val="both"/>
      </w:pPr>
      <w:r>
        <w:rPr/>
        <w:t>Tabla 1. Clasificación por modo de acción</w:t>
      </w:r>
    </w:p>
    <w:p>
      <w:pPr>
        <w:pStyle w:val="BodyText"/>
        <w:spacing w:before="6" w:after="1"/>
        <w:rPr>
          <w:b/>
          <w:sz w:val="29"/>
        </w:rPr>
      </w:pPr>
    </w:p>
    <w:tbl>
      <w:tblPr>
        <w:tblW w:w="0" w:type="auto"/>
        <w:jc w:val="left"/>
        <w:tblInd w:w="13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83"/>
        <w:gridCol w:w="7540"/>
      </w:tblGrid>
      <w:tr>
        <w:trPr>
          <w:trHeight w:val="814" w:hRule="exact"/>
        </w:trPr>
        <w:tc>
          <w:tcPr>
            <w:tcW w:w="1783" w:type="dxa"/>
            <w:shd w:val="clear" w:color="auto" w:fill="00C5C0"/>
          </w:tcPr>
          <w:p>
            <w:pPr>
              <w:pStyle w:val="TableParagraph"/>
              <w:spacing w:before="1"/>
              <w:jc w:val="left"/>
              <w:rPr>
                <w:b/>
                <w:sz w:val="23"/>
              </w:rPr>
            </w:pPr>
          </w:p>
          <w:p>
            <w:pPr>
              <w:pStyle w:val="TableParagraph"/>
              <w:spacing w:before="0"/>
              <w:ind w:left="108"/>
              <w:jc w:val="left"/>
              <w:rPr>
                <w:b/>
                <w:sz w:val="20"/>
              </w:rPr>
            </w:pPr>
            <w:r>
              <w:rPr>
                <w:b/>
                <w:sz w:val="20"/>
              </w:rPr>
              <w:t>Modo de Acción</w:t>
            </w:r>
          </w:p>
        </w:tc>
        <w:tc>
          <w:tcPr>
            <w:tcW w:w="7540" w:type="dxa"/>
            <w:shd w:val="clear" w:color="auto" w:fill="00C5C0"/>
          </w:tcPr>
          <w:p>
            <w:pPr>
              <w:pStyle w:val="TableParagraph"/>
              <w:spacing w:before="1"/>
              <w:jc w:val="left"/>
              <w:rPr>
                <w:b/>
                <w:sz w:val="23"/>
              </w:rPr>
            </w:pPr>
          </w:p>
          <w:p>
            <w:pPr>
              <w:pStyle w:val="TableParagraph"/>
              <w:spacing w:before="0"/>
              <w:ind w:left="3044" w:right="3021"/>
              <w:rPr>
                <w:b/>
                <w:sz w:val="20"/>
              </w:rPr>
            </w:pPr>
            <w:r>
              <w:rPr>
                <w:b/>
                <w:sz w:val="20"/>
              </w:rPr>
              <w:t>Características</w:t>
            </w:r>
          </w:p>
        </w:tc>
      </w:tr>
      <w:tr>
        <w:trPr>
          <w:trHeight w:val="545" w:hRule="exact"/>
        </w:trPr>
        <w:tc>
          <w:tcPr>
            <w:tcW w:w="1783" w:type="dxa"/>
            <w:shd w:val="clear" w:color="auto" w:fill="92F5DE"/>
          </w:tcPr>
          <w:p>
            <w:pPr>
              <w:pStyle w:val="TableParagraph"/>
              <w:spacing w:line="230" w:lineRule="exact" w:before="0"/>
              <w:ind w:left="108"/>
              <w:jc w:val="left"/>
              <w:rPr>
                <w:sz w:val="20"/>
              </w:rPr>
            </w:pPr>
            <w:r>
              <w:rPr>
                <w:sz w:val="20"/>
              </w:rPr>
              <w:t>De contacto</w:t>
            </w:r>
          </w:p>
        </w:tc>
        <w:tc>
          <w:tcPr>
            <w:tcW w:w="7540" w:type="dxa"/>
            <w:shd w:val="clear" w:color="auto" w:fill="92F5DE"/>
          </w:tcPr>
          <w:p>
            <w:pPr>
              <w:pStyle w:val="TableParagraph"/>
              <w:spacing w:line="230" w:lineRule="exact" w:before="0"/>
              <w:ind w:left="134" w:right="21"/>
              <w:jc w:val="left"/>
              <w:rPr>
                <w:sz w:val="20"/>
              </w:rPr>
            </w:pPr>
            <w:r>
              <w:rPr>
                <w:sz w:val="20"/>
              </w:rPr>
              <w:t>Actúa al ser absorbido por los tejidos externos de la plaga</w:t>
            </w:r>
          </w:p>
        </w:tc>
      </w:tr>
      <w:tr>
        <w:trPr>
          <w:trHeight w:val="545" w:hRule="exact"/>
        </w:trPr>
        <w:tc>
          <w:tcPr>
            <w:tcW w:w="1783" w:type="dxa"/>
            <w:shd w:val="clear" w:color="auto" w:fill="00D5D1"/>
          </w:tcPr>
          <w:p>
            <w:pPr>
              <w:pStyle w:val="TableParagraph"/>
              <w:spacing w:line="230" w:lineRule="exact" w:before="0"/>
              <w:ind w:left="108"/>
              <w:jc w:val="left"/>
              <w:rPr>
                <w:sz w:val="20"/>
              </w:rPr>
            </w:pPr>
            <w:r>
              <w:rPr>
                <w:sz w:val="20"/>
              </w:rPr>
              <w:t>De ingestión</w:t>
            </w:r>
          </w:p>
        </w:tc>
        <w:tc>
          <w:tcPr>
            <w:tcW w:w="7540" w:type="dxa"/>
            <w:shd w:val="clear" w:color="auto" w:fill="00D5D1"/>
          </w:tcPr>
          <w:p>
            <w:pPr>
              <w:pStyle w:val="TableParagraph"/>
              <w:spacing w:line="230" w:lineRule="exact" w:before="0"/>
              <w:ind w:left="134" w:right="21"/>
              <w:jc w:val="left"/>
              <w:rPr>
                <w:sz w:val="20"/>
              </w:rPr>
            </w:pPr>
            <w:r>
              <w:rPr>
                <w:sz w:val="20"/>
              </w:rPr>
              <w:t>Debe ser ingerido por la plaga para su acción efectiva</w:t>
            </w:r>
          </w:p>
        </w:tc>
      </w:tr>
      <w:tr>
        <w:trPr>
          <w:trHeight w:val="890" w:hRule="exact"/>
        </w:trPr>
        <w:tc>
          <w:tcPr>
            <w:tcW w:w="1783" w:type="dxa"/>
            <w:shd w:val="clear" w:color="auto" w:fill="92F5DE"/>
          </w:tcPr>
          <w:p>
            <w:pPr>
              <w:pStyle w:val="TableParagraph"/>
              <w:spacing w:line="230" w:lineRule="exact" w:before="0"/>
              <w:ind w:left="108"/>
              <w:jc w:val="left"/>
              <w:rPr>
                <w:sz w:val="20"/>
              </w:rPr>
            </w:pPr>
            <w:r>
              <w:rPr>
                <w:sz w:val="20"/>
              </w:rPr>
              <w:t>Sistémico</w:t>
            </w:r>
          </w:p>
        </w:tc>
        <w:tc>
          <w:tcPr>
            <w:tcW w:w="7540" w:type="dxa"/>
            <w:shd w:val="clear" w:color="auto" w:fill="92F5DE"/>
          </w:tcPr>
          <w:p>
            <w:pPr>
              <w:pStyle w:val="TableParagraph"/>
              <w:spacing w:line="362" w:lineRule="auto" w:before="0"/>
              <w:ind w:left="134" w:right="21"/>
              <w:jc w:val="left"/>
              <w:rPr>
                <w:sz w:val="20"/>
              </w:rPr>
            </w:pPr>
            <w:r>
              <w:rPr>
                <w:sz w:val="20"/>
              </w:rPr>
              <w:t>Se absorbe y traslada por su sistema vascular a puntos remotos del lugar en que se aplica y en los cuales actúa.</w:t>
            </w:r>
          </w:p>
        </w:tc>
      </w:tr>
      <w:tr>
        <w:trPr>
          <w:trHeight w:val="545" w:hRule="exact"/>
        </w:trPr>
        <w:tc>
          <w:tcPr>
            <w:tcW w:w="1783" w:type="dxa"/>
            <w:shd w:val="clear" w:color="auto" w:fill="00D5D1"/>
          </w:tcPr>
          <w:p>
            <w:pPr>
              <w:pStyle w:val="TableParagraph"/>
              <w:spacing w:before="0"/>
              <w:ind w:left="108"/>
              <w:jc w:val="left"/>
              <w:rPr>
                <w:sz w:val="20"/>
              </w:rPr>
            </w:pPr>
            <w:r>
              <w:rPr>
                <w:sz w:val="20"/>
              </w:rPr>
              <w:t>Fumigante</w:t>
            </w:r>
          </w:p>
        </w:tc>
        <w:tc>
          <w:tcPr>
            <w:tcW w:w="7540" w:type="dxa"/>
            <w:shd w:val="clear" w:color="auto" w:fill="00D5D1"/>
          </w:tcPr>
          <w:p>
            <w:pPr>
              <w:pStyle w:val="TableParagraph"/>
              <w:spacing w:before="0"/>
              <w:ind w:left="134" w:right="21"/>
              <w:jc w:val="left"/>
              <w:rPr>
                <w:sz w:val="20"/>
              </w:rPr>
            </w:pPr>
            <w:r>
              <w:rPr>
                <w:sz w:val="20"/>
              </w:rPr>
              <w:t>Se difunde en estado gaseoso y penetra por todas las vías de absorción</w:t>
            </w:r>
          </w:p>
        </w:tc>
      </w:tr>
      <w:tr>
        <w:trPr>
          <w:trHeight w:val="545" w:hRule="exact"/>
        </w:trPr>
        <w:tc>
          <w:tcPr>
            <w:tcW w:w="1783" w:type="dxa"/>
            <w:shd w:val="clear" w:color="auto" w:fill="92F5DE"/>
          </w:tcPr>
          <w:p>
            <w:pPr>
              <w:pStyle w:val="TableParagraph"/>
              <w:spacing w:line="230" w:lineRule="exact" w:before="0"/>
              <w:ind w:left="108"/>
              <w:jc w:val="left"/>
              <w:rPr>
                <w:sz w:val="20"/>
              </w:rPr>
            </w:pPr>
            <w:r>
              <w:rPr>
                <w:sz w:val="20"/>
              </w:rPr>
              <w:t>Repelente</w:t>
            </w:r>
          </w:p>
        </w:tc>
        <w:tc>
          <w:tcPr>
            <w:tcW w:w="7540" w:type="dxa"/>
            <w:shd w:val="clear" w:color="auto" w:fill="92F5DE"/>
          </w:tcPr>
          <w:p>
            <w:pPr>
              <w:pStyle w:val="TableParagraph"/>
              <w:spacing w:line="230" w:lineRule="exact" w:before="0"/>
              <w:ind w:left="134" w:right="21"/>
              <w:jc w:val="left"/>
              <w:rPr>
                <w:sz w:val="20"/>
              </w:rPr>
            </w:pPr>
            <w:r>
              <w:rPr>
                <w:sz w:val="20"/>
              </w:rPr>
              <w:t>Impide que las plagas ataquen</w:t>
            </w:r>
          </w:p>
        </w:tc>
      </w:tr>
      <w:tr>
        <w:trPr>
          <w:trHeight w:val="545" w:hRule="exact"/>
        </w:trPr>
        <w:tc>
          <w:tcPr>
            <w:tcW w:w="1783" w:type="dxa"/>
            <w:shd w:val="clear" w:color="auto" w:fill="00D5D1"/>
          </w:tcPr>
          <w:p>
            <w:pPr>
              <w:pStyle w:val="TableParagraph"/>
              <w:spacing w:line="230" w:lineRule="exact" w:before="0"/>
              <w:ind w:left="108"/>
              <w:jc w:val="left"/>
              <w:rPr>
                <w:sz w:val="20"/>
              </w:rPr>
            </w:pPr>
            <w:r>
              <w:rPr>
                <w:sz w:val="20"/>
              </w:rPr>
              <w:t>Defoliante</w:t>
            </w:r>
          </w:p>
        </w:tc>
        <w:tc>
          <w:tcPr>
            <w:tcW w:w="7540" w:type="dxa"/>
            <w:shd w:val="clear" w:color="auto" w:fill="00D5D1"/>
          </w:tcPr>
          <w:p>
            <w:pPr>
              <w:pStyle w:val="TableParagraph"/>
              <w:spacing w:line="230" w:lineRule="exact" w:before="0"/>
              <w:ind w:left="134" w:right="21"/>
              <w:jc w:val="left"/>
              <w:rPr>
                <w:sz w:val="20"/>
              </w:rPr>
            </w:pPr>
            <w:r>
              <w:rPr>
                <w:sz w:val="20"/>
              </w:rPr>
              <w:t>Causa caída del follaje de las plantas</w:t>
            </w:r>
          </w:p>
        </w:tc>
      </w:tr>
    </w:tbl>
    <w:p>
      <w:pPr>
        <w:spacing w:after="0" w:line="230" w:lineRule="exact"/>
        <w:jc w:val="left"/>
        <w:rPr>
          <w:sz w:val="20"/>
        </w:rPr>
        <w:sectPr>
          <w:pgSz w:w="12240" w:h="15840"/>
          <w:pgMar w:header="0" w:footer="599" w:top="1500" w:bottom="780" w:left="0" w:right="0"/>
        </w:sectPr>
      </w:pPr>
    </w:p>
    <w:p>
      <w:pPr>
        <w:pStyle w:val="BodyText"/>
        <w:spacing w:before="10"/>
        <w:rPr>
          <w:b/>
          <w:sz w:val="10"/>
        </w:rPr>
      </w:pPr>
    </w:p>
    <w:p>
      <w:pPr>
        <w:spacing w:before="74"/>
        <w:ind w:left="3739" w:right="1703" w:firstLine="0"/>
        <w:jc w:val="left"/>
        <w:rPr>
          <w:b/>
          <w:sz w:val="20"/>
        </w:rPr>
      </w:pPr>
      <w:r>
        <w:rPr>
          <w:b/>
          <w:sz w:val="20"/>
        </w:rPr>
        <w:t>Tabla 2. Clasificación por tipo de plaga</w:t>
      </w:r>
    </w:p>
    <w:p>
      <w:pPr>
        <w:pStyle w:val="BodyText"/>
        <w:spacing w:before="7"/>
        <w:rPr>
          <w:b/>
          <w:sz w:val="27"/>
        </w:rPr>
      </w:pPr>
    </w:p>
    <w:tbl>
      <w:tblPr>
        <w:tblW w:w="0" w:type="auto"/>
        <w:jc w:val="left"/>
        <w:tblInd w:w="36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25"/>
        <w:gridCol w:w="2468"/>
      </w:tblGrid>
      <w:tr>
        <w:trPr>
          <w:trHeight w:val="545" w:hRule="exact"/>
        </w:trPr>
        <w:tc>
          <w:tcPr>
            <w:tcW w:w="2225" w:type="dxa"/>
            <w:shd w:val="clear" w:color="auto" w:fill="00C5C0"/>
          </w:tcPr>
          <w:p>
            <w:pPr>
              <w:pStyle w:val="TableParagraph"/>
              <w:spacing w:line="227" w:lineRule="exact" w:before="0"/>
              <w:ind w:left="107"/>
              <w:jc w:val="left"/>
              <w:rPr>
                <w:b/>
                <w:sz w:val="20"/>
              </w:rPr>
            </w:pPr>
            <w:r>
              <w:rPr>
                <w:b/>
                <w:sz w:val="20"/>
              </w:rPr>
              <w:t>Tipo de plaguicida</w:t>
            </w:r>
          </w:p>
        </w:tc>
        <w:tc>
          <w:tcPr>
            <w:tcW w:w="2468" w:type="dxa"/>
            <w:shd w:val="clear" w:color="auto" w:fill="00C5C0"/>
          </w:tcPr>
          <w:p>
            <w:pPr>
              <w:pStyle w:val="TableParagraph"/>
              <w:spacing w:line="227" w:lineRule="exact" w:before="0"/>
              <w:ind w:left="363"/>
              <w:jc w:val="left"/>
              <w:rPr>
                <w:b/>
                <w:sz w:val="20"/>
              </w:rPr>
            </w:pPr>
            <w:r>
              <w:rPr>
                <w:b/>
                <w:sz w:val="20"/>
              </w:rPr>
              <w:t>Plaga</w:t>
            </w:r>
          </w:p>
        </w:tc>
      </w:tr>
      <w:tr>
        <w:trPr>
          <w:trHeight w:val="545" w:hRule="exact"/>
        </w:trPr>
        <w:tc>
          <w:tcPr>
            <w:tcW w:w="2225" w:type="dxa"/>
            <w:shd w:val="clear" w:color="auto" w:fill="92F5DE"/>
          </w:tcPr>
          <w:p>
            <w:pPr>
              <w:pStyle w:val="TableParagraph"/>
              <w:spacing w:line="230" w:lineRule="exact" w:before="0"/>
              <w:ind w:left="107"/>
              <w:jc w:val="left"/>
              <w:rPr>
                <w:sz w:val="20"/>
              </w:rPr>
            </w:pPr>
            <w:r>
              <w:rPr>
                <w:sz w:val="20"/>
              </w:rPr>
              <w:t>Insecticida</w:t>
            </w:r>
          </w:p>
        </w:tc>
        <w:tc>
          <w:tcPr>
            <w:tcW w:w="2468" w:type="dxa"/>
            <w:shd w:val="clear" w:color="auto" w:fill="92F5DE"/>
          </w:tcPr>
          <w:p>
            <w:pPr>
              <w:pStyle w:val="TableParagraph"/>
              <w:spacing w:line="230" w:lineRule="exact" w:before="0"/>
              <w:ind w:left="363"/>
              <w:jc w:val="left"/>
              <w:rPr>
                <w:sz w:val="20"/>
              </w:rPr>
            </w:pPr>
            <w:r>
              <w:rPr>
                <w:sz w:val="20"/>
              </w:rPr>
              <w:t>Insectos</w:t>
            </w:r>
          </w:p>
        </w:tc>
      </w:tr>
      <w:tr>
        <w:trPr>
          <w:trHeight w:val="545" w:hRule="exact"/>
        </w:trPr>
        <w:tc>
          <w:tcPr>
            <w:tcW w:w="2225" w:type="dxa"/>
            <w:shd w:val="clear" w:color="auto" w:fill="00D5D1"/>
          </w:tcPr>
          <w:p>
            <w:pPr>
              <w:pStyle w:val="TableParagraph"/>
              <w:spacing w:line="230" w:lineRule="exact" w:before="0"/>
              <w:ind w:left="107"/>
              <w:jc w:val="left"/>
              <w:rPr>
                <w:sz w:val="20"/>
              </w:rPr>
            </w:pPr>
            <w:r>
              <w:rPr>
                <w:sz w:val="20"/>
              </w:rPr>
              <w:t>Herbicida</w:t>
            </w:r>
          </w:p>
        </w:tc>
        <w:tc>
          <w:tcPr>
            <w:tcW w:w="2468" w:type="dxa"/>
            <w:shd w:val="clear" w:color="auto" w:fill="00D5D1"/>
          </w:tcPr>
          <w:p>
            <w:pPr>
              <w:pStyle w:val="TableParagraph"/>
              <w:spacing w:line="230" w:lineRule="exact" w:before="0"/>
              <w:ind w:left="363"/>
              <w:jc w:val="left"/>
              <w:rPr>
                <w:sz w:val="20"/>
              </w:rPr>
            </w:pPr>
            <w:r>
              <w:rPr>
                <w:sz w:val="20"/>
              </w:rPr>
              <w:t>Hierba y maleza</w:t>
            </w:r>
          </w:p>
        </w:tc>
      </w:tr>
      <w:tr>
        <w:trPr>
          <w:trHeight w:val="545" w:hRule="exact"/>
        </w:trPr>
        <w:tc>
          <w:tcPr>
            <w:tcW w:w="2225" w:type="dxa"/>
            <w:shd w:val="clear" w:color="auto" w:fill="92F5DE"/>
          </w:tcPr>
          <w:p>
            <w:pPr>
              <w:pStyle w:val="TableParagraph"/>
              <w:spacing w:line="230" w:lineRule="exact" w:before="0"/>
              <w:ind w:left="107"/>
              <w:jc w:val="left"/>
              <w:rPr>
                <w:sz w:val="20"/>
              </w:rPr>
            </w:pPr>
            <w:r>
              <w:rPr>
                <w:sz w:val="20"/>
              </w:rPr>
              <w:t>Rodeticida</w:t>
            </w:r>
          </w:p>
        </w:tc>
        <w:tc>
          <w:tcPr>
            <w:tcW w:w="2468" w:type="dxa"/>
            <w:shd w:val="clear" w:color="auto" w:fill="92F5DE"/>
          </w:tcPr>
          <w:p>
            <w:pPr>
              <w:pStyle w:val="TableParagraph"/>
              <w:spacing w:line="230" w:lineRule="exact" w:before="0"/>
              <w:ind w:left="363"/>
              <w:jc w:val="left"/>
              <w:rPr>
                <w:sz w:val="20"/>
              </w:rPr>
            </w:pPr>
            <w:r>
              <w:rPr>
                <w:sz w:val="20"/>
              </w:rPr>
              <w:t>Roedores</w:t>
            </w:r>
          </w:p>
        </w:tc>
      </w:tr>
      <w:tr>
        <w:trPr>
          <w:trHeight w:val="545" w:hRule="exact"/>
        </w:trPr>
        <w:tc>
          <w:tcPr>
            <w:tcW w:w="2225" w:type="dxa"/>
            <w:shd w:val="clear" w:color="auto" w:fill="00D5D1"/>
          </w:tcPr>
          <w:p>
            <w:pPr>
              <w:pStyle w:val="TableParagraph"/>
              <w:spacing w:line="230" w:lineRule="exact" w:before="0"/>
              <w:ind w:left="107"/>
              <w:jc w:val="left"/>
              <w:rPr>
                <w:sz w:val="20"/>
              </w:rPr>
            </w:pPr>
            <w:r>
              <w:rPr>
                <w:sz w:val="20"/>
              </w:rPr>
              <w:t>Fungicida</w:t>
            </w:r>
          </w:p>
        </w:tc>
        <w:tc>
          <w:tcPr>
            <w:tcW w:w="2468" w:type="dxa"/>
            <w:shd w:val="clear" w:color="auto" w:fill="00D5D1"/>
          </w:tcPr>
          <w:p>
            <w:pPr>
              <w:pStyle w:val="TableParagraph"/>
              <w:spacing w:line="230" w:lineRule="exact" w:before="0"/>
              <w:ind w:left="363"/>
              <w:jc w:val="left"/>
              <w:rPr>
                <w:sz w:val="20"/>
              </w:rPr>
            </w:pPr>
            <w:r>
              <w:rPr>
                <w:sz w:val="20"/>
              </w:rPr>
              <w:t>Hongos y levaduras</w:t>
            </w:r>
          </w:p>
        </w:tc>
      </w:tr>
      <w:tr>
        <w:trPr>
          <w:trHeight w:val="545" w:hRule="exact"/>
        </w:trPr>
        <w:tc>
          <w:tcPr>
            <w:tcW w:w="2225" w:type="dxa"/>
            <w:shd w:val="clear" w:color="auto" w:fill="92F5DE"/>
          </w:tcPr>
          <w:p>
            <w:pPr>
              <w:pStyle w:val="TableParagraph"/>
              <w:spacing w:before="0"/>
              <w:ind w:left="107"/>
              <w:jc w:val="left"/>
              <w:rPr>
                <w:sz w:val="20"/>
              </w:rPr>
            </w:pPr>
            <w:r>
              <w:rPr>
                <w:sz w:val="20"/>
              </w:rPr>
              <w:t>Acaricida</w:t>
            </w:r>
          </w:p>
        </w:tc>
        <w:tc>
          <w:tcPr>
            <w:tcW w:w="2468" w:type="dxa"/>
            <w:shd w:val="clear" w:color="auto" w:fill="92F5DE"/>
          </w:tcPr>
          <w:p>
            <w:pPr>
              <w:pStyle w:val="TableParagraph"/>
              <w:spacing w:before="0"/>
              <w:ind w:left="363"/>
              <w:jc w:val="left"/>
              <w:rPr>
                <w:sz w:val="20"/>
              </w:rPr>
            </w:pPr>
            <w:r>
              <w:rPr>
                <w:sz w:val="20"/>
              </w:rPr>
              <w:t>Acaros</w:t>
            </w:r>
          </w:p>
        </w:tc>
      </w:tr>
      <w:tr>
        <w:trPr>
          <w:trHeight w:val="545" w:hRule="exact"/>
        </w:trPr>
        <w:tc>
          <w:tcPr>
            <w:tcW w:w="2225" w:type="dxa"/>
            <w:shd w:val="clear" w:color="auto" w:fill="00D5D1"/>
          </w:tcPr>
          <w:p>
            <w:pPr>
              <w:pStyle w:val="TableParagraph"/>
              <w:spacing w:line="230" w:lineRule="exact" w:before="0"/>
              <w:ind w:left="107"/>
              <w:jc w:val="left"/>
              <w:rPr>
                <w:sz w:val="20"/>
              </w:rPr>
            </w:pPr>
            <w:r>
              <w:rPr>
                <w:sz w:val="20"/>
              </w:rPr>
              <w:t>Molusquicida</w:t>
            </w:r>
          </w:p>
        </w:tc>
        <w:tc>
          <w:tcPr>
            <w:tcW w:w="2468" w:type="dxa"/>
            <w:shd w:val="clear" w:color="auto" w:fill="00D5D1"/>
          </w:tcPr>
          <w:p>
            <w:pPr>
              <w:pStyle w:val="TableParagraph"/>
              <w:spacing w:line="230" w:lineRule="exact" w:before="0"/>
              <w:ind w:left="363"/>
              <w:jc w:val="left"/>
              <w:rPr>
                <w:sz w:val="20"/>
              </w:rPr>
            </w:pPr>
            <w:r>
              <w:rPr>
                <w:sz w:val="20"/>
              </w:rPr>
              <w:t>Moluscos</w:t>
            </w:r>
          </w:p>
        </w:tc>
      </w:tr>
      <w:tr>
        <w:trPr>
          <w:trHeight w:val="545" w:hRule="exact"/>
        </w:trPr>
        <w:tc>
          <w:tcPr>
            <w:tcW w:w="2225" w:type="dxa"/>
            <w:shd w:val="clear" w:color="auto" w:fill="92F5DE"/>
          </w:tcPr>
          <w:p>
            <w:pPr>
              <w:pStyle w:val="TableParagraph"/>
              <w:spacing w:line="230" w:lineRule="exact" w:before="0"/>
              <w:ind w:left="107"/>
              <w:jc w:val="left"/>
              <w:rPr>
                <w:sz w:val="20"/>
              </w:rPr>
            </w:pPr>
            <w:r>
              <w:rPr>
                <w:sz w:val="20"/>
              </w:rPr>
              <w:t>Bactericida</w:t>
            </w:r>
          </w:p>
        </w:tc>
        <w:tc>
          <w:tcPr>
            <w:tcW w:w="2468" w:type="dxa"/>
            <w:shd w:val="clear" w:color="auto" w:fill="92F5DE"/>
          </w:tcPr>
          <w:p>
            <w:pPr>
              <w:pStyle w:val="TableParagraph"/>
              <w:spacing w:line="230" w:lineRule="exact" w:before="0"/>
              <w:ind w:left="363"/>
              <w:jc w:val="left"/>
              <w:rPr>
                <w:sz w:val="20"/>
              </w:rPr>
            </w:pPr>
            <w:r>
              <w:rPr>
                <w:sz w:val="20"/>
              </w:rPr>
              <w:t>Bacterias</w:t>
            </w:r>
          </w:p>
        </w:tc>
      </w:tr>
      <w:tr>
        <w:trPr>
          <w:trHeight w:val="545" w:hRule="exact"/>
        </w:trPr>
        <w:tc>
          <w:tcPr>
            <w:tcW w:w="2225" w:type="dxa"/>
            <w:shd w:val="clear" w:color="auto" w:fill="00D5D1"/>
          </w:tcPr>
          <w:p>
            <w:pPr>
              <w:pStyle w:val="TableParagraph"/>
              <w:spacing w:line="230" w:lineRule="exact" w:before="0"/>
              <w:ind w:left="107"/>
              <w:jc w:val="left"/>
              <w:rPr>
                <w:sz w:val="20"/>
              </w:rPr>
            </w:pPr>
            <w:r>
              <w:rPr>
                <w:sz w:val="20"/>
              </w:rPr>
              <w:t>Avicida</w:t>
            </w:r>
          </w:p>
        </w:tc>
        <w:tc>
          <w:tcPr>
            <w:tcW w:w="2468" w:type="dxa"/>
            <w:shd w:val="clear" w:color="auto" w:fill="00D5D1"/>
          </w:tcPr>
          <w:p>
            <w:pPr>
              <w:pStyle w:val="TableParagraph"/>
              <w:spacing w:line="230" w:lineRule="exact" w:before="0"/>
              <w:ind w:left="363"/>
              <w:jc w:val="left"/>
              <w:rPr>
                <w:sz w:val="20"/>
              </w:rPr>
            </w:pPr>
            <w:r>
              <w:rPr>
                <w:sz w:val="20"/>
              </w:rPr>
              <w:t>Parásitos de aves</w:t>
            </w:r>
          </w:p>
        </w:tc>
      </w:tr>
      <w:tr>
        <w:trPr>
          <w:trHeight w:val="547" w:hRule="exact"/>
        </w:trPr>
        <w:tc>
          <w:tcPr>
            <w:tcW w:w="2225" w:type="dxa"/>
            <w:shd w:val="clear" w:color="auto" w:fill="92F5DE"/>
          </w:tcPr>
          <w:p>
            <w:pPr>
              <w:pStyle w:val="TableParagraph"/>
              <w:spacing w:line="230" w:lineRule="exact" w:before="0"/>
              <w:ind w:left="107"/>
              <w:jc w:val="left"/>
              <w:rPr>
                <w:sz w:val="20"/>
              </w:rPr>
            </w:pPr>
            <w:r>
              <w:rPr>
                <w:sz w:val="20"/>
              </w:rPr>
              <w:t>Virucida</w:t>
            </w:r>
          </w:p>
        </w:tc>
        <w:tc>
          <w:tcPr>
            <w:tcW w:w="2468" w:type="dxa"/>
            <w:shd w:val="clear" w:color="auto" w:fill="92F5DE"/>
          </w:tcPr>
          <w:p>
            <w:pPr>
              <w:pStyle w:val="TableParagraph"/>
              <w:spacing w:line="230" w:lineRule="exact" w:before="0"/>
              <w:ind w:left="363"/>
              <w:jc w:val="left"/>
              <w:rPr>
                <w:sz w:val="20"/>
              </w:rPr>
            </w:pPr>
            <w:r>
              <w:rPr>
                <w:sz w:val="20"/>
              </w:rPr>
              <w:t>Virus</w:t>
            </w:r>
          </w:p>
        </w:tc>
      </w:tr>
      <w:tr>
        <w:trPr>
          <w:trHeight w:val="545" w:hRule="exact"/>
        </w:trPr>
        <w:tc>
          <w:tcPr>
            <w:tcW w:w="2225" w:type="dxa"/>
            <w:shd w:val="clear" w:color="auto" w:fill="00D5D1"/>
          </w:tcPr>
          <w:p>
            <w:pPr>
              <w:pStyle w:val="TableParagraph"/>
              <w:spacing w:line="230" w:lineRule="exact" w:before="0"/>
              <w:ind w:left="107"/>
              <w:jc w:val="left"/>
              <w:rPr>
                <w:sz w:val="20"/>
              </w:rPr>
            </w:pPr>
            <w:r>
              <w:rPr>
                <w:sz w:val="20"/>
              </w:rPr>
              <w:t>Alguicida</w:t>
            </w:r>
          </w:p>
        </w:tc>
        <w:tc>
          <w:tcPr>
            <w:tcW w:w="2468" w:type="dxa"/>
            <w:shd w:val="clear" w:color="auto" w:fill="00D5D1"/>
          </w:tcPr>
          <w:p>
            <w:pPr>
              <w:pStyle w:val="TableParagraph"/>
              <w:spacing w:line="230" w:lineRule="exact" w:before="0"/>
              <w:ind w:left="363"/>
              <w:jc w:val="left"/>
              <w:rPr>
                <w:sz w:val="20"/>
              </w:rPr>
            </w:pPr>
            <w:r>
              <w:rPr>
                <w:sz w:val="20"/>
              </w:rPr>
              <w:t>Algas</w:t>
            </w:r>
          </w:p>
        </w:tc>
      </w:tr>
    </w:tbl>
    <w:p>
      <w:pPr>
        <w:pStyle w:val="BodyText"/>
        <w:rPr>
          <w:b/>
          <w:sz w:val="20"/>
        </w:rPr>
      </w:pPr>
    </w:p>
    <w:p>
      <w:pPr>
        <w:pStyle w:val="BodyText"/>
        <w:rPr>
          <w:b/>
          <w:sz w:val="20"/>
        </w:rPr>
      </w:pPr>
    </w:p>
    <w:p>
      <w:pPr>
        <w:pStyle w:val="BodyText"/>
        <w:spacing w:before="7"/>
        <w:rPr>
          <w:b/>
          <w:sz w:val="25"/>
        </w:rPr>
      </w:pPr>
    </w:p>
    <w:p>
      <w:pPr>
        <w:spacing w:before="69"/>
        <w:ind w:left="1418" w:right="1703" w:firstLine="0"/>
        <w:jc w:val="left"/>
        <w:rPr>
          <w:sz w:val="24"/>
        </w:rPr>
      </w:pPr>
      <w:r>
        <w:rPr>
          <w:i/>
          <w:sz w:val="24"/>
        </w:rPr>
        <w:t>Por su estructura química se clasifican en</w:t>
      </w:r>
      <w:r>
        <w:rPr>
          <w:sz w:val="24"/>
        </w:rPr>
        <w:t>:</w:t>
      </w:r>
    </w:p>
    <w:p>
      <w:pPr>
        <w:pStyle w:val="BodyText"/>
      </w:pPr>
    </w:p>
    <w:p>
      <w:pPr>
        <w:pStyle w:val="BodyText"/>
        <w:spacing w:before="2"/>
      </w:pPr>
    </w:p>
    <w:p>
      <w:pPr>
        <w:spacing w:line="300" w:lineRule="auto" w:before="0"/>
        <w:ind w:left="2138" w:right="1703" w:hanging="360"/>
        <w:jc w:val="left"/>
        <w:rPr>
          <w:sz w:val="24"/>
        </w:rPr>
      </w:pPr>
      <w:r>
        <w:rPr>
          <w:rFonts w:ascii="Courier New" w:hAnsi="Courier New"/>
          <w:b/>
          <w:sz w:val="32"/>
        </w:rPr>
        <w:t>ͽ </w:t>
      </w:r>
      <w:r>
        <w:rPr>
          <w:b/>
          <w:sz w:val="24"/>
        </w:rPr>
        <w:t>Compuestos inorgánicos</w:t>
      </w:r>
      <w:r>
        <w:rPr>
          <w:sz w:val="24"/>
        </w:rPr>
        <w:t>: estos carecen de carbono, como los derivados de cobre, azufre, zinc y aluminio.</w:t>
      </w:r>
    </w:p>
    <w:p>
      <w:pPr>
        <w:pStyle w:val="BodyText"/>
      </w:pPr>
    </w:p>
    <w:p>
      <w:pPr>
        <w:spacing w:before="208"/>
        <w:ind w:left="1778" w:right="1703" w:firstLine="0"/>
        <w:jc w:val="left"/>
        <w:rPr>
          <w:sz w:val="24"/>
        </w:rPr>
      </w:pPr>
      <w:r>
        <w:rPr>
          <w:rFonts w:ascii="Courier New" w:hAnsi="Courier New"/>
          <w:b/>
          <w:sz w:val="32"/>
        </w:rPr>
        <w:t>ͽ </w:t>
      </w:r>
      <w:r>
        <w:rPr>
          <w:b/>
          <w:sz w:val="24"/>
        </w:rPr>
        <w:t>Compuestos orgánicos</w:t>
      </w:r>
      <w:r>
        <w:rPr>
          <w:sz w:val="24"/>
        </w:rPr>
        <w:t>: son aquellos que contienen átomos de carbono   en</w:t>
      </w:r>
    </w:p>
    <w:p>
      <w:pPr>
        <w:pStyle w:val="BodyText"/>
        <w:spacing w:line="355" w:lineRule="auto" w:before="94"/>
        <w:ind w:left="2138" w:right="1703"/>
      </w:pPr>
      <w:r>
        <w:rPr/>
        <w:t>su estructura química, la mayoría son de origen sintético, algunos se extraen de plantas, por lo que se conocen como botánicos</w:t>
      </w:r>
      <w:r>
        <w:rPr>
          <w:position w:val="8"/>
          <w:sz w:val="16"/>
        </w:rPr>
        <w:t>30</w:t>
      </w:r>
      <w:r>
        <w:rPr/>
        <w:t>.</w:t>
      </w:r>
    </w:p>
    <w:p>
      <w:pPr>
        <w:pStyle w:val="BodyText"/>
        <w:spacing w:before="2"/>
        <w:rPr>
          <w:sz w:val="28"/>
        </w:rPr>
      </w:pPr>
    </w:p>
    <w:p>
      <w:pPr>
        <w:pStyle w:val="ListParagraph"/>
        <w:numPr>
          <w:ilvl w:val="0"/>
          <w:numId w:val="5"/>
        </w:numPr>
        <w:tabs>
          <w:tab w:pos="2552" w:val="left" w:leader="none"/>
        </w:tabs>
        <w:spacing w:line="350" w:lineRule="auto" w:before="0" w:after="0"/>
        <w:ind w:left="2551" w:right="1700" w:hanging="281"/>
        <w:jc w:val="left"/>
        <w:rPr>
          <w:sz w:val="24"/>
        </w:rPr>
      </w:pPr>
      <w:r>
        <w:rPr>
          <w:b/>
          <w:sz w:val="24"/>
        </w:rPr>
        <w:t>Compuestos orgánicos sintéticos: </w:t>
      </w:r>
      <w:r>
        <w:rPr>
          <w:sz w:val="24"/>
        </w:rPr>
        <w:t>pertenecen a distintos grupos o familias químicas, identificándose cinco grupos</w:t>
      </w:r>
      <w:r>
        <w:rPr>
          <w:spacing w:val="-17"/>
          <w:sz w:val="24"/>
        </w:rPr>
        <w:t> </w:t>
      </w:r>
      <w:r>
        <w:rPr>
          <w:sz w:val="24"/>
        </w:rPr>
        <w:t>principales:</w:t>
      </w:r>
    </w:p>
    <w:p>
      <w:pPr>
        <w:spacing w:after="0" w:line="350" w:lineRule="auto"/>
        <w:jc w:val="left"/>
        <w:rPr>
          <w:sz w:val="24"/>
        </w:rPr>
        <w:sectPr>
          <w:footerReference w:type="default" r:id="rId12"/>
          <w:pgSz w:w="12240" w:h="15840"/>
          <w:pgMar w:footer="599" w:header="0" w:top="1500" w:bottom="780" w:left="0" w:right="0"/>
        </w:sectPr>
      </w:pPr>
    </w:p>
    <w:p>
      <w:pPr>
        <w:pStyle w:val="BodyText"/>
        <w:spacing w:before="1"/>
        <w:rPr>
          <w:sz w:val="11"/>
        </w:rPr>
      </w:pPr>
    </w:p>
    <w:p>
      <w:pPr>
        <w:pStyle w:val="ListParagraph"/>
        <w:numPr>
          <w:ilvl w:val="1"/>
          <w:numId w:val="5"/>
        </w:numPr>
        <w:tabs>
          <w:tab w:pos="2859" w:val="left" w:leader="none"/>
        </w:tabs>
        <w:spacing w:line="360" w:lineRule="auto" w:before="70" w:after="0"/>
        <w:ind w:left="2858" w:right="1695" w:hanging="360"/>
        <w:jc w:val="both"/>
        <w:rPr>
          <w:sz w:val="24"/>
        </w:rPr>
      </w:pPr>
      <w:r>
        <w:rPr>
          <w:i/>
          <w:sz w:val="24"/>
        </w:rPr>
        <w:t>Compuestos organoclorados </w:t>
      </w:r>
      <w:r>
        <w:rPr>
          <w:sz w:val="24"/>
        </w:rPr>
        <w:t>(O-C): agrupan a una considerable cantidad de compuestos sintéticos, cuya estructura química corresponde a los hidrocarburos clorados. La mayoría de ellos se usan ampliamente como insecticidas para el control de una amplia gama de insectos, tienen una larga duración de efecto residual en el medio ambiente, ya que son resistentes a la mayoría de los productos químicos, degradación y biomagnificación microbiana así como  una gran capacidad de bioacumulación</w:t>
      </w:r>
      <w:r>
        <w:rPr>
          <w:position w:val="8"/>
          <w:sz w:val="16"/>
        </w:rPr>
        <w:t>34, 31</w:t>
      </w:r>
      <w:r>
        <w:rPr>
          <w:sz w:val="24"/>
        </w:rPr>
        <w:t>. Los que más persisten en el ambiente traen efectos adversos en la salud humana como pérdida de peso corporal, hepatoxicidad, afecciones gástricas, carcinogénesis, efectos inmunotóxicos, alteraciones en el desarrollo y la función reproductora, el sistema nervioso y endocrino</w:t>
      </w:r>
      <w:r>
        <w:rPr>
          <w:position w:val="8"/>
          <w:sz w:val="16"/>
        </w:rPr>
        <w:t>33</w:t>
      </w:r>
      <w:r>
        <w:rPr>
          <w:sz w:val="24"/>
        </w:rPr>
        <w:t>. El intestino reabsorbe con eficacia a muchos de los plaguicidas sin metabolizar; la principal ruta de excreción es la biliar, entre los más conocidos el DDT, aldrín y endosulfán</w:t>
      </w:r>
      <w:r>
        <w:rPr>
          <w:position w:val="8"/>
          <w:sz w:val="16"/>
        </w:rPr>
        <w:t>38</w:t>
      </w:r>
      <w:r>
        <w:rPr>
          <w:sz w:val="24"/>
        </w:rPr>
        <w:t>.</w:t>
      </w:r>
    </w:p>
    <w:p>
      <w:pPr>
        <w:pStyle w:val="BodyText"/>
        <w:spacing w:before="9"/>
        <w:rPr>
          <w:sz w:val="35"/>
        </w:rPr>
      </w:pPr>
    </w:p>
    <w:p>
      <w:pPr>
        <w:pStyle w:val="ListParagraph"/>
        <w:numPr>
          <w:ilvl w:val="1"/>
          <w:numId w:val="5"/>
        </w:numPr>
        <w:tabs>
          <w:tab w:pos="2859" w:val="left" w:leader="none"/>
        </w:tabs>
        <w:spacing w:line="360" w:lineRule="auto" w:before="0" w:after="0"/>
        <w:ind w:left="2858" w:right="1699" w:hanging="360"/>
        <w:jc w:val="both"/>
        <w:rPr>
          <w:sz w:val="24"/>
        </w:rPr>
      </w:pPr>
      <w:r>
        <w:rPr>
          <w:i/>
          <w:sz w:val="24"/>
        </w:rPr>
        <w:t>Compuestos organofosforados </w:t>
      </w:r>
      <w:r>
        <w:rPr>
          <w:sz w:val="24"/>
        </w:rPr>
        <w:t>(O-P): son ésteres del ácido fosfórico que presentan propiedades alquilantes, lo cual permite actuar directamente sobre el ADN, se absorben con facilidad por inhalación, ingestión y penetración dérmica</w:t>
      </w:r>
      <w:r>
        <w:rPr>
          <w:position w:val="8"/>
          <w:sz w:val="16"/>
        </w:rPr>
        <w:t>31</w:t>
      </w:r>
      <w:r>
        <w:rPr>
          <w:sz w:val="24"/>
        </w:rPr>
        <w:t>. Son compuestos volátiles, con una actividad biológica muy intensa que actúan tanto en insectos y ácaros como en mamíferos, por lo que presentan un elevado riesgo de intoxicación, principalmente por la fosforilación de la enzima acetilcolinesterasa encargada de hidrolizar el neurotransmisor acetilcolina, que actúa en las terminaciones nerviosas. Es uno de los grupos más extensos y utilizados, entre ellos están el paratión, malatión, diclorvós, mevinfos, diazinon y</w:t>
      </w:r>
      <w:r>
        <w:rPr>
          <w:spacing w:val="-12"/>
          <w:sz w:val="24"/>
        </w:rPr>
        <w:t> </w:t>
      </w:r>
      <w:r>
        <w:rPr>
          <w:sz w:val="24"/>
        </w:rPr>
        <w:t>demetón</w:t>
      </w:r>
      <w:r>
        <w:rPr>
          <w:position w:val="8"/>
          <w:sz w:val="16"/>
        </w:rPr>
        <w:t>39</w:t>
      </w:r>
      <w:r>
        <w:rPr>
          <w:sz w:val="24"/>
        </w:rPr>
        <w:t>.</w:t>
      </w:r>
    </w:p>
    <w:p>
      <w:pPr>
        <w:pStyle w:val="BodyText"/>
        <w:spacing w:before="9"/>
        <w:rPr>
          <w:sz w:val="35"/>
        </w:rPr>
      </w:pPr>
    </w:p>
    <w:p>
      <w:pPr>
        <w:pStyle w:val="ListParagraph"/>
        <w:numPr>
          <w:ilvl w:val="1"/>
          <w:numId w:val="5"/>
        </w:numPr>
        <w:tabs>
          <w:tab w:pos="2859" w:val="left" w:leader="none"/>
        </w:tabs>
        <w:spacing w:line="360" w:lineRule="auto" w:before="0" w:after="0"/>
        <w:ind w:left="2858" w:right="1700" w:hanging="360"/>
        <w:jc w:val="both"/>
        <w:rPr>
          <w:sz w:val="24"/>
        </w:rPr>
      </w:pPr>
      <w:r>
        <w:rPr>
          <w:i/>
          <w:sz w:val="24"/>
        </w:rPr>
        <w:t>Carbamatos</w:t>
      </w:r>
      <w:r>
        <w:rPr>
          <w:sz w:val="24"/>
        </w:rPr>
        <w:t>: son sustancias orgánicas de  síntesis, ésteres derivados de los ácidos N-metil o dimetil carbámico. Con actividad biológica similar   a   la   de   los   organofosforados,   sin   embargo,   son</w:t>
      </w:r>
      <w:r>
        <w:rPr>
          <w:spacing w:val="37"/>
          <w:sz w:val="24"/>
        </w:rPr>
        <w:t> </w:t>
      </w:r>
      <w:r>
        <w:rPr>
          <w:sz w:val="24"/>
        </w:rPr>
        <w:t>menos</w:t>
      </w:r>
    </w:p>
    <w:p>
      <w:pPr>
        <w:spacing w:after="0" w:line="360" w:lineRule="auto"/>
        <w:jc w:val="both"/>
        <w:rPr>
          <w:sz w:val="24"/>
        </w:rPr>
        <w:sectPr>
          <w:footerReference w:type="default" r:id="rId13"/>
          <w:pgSz w:w="12240" w:h="15840"/>
          <w:pgMar w:footer="599" w:header="0" w:top="1500" w:bottom="780" w:left="0" w:right="0"/>
          <w:pgNumType w:start="11"/>
        </w:sectPr>
      </w:pPr>
    </w:p>
    <w:p>
      <w:pPr>
        <w:pStyle w:val="BodyText"/>
        <w:rPr>
          <w:sz w:val="10"/>
        </w:rPr>
      </w:pPr>
    </w:p>
    <w:p>
      <w:pPr>
        <w:pStyle w:val="BodyText"/>
        <w:spacing w:line="360" w:lineRule="auto" w:before="80"/>
        <w:ind w:left="2858" w:right="1697"/>
        <w:jc w:val="both"/>
      </w:pPr>
      <w:r>
        <w:rPr/>
        <w:t>persistentes que los organoclorados y los organofosforados</w:t>
      </w:r>
      <w:r>
        <w:rPr>
          <w:position w:val="8"/>
          <w:sz w:val="16"/>
        </w:rPr>
        <w:t>40</w:t>
      </w:r>
      <w:r>
        <w:rPr/>
        <w:t>. El ácido carbámico, tiene efecto neurotóxico que, en dosis de exposición altas puede llevar a la muerte. Los carbamatos al igual que los organofosforados, son inhibidores de la acetilcolinesterasa, ingresan al organismo por las vías cutánea, respiratoria y digestiva y los efectos tóxicos son muy similares. Entre ellos se distinguen los inhibidores de la colinesterasa utilizados como insecticidas el carbaryl y aldicarb, se utilizan como fungicidas y herbicidas</w:t>
      </w:r>
      <w:r>
        <w:rPr>
          <w:position w:val="8"/>
          <w:sz w:val="16"/>
        </w:rPr>
        <w:t>31</w:t>
      </w:r>
      <w:r>
        <w:rPr/>
        <w:t>.</w:t>
      </w:r>
    </w:p>
    <w:p>
      <w:pPr>
        <w:pStyle w:val="BodyText"/>
        <w:spacing w:before="9"/>
        <w:rPr>
          <w:sz w:val="35"/>
        </w:rPr>
      </w:pPr>
    </w:p>
    <w:p>
      <w:pPr>
        <w:pStyle w:val="ListParagraph"/>
        <w:numPr>
          <w:ilvl w:val="1"/>
          <w:numId w:val="5"/>
        </w:numPr>
        <w:tabs>
          <w:tab w:pos="2859" w:val="left" w:leader="none"/>
        </w:tabs>
        <w:spacing w:line="360" w:lineRule="auto" w:before="1" w:after="0"/>
        <w:ind w:left="2858" w:right="1696" w:hanging="360"/>
        <w:jc w:val="both"/>
        <w:rPr>
          <w:sz w:val="24"/>
        </w:rPr>
      </w:pPr>
      <w:r>
        <w:rPr>
          <w:i/>
          <w:sz w:val="24"/>
        </w:rPr>
        <w:t>Piretroides</w:t>
      </w:r>
      <w:r>
        <w:rPr>
          <w:sz w:val="24"/>
        </w:rPr>
        <w:t>: son substancias sintetizadas a partir del crisantemo, del  que se obtiene el piretro, posteriormente fueron producidos de forma sintética. Junto con los carbamatos, son uno de los grupos más utilizados actualmente. Son productos fotosensibles, se degradan fácilmente. Algunos de ellos son estrógenos ambientales, por lo tanto, interfieren en los procesos hormonales de animales  y  personas. Afectan a los canales de sodio de las membranas de las células nerviosas. Sin embargo, la acumulación en el organismo es baja y no persisten en el ambiente. Tienen un rápido efecto contra las plagas de insectos, baja toxicidad para los mamíferos y fácil biodegradación; ejemplos de piretroides: aletrina, cipermetrina y</w:t>
      </w:r>
      <w:r>
        <w:rPr>
          <w:spacing w:val="-17"/>
          <w:sz w:val="24"/>
        </w:rPr>
        <w:t> </w:t>
      </w:r>
      <w:r>
        <w:rPr>
          <w:sz w:val="24"/>
        </w:rPr>
        <w:t>deltametrina</w:t>
      </w:r>
      <w:r>
        <w:rPr>
          <w:position w:val="8"/>
          <w:sz w:val="16"/>
        </w:rPr>
        <w:t>28</w:t>
      </w:r>
      <w:r>
        <w:rPr>
          <w:sz w:val="24"/>
        </w:rPr>
        <w:t>.</w:t>
      </w:r>
    </w:p>
    <w:p>
      <w:pPr>
        <w:pStyle w:val="BodyText"/>
        <w:spacing w:before="9"/>
        <w:rPr>
          <w:sz w:val="35"/>
        </w:rPr>
      </w:pPr>
    </w:p>
    <w:p>
      <w:pPr>
        <w:pStyle w:val="ListParagraph"/>
        <w:numPr>
          <w:ilvl w:val="1"/>
          <w:numId w:val="5"/>
        </w:numPr>
        <w:tabs>
          <w:tab w:pos="2859" w:val="left" w:leader="none"/>
        </w:tabs>
        <w:spacing w:line="360" w:lineRule="auto" w:before="0" w:after="0"/>
        <w:ind w:left="2858" w:right="1696" w:hanging="360"/>
        <w:jc w:val="both"/>
        <w:rPr>
          <w:sz w:val="24"/>
        </w:rPr>
      </w:pPr>
      <w:r>
        <w:rPr>
          <w:i/>
          <w:sz w:val="24"/>
        </w:rPr>
        <w:t>Triazínicos</w:t>
      </w:r>
      <w:r>
        <w:rPr>
          <w:sz w:val="24"/>
        </w:rPr>
        <w:t>: considerados por la Agencia de Protección Ambiental de Estados Unidos (EPA), como posibles carcinógenos humanos, el empleo de las triazinas trajo graves consecuencias, entre ellas altas concentraciones de estos compuestos en suelo, agua y atmósfera, lo que implica serios problemas para la salud y se reconoce la relación entre los jornales agrícolas expuestos y la incidencia del linfoma </w:t>
      </w:r>
      <w:r>
        <w:rPr>
          <w:spacing w:val="3"/>
          <w:sz w:val="24"/>
        </w:rPr>
        <w:t>No- </w:t>
      </w:r>
      <w:r>
        <w:rPr>
          <w:sz w:val="24"/>
        </w:rPr>
        <w:t>Hodking</w:t>
      </w:r>
      <w:r>
        <w:rPr>
          <w:position w:val="8"/>
          <w:sz w:val="16"/>
        </w:rPr>
        <w:t>30</w:t>
      </w:r>
      <w:r>
        <w:rPr>
          <w:sz w:val="24"/>
        </w:rPr>
        <w:t>.</w:t>
      </w:r>
    </w:p>
    <w:p>
      <w:pPr>
        <w:spacing w:after="0" w:line="360" w:lineRule="auto"/>
        <w:jc w:val="both"/>
        <w:rPr>
          <w:sz w:val="24"/>
        </w:rPr>
        <w:sectPr>
          <w:pgSz w:w="12240" w:h="15840"/>
          <w:pgMar w:header="0" w:footer="599" w:top="1500" w:bottom="780" w:left="0" w:right="0"/>
        </w:sectPr>
      </w:pPr>
    </w:p>
    <w:p>
      <w:pPr>
        <w:pStyle w:val="BodyText"/>
        <w:spacing w:before="4"/>
        <w:rPr>
          <w:sz w:val="11"/>
        </w:rPr>
      </w:pPr>
    </w:p>
    <w:p>
      <w:pPr>
        <w:pStyle w:val="Heading4"/>
        <w:numPr>
          <w:ilvl w:val="1"/>
          <w:numId w:val="4"/>
        </w:numPr>
        <w:tabs>
          <w:tab w:pos="2838" w:val="left" w:leader="none"/>
        </w:tabs>
        <w:spacing w:line="240" w:lineRule="auto" w:before="69" w:after="0"/>
        <w:ind w:left="2837" w:right="0" w:hanging="567"/>
        <w:jc w:val="left"/>
      </w:pPr>
      <w:r>
        <w:rPr/>
        <w:t>Nivel de</w:t>
      </w:r>
      <w:r>
        <w:rPr>
          <w:spacing w:val="-5"/>
        </w:rPr>
        <w:t> </w:t>
      </w:r>
      <w:r>
        <w:rPr/>
        <w:t>toxicidad</w:t>
      </w:r>
    </w:p>
    <w:p>
      <w:pPr>
        <w:pStyle w:val="BodyText"/>
        <w:rPr>
          <w:b/>
        </w:rPr>
      </w:pPr>
    </w:p>
    <w:p>
      <w:pPr>
        <w:pStyle w:val="BodyText"/>
        <w:rPr>
          <w:b/>
        </w:rPr>
      </w:pPr>
    </w:p>
    <w:p>
      <w:pPr>
        <w:pStyle w:val="BodyText"/>
        <w:spacing w:line="360" w:lineRule="auto"/>
        <w:ind w:left="1418" w:right="1697"/>
        <w:jc w:val="both"/>
      </w:pPr>
      <w:r>
        <w:rPr/>
        <w:t>La toxicología de los plaguicidas es un fenómeno complejo en el que intervienen diversos compuestos, la estructura molecular (relación estructura-actividad) y sus propiedades fisicoquímicas, de las que depende su afinidad por sistemas biológicos específicos (toxicidad selectiva) y, de manera preponderante, la dosis en que los humanos se exponen a los mismos (relación dosis-tiempo-respuesta)</w:t>
      </w:r>
      <w:r>
        <w:rPr>
          <w:position w:val="8"/>
          <w:sz w:val="16"/>
        </w:rPr>
        <w:t>30</w:t>
      </w:r>
      <w:r>
        <w:rPr/>
        <w:t>.</w:t>
      </w:r>
    </w:p>
    <w:p>
      <w:pPr>
        <w:pStyle w:val="BodyText"/>
        <w:rPr>
          <w:sz w:val="36"/>
        </w:rPr>
      </w:pPr>
    </w:p>
    <w:p>
      <w:pPr>
        <w:pStyle w:val="BodyText"/>
        <w:spacing w:line="357" w:lineRule="auto" w:before="1"/>
        <w:ind w:left="1418" w:right="1703"/>
        <w:jc w:val="both"/>
      </w:pPr>
      <w:r>
        <w:rPr/>
        <w:t>Es frecuente que los efectos tóxicos de los plaguicidas se potencialicen por los ingredientes de la formulación o los aditivos con que se mezclan los que en ocasiones pueden ser más dañinos que los ingredientes</w:t>
      </w:r>
      <w:r>
        <w:rPr>
          <w:spacing w:val="-20"/>
        </w:rPr>
        <w:t> </w:t>
      </w:r>
      <w:r>
        <w:rPr/>
        <w:t>activos</w:t>
      </w:r>
      <w:r>
        <w:rPr>
          <w:position w:val="8"/>
          <w:sz w:val="16"/>
        </w:rPr>
        <w:t>30</w:t>
      </w:r>
      <w:r>
        <w:rPr/>
        <w:t>.</w:t>
      </w:r>
    </w:p>
    <w:p>
      <w:pPr>
        <w:pStyle w:val="BodyText"/>
        <w:spacing w:before="2"/>
        <w:rPr>
          <w:sz w:val="36"/>
        </w:rPr>
      </w:pPr>
    </w:p>
    <w:p>
      <w:pPr>
        <w:pStyle w:val="BodyText"/>
        <w:spacing w:line="360" w:lineRule="auto" w:before="1"/>
        <w:ind w:left="1418" w:right="1698"/>
        <w:jc w:val="both"/>
      </w:pPr>
      <w:r>
        <w:rPr/>
        <w:t>Por lo anterior, se intentó por mucho tiempo desarrollar un sistema práctico para evaluar la toxicidad aguda y crónica de las sustancias químicas. En 1973 la Organización Mundial de la Salud (OMS) tomó medidas para elaborar una clasificación (sujeta a actualizaciones periódicas) de los plaguicidas según su peligrosidad, entendiendo éste término como la capacidad de producir daño agudo a la salud cuando se da una o múltiples exposiciones en un tiempo  relativamente corto</w:t>
      </w:r>
      <w:r>
        <w:rPr>
          <w:position w:val="8"/>
          <w:sz w:val="16"/>
        </w:rPr>
        <w:t>4, 41</w:t>
      </w:r>
      <w:r>
        <w:rPr/>
        <w:t>.</w:t>
      </w:r>
    </w:p>
    <w:p>
      <w:pPr>
        <w:pStyle w:val="BodyText"/>
        <w:spacing w:before="11"/>
        <w:rPr>
          <w:sz w:val="35"/>
        </w:rPr>
      </w:pPr>
    </w:p>
    <w:p>
      <w:pPr>
        <w:pStyle w:val="BodyText"/>
        <w:spacing w:line="360" w:lineRule="auto"/>
        <w:ind w:left="1418" w:right="1696"/>
        <w:jc w:val="both"/>
      </w:pPr>
      <w:r>
        <w:rPr>
          <w:position w:val="1"/>
        </w:rPr>
        <w:t>El método que avala la OMS para medir la toxicidad es la Dosis Letal 50 (DL</w:t>
      </w:r>
      <w:r>
        <w:rPr>
          <w:sz w:val="16"/>
        </w:rPr>
        <w:t>50</w:t>
      </w:r>
      <w:r>
        <w:rPr>
          <w:position w:val="1"/>
        </w:rPr>
        <w:t>) que </w:t>
      </w:r>
      <w:r>
        <w:rPr/>
        <w:t>se define como la cantidad mínima de una sustancia expresada en mg/kg, capaz de matar al 50% de una población de animales de prueba (roedores). En estos experimentos se mide la toxicidad aguda oral y dérmica de los químicos, los </w:t>
      </w:r>
      <w:r>
        <w:rPr>
          <w:position w:val="1"/>
        </w:rPr>
        <w:t>resultados de DL</w:t>
      </w:r>
      <w:r>
        <w:rPr>
          <w:sz w:val="16"/>
        </w:rPr>
        <w:t>50 </w:t>
      </w:r>
      <w:r>
        <w:rPr>
          <w:position w:val="1"/>
        </w:rPr>
        <w:t>para una sustancia dada se extrapolan a los humanos y sirven de </w:t>
      </w:r>
      <w:r>
        <w:rPr/>
        <w:t>base para los sistemas de clasificación de la toxicidad (Tabla 3)</w:t>
      </w:r>
      <w:r>
        <w:rPr>
          <w:position w:val="8"/>
          <w:sz w:val="16"/>
        </w:rPr>
        <w:t>30, 4</w:t>
      </w:r>
      <w:r>
        <w:rPr/>
        <w:t>.</w:t>
      </w:r>
    </w:p>
    <w:p>
      <w:pPr>
        <w:spacing w:after="0" w:line="360" w:lineRule="auto"/>
        <w:jc w:val="both"/>
        <w:sectPr>
          <w:pgSz w:w="12240" w:h="15840"/>
          <w:pgMar w:header="0" w:footer="599" w:top="1500" w:bottom="780" w:left="0" w:right="0"/>
        </w:sectPr>
      </w:pPr>
    </w:p>
    <w:p>
      <w:pPr>
        <w:pStyle w:val="BodyText"/>
        <w:spacing w:before="10"/>
        <w:rPr>
          <w:sz w:val="10"/>
        </w:rPr>
      </w:pPr>
    </w:p>
    <w:p>
      <w:pPr>
        <w:spacing w:before="74"/>
        <w:ind w:left="1764" w:right="1703" w:firstLine="0"/>
        <w:jc w:val="left"/>
        <w:rPr>
          <w:b/>
          <w:sz w:val="20"/>
        </w:rPr>
      </w:pPr>
      <w:r>
        <w:rPr>
          <w:b/>
          <w:sz w:val="20"/>
        </w:rPr>
        <w:t>Tabla 3. Nivel de toxicidad de acuerdo a la dosis letal</w:t>
      </w:r>
    </w:p>
    <w:p>
      <w:pPr>
        <w:pStyle w:val="BodyText"/>
        <w:spacing w:before="7"/>
        <w:rPr>
          <w:b/>
          <w:sz w:val="27"/>
        </w:rPr>
      </w:pPr>
    </w:p>
    <w:tbl>
      <w:tblPr>
        <w:tblW w:w="0" w:type="auto"/>
        <w:jc w:val="left"/>
        <w:tblInd w:w="165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15"/>
        <w:gridCol w:w="3518"/>
        <w:gridCol w:w="1299"/>
        <w:gridCol w:w="2214"/>
      </w:tblGrid>
      <w:tr>
        <w:trPr>
          <w:trHeight w:val="1392" w:hRule="exact"/>
        </w:trPr>
        <w:tc>
          <w:tcPr>
            <w:tcW w:w="1615" w:type="dxa"/>
            <w:shd w:val="clear" w:color="auto" w:fill="00C5C0"/>
          </w:tcPr>
          <w:p>
            <w:pPr>
              <w:pStyle w:val="TableParagraph"/>
              <w:spacing w:before="0"/>
              <w:jc w:val="left"/>
              <w:rPr>
                <w:b/>
                <w:sz w:val="18"/>
              </w:rPr>
            </w:pPr>
          </w:p>
          <w:p>
            <w:pPr>
              <w:pStyle w:val="TableParagraph"/>
              <w:spacing w:before="8"/>
              <w:jc w:val="left"/>
              <w:rPr>
                <w:b/>
                <w:sz w:val="24"/>
              </w:rPr>
            </w:pPr>
          </w:p>
          <w:p>
            <w:pPr>
              <w:pStyle w:val="TableParagraph"/>
              <w:spacing w:line="360" w:lineRule="auto" w:before="0"/>
              <w:ind w:left="547" w:hanging="353"/>
              <w:jc w:val="left"/>
              <w:rPr>
                <w:b/>
                <w:sz w:val="19"/>
              </w:rPr>
            </w:pPr>
            <w:r>
              <w:rPr>
                <w:b/>
                <w:w w:val="95"/>
                <w:sz w:val="19"/>
              </w:rPr>
              <w:t>Clasificación </w:t>
            </w:r>
            <w:r>
              <w:rPr>
                <w:b/>
                <w:sz w:val="19"/>
              </w:rPr>
              <w:t>WHO</w:t>
            </w:r>
          </w:p>
        </w:tc>
        <w:tc>
          <w:tcPr>
            <w:tcW w:w="3518" w:type="dxa"/>
            <w:shd w:val="clear" w:color="auto" w:fill="00C5C0"/>
          </w:tcPr>
          <w:p>
            <w:pPr>
              <w:pStyle w:val="TableParagraph"/>
              <w:spacing w:before="0"/>
              <w:jc w:val="left"/>
              <w:rPr>
                <w:b/>
                <w:sz w:val="18"/>
              </w:rPr>
            </w:pPr>
          </w:p>
          <w:p>
            <w:pPr>
              <w:pStyle w:val="TableParagraph"/>
              <w:spacing w:before="1"/>
              <w:jc w:val="left"/>
              <w:rPr>
                <w:b/>
                <w:sz w:val="19"/>
              </w:rPr>
            </w:pPr>
          </w:p>
          <w:p>
            <w:pPr>
              <w:pStyle w:val="TableParagraph"/>
              <w:spacing w:before="0"/>
              <w:ind w:left="805" w:right="778"/>
              <w:rPr>
                <w:b/>
                <w:sz w:val="19"/>
              </w:rPr>
            </w:pPr>
            <w:r>
              <w:rPr>
                <w:b/>
                <w:sz w:val="19"/>
              </w:rPr>
              <w:t>Toxicidad</w:t>
            </w:r>
          </w:p>
        </w:tc>
        <w:tc>
          <w:tcPr>
            <w:tcW w:w="3513" w:type="dxa"/>
            <w:gridSpan w:val="2"/>
            <w:shd w:val="clear" w:color="auto" w:fill="00C5C0"/>
          </w:tcPr>
          <w:p>
            <w:pPr>
              <w:pStyle w:val="TableParagraph"/>
              <w:spacing w:before="0"/>
              <w:jc w:val="left"/>
              <w:rPr>
                <w:b/>
                <w:sz w:val="18"/>
              </w:rPr>
            </w:pPr>
          </w:p>
          <w:p>
            <w:pPr>
              <w:pStyle w:val="TableParagraph"/>
              <w:tabs>
                <w:tab w:pos="2081" w:val="left" w:leader="none"/>
              </w:tabs>
              <w:spacing w:line="580" w:lineRule="auto" w:before="125"/>
              <w:ind w:left="558" w:right="379" w:hanging="94"/>
              <w:jc w:val="left"/>
              <w:rPr>
                <w:b/>
                <w:sz w:val="19"/>
              </w:rPr>
            </w:pPr>
            <w:r>
              <w:rPr>
                <w:b/>
                <w:position w:val="1"/>
                <w:sz w:val="19"/>
              </w:rPr>
              <w:t>LD</w:t>
            </w:r>
            <w:r>
              <w:rPr>
                <w:b/>
                <w:sz w:val="12"/>
              </w:rPr>
              <w:t>50 </w:t>
            </w:r>
            <w:r>
              <w:rPr>
                <w:b/>
                <w:position w:val="1"/>
                <w:sz w:val="19"/>
              </w:rPr>
              <w:t>para la rata (mg/kg</w:t>
            </w:r>
            <w:r>
              <w:rPr>
                <w:b/>
                <w:spacing w:val="-11"/>
                <w:position w:val="1"/>
                <w:sz w:val="19"/>
              </w:rPr>
              <w:t> </w:t>
            </w:r>
            <w:r>
              <w:rPr>
                <w:b/>
                <w:position w:val="1"/>
                <w:sz w:val="19"/>
              </w:rPr>
              <w:t>peso) </w:t>
            </w:r>
            <w:r>
              <w:rPr>
                <w:b/>
                <w:sz w:val="19"/>
              </w:rPr>
              <w:t>Oral</w:t>
              <w:tab/>
              <w:t>Dérmico</w:t>
            </w:r>
          </w:p>
        </w:tc>
      </w:tr>
      <w:tr>
        <w:trPr>
          <w:trHeight w:val="622" w:hRule="exact"/>
        </w:trPr>
        <w:tc>
          <w:tcPr>
            <w:tcW w:w="1615" w:type="dxa"/>
            <w:shd w:val="clear" w:color="auto" w:fill="92F5DE"/>
          </w:tcPr>
          <w:p>
            <w:pPr>
              <w:pStyle w:val="TableParagraph"/>
              <w:spacing w:before="0"/>
              <w:jc w:val="left"/>
              <w:rPr>
                <w:b/>
                <w:sz w:val="18"/>
              </w:rPr>
            </w:pPr>
          </w:p>
          <w:p>
            <w:pPr>
              <w:pStyle w:val="TableParagraph"/>
              <w:spacing w:before="104"/>
              <w:ind w:left="703"/>
              <w:jc w:val="left"/>
              <w:rPr>
                <w:sz w:val="18"/>
              </w:rPr>
            </w:pPr>
            <w:r>
              <w:rPr>
                <w:sz w:val="18"/>
              </w:rPr>
              <w:t>Ia</w:t>
            </w:r>
          </w:p>
        </w:tc>
        <w:tc>
          <w:tcPr>
            <w:tcW w:w="3518" w:type="dxa"/>
            <w:shd w:val="clear" w:color="auto" w:fill="92F5DE"/>
          </w:tcPr>
          <w:p>
            <w:pPr>
              <w:pStyle w:val="TableParagraph"/>
              <w:spacing w:before="0"/>
              <w:jc w:val="left"/>
              <w:rPr>
                <w:b/>
                <w:sz w:val="18"/>
              </w:rPr>
            </w:pPr>
          </w:p>
          <w:p>
            <w:pPr>
              <w:pStyle w:val="TableParagraph"/>
              <w:spacing w:before="104"/>
              <w:ind w:left="807" w:right="778"/>
              <w:rPr>
                <w:sz w:val="18"/>
              </w:rPr>
            </w:pPr>
            <w:r>
              <w:rPr>
                <w:sz w:val="18"/>
              </w:rPr>
              <w:t>Extremadamente tóxico</w:t>
            </w:r>
          </w:p>
        </w:tc>
        <w:tc>
          <w:tcPr>
            <w:tcW w:w="1299" w:type="dxa"/>
            <w:shd w:val="clear" w:color="auto" w:fill="92F5DE"/>
          </w:tcPr>
          <w:p>
            <w:pPr>
              <w:pStyle w:val="TableParagraph"/>
              <w:spacing w:before="0"/>
              <w:jc w:val="left"/>
              <w:rPr>
                <w:b/>
                <w:sz w:val="18"/>
              </w:rPr>
            </w:pPr>
          </w:p>
          <w:p>
            <w:pPr>
              <w:pStyle w:val="TableParagraph"/>
              <w:spacing w:before="104"/>
              <w:ind w:left="206" w:right="10"/>
              <w:rPr>
                <w:sz w:val="18"/>
              </w:rPr>
            </w:pPr>
            <w:r>
              <w:rPr>
                <w:sz w:val="18"/>
              </w:rPr>
              <w:t>&lt;5</w:t>
            </w:r>
          </w:p>
        </w:tc>
        <w:tc>
          <w:tcPr>
            <w:tcW w:w="2214" w:type="dxa"/>
            <w:shd w:val="clear" w:color="auto" w:fill="92F5DE"/>
          </w:tcPr>
          <w:p>
            <w:pPr>
              <w:pStyle w:val="TableParagraph"/>
              <w:spacing w:before="0"/>
              <w:jc w:val="left"/>
              <w:rPr>
                <w:b/>
                <w:sz w:val="18"/>
              </w:rPr>
            </w:pPr>
          </w:p>
          <w:p>
            <w:pPr>
              <w:pStyle w:val="TableParagraph"/>
              <w:spacing w:before="104"/>
              <w:ind w:left="863" w:right="747"/>
              <w:rPr>
                <w:sz w:val="18"/>
              </w:rPr>
            </w:pPr>
            <w:r>
              <w:rPr>
                <w:sz w:val="18"/>
              </w:rPr>
              <w:t>&lt;50</w:t>
            </w:r>
          </w:p>
        </w:tc>
      </w:tr>
      <w:tr>
        <w:trPr>
          <w:trHeight w:val="384" w:hRule="exact"/>
        </w:trPr>
        <w:tc>
          <w:tcPr>
            <w:tcW w:w="1615" w:type="dxa"/>
            <w:shd w:val="clear" w:color="auto" w:fill="00C5C0"/>
          </w:tcPr>
          <w:p>
            <w:pPr>
              <w:pStyle w:val="TableParagraph"/>
              <w:spacing w:before="35"/>
              <w:ind w:left="703"/>
              <w:jc w:val="left"/>
              <w:rPr>
                <w:sz w:val="18"/>
              </w:rPr>
            </w:pPr>
            <w:r>
              <w:rPr>
                <w:sz w:val="18"/>
              </w:rPr>
              <w:t>Ib</w:t>
            </w:r>
          </w:p>
        </w:tc>
        <w:tc>
          <w:tcPr>
            <w:tcW w:w="3518" w:type="dxa"/>
            <w:shd w:val="clear" w:color="auto" w:fill="00C5C0"/>
          </w:tcPr>
          <w:p>
            <w:pPr>
              <w:pStyle w:val="TableParagraph"/>
              <w:spacing w:before="35"/>
              <w:ind w:left="807" w:right="777"/>
              <w:rPr>
                <w:sz w:val="18"/>
              </w:rPr>
            </w:pPr>
            <w:r>
              <w:rPr>
                <w:sz w:val="18"/>
              </w:rPr>
              <w:t>Altamente tóxico</w:t>
            </w:r>
          </w:p>
        </w:tc>
        <w:tc>
          <w:tcPr>
            <w:tcW w:w="1299" w:type="dxa"/>
            <w:shd w:val="clear" w:color="auto" w:fill="00C5C0"/>
          </w:tcPr>
          <w:p>
            <w:pPr>
              <w:pStyle w:val="TableParagraph"/>
              <w:spacing w:before="35"/>
              <w:ind w:left="207" w:right="8"/>
              <w:rPr>
                <w:sz w:val="18"/>
              </w:rPr>
            </w:pPr>
            <w:r>
              <w:rPr>
                <w:sz w:val="18"/>
              </w:rPr>
              <w:t>5-50</w:t>
            </w:r>
          </w:p>
        </w:tc>
        <w:tc>
          <w:tcPr>
            <w:tcW w:w="2214" w:type="dxa"/>
            <w:shd w:val="clear" w:color="auto" w:fill="00C5C0"/>
          </w:tcPr>
          <w:p>
            <w:pPr>
              <w:pStyle w:val="TableParagraph"/>
              <w:spacing w:before="35"/>
              <w:ind w:left="863" w:right="749"/>
              <w:rPr>
                <w:sz w:val="18"/>
              </w:rPr>
            </w:pPr>
            <w:r>
              <w:rPr>
                <w:sz w:val="18"/>
              </w:rPr>
              <w:t>50-200</w:t>
            </w:r>
          </w:p>
        </w:tc>
      </w:tr>
      <w:tr>
        <w:trPr>
          <w:trHeight w:val="310" w:hRule="exact"/>
        </w:trPr>
        <w:tc>
          <w:tcPr>
            <w:tcW w:w="1615" w:type="dxa"/>
            <w:shd w:val="clear" w:color="auto" w:fill="92F5DE"/>
          </w:tcPr>
          <w:p>
            <w:pPr>
              <w:pStyle w:val="TableParagraph"/>
              <w:spacing w:line="206" w:lineRule="exact" w:before="0"/>
              <w:ind w:left="729"/>
              <w:jc w:val="left"/>
              <w:rPr>
                <w:sz w:val="18"/>
              </w:rPr>
            </w:pPr>
            <w:r>
              <w:rPr>
                <w:sz w:val="18"/>
              </w:rPr>
              <w:t>II</w:t>
            </w:r>
          </w:p>
        </w:tc>
        <w:tc>
          <w:tcPr>
            <w:tcW w:w="3518" w:type="dxa"/>
            <w:shd w:val="clear" w:color="auto" w:fill="92F5DE"/>
          </w:tcPr>
          <w:p>
            <w:pPr>
              <w:pStyle w:val="TableParagraph"/>
              <w:spacing w:line="206" w:lineRule="exact" w:before="0"/>
              <w:ind w:left="804" w:right="778"/>
              <w:rPr>
                <w:sz w:val="18"/>
              </w:rPr>
            </w:pPr>
            <w:r>
              <w:rPr>
                <w:sz w:val="18"/>
              </w:rPr>
              <w:t>Moderadamente tóxico</w:t>
            </w:r>
          </w:p>
        </w:tc>
        <w:tc>
          <w:tcPr>
            <w:tcW w:w="1299" w:type="dxa"/>
            <w:shd w:val="clear" w:color="auto" w:fill="92F5DE"/>
          </w:tcPr>
          <w:p>
            <w:pPr>
              <w:pStyle w:val="TableParagraph"/>
              <w:spacing w:line="206" w:lineRule="exact" w:before="0"/>
              <w:ind w:left="207" w:right="7"/>
              <w:rPr>
                <w:sz w:val="18"/>
              </w:rPr>
            </w:pPr>
            <w:r>
              <w:rPr>
                <w:sz w:val="18"/>
              </w:rPr>
              <w:t>50-2000</w:t>
            </w:r>
          </w:p>
        </w:tc>
        <w:tc>
          <w:tcPr>
            <w:tcW w:w="2214" w:type="dxa"/>
            <w:shd w:val="clear" w:color="auto" w:fill="92F5DE"/>
          </w:tcPr>
          <w:p>
            <w:pPr>
              <w:pStyle w:val="TableParagraph"/>
              <w:spacing w:line="206" w:lineRule="exact" w:before="0"/>
              <w:ind w:left="783"/>
              <w:jc w:val="left"/>
              <w:rPr>
                <w:sz w:val="18"/>
              </w:rPr>
            </w:pPr>
            <w:r>
              <w:rPr>
                <w:sz w:val="18"/>
              </w:rPr>
              <w:t>200-2000</w:t>
            </w:r>
          </w:p>
        </w:tc>
      </w:tr>
      <w:tr>
        <w:trPr>
          <w:trHeight w:val="310" w:hRule="exact"/>
        </w:trPr>
        <w:tc>
          <w:tcPr>
            <w:tcW w:w="1615" w:type="dxa"/>
            <w:shd w:val="clear" w:color="auto" w:fill="00C5C0"/>
          </w:tcPr>
          <w:p>
            <w:pPr>
              <w:pStyle w:val="TableParagraph"/>
              <w:spacing w:line="207" w:lineRule="exact" w:before="0"/>
              <w:ind w:left="703"/>
              <w:jc w:val="left"/>
              <w:rPr>
                <w:sz w:val="18"/>
              </w:rPr>
            </w:pPr>
            <w:r>
              <w:rPr>
                <w:sz w:val="18"/>
              </w:rPr>
              <w:t>III</w:t>
            </w:r>
          </w:p>
        </w:tc>
        <w:tc>
          <w:tcPr>
            <w:tcW w:w="3518" w:type="dxa"/>
            <w:shd w:val="clear" w:color="auto" w:fill="00C5C0"/>
          </w:tcPr>
          <w:p>
            <w:pPr>
              <w:pStyle w:val="TableParagraph"/>
              <w:spacing w:line="207" w:lineRule="exact" w:before="0"/>
              <w:ind w:left="805" w:right="778"/>
              <w:rPr>
                <w:sz w:val="18"/>
              </w:rPr>
            </w:pPr>
            <w:r>
              <w:rPr>
                <w:sz w:val="18"/>
              </w:rPr>
              <w:t>Ligeramente tóxico</w:t>
            </w:r>
          </w:p>
        </w:tc>
        <w:tc>
          <w:tcPr>
            <w:tcW w:w="1299" w:type="dxa"/>
            <w:shd w:val="clear" w:color="auto" w:fill="00C5C0"/>
          </w:tcPr>
          <w:p>
            <w:pPr>
              <w:pStyle w:val="TableParagraph"/>
              <w:spacing w:line="207" w:lineRule="exact" w:before="0"/>
              <w:ind w:left="207" w:right="10"/>
              <w:rPr>
                <w:sz w:val="18"/>
              </w:rPr>
            </w:pPr>
            <w:r>
              <w:rPr>
                <w:sz w:val="18"/>
              </w:rPr>
              <w:t>Más de 2000</w:t>
            </w:r>
          </w:p>
        </w:tc>
        <w:tc>
          <w:tcPr>
            <w:tcW w:w="2214" w:type="dxa"/>
            <w:shd w:val="clear" w:color="auto" w:fill="00C5C0"/>
          </w:tcPr>
          <w:p>
            <w:pPr>
              <w:pStyle w:val="TableParagraph"/>
              <w:spacing w:line="207" w:lineRule="exact" w:before="0"/>
              <w:ind w:left="641"/>
              <w:jc w:val="left"/>
              <w:rPr>
                <w:sz w:val="18"/>
              </w:rPr>
            </w:pPr>
            <w:r>
              <w:rPr>
                <w:sz w:val="18"/>
              </w:rPr>
              <w:t>Más de 2000</w:t>
            </w:r>
          </w:p>
        </w:tc>
      </w:tr>
      <w:tr>
        <w:trPr>
          <w:trHeight w:val="622" w:hRule="exact"/>
        </w:trPr>
        <w:tc>
          <w:tcPr>
            <w:tcW w:w="1615" w:type="dxa"/>
            <w:shd w:val="clear" w:color="auto" w:fill="92F5DE"/>
          </w:tcPr>
          <w:p>
            <w:pPr>
              <w:pStyle w:val="TableParagraph"/>
              <w:spacing w:before="155"/>
              <w:ind w:left="719"/>
              <w:jc w:val="left"/>
              <w:rPr>
                <w:sz w:val="18"/>
              </w:rPr>
            </w:pPr>
            <w:r>
              <w:rPr>
                <w:w w:val="100"/>
                <w:sz w:val="18"/>
              </w:rPr>
              <w:t>V</w:t>
            </w:r>
          </w:p>
        </w:tc>
        <w:tc>
          <w:tcPr>
            <w:tcW w:w="3518" w:type="dxa"/>
            <w:shd w:val="clear" w:color="auto" w:fill="92F5DE"/>
          </w:tcPr>
          <w:p>
            <w:pPr>
              <w:pStyle w:val="TableParagraph"/>
              <w:spacing w:line="362" w:lineRule="auto" w:before="0"/>
              <w:ind w:left="1521" w:right="205" w:hanging="1271"/>
              <w:jc w:val="left"/>
              <w:rPr>
                <w:sz w:val="18"/>
              </w:rPr>
            </w:pPr>
            <w:r>
              <w:rPr>
                <w:sz w:val="18"/>
              </w:rPr>
              <w:t>Poca probabilidad de presentar riesgo agudo</w:t>
            </w:r>
          </w:p>
        </w:tc>
        <w:tc>
          <w:tcPr>
            <w:tcW w:w="1299" w:type="dxa"/>
            <w:shd w:val="clear" w:color="auto" w:fill="92F5DE"/>
          </w:tcPr>
          <w:p>
            <w:pPr/>
          </w:p>
        </w:tc>
        <w:tc>
          <w:tcPr>
            <w:tcW w:w="2214" w:type="dxa"/>
            <w:shd w:val="clear" w:color="auto" w:fill="92F5DE"/>
          </w:tcPr>
          <w:p>
            <w:pPr>
              <w:pStyle w:val="TableParagraph"/>
              <w:spacing w:before="155"/>
              <w:ind w:left="29"/>
              <w:jc w:val="left"/>
              <w:rPr>
                <w:sz w:val="18"/>
              </w:rPr>
            </w:pPr>
            <w:r>
              <w:rPr>
                <w:sz w:val="18"/>
              </w:rPr>
              <w:t>5000 o más</w:t>
            </w:r>
          </w:p>
        </w:tc>
      </w:tr>
    </w:tbl>
    <w:p>
      <w:pPr>
        <w:pStyle w:val="BodyText"/>
        <w:rPr>
          <w:b/>
          <w:sz w:val="20"/>
        </w:rPr>
      </w:pPr>
    </w:p>
    <w:p>
      <w:pPr>
        <w:pStyle w:val="BodyText"/>
        <w:rPr>
          <w:b/>
          <w:sz w:val="20"/>
        </w:rPr>
      </w:pPr>
    </w:p>
    <w:p>
      <w:pPr>
        <w:pStyle w:val="BodyText"/>
        <w:spacing w:before="5"/>
        <w:rPr>
          <w:b/>
          <w:sz w:val="17"/>
        </w:rPr>
      </w:pPr>
    </w:p>
    <w:p>
      <w:pPr>
        <w:pStyle w:val="Heading4"/>
        <w:numPr>
          <w:ilvl w:val="1"/>
          <w:numId w:val="4"/>
        </w:numPr>
        <w:tabs>
          <w:tab w:pos="2838" w:val="left" w:leader="none"/>
        </w:tabs>
        <w:spacing w:line="240" w:lineRule="auto" w:before="69" w:after="0"/>
        <w:ind w:left="2837" w:right="0" w:hanging="567"/>
        <w:jc w:val="left"/>
      </w:pPr>
      <w:r>
        <w:rPr/>
        <w:t>Efectos en la</w:t>
      </w:r>
      <w:r>
        <w:rPr>
          <w:spacing w:val="-5"/>
        </w:rPr>
        <w:t> </w:t>
      </w:r>
      <w:r>
        <w:rPr/>
        <w:t>salud</w:t>
      </w:r>
    </w:p>
    <w:p>
      <w:pPr>
        <w:pStyle w:val="BodyText"/>
        <w:rPr>
          <w:b/>
        </w:rPr>
      </w:pPr>
    </w:p>
    <w:p>
      <w:pPr>
        <w:pStyle w:val="BodyText"/>
        <w:rPr>
          <w:b/>
        </w:rPr>
      </w:pPr>
    </w:p>
    <w:p>
      <w:pPr>
        <w:pStyle w:val="BodyText"/>
        <w:spacing w:line="357" w:lineRule="auto"/>
        <w:ind w:left="1418" w:right="1698"/>
        <w:jc w:val="both"/>
      </w:pPr>
      <w:r>
        <w:rPr/>
        <w:t>Los plaguicidas se emplean ampliamente alrededor del mundo y en recientes años  su uso va en incremento, son contaminantes ambientales que generan grandes cantidades de substancias potencialmente tóxicas</w:t>
      </w:r>
      <w:r>
        <w:rPr>
          <w:position w:val="8"/>
          <w:sz w:val="16"/>
        </w:rPr>
        <w:t>42</w:t>
      </w:r>
      <w:r>
        <w:rPr/>
        <w:t>. A pesar de sus múltiples beneficios en la agricultura y en el control de vectores, su uso excesivo interfiere con el funcionamiento de los procesos biológicos esenciales para la vida, debido a que difieren entre sí en el modo de acción, captación por el organismo, metabolismo, eliminación y toxicidad para el</w:t>
      </w:r>
      <w:r>
        <w:rPr>
          <w:spacing w:val="-10"/>
        </w:rPr>
        <w:t> </w:t>
      </w:r>
      <w:r>
        <w:rPr/>
        <w:t>hombre</w:t>
      </w:r>
      <w:r>
        <w:rPr>
          <w:position w:val="8"/>
          <w:sz w:val="16"/>
        </w:rPr>
        <w:t>43</w:t>
      </w:r>
      <w:r>
        <w:rPr/>
        <w:t>.</w:t>
      </w:r>
    </w:p>
    <w:p>
      <w:pPr>
        <w:pStyle w:val="BodyText"/>
        <w:spacing w:before="2"/>
        <w:rPr>
          <w:sz w:val="36"/>
        </w:rPr>
      </w:pPr>
    </w:p>
    <w:p>
      <w:pPr>
        <w:pStyle w:val="BodyText"/>
        <w:spacing w:line="360" w:lineRule="auto" w:before="1"/>
        <w:ind w:left="1418" w:right="1696"/>
        <w:jc w:val="both"/>
      </w:pPr>
      <w:r>
        <w:rPr/>
        <w:t>La exposición es la concentración que recibe un órgano diana, una vez que el producto químico ha sido absorbido</w:t>
      </w:r>
      <w:r>
        <w:rPr>
          <w:position w:val="8"/>
          <w:sz w:val="16"/>
        </w:rPr>
        <w:t>44</w:t>
      </w:r>
      <w:r>
        <w:rPr/>
        <w:t>, los efectos a la exposición intencional y no intencional de los plaguicidas afectan la salud humana, por ejemplo, los envenenamientos por una exposición originan la muerte de unos 355 000 personas en el mundo cada año. En los países en desarrollo donde se producen las dos terceras partes de estas muertes las intoxicaciones se asocian fuertemente con la exposición excesiva y el uso inadecuado de productos químicos tóxicos, los efectos pueden presentarse inmediatamente o tardar años en manifestarse</w:t>
      </w:r>
      <w:r>
        <w:rPr>
          <w:position w:val="8"/>
          <w:sz w:val="16"/>
        </w:rPr>
        <w:t>36</w:t>
      </w:r>
      <w:r>
        <w:rPr/>
        <w:t>.</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60" w:lineRule="auto" w:before="69"/>
        <w:ind w:left="1418" w:right="1698"/>
        <w:jc w:val="both"/>
      </w:pPr>
      <w:r>
        <w:rPr/>
        <w:t>Por lo que, los efectos de los plaguicidas en la salud dependen del tipo de plaguicida, la dosis, la vía y el tiempo de exposición así como de la susceptibilidad del  organismo expuesto. Las vías por las que estos compuestos ingresan al organismo son dérmica, respiratoria y digestiva. Las dos primeras son las rutas más comunes  de penetración en el ámbito laboral. Las vías respiratoria y dérmica están estrechamente relacionadas con la exposición en las distintas operaciones en que se pueden manipular este tipo de</w:t>
      </w:r>
      <w:r>
        <w:rPr>
          <w:spacing w:val="-14"/>
        </w:rPr>
        <w:t> </w:t>
      </w:r>
      <w:r>
        <w:rPr/>
        <w:t>productos</w:t>
      </w:r>
      <w:r>
        <w:rPr>
          <w:position w:val="8"/>
          <w:sz w:val="16"/>
        </w:rPr>
        <w:t>45</w:t>
      </w:r>
      <w:r>
        <w:rPr/>
        <w:t>.</w:t>
      </w:r>
    </w:p>
    <w:p>
      <w:pPr>
        <w:pStyle w:val="BodyText"/>
        <w:rPr>
          <w:sz w:val="36"/>
        </w:rPr>
      </w:pPr>
    </w:p>
    <w:p>
      <w:pPr>
        <w:pStyle w:val="BodyText"/>
        <w:spacing w:line="357" w:lineRule="auto" w:before="1"/>
        <w:ind w:left="1418" w:right="1696"/>
        <w:jc w:val="both"/>
      </w:pPr>
      <w:r>
        <w:rPr/>
        <w:t>Anualmente se reconocen alrededor de 375 000 casos de intoxicaciones en  el mundo las cuales provocan diversos efectos sistémicos</w:t>
      </w:r>
      <w:r>
        <w:rPr>
          <w:position w:val="8"/>
          <w:sz w:val="16"/>
        </w:rPr>
        <w:t>30</w:t>
      </w:r>
      <w:r>
        <w:rPr/>
        <w:t>, y se describen dos tipos  de efectos tóxicos: agudos y crónicos (Tabla</w:t>
      </w:r>
      <w:r>
        <w:rPr>
          <w:spacing w:val="-16"/>
        </w:rPr>
        <w:t> </w:t>
      </w:r>
      <w:r>
        <w:rPr/>
        <w:t>4).</w:t>
      </w:r>
    </w:p>
    <w:p>
      <w:pPr>
        <w:pStyle w:val="BodyText"/>
      </w:pPr>
    </w:p>
    <w:p>
      <w:pPr>
        <w:spacing w:before="141"/>
        <w:ind w:left="1778" w:right="1703" w:firstLine="0"/>
        <w:jc w:val="left"/>
        <w:rPr>
          <w:i/>
          <w:sz w:val="24"/>
        </w:rPr>
      </w:pPr>
      <w:r>
        <w:rPr>
          <w:rFonts w:ascii="Courier New" w:hAnsi="Courier New"/>
          <w:b/>
          <w:sz w:val="32"/>
        </w:rPr>
        <w:t>ͽ </w:t>
      </w:r>
      <w:r>
        <w:rPr>
          <w:i/>
          <w:sz w:val="24"/>
        </w:rPr>
        <w:t>Efectos agudos</w:t>
      </w:r>
    </w:p>
    <w:p>
      <w:pPr>
        <w:pStyle w:val="BodyText"/>
        <w:spacing w:line="360" w:lineRule="auto" w:before="94"/>
        <w:ind w:left="2126" w:right="1702"/>
        <w:jc w:val="both"/>
      </w:pPr>
      <w:r>
        <w:rPr/>
        <w:t>El riesgo principal en la exposición aguda a plaguicidas es el periodo muy corto en el que se lleva la exposición, por lo que los efectos en la salud son inmediatos e incluyen dolor de cabeza, nauseas, vomito, rinorrea, broncoespasmos, irritación en la piel; pero si los plaguicidas son de elevada toxicidad y a su vez fácilmente metabolizados y eliminados, pueden llevar a la muerte o enfermedades</w:t>
      </w:r>
      <w:r>
        <w:rPr>
          <w:spacing w:val="-12"/>
        </w:rPr>
        <w:t> </w:t>
      </w:r>
      <w:r>
        <w:rPr/>
        <w:t>graves</w:t>
      </w:r>
      <w:r>
        <w:rPr>
          <w:position w:val="8"/>
          <w:sz w:val="16"/>
        </w:rPr>
        <w:t>46</w:t>
      </w:r>
      <w:r>
        <w:rPr/>
        <w:t>.</w:t>
      </w:r>
    </w:p>
    <w:p>
      <w:pPr>
        <w:pStyle w:val="BodyText"/>
        <w:spacing w:before="11"/>
        <w:rPr>
          <w:sz w:val="35"/>
        </w:rPr>
      </w:pPr>
    </w:p>
    <w:p>
      <w:pPr>
        <w:pStyle w:val="BodyText"/>
        <w:ind w:left="1778" w:right="1703"/>
      </w:pPr>
      <w:r>
        <w:rPr>
          <w:rFonts w:ascii="Courier New" w:hAnsi="Courier New"/>
          <w:b/>
          <w:sz w:val="32"/>
        </w:rPr>
        <w:t>ͽ </w:t>
      </w:r>
      <w:r>
        <w:rPr/>
        <w:t>Efectos crónicos</w:t>
      </w:r>
    </w:p>
    <w:p>
      <w:pPr>
        <w:pStyle w:val="BodyText"/>
        <w:spacing w:line="357" w:lineRule="auto" w:before="91"/>
        <w:ind w:left="2126" w:right="1697"/>
        <w:jc w:val="both"/>
      </w:pPr>
      <w:r>
        <w:rPr/>
        <w:t>En la exposición crónica los plaguicidas presentan menor toxicidad aguda, pero tienen gran tendencia a acumularse en el organismo a bajas concentraciones</w:t>
      </w:r>
      <w:r>
        <w:rPr>
          <w:position w:val="8"/>
          <w:sz w:val="16"/>
        </w:rPr>
        <w:t>43</w:t>
      </w:r>
      <w:r>
        <w:rPr/>
        <w:t>. Los efectos son más peligrosos y van desde reacción alérgica hasta el desarrollo de enfermedades crónico-degenerativas, tales como cáncer, alteraciones en sistema nervioso, reproductor, respiratorio, inmune, renal, endocrino y cardiovascular </w:t>
      </w:r>
      <w:r>
        <w:rPr>
          <w:position w:val="8"/>
          <w:sz w:val="16"/>
        </w:rPr>
        <w:t>30, 42</w:t>
      </w:r>
      <w:r>
        <w:rPr/>
        <w:t>. Estos efectos ocurren cuando los individuos están expuestos continua y repetidamente a los</w:t>
      </w:r>
      <w:r>
        <w:rPr>
          <w:spacing w:val="-22"/>
        </w:rPr>
        <w:t> </w:t>
      </w:r>
      <w:r>
        <w:rPr/>
        <w:t>plaguicidas</w:t>
      </w:r>
      <w:r>
        <w:rPr>
          <w:position w:val="8"/>
          <w:sz w:val="16"/>
        </w:rPr>
        <w:t>47</w:t>
      </w:r>
      <w:r>
        <w:rPr/>
        <w:t>.</w:t>
      </w:r>
    </w:p>
    <w:p>
      <w:pPr>
        <w:spacing w:after="0" w:line="357" w:lineRule="auto"/>
        <w:jc w:val="both"/>
        <w:sectPr>
          <w:pgSz w:w="12240" w:h="15840"/>
          <w:pgMar w:header="0" w:footer="599" w:top="1500" w:bottom="780" w:left="0" w:right="0"/>
        </w:sectPr>
      </w:pPr>
    </w:p>
    <w:p>
      <w:pPr>
        <w:pStyle w:val="BodyText"/>
        <w:spacing w:before="10"/>
        <w:rPr>
          <w:sz w:val="10"/>
        </w:rPr>
      </w:pPr>
    </w:p>
    <w:p>
      <w:pPr>
        <w:spacing w:before="74"/>
        <w:ind w:left="1512" w:right="1703" w:firstLine="0"/>
        <w:jc w:val="left"/>
        <w:rPr>
          <w:b/>
          <w:sz w:val="20"/>
        </w:rPr>
      </w:pPr>
      <w:r>
        <w:rPr>
          <w:b/>
          <w:sz w:val="20"/>
        </w:rPr>
        <w:t>Tabla 4. Efectos sobre la salud</w:t>
      </w:r>
    </w:p>
    <w:p>
      <w:pPr>
        <w:pStyle w:val="BodyText"/>
        <w:spacing w:before="7"/>
        <w:rPr>
          <w:b/>
          <w:sz w:val="27"/>
        </w:rPr>
      </w:pPr>
    </w:p>
    <w:tbl>
      <w:tblPr>
        <w:tblW w:w="0" w:type="auto"/>
        <w:jc w:val="left"/>
        <w:tblInd w:w="14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48"/>
        <w:gridCol w:w="3440"/>
        <w:gridCol w:w="3862"/>
      </w:tblGrid>
      <w:tr>
        <w:trPr>
          <w:trHeight w:val="890" w:hRule="exact"/>
        </w:trPr>
        <w:tc>
          <w:tcPr>
            <w:tcW w:w="9150" w:type="dxa"/>
            <w:gridSpan w:val="3"/>
            <w:shd w:val="clear" w:color="auto" w:fill="00C5C0"/>
          </w:tcPr>
          <w:p>
            <w:pPr>
              <w:pStyle w:val="TableParagraph"/>
              <w:tabs>
                <w:tab w:pos="2534" w:val="left" w:leader="none"/>
                <w:tab w:pos="6502" w:val="left" w:leader="none"/>
              </w:tabs>
              <w:spacing w:line="360" w:lineRule="auto" w:before="0"/>
              <w:ind w:left="388" w:right="1214" w:firstLine="124"/>
              <w:jc w:val="left"/>
              <w:rPr>
                <w:b/>
                <w:sz w:val="20"/>
              </w:rPr>
            </w:pPr>
            <w:r>
              <w:rPr>
                <w:b/>
                <w:sz w:val="20"/>
              </w:rPr>
              <w:t>Clase</w:t>
            </w:r>
            <w:r>
              <w:rPr>
                <w:b/>
                <w:spacing w:val="-1"/>
                <w:sz w:val="20"/>
              </w:rPr>
              <w:t> </w:t>
            </w:r>
            <w:r>
              <w:rPr>
                <w:b/>
                <w:sz w:val="20"/>
              </w:rPr>
              <w:t>de</w:t>
              <w:tab/>
              <w:t>Mecanismo</w:t>
            </w:r>
            <w:r>
              <w:rPr>
                <w:b/>
                <w:spacing w:val="-1"/>
                <w:sz w:val="20"/>
              </w:rPr>
              <w:t> </w:t>
            </w:r>
            <w:r>
              <w:rPr>
                <w:b/>
                <w:sz w:val="20"/>
              </w:rPr>
              <w:t>de</w:t>
            </w:r>
            <w:r>
              <w:rPr>
                <w:b/>
                <w:spacing w:val="-2"/>
                <w:sz w:val="20"/>
              </w:rPr>
              <w:t> </w:t>
            </w:r>
            <w:r>
              <w:rPr>
                <w:b/>
                <w:sz w:val="20"/>
              </w:rPr>
              <w:t>acción</w:t>
              <w:tab/>
              <w:t>Efecto</w:t>
            </w:r>
            <w:r>
              <w:rPr>
                <w:b/>
                <w:spacing w:val="-5"/>
                <w:sz w:val="20"/>
              </w:rPr>
              <w:t> </w:t>
            </w:r>
            <w:r>
              <w:rPr>
                <w:b/>
                <w:sz w:val="20"/>
              </w:rPr>
              <w:t>adverso</w:t>
            </w:r>
            <w:r>
              <w:rPr>
                <w:b/>
                <w:w w:val="99"/>
                <w:sz w:val="20"/>
              </w:rPr>
              <w:t> </w:t>
            </w:r>
            <w:r>
              <w:rPr>
                <w:b/>
                <w:sz w:val="20"/>
              </w:rPr>
              <w:t>compuesto</w:t>
            </w:r>
          </w:p>
        </w:tc>
      </w:tr>
      <w:tr>
        <w:trPr>
          <w:trHeight w:val="3320" w:hRule="exact"/>
        </w:trPr>
        <w:tc>
          <w:tcPr>
            <w:tcW w:w="1848" w:type="dxa"/>
            <w:tcBorders>
              <w:right w:val="single" w:sz="4" w:space="0" w:color="000000"/>
            </w:tcBorders>
            <w:shd w:val="clear" w:color="auto" w:fill="92F5DE"/>
          </w:tcPr>
          <w:p>
            <w:pPr>
              <w:pStyle w:val="TableParagraph"/>
              <w:spacing w:before="0"/>
              <w:jc w:val="left"/>
              <w:rPr>
                <w:b/>
                <w:sz w:val="20"/>
              </w:rPr>
            </w:pPr>
          </w:p>
          <w:p>
            <w:pPr>
              <w:pStyle w:val="TableParagraph"/>
              <w:spacing w:before="0"/>
              <w:jc w:val="left"/>
              <w:rPr>
                <w:b/>
                <w:sz w:val="20"/>
              </w:rPr>
            </w:pPr>
          </w:p>
          <w:p>
            <w:pPr>
              <w:pStyle w:val="TableParagraph"/>
              <w:spacing w:before="0"/>
              <w:jc w:val="left"/>
              <w:rPr>
                <w:b/>
                <w:sz w:val="20"/>
              </w:rPr>
            </w:pPr>
          </w:p>
          <w:p>
            <w:pPr>
              <w:pStyle w:val="TableParagraph"/>
              <w:spacing w:before="0"/>
              <w:jc w:val="left"/>
              <w:rPr>
                <w:b/>
                <w:sz w:val="20"/>
              </w:rPr>
            </w:pPr>
          </w:p>
          <w:p>
            <w:pPr>
              <w:pStyle w:val="TableParagraph"/>
              <w:spacing w:before="0"/>
              <w:jc w:val="left"/>
              <w:rPr>
                <w:b/>
                <w:sz w:val="20"/>
              </w:rPr>
            </w:pPr>
          </w:p>
          <w:p>
            <w:pPr>
              <w:pStyle w:val="TableParagraph"/>
              <w:spacing w:before="179"/>
              <w:ind w:left="100" w:right="101"/>
              <w:rPr>
                <w:sz w:val="20"/>
              </w:rPr>
            </w:pPr>
            <w:r>
              <w:rPr>
                <w:sz w:val="20"/>
              </w:rPr>
              <w:t>Organoclorados</w:t>
            </w:r>
          </w:p>
        </w:tc>
        <w:tc>
          <w:tcPr>
            <w:tcW w:w="3440" w:type="dxa"/>
            <w:tcBorders>
              <w:left w:val="single" w:sz="4" w:space="0" w:color="000000"/>
              <w:right w:val="single" w:sz="4" w:space="0" w:color="000000"/>
            </w:tcBorders>
            <w:shd w:val="clear" w:color="auto" w:fill="92F5DE"/>
          </w:tcPr>
          <w:p>
            <w:pPr>
              <w:pStyle w:val="TableParagraph"/>
              <w:spacing w:before="10"/>
              <w:jc w:val="left"/>
              <w:rPr>
                <w:b/>
                <w:sz w:val="22"/>
              </w:rPr>
            </w:pPr>
          </w:p>
          <w:p>
            <w:pPr>
              <w:pStyle w:val="TableParagraph"/>
              <w:numPr>
                <w:ilvl w:val="0"/>
                <w:numId w:val="6"/>
              </w:numPr>
              <w:tabs>
                <w:tab w:pos="315" w:val="left" w:leader="none"/>
              </w:tabs>
              <w:spacing w:line="276" w:lineRule="auto" w:before="0" w:after="0"/>
              <w:ind w:left="314" w:right="101" w:hanging="218"/>
              <w:jc w:val="both"/>
              <w:rPr>
                <w:sz w:val="20"/>
              </w:rPr>
            </w:pPr>
            <w:r>
              <w:rPr>
                <w:sz w:val="20"/>
              </w:rPr>
              <w:t>Actúa a nivel del sistema  nervioso</w:t>
            </w:r>
            <w:r>
              <w:rPr>
                <w:spacing w:val="-8"/>
                <w:sz w:val="20"/>
              </w:rPr>
              <w:t> </w:t>
            </w:r>
            <w:r>
              <w:rPr>
                <w:sz w:val="20"/>
              </w:rPr>
              <w:t>central.</w:t>
            </w:r>
          </w:p>
          <w:p>
            <w:pPr>
              <w:pStyle w:val="TableParagraph"/>
              <w:spacing w:before="0"/>
              <w:jc w:val="left"/>
              <w:rPr>
                <w:b/>
                <w:sz w:val="20"/>
              </w:rPr>
            </w:pPr>
          </w:p>
          <w:p>
            <w:pPr>
              <w:pStyle w:val="TableParagraph"/>
              <w:spacing w:before="0"/>
              <w:jc w:val="left"/>
              <w:rPr>
                <w:b/>
                <w:sz w:val="20"/>
              </w:rPr>
            </w:pPr>
          </w:p>
          <w:p>
            <w:pPr>
              <w:pStyle w:val="TableParagraph"/>
              <w:spacing w:before="9"/>
              <w:jc w:val="left"/>
              <w:rPr>
                <w:b/>
                <w:sz w:val="17"/>
              </w:rPr>
            </w:pPr>
          </w:p>
          <w:p>
            <w:pPr>
              <w:pStyle w:val="TableParagraph"/>
              <w:numPr>
                <w:ilvl w:val="0"/>
                <w:numId w:val="6"/>
              </w:numPr>
              <w:tabs>
                <w:tab w:pos="315" w:val="left" w:leader="none"/>
              </w:tabs>
              <w:spacing w:line="273" w:lineRule="auto" w:before="1" w:after="0"/>
              <w:ind w:left="314" w:right="102" w:hanging="218"/>
              <w:jc w:val="both"/>
              <w:rPr>
                <w:sz w:val="20"/>
              </w:rPr>
            </w:pPr>
            <w:r>
              <w:rPr>
                <w:sz w:val="20"/>
              </w:rPr>
              <w:t>Altera propiedades electrofisioló- gicas y enzimáticas de las membranas</w:t>
            </w:r>
            <w:r>
              <w:rPr>
                <w:spacing w:val="-6"/>
                <w:sz w:val="20"/>
              </w:rPr>
              <w:t> </w:t>
            </w:r>
            <w:r>
              <w:rPr>
                <w:sz w:val="20"/>
              </w:rPr>
              <w:t>neuronales</w:t>
            </w:r>
            <w:r>
              <w:rPr>
                <w:position w:val="8"/>
                <w:sz w:val="16"/>
              </w:rPr>
              <w:t>112</w:t>
            </w:r>
            <w:r>
              <w:rPr>
                <w:sz w:val="20"/>
              </w:rPr>
              <w:t>.</w:t>
            </w:r>
          </w:p>
        </w:tc>
        <w:tc>
          <w:tcPr>
            <w:tcW w:w="3862" w:type="dxa"/>
            <w:tcBorders>
              <w:left w:val="single" w:sz="4" w:space="0" w:color="000000"/>
            </w:tcBorders>
            <w:shd w:val="clear" w:color="auto" w:fill="92F5DE"/>
          </w:tcPr>
          <w:p>
            <w:pPr>
              <w:pStyle w:val="TableParagraph"/>
              <w:spacing w:before="2"/>
              <w:jc w:val="left"/>
              <w:rPr>
                <w:b/>
                <w:sz w:val="24"/>
              </w:rPr>
            </w:pPr>
          </w:p>
          <w:p>
            <w:pPr>
              <w:pStyle w:val="TableParagraph"/>
              <w:spacing w:line="448" w:lineRule="auto" w:before="0"/>
              <w:ind w:left="103" w:right="1361"/>
              <w:jc w:val="left"/>
              <w:rPr>
                <w:sz w:val="20"/>
              </w:rPr>
            </w:pPr>
            <w:r>
              <w:rPr>
                <w:sz w:val="20"/>
              </w:rPr>
              <w:t>Pérdida de peso corporal Hepatotoxicidad Afecciones gástricas Carcinogénesis</w:t>
            </w:r>
          </w:p>
          <w:p>
            <w:pPr>
              <w:pStyle w:val="TableParagraph"/>
              <w:spacing w:before="6"/>
              <w:ind w:left="103" w:right="1361"/>
              <w:jc w:val="left"/>
              <w:rPr>
                <w:sz w:val="20"/>
              </w:rPr>
            </w:pPr>
            <w:r>
              <w:rPr>
                <w:sz w:val="20"/>
              </w:rPr>
              <w:t>Efectos inmunotóxicos</w:t>
            </w:r>
          </w:p>
          <w:p>
            <w:pPr>
              <w:pStyle w:val="TableParagraph"/>
              <w:spacing w:before="1"/>
              <w:jc w:val="left"/>
              <w:rPr>
                <w:b/>
                <w:sz w:val="17"/>
              </w:rPr>
            </w:pPr>
          </w:p>
          <w:p>
            <w:pPr>
              <w:pStyle w:val="TableParagraph"/>
              <w:spacing w:before="0"/>
              <w:ind w:left="103" w:right="108"/>
              <w:jc w:val="both"/>
              <w:rPr>
                <w:sz w:val="20"/>
              </w:rPr>
            </w:pPr>
            <w:r>
              <w:rPr>
                <w:sz w:val="20"/>
              </w:rPr>
              <w:t>Alteraciones en el desarrollo, función reproductora, sistema nervioso y endocrino</w:t>
            </w:r>
          </w:p>
        </w:tc>
      </w:tr>
      <w:tr>
        <w:trPr>
          <w:trHeight w:val="3101" w:hRule="exact"/>
        </w:trPr>
        <w:tc>
          <w:tcPr>
            <w:tcW w:w="1848" w:type="dxa"/>
            <w:tcBorders>
              <w:right w:val="single" w:sz="4" w:space="0" w:color="000000"/>
            </w:tcBorders>
            <w:shd w:val="clear" w:color="auto" w:fill="00EAE3"/>
          </w:tcPr>
          <w:p>
            <w:pPr>
              <w:pStyle w:val="TableParagraph"/>
              <w:spacing w:before="0"/>
              <w:jc w:val="left"/>
              <w:rPr>
                <w:b/>
                <w:sz w:val="20"/>
              </w:rPr>
            </w:pPr>
          </w:p>
          <w:p>
            <w:pPr>
              <w:pStyle w:val="TableParagraph"/>
              <w:spacing w:before="0"/>
              <w:jc w:val="left"/>
              <w:rPr>
                <w:b/>
                <w:sz w:val="20"/>
              </w:rPr>
            </w:pPr>
          </w:p>
          <w:p>
            <w:pPr>
              <w:pStyle w:val="TableParagraph"/>
              <w:spacing w:before="0"/>
              <w:jc w:val="left"/>
              <w:rPr>
                <w:b/>
                <w:sz w:val="20"/>
              </w:rPr>
            </w:pPr>
          </w:p>
          <w:p>
            <w:pPr>
              <w:pStyle w:val="TableParagraph"/>
              <w:spacing w:before="0"/>
              <w:jc w:val="left"/>
              <w:rPr>
                <w:b/>
                <w:sz w:val="20"/>
              </w:rPr>
            </w:pPr>
          </w:p>
          <w:p>
            <w:pPr>
              <w:pStyle w:val="TableParagraph"/>
              <w:spacing w:before="0"/>
              <w:jc w:val="left"/>
              <w:rPr>
                <w:b/>
                <w:sz w:val="20"/>
              </w:rPr>
            </w:pPr>
          </w:p>
          <w:p>
            <w:pPr>
              <w:pStyle w:val="TableParagraph"/>
              <w:spacing w:before="1"/>
              <w:jc w:val="left"/>
              <w:rPr>
                <w:b/>
                <w:sz w:val="24"/>
              </w:rPr>
            </w:pPr>
          </w:p>
          <w:p>
            <w:pPr>
              <w:pStyle w:val="TableParagraph"/>
              <w:spacing w:before="0"/>
              <w:ind w:left="101" w:right="101"/>
              <w:rPr>
                <w:sz w:val="20"/>
              </w:rPr>
            </w:pPr>
            <w:r>
              <w:rPr>
                <w:sz w:val="20"/>
              </w:rPr>
              <w:t>Organofosforados</w:t>
            </w:r>
          </w:p>
        </w:tc>
        <w:tc>
          <w:tcPr>
            <w:tcW w:w="3440" w:type="dxa"/>
            <w:tcBorders>
              <w:left w:val="single" w:sz="4" w:space="0" w:color="000000"/>
              <w:right w:val="single" w:sz="4" w:space="0" w:color="000000"/>
            </w:tcBorders>
            <w:shd w:val="clear" w:color="auto" w:fill="00EAE3"/>
          </w:tcPr>
          <w:p>
            <w:pPr>
              <w:pStyle w:val="TableParagraph"/>
              <w:spacing w:before="2"/>
              <w:jc w:val="left"/>
              <w:rPr>
                <w:b/>
                <w:sz w:val="25"/>
              </w:rPr>
            </w:pPr>
          </w:p>
          <w:p>
            <w:pPr>
              <w:pStyle w:val="TableParagraph"/>
              <w:spacing w:before="0"/>
              <w:ind w:left="314" w:right="101" w:hanging="219"/>
              <w:jc w:val="both"/>
              <w:rPr>
                <w:rFonts w:ascii="Calibri" w:hAnsi="Calibri"/>
                <w:sz w:val="24"/>
              </w:rPr>
            </w:pPr>
            <w:r>
              <w:rPr>
                <w:sz w:val="18"/>
              </w:rPr>
              <w:t>- </w:t>
            </w:r>
            <w:r>
              <w:rPr>
                <w:sz w:val="20"/>
              </w:rPr>
              <w:t>Su mecanismo de acción es la inhibición de la enzima acetilcolinesterasa, que modula la cantidad y los niveles del neurotransmisor acetilcolina, interrumpiendo el impulso nervioso por fosforilación de la serina del grupo hidroxilo en el sitio activo de la enzima</w:t>
            </w:r>
            <w:r>
              <w:rPr>
                <w:position w:val="8"/>
                <w:sz w:val="14"/>
              </w:rPr>
              <w:t>88</w:t>
            </w:r>
            <w:r>
              <w:rPr>
                <w:rFonts w:ascii="Calibri" w:hAnsi="Calibri"/>
                <w:sz w:val="24"/>
              </w:rPr>
              <w:t>.</w:t>
            </w:r>
          </w:p>
        </w:tc>
        <w:tc>
          <w:tcPr>
            <w:tcW w:w="3862" w:type="dxa"/>
            <w:tcBorders>
              <w:left w:val="single" w:sz="4" w:space="0" w:color="000000"/>
            </w:tcBorders>
            <w:shd w:val="clear" w:color="auto" w:fill="00EAE3"/>
          </w:tcPr>
          <w:p>
            <w:pPr>
              <w:pStyle w:val="TableParagraph"/>
              <w:spacing w:before="2"/>
              <w:jc w:val="left"/>
              <w:rPr>
                <w:b/>
                <w:sz w:val="25"/>
              </w:rPr>
            </w:pPr>
          </w:p>
          <w:p>
            <w:pPr>
              <w:pStyle w:val="TableParagraph"/>
              <w:spacing w:line="448" w:lineRule="auto" w:before="0"/>
              <w:ind w:left="103" w:right="1717"/>
              <w:jc w:val="left"/>
              <w:rPr>
                <w:sz w:val="20"/>
              </w:rPr>
            </w:pPr>
            <w:r>
              <w:rPr>
                <w:sz w:val="20"/>
              </w:rPr>
              <w:t>Crisis colinérgicas Taquicardia Bradicardia Hiper/hipotensión Cianosis</w:t>
            </w:r>
          </w:p>
          <w:p>
            <w:pPr>
              <w:pStyle w:val="TableParagraph"/>
              <w:spacing w:line="242" w:lineRule="auto" w:before="3"/>
              <w:ind w:left="103"/>
              <w:jc w:val="left"/>
              <w:rPr>
                <w:sz w:val="20"/>
              </w:rPr>
            </w:pPr>
            <w:r>
              <w:rPr>
                <w:sz w:val="20"/>
              </w:rPr>
              <w:t>Incremento en los niveles séricos de creatinina</w:t>
            </w:r>
          </w:p>
        </w:tc>
      </w:tr>
      <w:tr>
        <w:trPr>
          <w:trHeight w:val="1574" w:hRule="exact"/>
        </w:trPr>
        <w:tc>
          <w:tcPr>
            <w:tcW w:w="1848" w:type="dxa"/>
            <w:tcBorders>
              <w:right w:val="single" w:sz="4" w:space="0" w:color="000000"/>
            </w:tcBorders>
            <w:shd w:val="clear" w:color="auto" w:fill="92F5DE"/>
          </w:tcPr>
          <w:p>
            <w:pPr>
              <w:pStyle w:val="TableParagraph"/>
              <w:spacing w:before="0"/>
              <w:jc w:val="left"/>
              <w:rPr>
                <w:b/>
                <w:sz w:val="20"/>
              </w:rPr>
            </w:pPr>
          </w:p>
          <w:p>
            <w:pPr>
              <w:pStyle w:val="TableParagraph"/>
              <w:spacing w:before="0"/>
              <w:jc w:val="left"/>
              <w:rPr>
                <w:b/>
                <w:sz w:val="20"/>
              </w:rPr>
            </w:pPr>
          </w:p>
          <w:p>
            <w:pPr>
              <w:pStyle w:val="TableParagraph"/>
              <w:spacing w:before="5"/>
              <w:jc w:val="left"/>
              <w:rPr>
                <w:b/>
                <w:sz w:val="19"/>
              </w:rPr>
            </w:pPr>
          </w:p>
          <w:p>
            <w:pPr>
              <w:pStyle w:val="TableParagraph"/>
              <w:spacing w:before="0"/>
              <w:ind w:left="101" w:right="98"/>
              <w:rPr>
                <w:sz w:val="20"/>
              </w:rPr>
            </w:pPr>
            <w:r>
              <w:rPr>
                <w:sz w:val="20"/>
              </w:rPr>
              <w:t>Carbamatos</w:t>
            </w:r>
          </w:p>
        </w:tc>
        <w:tc>
          <w:tcPr>
            <w:tcW w:w="3440" w:type="dxa"/>
            <w:tcBorders>
              <w:left w:val="single" w:sz="4" w:space="0" w:color="000000"/>
              <w:right w:val="single" w:sz="4" w:space="0" w:color="000000"/>
            </w:tcBorders>
            <w:shd w:val="clear" w:color="auto" w:fill="92F5DE"/>
          </w:tcPr>
          <w:p>
            <w:pPr>
              <w:pStyle w:val="TableParagraph"/>
              <w:spacing w:before="10"/>
              <w:jc w:val="left"/>
              <w:rPr>
                <w:b/>
                <w:sz w:val="22"/>
              </w:rPr>
            </w:pPr>
          </w:p>
          <w:p>
            <w:pPr>
              <w:pStyle w:val="TableParagraph"/>
              <w:spacing w:line="273" w:lineRule="auto" w:before="0"/>
              <w:ind w:left="314" w:right="102" w:hanging="219"/>
              <w:jc w:val="both"/>
              <w:rPr>
                <w:sz w:val="16"/>
              </w:rPr>
            </w:pPr>
            <w:r>
              <w:rPr>
                <w:sz w:val="18"/>
              </w:rPr>
              <w:t>- </w:t>
            </w:r>
            <w:r>
              <w:rPr>
                <w:sz w:val="20"/>
              </w:rPr>
              <w:t>Al igual que los organofosforados son neurotóxicos e inhibidores de la acetilcoinesterasa</w:t>
            </w:r>
            <w:r>
              <w:rPr>
                <w:position w:val="8"/>
                <w:sz w:val="16"/>
              </w:rPr>
              <w:t>69</w:t>
            </w:r>
          </w:p>
        </w:tc>
        <w:tc>
          <w:tcPr>
            <w:tcW w:w="3862" w:type="dxa"/>
            <w:tcBorders>
              <w:left w:val="single" w:sz="4" w:space="0" w:color="000000"/>
            </w:tcBorders>
            <w:shd w:val="clear" w:color="auto" w:fill="92F5DE"/>
          </w:tcPr>
          <w:p>
            <w:pPr>
              <w:pStyle w:val="TableParagraph"/>
              <w:spacing w:before="5"/>
              <w:jc w:val="left"/>
              <w:rPr>
                <w:b/>
                <w:sz w:val="21"/>
              </w:rPr>
            </w:pPr>
          </w:p>
          <w:p>
            <w:pPr>
              <w:pStyle w:val="TableParagraph"/>
              <w:spacing w:before="0"/>
              <w:ind w:left="103" w:right="1361"/>
              <w:jc w:val="left"/>
              <w:rPr>
                <w:sz w:val="20"/>
              </w:rPr>
            </w:pPr>
            <w:r>
              <w:rPr>
                <w:sz w:val="20"/>
              </w:rPr>
              <w:t>Efecto neurotóxico</w:t>
            </w:r>
          </w:p>
          <w:p>
            <w:pPr>
              <w:pStyle w:val="TableParagraph"/>
              <w:spacing w:before="4"/>
              <w:jc w:val="left"/>
              <w:rPr>
                <w:b/>
                <w:sz w:val="17"/>
              </w:rPr>
            </w:pPr>
          </w:p>
          <w:p>
            <w:pPr>
              <w:pStyle w:val="TableParagraph"/>
              <w:spacing w:line="448" w:lineRule="auto" w:before="0"/>
              <w:ind w:left="103" w:right="506"/>
              <w:jc w:val="left"/>
              <w:rPr>
                <w:sz w:val="20"/>
              </w:rPr>
            </w:pPr>
            <w:r>
              <w:rPr>
                <w:sz w:val="20"/>
              </w:rPr>
              <w:t>Dosis alta origina la muerte Síntomas cardiovasculares</w:t>
            </w:r>
          </w:p>
        </w:tc>
      </w:tr>
      <w:tr>
        <w:trPr>
          <w:trHeight w:val="2828" w:hRule="exact"/>
        </w:trPr>
        <w:tc>
          <w:tcPr>
            <w:tcW w:w="1848" w:type="dxa"/>
            <w:tcBorders>
              <w:right w:val="single" w:sz="4" w:space="0" w:color="000000"/>
            </w:tcBorders>
            <w:shd w:val="clear" w:color="auto" w:fill="00E6E0"/>
          </w:tcPr>
          <w:p>
            <w:pPr>
              <w:pStyle w:val="TableParagraph"/>
              <w:spacing w:before="0"/>
              <w:jc w:val="left"/>
              <w:rPr>
                <w:b/>
                <w:sz w:val="20"/>
              </w:rPr>
            </w:pPr>
          </w:p>
          <w:p>
            <w:pPr>
              <w:pStyle w:val="TableParagraph"/>
              <w:spacing w:before="0"/>
              <w:jc w:val="left"/>
              <w:rPr>
                <w:b/>
                <w:sz w:val="20"/>
              </w:rPr>
            </w:pPr>
          </w:p>
          <w:p>
            <w:pPr>
              <w:pStyle w:val="TableParagraph"/>
              <w:spacing w:before="0"/>
              <w:jc w:val="left"/>
              <w:rPr>
                <w:b/>
                <w:sz w:val="20"/>
              </w:rPr>
            </w:pPr>
          </w:p>
          <w:p>
            <w:pPr>
              <w:pStyle w:val="TableParagraph"/>
              <w:spacing w:before="0"/>
              <w:jc w:val="left"/>
              <w:rPr>
                <w:b/>
                <w:sz w:val="20"/>
              </w:rPr>
            </w:pPr>
          </w:p>
          <w:p>
            <w:pPr>
              <w:pStyle w:val="TableParagraph"/>
              <w:spacing w:before="2"/>
              <w:jc w:val="left"/>
              <w:rPr>
                <w:b/>
                <w:sz w:val="26"/>
              </w:rPr>
            </w:pPr>
          </w:p>
          <w:p>
            <w:pPr>
              <w:pStyle w:val="TableParagraph"/>
              <w:spacing w:before="1"/>
              <w:ind w:left="101" w:right="98"/>
              <w:rPr>
                <w:sz w:val="20"/>
              </w:rPr>
            </w:pPr>
            <w:r>
              <w:rPr>
                <w:sz w:val="20"/>
              </w:rPr>
              <w:t>Piretroides</w:t>
            </w:r>
          </w:p>
        </w:tc>
        <w:tc>
          <w:tcPr>
            <w:tcW w:w="3440" w:type="dxa"/>
            <w:tcBorders>
              <w:left w:val="single" w:sz="4" w:space="0" w:color="000000"/>
              <w:right w:val="single" w:sz="4" w:space="0" w:color="000000"/>
            </w:tcBorders>
            <w:shd w:val="clear" w:color="auto" w:fill="00E6E0"/>
          </w:tcPr>
          <w:p>
            <w:pPr>
              <w:pStyle w:val="TableParagraph"/>
              <w:spacing w:before="1"/>
              <w:jc w:val="left"/>
              <w:rPr>
                <w:b/>
                <w:sz w:val="23"/>
              </w:rPr>
            </w:pPr>
          </w:p>
          <w:p>
            <w:pPr>
              <w:pStyle w:val="TableParagraph"/>
              <w:spacing w:line="273" w:lineRule="auto" w:before="0"/>
              <w:ind w:left="314" w:right="103" w:hanging="219"/>
              <w:jc w:val="both"/>
              <w:rPr>
                <w:sz w:val="24"/>
              </w:rPr>
            </w:pPr>
            <w:r>
              <w:rPr>
                <w:sz w:val="18"/>
              </w:rPr>
              <w:t>- </w:t>
            </w:r>
            <w:r>
              <w:rPr>
                <w:sz w:val="20"/>
              </w:rPr>
              <w:t>Bloqueo de los canales de sodio  de las membranas de las células nerviosas</w:t>
            </w:r>
            <w:r>
              <w:rPr>
                <w:position w:val="8"/>
                <w:sz w:val="16"/>
              </w:rPr>
              <w:t>92</w:t>
            </w:r>
            <w:r>
              <w:rPr>
                <w:sz w:val="24"/>
              </w:rPr>
              <w:t>.</w:t>
            </w:r>
          </w:p>
        </w:tc>
        <w:tc>
          <w:tcPr>
            <w:tcW w:w="3862" w:type="dxa"/>
            <w:tcBorders>
              <w:left w:val="single" w:sz="4" w:space="0" w:color="000000"/>
            </w:tcBorders>
            <w:shd w:val="clear" w:color="auto" w:fill="00E6E0"/>
          </w:tcPr>
          <w:p>
            <w:pPr>
              <w:pStyle w:val="TableParagraph"/>
              <w:spacing w:before="5"/>
              <w:jc w:val="left"/>
              <w:rPr>
                <w:b/>
                <w:sz w:val="21"/>
              </w:rPr>
            </w:pPr>
          </w:p>
          <w:p>
            <w:pPr>
              <w:pStyle w:val="TableParagraph"/>
              <w:spacing w:before="0"/>
              <w:ind w:left="103" w:right="1361"/>
              <w:jc w:val="left"/>
              <w:rPr>
                <w:sz w:val="20"/>
              </w:rPr>
            </w:pPr>
            <w:r>
              <w:rPr>
                <w:sz w:val="20"/>
              </w:rPr>
              <w:t>Mareo</w:t>
            </w:r>
          </w:p>
          <w:p>
            <w:pPr>
              <w:pStyle w:val="TableParagraph"/>
              <w:spacing w:before="4"/>
              <w:jc w:val="left"/>
              <w:rPr>
                <w:b/>
                <w:sz w:val="17"/>
              </w:rPr>
            </w:pPr>
          </w:p>
          <w:p>
            <w:pPr>
              <w:pStyle w:val="TableParagraph"/>
              <w:spacing w:line="448" w:lineRule="auto" w:before="0"/>
              <w:ind w:left="103" w:right="1717"/>
              <w:jc w:val="left"/>
              <w:rPr>
                <w:sz w:val="20"/>
              </w:rPr>
            </w:pPr>
            <w:r>
              <w:rPr>
                <w:sz w:val="20"/>
              </w:rPr>
              <w:t>Dolor de cabeza Nausea</w:t>
            </w:r>
          </w:p>
          <w:p>
            <w:pPr>
              <w:pStyle w:val="TableParagraph"/>
              <w:spacing w:line="451" w:lineRule="auto" w:before="5"/>
              <w:ind w:left="103"/>
              <w:jc w:val="left"/>
              <w:rPr>
                <w:sz w:val="20"/>
              </w:rPr>
            </w:pPr>
            <w:r>
              <w:rPr>
                <w:sz w:val="20"/>
              </w:rPr>
              <w:t>Alteraciones de la conciencia Convulsiones</w:t>
            </w:r>
          </w:p>
          <w:p>
            <w:pPr>
              <w:pStyle w:val="TableParagraph"/>
              <w:spacing w:before="3"/>
              <w:ind w:left="103" w:right="1361"/>
              <w:jc w:val="left"/>
              <w:rPr>
                <w:sz w:val="20"/>
              </w:rPr>
            </w:pPr>
            <w:r>
              <w:rPr>
                <w:sz w:val="20"/>
              </w:rPr>
              <w:t>Pérdida del conocimiento</w:t>
            </w:r>
          </w:p>
        </w:tc>
      </w:tr>
    </w:tbl>
    <w:p>
      <w:pPr>
        <w:spacing w:after="0"/>
        <w:jc w:val="left"/>
        <w:rPr>
          <w:sz w:val="20"/>
        </w:rPr>
        <w:sectPr>
          <w:pgSz w:w="12240" w:h="15840"/>
          <w:pgMar w:header="0" w:footer="599" w:top="1500" w:bottom="780" w:left="0" w:right="0"/>
        </w:sectPr>
      </w:pPr>
    </w:p>
    <w:p>
      <w:pPr>
        <w:pStyle w:val="BodyText"/>
        <w:spacing w:before="4"/>
        <w:rPr>
          <w:b/>
          <w:sz w:val="11"/>
        </w:rPr>
      </w:pPr>
    </w:p>
    <w:p>
      <w:pPr>
        <w:pStyle w:val="BodyText"/>
        <w:spacing w:line="357" w:lineRule="auto" w:before="69"/>
        <w:ind w:left="1418" w:right="1696"/>
        <w:jc w:val="both"/>
      </w:pPr>
      <w:r>
        <w:rPr/>
        <w:t>La exposición crónica a plaguicidas es a menudo un problema en el ámbito laboral, sobre todo entre las poblaciones rurales pobres, donde hombres, mujeres y niños, trabajan y viven en las proximidades de campos y huertos donde se aplican y almacenan los productos químicos</w:t>
      </w:r>
      <w:r>
        <w:rPr>
          <w:position w:val="8"/>
          <w:sz w:val="16"/>
        </w:rPr>
        <w:t>36</w:t>
      </w:r>
      <w:r>
        <w:rPr/>
        <w:t>. Además, factores ambientales como, temperatura, humedad y pH, pueden alterar las concentraciones de los contaminantes. Por ejemplo, la concentración de algunas sustancias químicas volátiles puede variar bajo diversas condiciones de temperatura</w:t>
      </w:r>
      <w:r>
        <w:rPr>
          <w:position w:val="8"/>
          <w:sz w:val="16"/>
        </w:rPr>
        <w:t>44</w:t>
      </w:r>
      <w:r>
        <w:rPr/>
        <w:t>.</w:t>
      </w:r>
    </w:p>
    <w:p>
      <w:pPr>
        <w:pStyle w:val="BodyText"/>
        <w:spacing w:before="3"/>
        <w:rPr>
          <w:sz w:val="36"/>
        </w:rPr>
      </w:pPr>
    </w:p>
    <w:p>
      <w:pPr>
        <w:pStyle w:val="BodyText"/>
        <w:spacing w:line="357" w:lineRule="auto"/>
        <w:ind w:left="1418" w:right="1702"/>
        <w:jc w:val="both"/>
      </w:pPr>
      <w:r>
        <w:rPr/>
        <w:t>A veces, las reacciones químicas entre sustancias contaminantes en el ambiente pueden cambiar cualitativamente la naturaleza de la exposición. La importancia de tales modos de acción aún no es completamente clara, particularmente en los niveles bajos de exposición</w:t>
      </w:r>
      <w:r>
        <w:rPr>
          <w:position w:val="8"/>
          <w:sz w:val="16"/>
        </w:rPr>
        <w:t>48</w:t>
      </w:r>
      <w:r>
        <w:rPr/>
        <w:t>.</w:t>
      </w:r>
    </w:p>
    <w:p>
      <w:pPr>
        <w:pStyle w:val="BodyText"/>
        <w:spacing w:before="2"/>
        <w:rPr>
          <w:sz w:val="36"/>
        </w:rPr>
      </w:pPr>
    </w:p>
    <w:p>
      <w:pPr>
        <w:pStyle w:val="BodyText"/>
        <w:spacing w:line="357" w:lineRule="auto" w:before="1"/>
        <w:ind w:left="1418" w:right="1698"/>
        <w:jc w:val="both"/>
      </w:pPr>
      <w:r>
        <w:rPr/>
        <w:t>Además de los efectos ya mencionados, se ha demostrados que los plaguicidas producen efectos genotóxicos y pueden causar mutación genética. Investigaciones realizadas a partir de los años noventa indican que algunos químicos incrementan o inhiben la acción de las hormonas, alterando el funcionamiento adecuado del sistema endocrino y puede promover el desarrollo de carcinomas</w:t>
      </w:r>
      <w:r>
        <w:rPr>
          <w:position w:val="8"/>
          <w:sz w:val="16"/>
        </w:rPr>
        <w:t>3</w:t>
      </w:r>
      <w:r>
        <w:rPr/>
        <w:t>. Ya que, a veces no es la sustancia activa la que provoca la acción, sino los disolventes empleados en las formulaciones. Existen evidencias de que algunos de los disolventes utilizados presentan efectos carcinogénicos en el hombre como el benceno, cloroformo y tetracloruro de carbono</w:t>
      </w:r>
      <w:r>
        <w:rPr>
          <w:position w:val="8"/>
          <w:sz w:val="16"/>
        </w:rPr>
        <w:t>33</w:t>
      </w:r>
      <w:r>
        <w:rPr/>
        <w:t>. Las neoplasias de origen hematopoyético también se relaciona con la exposición ocupacional directa e indirecta a plaguicidas, así como cáncer pancreático, mieloma múltiple, sarcomas de tejidos blandos entre otros</w:t>
      </w:r>
      <w:r>
        <w:rPr>
          <w:position w:val="8"/>
          <w:sz w:val="16"/>
        </w:rPr>
        <w:t>4</w:t>
      </w:r>
      <w:r>
        <w:rPr/>
        <w:t>.</w:t>
      </w:r>
    </w:p>
    <w:p>
      <w:pPr>
        <w:spacing w:after="0" w:line="357" w:lineRule="auto"/>
        <w:jc w:val="both"/>
        <w:sectPr>
          <w:pgSz w:w="12240" w:h="15840"/>
          <w:pgMar w:header="0" w:footer="599" w:top="1500" w:bottom="780" w:left="0" w:right="0"/>
        </w:sectPr>
      </w:pPr>
    </w:p>
    <w:p>
      <w:pPr>
        <w:pStyle w:val="BodyText"/>
        <w:spacing w:before="4"/>
        <w:rPr>
          <w:sz w:val="11"/>
        </w:rPr>
      </w:pPr>
    </w:p>
    <w:p>
      <w:pPr>
        <w:pStyle w:val="Heading4"/>
        <w:numPr>
          <w:ilvl w:val="3"/>
          <w:numId w:val="3"/>
        </w:numPr>
        <w:tabs>
          <w:tab w:pos="2127" w:val="left" w:leader="none"/>
        </w:tabs>
        <w:spacing w:line="240" w:lineRule="auto" w:before="69" w:after="0"/>
        <w:ind w:left="2126" w:right="0" w:hanging="280"/>
        <w:jc w:val="left"/>
      </w:pPr>
      <w:r>
        <w:rPr/>
        <w:t>Floricultura</w:t>
      </w:r>
    </w:p>
    <w:p>
      <w:pPr>
        <w:pStyle w:val="BodyText"/>
        <w:rPr>
          <w:b/>
        </w:rPr>
      </w:pPr>
    </w:p>
    <w:p>
      <w:pPr>
        <w:pStyle w:val="BodyText"/>
        <w:rPr>
          <w:b/>
        </w:rPr>
      </w:pPr>
    </w:p>
    <w:p>
      <w:pPr>
        <w:pStyle w:val="BodyText"/>
        <w:spacing w:line="357" w:lineRule="auto"/>
        <w:ind w:left="1418" w:right="1696"/>
        <w:jc w:val="both"/>
      </w:pPr>
      <w:r>
        <w:rPr/>
        <w:t>Actualmente, 190 mil personas de países en desarrollo como Argentina, Colombia, Ecuador, México, India, Kenya y Zimbabwe laboran en la floricultura</w:t>
      </w:r>
      <w:r>
        <w:rPr>
          <w:position w:val="8"/>
          <w:sz w:val="16"/>
        </w:rPr>
        <w:t>49, 50</w:t>
      </w:r>
      <w:r>
        <w:rPr/>
        <w:t>. Está practica ha crecido en las últimas décadas debido a que es económicamente  rentable en comparación con la superficie empleada, por esta razón está establecida como una de las actividades agrícolas más importantes a nivel</w:t>
      </w:r>
      <w:r>
        <w:rPr>
          <w:spacing w:val="-9"/>
        </w:rPr>
        <w:t> </w:t>
      </w:r>
      <w:r>
        <w:rPr/>
        <w:t>mundial</w:t>
      </w:r>
      <w:r>
        <w:rPr>
          <w:position w:val="8"/>
          <w:sz w:val="16"/>
        </w:rPr>
        <w:t>42</w:t>
      </w:r>
      <w:r>
        <w:rPr/>
        <w:t>.</w:t>
      </w:r>
    </w:p>
    <w:p>
      <w:pPr>
        <w:pStyle w:val="BodyText"/>
        <w:spacing w:before="3"/>
        <w:rPr>
          <w:sz w:val="36"/>
        </w:rPr>
      </w:pPr>
    </w:p>
    <w:p>
      <w:pPr>
        <w:pStyle w:val="BodyText"/>
        <w:spacing w:line="357" w:lineRule="auto"/>
        <w:ind w:left="1418" w:right="1698"/>
        <w:jc w:val="both"/>
      </w:pPr>
      <w:r>
        <w:rPr/>
        <w:t>En México la superficie dedicada al cultivo de flor se estima en 15 mil hectáreas, de las hectáreas cultivadas, 88% se realiza a cielo abierto y el 12% bajo invernadero, con un volumen de producción anual de 83 mil 377 toneladas</w:t>
      </w:r>
      <w:r>
        <w:rPr>
          <w:position w:val="8"/>
          <w:sz w:val="16"/>
        </w:rPr>
        <w:t>51</w:t>
      </w:r>
      <w:r>
        <w:rPr/>
        <w:t>, de ellas los estados de mayor producción a nivel nacional son México, Michoacán y Morelos</w:t>
      </w:r>
      <w:r>
        <w:rPr>
          <w:position w:val="8"/>
          <w:sz w:val="16"/>
        </w:rPr>
        <w:t>45</w:t>
      </w:r>
      <w:r>
        <w:rPr/>
        <w:t>.</w:t>
      </w:r>
    </w:p>
    <w:p>
      <w:pPr>
        <w:pStyle w:val="BodyText"/>
        <w:spacing w:before="2"/>
        <w:rPr>
          <w:sz w:val="36"/>
        </w:rPr>
      </w:pPr>
    </w:p>
    <w:p>
      <w:pPr>
        <w:pStyle w:val="BodyText"/>
        <w:spacing w:line="357" w:lineRule="auto" w:before="1"/>
        <w:ind w:left="1418" w:right="1698"/>
        <w:jc w:val="both"/>
      </w:pPr>
      <w:r>
        <w:rPr/>
        <w:t>En 2010 el Estado de México fue el principal productor nacional en la actividad florícola, ya que generó 3,341 millones de pesos</w:t>
      </w:r>
      <w:r>
        <w:rPr>
          <w:position w:val="8"/>
          <w:sz w:val="16"/>
        </w:rPr>
        <w:t>1</w:t>
      </w:r>
      <w:r>
        <w:rPr/>
        <w:t>, los municipios que destacan por  su productividad son Tenancingo, Coatepec Harinas, Ixtapan de la Sal, Tonatico, Zumpahuacán, Texcoco y Villa Guerrero conocidos estos como “El corredor florícola de la</w:t>
      </w:r>
      <w:r>
        <w:rPr>
          <w:spacing w:val="-6"/>
        </w:rPr>
        <w:t> </w:t>
      </w:r>
      <w:r>
        <w:rPr/>
        <w:t>entidad”</w:t>
      </w:r>
      <w:r>
        <w:rPr>
          <w:position w:val="8"/>
          <w:sz w:val="16"/>
        </w:rPr>
        <w:t>51</w:t>
      </w:r>
      <w:r>
        <w:rPr/>
        <w:t>.</w:t>
      </w:r>
    </w:p>
    <w:p>
      <w:pPr>
        <w:pStyle w:val="BodyText"/>
        <w:spacing w:before="2"/>
        <w:rPr>
          <w:sz w:val="36"/>
        </w:rPr>
      </w:pPr>
    </w:p>
    <w:p>
      <w:pPr>
        <w:pStyle w:val="BodyText"/>
        <w:spacing w:line="360" w:lineRule="auto" w:before="1"/>
        <w:ind w:left="1418" w:right="1705"/>
        <w:jc w:val="both"/>
      </w:pPr>
      <w:r>
        <w:rPr/>
        <w:t>Las especies cultivadas en la región centro sur de México (486 especies) sólo representan alrededor de un 12% del total de plantas cultivadas en el país y más del 90% de ellas corresponde a plantas no nativas, por su importancia comercial destacan la rosa, el crisantemo, el clavel, el statice, el ave del paraíso, la gerbera, la gipsófila, el anturio y las orquídeas; estas variedades de plantas son cultivadas en la comunidad de Villa Guerrero y constituye su principal actividad económica</w:t>
      </w:r>
      <w:r>
        <w:rPr>
          <w:position w:val="8"/>
          <w:sz w:val="16"/>
        </w:rPr>
        <w:t>51</w:t>
      </w:r>
      <w:r>
        <w:rPr/>
        <w:t>.</w:t>
      </w:r>
    </w:p>
    <w:p>
      <w:pPr>
        <w:pStyle w:val="BodyText"/>
        <w:rPr>
          <w:sz w:val="36"/>
        </w:rPr>
      </w:pPr>
    </w:p>
    <w:p>
      <w:pPr>
        <w:pStyle w:val="BodyText"/>
        <w:ind w:left="1418"/>
        <w:jc w:val="both"/>
      </w:pPr>
      <w:r>
        <w:rPr/>
        <w:t>En la floricultura existen tres categorías de productores de flores de corte:</w:t>
      </w:r>
    </w:p>
    <w:p>
      <w:pPr>
        <w:pStyle w:val="BodyText"/>
      </w:pPr>
    </w:p>
    <w:p>
      <w:pPr>
        <w:pStyle w:val="BodyText"/>
      </w:pPr>
    </w:p>
    <w:p>
      <w:pPr>
        <w:pStyle w:val="ListParagraph"/>
        <w:numPr>
          <w:ilvl w:val="0"/>
          <w:numId w:val="7"/>
        </w:numPr>
        <w:tabs>
          <w:tab w:pos="2139" w:val="left" w:leader="none"/>
        </w:tabs>
        <w:spacing w:line="350" w:lineRule="auto" w:before="0" w:after="0"/>
        <w:ind w:left="2138" w:right="1697" w:hanging="360"/>
        <w:jc w:val="both"/>
        <w:rPr>
          <w:sz w:val="24"/>
        </w:rPr>
      </w:pPr>
      <w:r>
        <w:rPr>
          <w:sz w:val="24"/>
        </w:rPr>
        <w:t>Primer grupo, los pequeños floricultores o productores a cielo abierto que cultivan en superficies reducidas (algunas menores a 200 m</w:t>
      </w:r>
      <w:r>
        <w:rPr>
          <w:position w:val="8"/>
          <w:sz w:val="16"/>
        </w:rPr>
        <w:t>2</w:t>
      </w:r>
      <w:r>
        <w:rPr>
          <w:sz w:val="24"/>
        </w:rPr>
        <w:t>), muchas veces con mano de obra familiar</w:t>
      </w:r>
      <w:r>
        <w:rPr>
          <w:position w:val="8"/>
          <w:sz w:val="16"/>
        </w:rPr>
        <w:t>52</w:t>
      </w:r>
      <w:r>
        <w:rPr>
          <w:sz w:val="24"/>
        </w:rPr>
        <w:t>. Las áreas de cultivo prácticamente colindan  </w:t>
      </w:r>
      <w:r>
        <w:rPr>
          <w:spacing w:val="28"/>
          <w:sz w:val="24"/>
        </w:rPr>
        <w:t> </w:t>
      </w:r>
      <w:r>
        <w:rPr>
          <w:sz w:val="24"/>
        </w:rPr>
        <w:t>con</w:t>
      </w:r>
    </w:p>
    <w:p>
      <w:pPr>
        <w:spacing w:after="0" w:line="350" w:lineRule="auto"/>
        <w:jc w:val="both"/>
        <w:rPr>
          <w:sz w:val="24"/>
        </w:rPr>
        <w:sectPr>
          <w:pgSz w:w="12240" w:h="15840"/>
          <w:pgMar w:header="0" w:footer="599" w:top="1500" w:bottom="780" w:left="0" w:right="0"/>
        </w:sectPr>
      </w:pPr>
    </w:p>
    <w:p>
      <w:pPr>
        <w:pStyle w:val="BodyText"/>
        <w:spacing w:before="4"/>
        <w:rPr>
          <w:sz w:val="11"/>
        </w:rPr>
      </w:pPr>
    </w:p>
    <w:p>
      <w:pPr>
        <w:pStyle w:val="BodyText"/>
        <w:spacing w:line="360" w:lineRule="auto" w:before="69"/>
        <w:ind w:left="2138" w:right="1698"/>
        <w:jc w:val="both"/>
      </w:pPr>
      <w:r>
        <w:rPr/>
        <w:t>el traspatio de sus hogares, con bajos niveles tecnológicos, deficiente material vegetativo, poca diversificación de la producción y reducida o nula asistencia técnica; siembra a cielo abierto o bajo cubiertas plásticas rústicas, conocidas como invernaderos de túnel, por ello este grupo constituye el más numeroso y son los que tienen mayor vulnerabilidad económica</w:t>
      </w:r>
      <w:r>
        <w:rPr>
          <w:position w:val="8"/>
          <w:sz w:val="16"/>
        </w:rPr>
        <w:t>53</w:t>
      </w:r>
      <w:r>
        <w:rPr/>
        <w:t>.</w:t>
      </w:r>
    </w:p>
    <w:p>
      <w:pPr>
        <w:pStyle w:val="BodyText"/>
        <w:rPr>
          <w:sz w:val="36"/>
        </w:rPr>
      </w:pPr>
    </w:p>
    <w:p>
      <w:pPr>
        <w:pStyle w:val="ListParagraph"/>
        <w:numPr>
          <w:ilvl w:val="0"/>
          <w:numId w:val="7"/>
        </w:numPr>
        <w:tabs>
          <w:tab w:pos="2139" w:val="left" w:leader="none"/>
        </w:tabs>
        <w:spacing w:line="357" w:lineRule="auto" w:before="1" w:after="0"/>
        <w:ind w:left="2138" w:right="1698" w:hanging="360"/>
        <w:jc w:val="both"/>
        <w:rPr>
          <w:sz w:val="24"/>
        </w:rPr>
      </w:pPr>
      <w:r>
        <w:rPr>
          <w:sz w:val="24"/>
        </w:rPr>
        <w:t>Segundo grupo, son los productores individuales con mejor nivel tecnológico que manejan grandes volúmenes de flores para el mercado nacional, por medio del sistema de viveros y en menor medida para el internacional. En este sector se encuentran los que acopian y comercializan al exterior parte de la producción con calidad de los pequeños floricultores y los que proveen de material vegetativo a muchos de los pequeños</w:t>
      </w:r>
      <w:r>
        <w:rPr>
          <w:spacing w:val="-17"/>
          <w:sz w:val="24"/>
        </w:rPr>
        <w:t> </w:t>
      </w:r>
      <w:r>
        <w:rPr>
          <w:sz w:val="24"/>
        </w:rPr>
        <w:t>floricultores</w:t>
      </w:r>
      <w:r>
        <w:rPr>
          <w:position w:val="8"/>
          <w:sz w:val="16"/>
        </w:rPr>
        <w:t>53</w:t>
      </w:r>
      <w:r>
        <w:rPr>
          <w:sz w:val="24"/>
        </w:rPr>
        <w:t>.</w:t>
      </w:r>
    </w:p>
    <w:p>
      <w:pPr>
        <w:pStyle w:val="BodyText"/>
        <w:spacing w:before="11"/>
        <w:rPr>
          <w:sz w:val="27"/>
        </w:rPr>
      </w:pPr>
    </w:p>
    <w:p>
      <w:pPr>
        <w:pStyle w:val="ListParagraph"/>
        <w:numPr>
          <w:ilvl w:val="0"/>
          <w:numId w:val="7"/>
        </w:numPr>
        <w:tabs>
          <w:tab w:pos="2139" w:val="left" w:leader="none"/>
        </w:tabs>
        <w:spacing w:line="355" w:lineRule="auto" w:before="0" w:after="0"/>
        <w:ind w:left="2138" w:right="1697" w:hanging="360"/>
        <w:jc w:val="both"/>
        <w:rPr>
          <w:sz w:val="24"/>
        </w:rPr>
      </w:pPr>
      <w:r>
        <w:rPr>
          <w:sz w:val="24"/>
        </w:rPr>
        <w:t>Tercer grupo lo constituyen los grandes floricultores, que son básicamente empresas sustentadas por grupos de inversionistas que registran una alta tecnología en su producción (sistema de invernaderos). Estos generan los mayores volúmenes de producción de flor cultivados bajo invernaderos altamente tecnificados, con sistemas manuales o</w:t>
      </w:r>
      <w:r>
        <w:rPr>
          <w:spacing w:val="-15"/>
          <w:sz w:val="24"/>
        </w:rPr>
        <w:t> </w:t>
      </w:r>
      <w:r>
        <w:rPr>
          <w:sz w:val="24"/>
        </w:rPr>
        <w:t>automatizados</w:t>
      </w:r>
      <w:r>
        <w:rPr>
          <w:position w:val="8"/>
          <w:sz w:val="16"/>
        </w:rPr>
        <w:t>53</w:t>
      </w:r>
      <w:r>
        <w:rPr>
          <w:sz w:val="24"/>
        </w:rPr>
        <w:t>.</w:t>
      </w:r>
    </w:p>
    <w:p>
      <w:pPr>
        <w:pStyle w:val="BodyText"/>
        <w:spacing w:before="5"/>
        <w:rPr>
          <w:sz w:val="36"/>
        </w:rPr>
      </w:pPr>
    </w:p>
    <w:p>
      <w:pPr>
        <w:pStyle w:val="Heading4"/>
        <w:numPr>
          <w:ilvl w:val="4"/>
          <w:numId w:val="3"/>
        </w:numPr>
        <w:tabs>
          <w:tab w:pos="2838" w:val="left" w:leader="none"/>
        </w:tabs>
        <w:spacing w:line="240" w:lineRule="auto" w:before="0" w:after="0"/>
        <w:ind w:left="2837" w:right="0" w:hanging="567"/>
        <w:jc w:val="left"/>
      </w:pPr>
      <w:r>
        <w:rPr/>
        <w:t>La floricultura y uso de plaguicidas en Villa</w:t>
      </w:r>
      <w:r>
        <w:rPr>
          <w:spacing w:val="-13"/>
        </w:rPr>
        <w:t> </w:t>
      </w:r>
      <w:r>
        <w:rPr/>
        <w:t>Guerrero</w:t>
      </w:r>
    </w:p>
    <w:p>
      <w:pPr>
        <w:pStyle w:val="BodyText"/>
        <w:rPr>
          <w:b/>
        </w:rPr>
      </w:pPr>
    </w:p>
    <w:p>
      <w:pPr>
        <w:pStyle w:val="BodyText"/>
        <w:rPr>
          <w:b/>
        </w:rPr>
      </w:pPr>
    </w:p>
    <w:p>
      <w:pPr>
        <w:pStyle w:val="BodyText"/>
        <w:spacing w:line="360" w:lineRule="auto"/>
        <w:ind w:left="1418" w:right="1702"/>
        <w:jc w:val="both"/>
      </w:pPr>
      <w:r>
        <w:rPr/>
        <w:t>La floricultura es la principal actividad económica de Villa Guerrero, Estado  de México ya que se cultivan diversas flores todo del año y para su producción se emplean invernaderos instalados en las afueras de la comunidad manejados por productores y empresas con alta tecnología</w:t>
      </w:r>
      <w:r>
        <w:rPr>
          <w:position w:val="8"/>
          <w:sz w:val="16"/>
        </w:rPr>
        <w:t>53</w:t>
      </w:r>
      <w:r>
        <w:rPr/>
        <w:t>.</w:t>
      </w:r>
    </w:p>
    <w:p>
      <w:pPr>
        <w:pStyle w:val="BodyText"/>
        <w:rPr>
          <w:sz w:val="36"/>
        </w:rPr>
      </w:pPr>
    </w:p>
    <w:p>
      <w:pPr>
        <w:pStyle w:val="BodyText"/>
        <w:spacing w:line="360" w:lineRule="auto"/>
        <w:ind w:left="1418" w:right="1705"/>
        <w:jc w:val="both"/>
      </w:pPr>
      <w:r>
        <w:rPr/>
        <w:t>Además de los invernaderos con alta tecnología, también se cuenta con cultivos a cielo abierto o invernaderos de túnel, utilizados en las localidades de bajos recursos de dicho municipio. En estas zonas, el lugar de trabajo de los floricultores se encuentra a no más de 100 metros de distancia de sus hogares y escuelas.</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60" w:lineRule="auto" w:before="69"/>
        <w:ind w:left="1418" w:right="1702"/>
        <w:jc w:val="both"/>
      </w:pPr>
      <w:r>
        <w:rPr/>
        <w:t>La comunidad de San José, localizada a 10 km del centro del municipio de Villa Guerrero está rodeada en su totalidad por cultivos de flores, estando la población expuesta continuamente a plaguicidas y está demostrado que las concentraciones de residuos de plaguicidas en este tipo de comunidades son mayores, porque se encuentran cerca de los cultivos (Figura 1)</w:t>
      </w:r>
      <w:r>
        <w:rPr>
          <w:position w:val="8"/>
          <w:sz w:val="16"/>
        </w:rPr>
        <w:t>15</w:t>
      </w:r>
      <w:r>
        <w:rPr/>
        <w:t>.</w:t>
      </w:r>
    </w:p>
    <w:p>
      <w:pPr>
        <w:pStyle w:val="BodyText"/>
        <w:rPr>
          <w:sz w:val="20"/>
        </w:rPr>
      </w:pPr>
    </w:p>
    <w:p>
      <w:pPr>
        <w:pStyle w:val="BodyText"/>
        <w:rPr>
          <w:sz w:val="20"/>
        </w:rPr>
      </w:pPr>
    </w:p>
    <w:p>
      <w:pPr>
        <w:pStyle w:val="BodyText"/>
        <w:spacing w:before="7"/>
        <w:rPr>
          <w:sz w:val="28"/>
        </w:rPr>
      </w:pPr>
      <w:r>
        <w:rPr/>
        <w:pict>
          <v:group style="position:absolute;margin-left:72.360001pt;margin-top:18.437847pt;width:473.3pt;height:328.05pt;mso-position-horizontal-relative:page;mso-position-vertical-relative:paragraph;z-index:1192;mso-wrap-distance-left:0;mso-wrap-distance-right:0" coordorigin="1447,369" coordsize="9466,6561">
            <v:shape style="position:absolute;left:1447;top:3581;width:4913;height:3349" type="#_x0000_t75" stroked="false">
              <v:imagedata r:id="rId15" o:title=""/>
            </v:shape>
            <v:shape style="position:absolute;left:1482;top:3620;width:4781;height:3212" type="#_x0000_t75" stroked="false">
              <v:imagedata r:id="rId16" o:title=""/>
            </v:shape>
            <v:shape style="position:absolute;left:1482;top:408;width:4586;height:3212" type="#_x0000_t75" stroked="false">
              <v:imagedata r:id="rId17" o:title=""/>
            </v:shape>
            <v:shape style="position:absolute;left:6038;top:369;width:4874;height:3349" type="#_x0000_t75" stroked="false">
              <v:imagedata r:id="rId18" o:title=""/>
            </v:shape>
            <v:shape style="position:absolute;left:6077;top:436;width:4751;height:3184" type="#_x0000_t75" stroked="false">
              <v:imagedata r:id="rId19" o:title=""/>
            </v:shape>
            <v:shape style="position:absolute;left:6116;top:3581;width:4796;height:3349" type="#_x0000_t75" stroked="false">
              <v:imagedata r:id="rId20" o:title=""/>
            </v:shape>
            <v:shape style="position:absolute;left:6155;top:3620;width:4674;height:3212" type="#_x0000_t75" stroked="false">
              <v:imagedata r:id="rId21" o:title=""/>
            </v:shape>
            <v:shape style="position:absolute;left:4257;top:2452;width:3418;height:2560" type="#_x0000_t75" stroked="false">
              <v:imagedata r:id="rId22" o:title=""/>
            </v:shape>
            <w10:wrap type="topAndBottom"/>
          </v:group>
        </w:pict>
      </w:r>
    </w:p>
    <w:p>
      <w:pPr>
        <w:spacing w:line="127" w:lineRule="exact" w:before="0"/>
        <w:ind w:left="1502" w:right="1703" w:firstLine="0"/>
        <w:jc w:val="left"/>
        <w:rPr>
          <w:sz w:val="15"/>
        </w:rPr>
      </w:pPr>
      <w:r>
        <w:rPr>
          <w:w w:val="105"/>
          <w:sz w:val="15"/>
        </w:rPr>
        <w:t>Fuente: Google Maps</w:t>
      </w:r>
    </w:p>
    <w:p>
      <w:pPr>
        <w:spacing w:line="264" w:lineRule="auto" w:before="92"/>
        <w:ind w:left="1502" w:right="1703" w:firstLine="0"/>
        <w:jc w:val="left"/>
        <w:rPr>
          <w:sz w:val="20"/>
        </w:rPr>
      </w:pPr>
      <w:r>
        <w:rPr>
          <w:sz w:val="20"/>
        </w:rPr>
        <w:t>Figura 1. Ubicación de San José Villa, Guerrero. </w:t>
      </w:r>
      <w:r>
        <w:rPr>
          <w:sz w:val="18"/>
        </w:rPr>
        <w:t>La </w:t>
      </w:r>
      <w:r>
        <w:rPr>
          <w:sz w:val="20"/>
        </w:rPr>
        <w:t>floricultura se ha convertido </w:t>
      </w:r>
      <w:r>
        <w:rPr>
          <w:sz w:val="18"/>
        </w:rPr>
        <w:t>en </w:t>
      </w:r>
      <w:r>
        <w:rPr>
          <w:sz w:val="20"/>
        </w:rPr>
        <w:t>su principal activi- dad económica</w:t>
      </w:r>
    </w:p>
    <w:p>
      <w:pPr>
        <w:pStyle w:val="BodyText"/>
        <w:rPr>
          <w:sz w:val="20"/>
        </w:rPr>
      </w:pPr>
    </w:p>
    <w:p>
      <w:pPr>
        <w:pStyle w:val="BodyText"/>
        <w:spacing w:before="10"/>
        <w:rPr>
          <w:sz w:val="19"/>
        </w:rPr>
      </w:pPr>
    </w:p>
    <w:p>
      <w:pPr>
        <w:pStyle w:val="BodyText"/>
        <w:spacing w:line="357" w:lineRule="auto" w:before="69"/>
        <w:ind w:left="1418" w:right="1696"/>
        <w:jc w:val="both"/>
      </w:pPr>
      <w:r>
        <w:rPr/>
        <w:t>La floricultura requiere del empleo de grandes cantidades de plaguicidas, debido al exterminio de plagas es un trabajo intensivo en el cultivo de flores</w:t>
      </w:r>
      <w:r>
        <w:rPr>
          <w:position w:val="8"/>
          <w:sz w:val="16"/>
        </w:rPr>
        <w:t>18</w:t>
      </w:r>
      <w:r>
        <w:rPr/>
        <w:t>. Por lo que, se emplean distintos agroquímicos que se aplican en actividades como la desinfección del  suelo,  la  fertilización  y  antes  del  corte</w:t>
      </w:r>
      <w:r>
        <w:rPr>
          <w:position w:val="8"/>
          <w:sz w:val="16"/>
        </w:rPr>
        <w:t>18</w:t>
      </w:r>
      <w:r>
        <w:rPr/>
        <w:t>.  Entre  los  químicos  utilizados     se</w:t>
      </w:r>
    </w:p>
    <w:p>
      <w:pPr>
        <w:spacing w:after="0" w:line="357" w:lineRule="auto"/>
        <w:jc w:val="both"/>
        <w:sectPr>
          <w:footerReference w:type="default" r:id="rId14"/>
          <w:pgSz w:w="12240" w:h="15840"/>
          <w:pgMar w:footer="599" w:header="0" w:top="1500" w:bottom="780" w:left="0" w:right="0"/>
        </w:sectPr>
      </w:pPr>
    </w:p>
    <w:p>
      <w:pPr>
        <w:pStyle w:val="BodyText"/>
        <w:spacing w:before="4"/>
        <w:rPr>
          <w:sz w:val="11"/>
        </w:rPr>
      </w:pPr>
    </w:p>
    <w:p>
      <w:pPr>
        <w:pStyle w:val="BodyText"/>
        <w:spacing w:line="355" w:lineRule="auto" w:before="69"/>
        <w:ind w:left="1418" w:right="1694"/>
        <w:jc w:val="both"/>
      </w:pPr>
      <w:r>
        <w:rPr/>
        <w:t>encuentran los insecticidas, fungicidas y reguladores de crecimiento, que pueden ser aplicados como polvo, spray o aspersión</w:t>
      </w:r>
      <w:r>
        <w:rPr>
          <w:position w:val="8"/>
          <w:sz w:val="16"/>
        </w:rPr>
        <w:t>54</w:t>
      </w:r>
      <w:r>
        <w:rPr/>
        <w:t>.</w:t>
      </w:r>
    </w:p>
    <w:p>
      <w:pPr>
        <w:pStyle w:val="BodyText"/>
        <w:spacing w:before="5"/>
        <w:rPr>
          <w:sz w:val="36"/>
        </w:rPr>
      </w:pPr>
    </w:p>
    <w:p>
      <w:pPr>
        <w:pStyle w:val="BodyText"/>
        <w:spacing w:line="360" w:lineRule="auto"/>
        <w:ind w:left="1418" w:right="1699"/>
        <w:jc w:val="both"/>
      </w:pPr>
      <w:r>
        <w:rPr/>
        <w:t>El manejo inadecuado de los plaguicidas en particular, es una práctica  común, debido a la falta de asistencia técnica, uso indiscriminado de la cantidad y frecuencia de una aplicación efectiva de los químicos, así como el aumento de plaguicidas más agresivos, prohibidos y/o restringidos, empleo de mezclas de varios plaguicidas que sus formulaciones resultan ser desconocidas, todo esto con el propósito de eliminar la plaga</w:t>
      </w:r>
      <w:r>
        <w:rPr>
          <w:position w:val="8"/>
          <w:sz w:val="16"/>
        </w:rPr>
        <w:t>51</w:t>
      </w:r>
      <w:r>
        <w:rPr/>
        <w:t>. Además de la inadecuada disposición de los envases, que son generalmente desechados en tiraderos clandestinos, cuerpos de agua, enterrados en el suelo y otras veces quemados genera un alto riesgo de contaminación del suelo y cuerpos de</w:t>
      </w:r>
      <w:r>
        <w:rPr>
          <w:spacing w:val="-6"/>
        </w:rPr>
        <w:t> </w:t>
      </w:r>
      <w:r>
        <w:rPr/>
        <w:t>agua</w:t>
      </w:r>
      <w:r>
        <w:rPr>
          <w:position w:val="8"/>
          <w:sz w:val="16"/>
        </w:rPr>
        <w:t>55</w:t>
      </w:r>
      <w:r>
        <w:rPr/>
        <w:t>.</w:t>
      </w:r>
    </w:p>
    <w:p>
      <w:pPr>
        <w:pStyle w:val="BodyText"/>
        <w:rPr>
          <w:sz w:val="36"/>
        </w:rPr>
      </w:pPr>
    </w:p>
    <w:p>
      <w:pPr>
        <w:pStyle w:val="BodyText"/>
        <w:spacing w:line="360" w:lineRule="auto"/>
        <w:ind w:left="1418" w:right="1695"/>
        <w:jc w:val="both"/>
      </w:pPr>
      <w:r>
        <w:rPr/>
        <w:t>La mayoría de los floricultores desconocen el daño que pueda ocasionar la generación de residuos, los riesgos e impactos sobre la salud humana y el medio ambiente</w:t>
      </w:r>
      <w:r>
        <w:rPr>
          <w:position w:val="8"/>
          <w:sz w:val="16"/>
        </w:rPr>
        <w:t>49</w:t>
      </w:r>
      <w:r>
        <w:rPr/>
        <w:t>, esto genera que los trabajadores de la comunidad no utilicen protección durante sus actividades.</w:t>
      </w:r>
    </w:p>
    <w:p>
      <w:pPr>
        <w:pStyle w:val="BodyText"/>
      </w:pPr>
    </w:p>
    <w:p>
      <w:pPr>
        <w:pStyle w:val="BodyText"/>
        <w:spacing w:line="357" w:lineRule="auto" w:before="139"/>
        <w:ind w:left="1418" w:right="1698"/>
        <w:jc w:val="both"/>
      </w:pPr>
      <w:r>
        <w:rPr/>
        <w:t>Los efectos en la salud del Estado de México no se hacen esperar por el uso incorrecto de plaguicidas</w:t>
      </w:r>
      <w:r>
        <w:rPr>
          <w:position w:val="8"/>
          <w:sz w:val="16"/>
        </w:rPr>
        <w:t>37, </w:t>
      </w:r>
      <w:r>
        <w:rPr/>
        <w:t>especialistas aseguran que los municipios con  actividades floristas encabezan la lista de lugares con niños que padecen enfermedades oncológicas, detallando que Villa Guerrero se encuentra en los primeros lugares donde los químicos y fertilizantes utilizados para la producción de flores y cosechas, indudablemente están dañando a los niños, también hay registro de problemas en fetos de madres</w:t>
      </w:r>
      <w:r>
        <w:rPr>
          <w:spacing w:val="-16"/>
        </w:rPr>
        <w:t> </w:t>
      </w:r>
      <w:r>
        <w:rPr/>
        <w:t>adolescentes</w:t>
      </w:r>
      <w:r>
        <w:rPr>
          <w:position w:val="8"/>
          <w:sz w:val="16"/>
        </w:rPr>
        <w:t>56</w:t>
      </w:r>
      <w:r>
        <w:rPr/>
        <w:t>.</w:t>
      </w:r>
    </w:p>
    <w:p>
      <w:pPr>
        <w:pStyle w:val="BodyText"/>
        <w:spacing w:before="2"/>
        <w:rPr>
          <w:sz w:val="36"/>
        </w:rPr>
      </w:pPr>
    </w:p>
    <w:p>
      <w:pPr>
        <w:pStyle w:val="BodyText"/>
        <w:spacing w:line="360" w:lineRule="auto" w:before="1"/>
        <w:ind w:left="1418" w:right="1699"/>
        <w:jc w:val="both"/>
      </w:pPr>
      <w:r>
        <w:rPr/>
        <w:t>Esto genera la urgente necesidad de formular programas y medidas preventivas que garanticen el manejo seguro de estas sustancias</w:t>
      </w:r>
      <w:r>
        <w:rPr>
          <w:position w:val="8"/>
          <w:sz w:val="16"/>
        </w:rPr>
        <w:t>37</w:t>
      </w:r>
      <w:r>
        <w:rPr/>
        <w:t>, en cuanto al uso y manejo seguro de los plaguicidas el Código Internacional de Conducta para la Distribución y Utilización de Plaguicidas, Artículo 3 menciona que, el gobierno tienen la completa responsabilidad de regular la disponibilidad, distribución y utilización de   plaguicidas,</w:t>
      </w:r>
    </w:p>
    <w:p>
      <w:pPr>
        <w:spacing w:after="0" w:line="360" w:lineRule="auto"/>
        <w:jc w:val="both"/>
        <w:sectPr>
          <w:footerReference w:type="default" r:id="rId23"/>
          <w:pgSz w:w="12240" w:h="15840"/>
          <w:pgMar w:footer="599" w:header="0" w:top="1500" w:bottom="780" w:left="0" w:right="0"/>
          <w:pgNumType w:start="21"/>
        </w:sectPr>
      </w:pPr>
    </w:p>
    <w:p>
      <w:pPr>
        <w:pStyle w:val="BodyText"/>
        <w:spacing w:before="4"/>
        <w:rPr>
          <w:sz w:val="11"/>
        </w:rPr>
      </w:pPr>
    </w:p>
    <w:p>
      <w:pPr>
        <w:pStyle w:val="BodyText"/>
        <w:spacing w:line="360" w:lineRule="auto" w:before="69"/>
        <w:ind w:left="1418" w:right="1704"/>
        <w:jc w:val="both"/>
      </w:pPr>
      <w:r>
        <w:rPr/>
        <w:t>mientras que la industria de plaguicidas y los comerciantes deberán suministrarlos con una calidad adecuada, envasados y etiquetados con el fin de disminuir los riesgos para los usuarios y reducir al mínimo los efectos adversos en el medio ambiente; proporcionar en cada envase información e instrucciones de uso; brindar asesoramiento sobre la disposición final de plaguicidas y de sus envases usados</w:t>
      </w:r>
      <w:r>
        <w:rPr>
          <w:position w:val="8"/>
          <w:sz w:val="16"/>
        </w:rPr>
        <w:t>53</w:t>
      </w:r>
      <w:r>
        <w:rPr/>
        <w:t>.</w:t>
      </w:r>
    </w:p>
    <w:p>
      <w:pPr>
        <w:pStyle w:val="BodyText"/>
        <w:rPr>
          <w:sz w:val="36"/>
        </w:rPr>
      </w:pPr>
    </w:p>
    <w:p>
      <w:pPr>
        <w:pStyle w:val="BodyText"/>
        <w:spacing w:line="357" w:lineRule="auto"/>
        <w:ind w:left="1418" w:right="1699"/>
        <w:jc w:val="both"/>
      </w:pPr>
      <w:r>
        <w:rPr/>
        <w:t>Para la reducción de riesgos en la salud y el ambiente se debe llevar a cabo un programa de vigilancia de la salud de las personas expuestas a plaguicidas en su trabajo, promover el uso de equipo de protección personal apropiado y de costo accesible así como servicios para la recolección de envases vacíos</w:t>
      </w:r>
      <w:r>
        <w:rPr>
          <w:position w:val="8"/>
          <w:sz w:val="16"/>
        </w:rPr>
        <w:t>57</w:t>
      </w:r>
      <w:r>
        <w:rPr/>
        <w:t>.</w:t>
      </w:r>
    </w:p>
    <w:p>
      <w:pPr>
        <w:pStyle w:val="BodyText"/>
        <w:rPr>
          <w:sz w:val="26"/>
        </w:rPr>
      </w:pPr>
    </w:p>
    <w:p>
      <w:pPr>
        <w:pStyle w:val="BodyText"/>
        <w:rPr>
          <w:sz w:val="26"/>
        </w:rPr>
      </w:pPr>
    </w:p>
    <w:p>
      <w:pPr>
        <w:pStyle w:val="BodyText"/>
        <w:spacing w:before="4"/>
        <w:rPr>
          <w:sz w:val="20"/>
        </w:rPr>
      </w:pPr>
    </w:p>
    <w:p>
      <w:pPr>
        <w:pStyle w:val="Heading4"/>
        <w:numPr>
          <w:ilvl w:val="3"/>
          <w:numId w:val="3"/>
        </w:numPr>
        <w:tabs>
          <w:tab w:pos="2127" w:val="left" w:leader="none"/>
        </w:tabs>
        <w:spacing w:line="240" w:lineRule="auto" w:before="0" w:after="0"/>
        <w:ind w:left="2126" w:right="0" w:hanging="280"/>
        <w:jc w:val="left"/>
      </w:pPr>
      <w:r>
        <w:rPr/>
        <w:t>Efecto de los plaguicidas en la salud de los</w:t>
      </w:r>
      <w:r>
        <w:rPr>
          <w:spacing w:val="-17"/>
        </w:rPr>
        <w:t> </w:t>
      </w:r>
      <w:r>
        <w:rPr/>
        <w:t>niños</w:t>
      </w:r>
    </w:p>
    <w:p>
      <w:pPr>
        <w:pStyle w:val="BodyText"/>
        <w:rPr>
          <w:b/>
        </w:rPr>
      </w:pPr>
    </w:p>
    <w:p>
      <w:pPr>
        <w:pStyle w:val="BodyText"/>
        <w:rPr>
          <w:b/>
        </w:rPr>
      </w:pPr>
    </w:p>
    <w:p>
      <w:pPr>
        <w:pStyle w:val="BodyText"/>
        <w:spacing w:line="360" w:lineRule="auto"/>
        <w:ind w:left="1418" w:right="1695"/>
        <w:jc w:val="both"/>
      </w:pPr>
      <w:r>
        <w:rPr/>
        <w:t>Los niños constituyen un grupo de la población, con características específicas que los hacen más vulnerables a los plaguicidas a diferencia de los adultos</w:t>
      </w:r>
      <w:r>
        <w:rPr>
          <w:position w:val="8"/>
          <w:sz w:val="16"/>
        </w:rPr>
        <w:t>40, 58</w:t>
      </w:r>
      <w:r>
        <w:rPr/>
        <w:t>. The International Life Science Institute (ILSI) y </w:t>
      </w:r>
      <w:hyperlink r:id="rId24">
        <w:r>
          <w:rPr/>
          <w:t>Environmental Protection Agency</w:t>
        </w:r>
      </w:hyperlink>
      <w:r>
        <w:rPr/>
        <w:t> (EPA) consideran a los niños una subpoblación única que debe ser tomada en cuenta en la evaluación del riesgo, debido a su inmadurez en el desarrollo fisiológico y metabólico a sustancias tóxicas. Ya que estas características en lactantes y niños pequeños pueden crear una mayor susceptibilidad toxicológica y los efectos serán sutiles en el desarrollo del sistema nervioso, disrupción endocrina y el impacto de la exposición pre y perinatales, en el desarrollo de enfermedades crónicas, que requieren años o incluso décadas antes de la manifestación de la enfermedad</w:t>
      </w:r>
      <w:r>
        <w:rPr>
          <w:position w:val="8"/>
          <w:sz w:val="16"/>
        </w:rPr>
        <w:t>59</w:t>
      </w:r>
      <w:r>
        <w:rPr/>
        <w:t>.</w:t>
      </w:r>
    </w:p>
    <w:p>
      <w:pPr>
        <w:pStyle w:val="BodyText"/>
        <w:rPr>
          <w:sz w:val="36"/>
        </w:rPr>
      </w:pPr>
    </w:p>
    <w:p>
      <w:pPr>
        <w:pStyle w:val="BodyText"/>
        <w:spacing w:line="355" w:lineRule="auto" w:before="1"/>
        <w:ind w:left="1418" w:right="1704"/>
        <w:jc w:val="both"/>
      </w:pPr>
      <w:r>
        <w:rPr/>
        <w:t>Los niños poseen características únicas y factores que influyen en la exposición diferencial a sustancias tóxicas que los  hace más vulnerables</w:t>
      </w:r>
      <w:r>
        <w:rPr>
          <w:position w:val="8"/>
          <w:sz w:val="16"/>
        </w:rPr>
        <w:t>60</w:t>
      </w:r>
      <w:r>
        <w:rPr/>
        <w:t>.</w:t>
      </w:r>
    </w:p>
    <w:p>
      <w:pPr>
        <w:pStyle w:val="BodyText"/>
        <w:spacing w:before="5"/>
        <w:rPr>
          <w:sz w:val="36"/>
        </w:rPr>
      </w:pPr>
    </w:p>
    <w:p>
      <w:pPr>
        <w:pStyle w:val="BodyText"/>
        <w:spacing w:line="302" w:lineRule="auto"/>
        <w:ind w:left="2138" w:right="1703" w:hanging="360"/>
      </w:pPr>
      <w:r>
        <w:rPr>
          <w:rFonts w:ascii="Courier New" w:hAnsi="Courier New"/>
          <w:b/>
          <w:sz w:val="32"/>
        </w:rPr>
        <w:t>ͽ </w:t>
      </w:r>
      <w:r>
        <w:rPr/>
        <w:t>La capacidad de los niños para metabolizar, desintoxicar y excretar productos químicos  es  diferente  de  la  de  los  adultos.  Durante  los  primeros   meses</w:t>
      </w:r>
    </w:p>
    <w:p>
      <w:pPr>
        <w:spacing w:after="0" w:line="302" w:lineRule="auto"/>
        <w:sectPr>
          <w:pgSz w:w="12240" w:h="15840"/>
          <w:pgMar w:header="0" w:footer="599" w:top="1500" w:bottom="780" w:left="0" w:right="0"/>
        </w:sectPr>
      </w:pPr>
    </w:p>
    <w:p>
      <w:pPr>
        <w:pStyle w:val="BodyText"/>
        <w:spacing w:before="4"/>
        <w:rPr>
          <w:sz w:val="11"/>
        </w:rPr>
      </w:pPr>
    </w:p>
    <w:p>
      <w:pPr>
        <w:pStyle w:val="BodyText"/>
        <w:spacing w:line="360" w:lineRule="auto" w:before="69"/>
        <w:ind w:left="2138" w:right="1702"/>
        <w:jc w:val="both"/>
      </w:pPr>
      <w:r>
        <w:rPr/>
        <w:t>después del nacimiento, sus rutas metabólicas son inmaduras, por lo que metabolizan muchos productos químicos menos eficientemente que los adultos, lo que significa que los productos se eliminan más lentamente, principalmente vía orina o heces (excreción biliar), también la función renal es relativamente inmadura al nacer pero rápidamente alcanza los niveles de un adulto: la capacidad de filtración de la sangre en aproximadamente el primer mes de edad y la función tubular renal por año. Todos estos factores dan lugar a diferencias en la bioacumulación y la persistencia de los agentes ambientales en los cuerpos de niños y la concentración de los agentes en órganos</w:t>
      </w:r>
      <w:r>
        <w:rPr>
          <w:spacing w:val="-8"/>
        </w:rPr>
        <w:t> </w:t>
      </w:r>
      <w:r>
        <w:rPr/>
        <w:t>específicos</w:t>
      </w:r>
      <w:r>
        <w:rPr>
          <w:position w:val="8"/>
          <w:sz w:val="16"/>
        </w:rPr>
        <w:t>48</w:t>
      </w:r>
      <w:r>
        <w:rPr/>
        <w:t>.</w:t>
      </w:r>
    </w:p>
    <w:p>
      <w:pPr>
        <w:pStyle w:val="BodyText"/>
        <w:spacing w:before="5"/>
        <w:rPr>
          <w:sz w:val="34"/>
        </w:rPr>
      </w:pPr>
    </w:p>
    <w:p>
      <w:pPr>
        <w:pStyle w:val="BodyText"/>
        <w:spacing w:line="302" w:lineRule="auto" w:before="1"/>
        <w:ind w:left="2138" w:right="1703" w:hanging="360"/>
      </w:pPr>
      <w:r>
        <w:rPr>
          <w:rFonts w:ascii="Courier New" w:hAnsi="Courier New"/>
          <w:b/>
          <w:sz w:val="32"/>
        </w:rPr>
        <w:t>ͽ </w:t>
      </w:r>
      <w:r>
        <w:rPr/>
        <w:t>Los niños a diferencia de los adultos comen, beben y respiran más por peso corporal.</w:t>
      </w:r>
    </w:p>
    <w:p>
      <w:pPr>
        <w:pStyle w:val="BodyText"/>
        <w:spacing w:before="5"/>
        <w:rPr>
          <w:sz w:val="33"/>
        </w:rPr>
      </w:pPr>
    </w:p>
    <w:p>
      <w:pPr>
        <w:pStyle w:val="ListParagraph"/>
        <w:numPr>
          <w:ilvl w:val="0"/>
          <w:numId w:val="8"/>
        </w:numPr>
        <w:tabs>
          <w:tab w:pos="2859" w:val="left" w:leader="none"/>
        </w:tabs>
        <w:spacing w:line="357" w:lineRule="auto" w:before="0" w:after="0"/>
        <w:ind w:left="2858" w:right="1694" w:hanging="360"/>
        <w:jc w:val="both"/>
        <w:rPr>
          <w:sz w:val="24"/>
        </w:rPr>
      </w:pPr>
      <w:r>
        <w:rPr>
          <w:sz w:val="24"/>
        </w:rPr>
        <w:t>Los niños beben más agua (siete veces más agua por kilogramo de peso corporal). Durante los primeros 6 meses, los niños consumen en promedio 88 ml/kg/día de agua de la llave directamente o indirectamente (agua agregada en la preparación de fórmula o jugo de frutas) en comparación con los adultos que beben 17 ml/kg/día</w:t>
      </w:r>
      <w:r>
        <w:rPr>
          <w:position w:val="8"/>
          <w:sz w:val="16"/>
        </w:rPr>
        <w:t>44</w:t>
      </w:r>
      <w:r>
        <w:rPr>
          <w:sz w:val="24"/>
        </w:rPr>
        <w:t>. Como consecuencia de este mayor consumo de agua, los niños pueden estar desproporcionadamente expuestos a químicos que se encuentran en </w:t>
      </w:r>
      <w:r>
        <w:rPr>
          <w:spacing w:val="5"/>
          <w:sz w:val="24"/>
        </w:rPr>
        <w:t>el </w:t>
      </w:r>
      <w:r>
        <w:rPr>
          <w:sz w:val="24"/>
        </w:rPr>
        <w:t>agua potable, incluyendo el agua utilizada para preparar la fórmula infantil</w:t>
      </w:r>
      <w:r>
        <w:rPr>
          <w:position w:val="8"/>
          <w:sz w:val="16"/>
        </w:rPr>
        <w:t>61</w:t>
      </w:r>
      <w:r>
        <w:rPr>
          <w:sz w:val="24"/>
        </w:rPr>
        <w:t>.</w:t>
      </w:r>
    </w:p>
    <w:p>
      <w:pPr>
        <w:pStyle w:val="BodyText"/>
        <w:spacing w:before="3"/>
        <w:rPr>
          <w:sz w:val="30"/>
        </w:rPr>
      </w:pPr>
    </w:p>
    <w:p>
      <w:pPr>
        <w:pStyle w:val="ListParagraph"/>
        <w:numPr>
          <w:ilvl w:val="0"/>
          <w:numId w:val="8"/>
        </w:numPr>
        <w:tabs>
          <w:tab w:pos="2859" w:val="left" w:leader="none"/>
        </w:tabs>
        <w:spacing w:line="357" w:lineRule="auto" w:before="0" w:after="0"/>
        <w:ind w:left="2858" w:right="1695" w:hanging="360"/>
        <w:jc w:val="both"/>
        <w:rPr>
          <w:sz w:val="24"/>
        </w:rPr>
      </w:pPr>
      <w:r>
        <w:rPr>
          <w:sz w:val="24"/>
        </w:rPr>
        <w:t>La frecuencia respiratoria en los niños es significativamente mayor en relación a la superficie pulmonar (la frecuencia respiratoria normal varía de 30 a 60 respiraciones por minuto en el momento de nacer) en comparación con los adultos (12 a 16 respiraciones por minuto)</w:t>
      </w:r>
      <w:r>
        <w:rPr>
          <w:position w:val="8"/>
          <w:sz w:val="16"/>
        </w:rPr>
        <w:t>4</w:t>
      </w:r>
      <w:r>
        <w:rPr>
          <w:sz w:val="24"/>
        </w:rPr>
        <w:t>,  debido a que la entrada de aire por kilogramo de un niño en reposo es dos veces superior que la de un adulto, por lo tanto, los bebés reciben potencialmente</w:t>
      </w:r>
      <w:r>
        <w:rPr>
          <w:spacing w:val="34"/>
          <w:sz w:val="24"/>
        </w:rPr>
        <w:t> </w:t>
      </w:r>
      <w:r>
        <w:rPr>
          <w:sz w:val="24"/>
        </w:rPr>
        <w:t>una</w:t>
      </w:r>
      <w:r>
        <w:rPr>
          <w:spacing w:val="34"/>
          <w:sz w:val="24"/>
        </w:rPr>
        <w:t> </w:t>
      </w:r>
      <w:r>
        <w:rPr>
          <w:sz w:val="24"/>
        </w:rPr>
        <w:t>mayor</w:t>
      </w:r>
      <w:r>
        <w:rPr>
          <w:spacing w:val="32"/>
          <w:sz w:val="24"/>
        </w:rPr>
        <w:t> </w:t>
      </w:r>
      <w:r>
        <w:rPr>
          <w:sz w:val="24"/>
        </w:rPr>
        <w:t>exposición</w:t>
      </w:r>
      <w:r>
        <w:rPr>
          <w:spacing w:val="34"/>
          <w:sz w:val="24"/>
        </w:rPr>
        <w:t> </w:t>
      </w:r>
      <w:r>
        <w:rPr>
          <w:sz w:val="24"/>
        </w:rPr>
        <w:t>interna</w:t>
      </w:r>
      <w:r>
        <w:rPr>
          <w:spacing w:val="34"/>
          <w:sz w:val="24"/>
        </w:rPr>
        <w:t> </w:t>
      </w:r>
      <w:r>
        <w:rPr>
          <w:sz w:val="24"/>
        </w:rPr>
        <w:t>a</w:t>
      </w:r>
      <w:r>
        <w:rPr>
          <w:spacing w:val="34"/>
          <w:sz w:val="24"/>
        </w:rPr>
        <w:t> </w:t>
      </w:r>
      <w:r>
        <w:rPr>
          <w:sz w:val="24"/>
        </w:rPr>
        <w:t>los</w:t>
      </w:r>
      <w:r>
        <w:rPr>
          <w:spacing w:val="34"/>
          <w:sz w:val="24"/>
        </w:rPr>
        <w:t> </w:t>
      </w:r>
      <w:r>
        <w:rPr>
          <w:sz w:val="24"/>
        </w:rPr>
        <w:t>compuestos</w:t>
      </w:r>
      <w:r>
        <w:rPr>
          <w:spacing w:val="33"/>
          <w:sz w:val="24"/>
        </w:rPr>
        <w:t> </w:t>
      </w:r>
      <w:r>
        <w:rPr>
          <w:sz w:val="24"/>
        </w:rPr>
        <w:t>en</w:t>
      </w:r>
      <w:r>
        <w:rPr>
          <w:spacing w:val="34"/>
          <w:sz w:val="24"/>
        </w:rPr>
        <w:t> </w:t>
      </w:r>
      <w:r>
        <w:rPr>
          <w:sz w:val="24"/>
        </w:rPr>
        <w:t>el</w:t>
      </w:r>
    </w:p>
    <w:p>
      <w:pPr>
        <w:spacing w:after="0" w:line="357" w:lineRule="auto"/>
        <w:jc w:val="both"/>
        <w:rPr>
          <w:sz w:val="24"/>
        </w:rPr>
        <w:sectPr>
          <w:pgSz w:w="12240" w:h="15840"/>
          <w:pgMar w:header="0" w:footer="599" w:top="1500" w:bottom="780" w:left="0" w:right="0"/>
        </w:sectPr>
      </w:pPr>
    </w:p>
    <w:p>
      <w:pPr>
        <w:pStyle w:val="BodyText"/>
        <w:spacing w:before="4"/>
        <w:rPr>
          <w:sz w:val="11"/>
        </w:rPr>
      </w:pPr>
    </w:p>
    <w:p>
      <w:pPr>
        <w:pStyle w:val="BodyText"/>
        <w:spacing w:line="355" w:lineRule="auto" w:before="69"/>
        <w:ind w:left="2858" w:right="1703"/>
      </w:pPr>
      <w:r>
        <w:rPr/>
        <w:t>aire. La tasa de respiración en un día de ejercicio puede alcanzar niveles más altos que los adultos</w:t>
      </w:r>
      <w:r>
        <w:rPr>
          <w:position w:val="8"/>
          <w:sz w:val="16"/>
        </w:rPr>
        <w:t>44</w:t>
      </w:r>
      <w:r>
        <w:rPr/>
        <w:t>.</w:t>
      </w:r>
    </w:p>
    <w:p>
      <w:pPr>
        <w:pStyle w:val="BodyText"/>
        <w:spacing w:before="6"/>
        <w:rPr>
          <w:sz w:val="36"/>
        </w:rPr>
      </w:pPr>
    </w:p>
    <w:p>
      <w:pPr>
        <w:pStyle w:val="ListParagraph"/>
        <w:numPr>
          <w:ilvl w:val="0"/>
          <w:numId w:val="8"/>
        </w:numPr>
        <w:tabs>
          <w:tab w:pos="2859" w:val="left" w:leader="none"/>
        </w:tabs>
        <w:spacing w:line="357" w:lineRule="auto" w:before="0" w:after="0"/>
        <w:ind w:left="2858" w:right="1702" w:hanging="360"/>
        <w:jc w:val="both"/>
        <w:rPr>
          <w:sz w:val="24"/>
        </w:rPr>
      </w:pPr>
      <w:r>
        <w:rPr>
          <w:sz w:val="24"/>
        </w:rPr>
        <w:t>Los niños ingieren más comida por unidad de peso corporal. La dieta  de los niños es muy diferente a la de un adulto, contiene más productos lácteos, frutas y verduras por unidad de peso corporal que los adultos. Las frutas pueden estar contaminadas con plaguicidas y otras sustancias tóxicas, exponiendo a los niños a estas sustancias químicas</w:t>
      </w:r>
      <w:r>
        <w:rPr>
          <w:position w:val="8"/>
          <w:sz w:val="16"/>
        </w:rPr>
        <w:t>44</w:t>
      </w:r>
      <w:r>
        <w:rPr>
          <w:sz w:val="24"/>
        </w:rPr>
        <w:t>.</w:t>
      </w:r>
    </w:p>
    <w:p>
      <w:pPr>
        <w:pStyle w:val="BodyText"/>
        <w:spacing w:before="2"/>
        <w:rPr>
          <w:sz w:val="36"/>
        </w:rPr>
      </w:pPr>
    </w:p>
    <w:p>
      <w:pPr>
        <w:pStyle w:val="BodyText"/>
        <w:spacing w:line="302" w:lineRule="auto"/>
        <w:ind w:left="2138" w:right="1703" w:hanging="360"/>
      </w:pPr>
      <w:r>
        <w:rPr>
          <w:rFonts w:ascii="Courier New" w:hAnsi="Courier New"/>
          <w:b/>
          <w:sz w:val="32"/>
        </w:rPr>
        <w:t>ͽ </w:t>
      </w:r>
      <w:r>
        <w:rPr/>
        <w:t>Los niños experimentan un rápido crecimiento y desarrollo, si se altera una determinada fase puede tener efectos irreversibles. Por ejemplo, la exposición</w:t>
      </w:r>
    </w:p>
    <w:p>
      <w:pPr>
        <w:pStyle w:val="BodyText"/>
        <w:spacing w:line="360" w:lineRule="auto" w:before="69"/>
        <w:ind w:left="2138" w:right="1698"/>
        <w:jc w:val="both"/>
      </w:pPr>
      <w:r>
        <w:rPr/>
        <w:t>a agentes ambientales durante la primera infancia puede afectar el desarrollo del sistema inmunológico y puede contribuir más adelante al desarrollo de ciertas enfermedades como el asma y cáncer, debido a que la respuesta inmune es inmadura al nacer y se desarrolla durante la infancia y niñez hasta el primer año de edad, mientras que el establecimiento de memoria inmunológica no está totalmente establecida hasta los 18 años</w:t>
      </w:r>
      <w:r>
        <w:rPr>
          <w:position w:val="8"/>
          <w:sz w:val="16"/>
        </w:rPr>
        <w:t>44</w:t>
      </w:r>
      <w:r>
        <w:rPr/>
        <w:t>.</w:t>
      </w:r>
    </w:p>
    <w:p>
      <w:pPr>
        <w:pStyle w:val="BodyText"/>
        <w:rPr>
          <w:sz w:val="36"/>
        </w:rPr>
      </w:pPr>
    </w:p>
    <w:p>
      <w:pPr>
        <w:pStyle w:val="BodyText"/>
        <w:spacing w:line="360" w:lineRule="auto"/>
        <w:ind w:left="2138" w:right="1701"/>
        <w:jc w:val="both"/>
      </w:pPr>
      <w:r>
        <w:rPr/>
        <w:t>Los contaminantes ambientales pueden plantear un riesgo mayor para los niños que para los adultos, debido a que los niños tienen una mayor esperanza de vida para desarrollar enfermedades con periodos de latencia larga. Por ejemplo, si un adulto de 70 años de edad y un niño de 5 años de edad están expuestos a un agente carcinógeno con un período de latencia </w:t>
      </w:r>
      <w:r>
        <w:rPr>
          <w:spacing w:val="8"/>
        </w:rPr>
        <w:t> </w:t>
      </w:r>
      <w:r>
        <w:rPr/>
        <w:t>de</w:t>
      </w:r>
    </w:p>
    <w:p>
      <w:pPr>
        <w:pStyle w:val="BodyText"/>
        <w:spacing w:line="357" w:lineRule="auto" w:before="3"/>
        <w:ind w:left="2138" w:right="1705"/>
        <w:jc w:val="both"/>
      </w:pPr>
      <w:r>
        <w:rPr/>
        <w:t>40 años, el niño tiene un mayor riesgo de por vida de desarrollar enfermedades crónicas provocadas por exposiciones</w:t>
      </w:r>
      <w:r>
        <w:rPr>
          <w:spacing w:val="-19"/>
        </w:rPr>
        <w:t> </w:t>
      </w:r>
      <w:r>
        <w:rPr/>
        <w:t>tempranas</w:t>
      </w:r>
      <w:r>
        <w:rPr>
          <w:position w:val="8"/>
          <w:sz w:val="16"/>
        </w:rPr>
        <w:t>5</w:t>
      </w:r>
      <w:r>
        <w:rPr/>
        <w:t>.</w:t>
      </w:r>
    </w:p>
    <w:p>
      <w:pPr>
        <w:pStyle w:val="BodyText"/>
        <w:spacing w:before="2"/>
        <w:rPr>
          <w:sz w:val="36"/>
        </w:rPr>
      </w:pPr>
    </w:p>
    <w:p>
      <w:pPr>
        <w:pStyle w:val="BodyText"/>
        <w:spacing w:line="360" w:lineRule="auto" w:before="1"/>
        <w:ind w:left="2138" w:right="1700"/>
        <w:jc w:val="both"/>
      </w:pPr>
      <w:r>
        <w:rPr/>
        <w:t>El cáncer y las enfermedades neurodegenerativas surgen a lo largo de una serie de etapas que requieren años o incluso décadas antes de la manifestación  de  la  enfermedad.   No  se  ha  descrito  completamente     los</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57" w:lineRule="auto" w:before="69"/>
        <w:ind w:left="2138" w:right="1704"/>
        <w:jc w:val="both"/>
      </w:pPr>
      <w:r>
        <w:rPr/>
        <w:t>mecanismos bioquímicos relativos de la exposición de plaguicidas con el cáncer infantil, sin embargo, algunas pruebas sugieren que los plaguicidas pueden promover la formación de aberraciones cromosómicas que se asocian con un riesgo creciente del cáncer</w:t>
      </w:r>
      <w:r>
        <w:rPr>
          <w:position w:val="8"/>
          <w:sz w:val="16"/>
        </w:rPr>
        <w:t>44</w:t>
      </w:r>
      <w:r>
        <w:rPr/>
        <w:t>.</w:t>
      </w:r>
    </w:p>
    <w:p>
      <w:pPr>
        <w:pStyle w:val="BodyText"/>
        <w:spacing w:before="2"/>
        <w:rPr>
          <w:sz w:val="36"/>
        </w:rPr>
      </w:pPr>
    </w:p>
    <w:p>
      <w:pPr>
        <w:pStyle w:val="BodyText"/>
        <w:spacing w:line="360" w:lineRule="auto" w:before="1"/>
        <w:ind w:left="2138" w:right="1696"/>
        <w:jc w:val="both"/>
      </w:pPr>
      <w:r>
        <w:rPr/>
        <w:t>Los estudios epidemiológicos han sugerido un aumento en el riesgo de cáncer de cerebro, leucemia, linfoma no-Hodgkin (NHO), tumor de Wilms, el sarcoma de Ewing, y los tumores de células germinales asociadas con exposición ocupacional y no ocupacional de los padres a plaguicidas</w:t>
      </w:r>
      <w:r>
        <w:rPr>
          <w:position w:val="8"/>
          <w:sz w:val="16"/>
        </w:rPr>
        <w:t>33</w:t>
      </w:r>
      <w:r>
        <w:rPr/>
        <w:t>.</w:t>
      </w:r>
    </w:p>
    <w:p>
      <w:pPr>
        <w:pStyle w:val="BodyText"/>
        <w:rPr>
          <w:sz w:val="26"/>
        </w:rPr>
      </w:pPr>
    </w:p>
    <w:p>
      <w:pPr>
        <w:pStyle w:val="BodyText"/>
        <w:rPr>
          <w:sz w:val="34"/>
        </w:rPr>
      </w:pPr>
    </w:p>
    <w:p>
      <w:pPr>
        <w:pStyle w:val="Heading4"/>
        <w:spacing w:before="0"/>
        <w:ind w:left="2270" w:right="1703"/>
      </w:pPr>
      <w:r>
        <w:rPr/>
        <w:t>3.1.  Vías de contacto a sustancias tóxicas en los niños</w:t>
      </w:r>
    </w:p>
    <w:p>
      <w:pPr>
        <w:pStyle w:val="BodyText"/>
        <w:rPr>
          <w:b/>
        </w:rPr>
      </w:pPr>
    </w:p>
    <w:p>
      <w:pPr>
        <w:pStyle w:val="BodyText"/>
        <w:spacing w:before="9"/>
        <w:rPr>
          <w:b/>
          <w:sz w:val="23"/>
        </w:rPr>
      </w:pPr>
    </w:p>
    <w:p>
      <w:pPr>
        <w:pStyle w:val="BodyText"/>
        <w:spacing w:line="360" w:lineRule="auto"/>
        <w:ind w:left="1418" w:right="1698"/>
        <w:jc w:val="both"/>
      </w:pPr>
      <w:r>
        <w:rPr/>
        <w:t>Los niños presentan mayor susceptibilidad a los plaguicidas, la proporción de las sustancias tóxicas que entran al cuerpo dependerá tanto de factores externos, ambientales y biológicos que determinan el ritmo de asimilación de las sustancias químicas en el organismo</w:t>
      </w:r>
      <w:r>
        <w:rPr>
          <w:position w:val="8"/>
          <w:sz w:val="16"/>
        </w:rPr>
        <w:t>44, 28</w:t>
      </w:r>
      <w:r>
        <w:rPr/>
        <w:t>, la exposición ocurre a través de:</w:t>
      </w:r>
    </w:p>
    <w:p>
      <w:pPr>
        <w:pStyle w:val="BodyText"/>
        <w:rPr>
          <w:sz w:val="26"/>
        </w:rPr>
      </w:pPr>
    </w:p>
    <w:p>
      <w:pPr>
        <w:pStyle w:val="BodyText"/>
        <w:rPr>
          <w:sz w:val="22"/>
        </w:rPr>
      </w:pPr>
    </w:p>
    <w:p>
      <w:pPr>
        <w:pStyle w:val="BodyText"/>
        <w:spacing w:before="1"/>
        <w:ind w:left="1778" w:right="1703"/>
      </w:pPr>
      <w:r>
        <w:rPr>
          <w:rFonts w:ascii="Courier New" w:hAnsi="Courier New"/>
          <w:b/>
          <w:sz w:val="32"/>
        </w:rPr>
        <w:t>ͽ </w:t>
      </w:r>
      <w:r>
        <w:rPr/>
        <w:t>Vía prenatal:</w:t>
      </w:r>
    </w:p>
    <w:p>
      <w:pPr>
        <w:pStyle w:val="BodyText"/>
        <w:spacing w:line="357" w:lineRule="auto" w:before="91"/>
        <w:ind w:left="2126" w:right="1695"/>
        <w:jc w:val="both"/>
        <w:rPr>
          <w:sz w:val="16"/>
        </w:rPr>
      </w:pPr>
      <w:r>
        <w:rPr/>
        <w:t>Los plaguicidas pueden atravesar la placenta materna y alcanzar las células del feto en desarrollo</w:t>
      </w:r>
      <w:r>
        <w:rPr>
          <w:position w:val="8"/>
          <w:sz w:val="16"/>
        </w:rPr>
        <w:t>63</w:t>
      </w:r>
      <w:r>
        <w:rPr/>
        <w:t>. Se ha demostrado que el feto es vulnerable a la contaminación de estas sustancias durante la gestación lo que se traduce en una exposición en el útero, y origina un inadecuado desarrollo, aunque sus consecuencias se manifiesten clínicamente en la pubertad o la edad   adulta</w:t>
      </w:r>
      <w:r>
        <w:rPr>
          <w:position w:val="8"/>
          <w:sz w:val="16"/>
        </w:rPr>
        <w:t>64,</w:t>
      </w:r>
    </w:p>
    <w:p>
      <w:pPr>
        <w:spacing w:before="0"/>
        <w:ind w:left="2126" w:right="0" w:firstLine="0"/>
        <w:jc w:val="both"/>
        <w:rPr>
          <w:sz w:val="24"/>
        </w:rPr>
      </w:pPr>
      <w:r>
        <w:rPr>
          <w:sz w:val="16"/>
        </w:rPr>
        <w:t>44</w:t>
      </w:r>
      <w:r>
        <w:rPr>
          <w:position w:val="-7"/>
          <w:sz w:val="24"/>
        </w:rPr>
        <w:t>.</w:t>
      </w:r>
    </w:p>
    <w:p>
      <w:pPr>
        <w:pStyle w:val="BodyText"/>
        <w:spacing w:before="135"/>
        <w:ind w:left="1778" w:right="1703"/>
      </w:pPr>
      <w:r>
        <w:rPr>
          <w:rFonts w:ascii="Courier New" w:hAnsi="Courier New"/>
          <w:b/>
          <w:sz w:val="32"/>
        </w:rPr>
        <w:t>ͽ </w:t>
      </w:r>
      <w:r>
        <w:rPr/>
        <w:t>Vía leche materna:</w:t>
      </w:r>
    </w:p>
    <w:p>
      <w:pPr>
        <w:pStyle w:val="BodyText"/>
        <w:spacing w:line="357" w:lineRule="auto" w:before="94"/>
        <w:ind w:left="2126" w:right="1701"/>
        <w:jc w:val="both"/>
      </w:pPr>
      <w:r>
        <w:rPr/>
        <w:t>Una vez que el bebé ha nacido, la lactancia materna también puede ser el resultado de la exposición a productos químicos acumulados en la leche materna, debido a que se considera una vía de eliminación de los plaguicidas para la madre</w:t>
      </w:r>
      <w:r>
        <w:rPr>
          <w:position w:val="8"/>
          <w:sz w:val="16"/>
        </w:rPr>
        <w:t>64</w:t>
      </w:r>
      <w:r>
        <w:rPr/>
        <w:t>.</w:t>
      </w:r>
    </w:p>
    <w:p>
      <w:pPr>
        <w:spacing w:after="0" w:line="357" w:lineRule="auto"/>
        <w:jc w:val="both"/>
        <w:sectPr>
          <w:pgSz w:w="12240" w:h="15840"/>
          <w:pgMar w:header="0" w:footer="599" w:top="1500" w:bottom="780" w:left="0" w:right="0"/>
        </w:sectPr>
      </w:pPr>
    </w:p>
    <w:p>
      <w:pPr>
        <w:pStyle w:val="BodyText"/>
        <w:spacing w:before="4"/>
        <w:rPr>
          <w:sz w:val="11"/>
        </w:rPr>
      </w:pPr>
    </w:p>
    <w:p>
      <w:pPr>
        <w:pStyle w:val="BodyText"/>
        <w:spacing w:before="69"/>
        <w:ind w:left="1778" w:right="1703"/>
      </w:pPr>
      <w:r>
        <w:rPr>
          <w:rFonts w:ascii="Courier New" w:hAnsi="Courier New"/>
          <w:b/>
          <w:sz w:val="32"/>
        </w:rPr>
        <w:t>ͽ </w:t>
      </w:r>
      <w:r>
        <w:rPr/>
        <w:t>El entorno:</w:t>
      </w:r>
    </w:p>
    <w:p>
      <w:pPr>
        <w:pStyle w:val="BodyText"/>
        <w:spacing w:line="357" w:lineRule="auto" w:before="91"/>
        <w:ind w:left="2126" w:right="1695"/>
        <w:jc w:val="both"/>
      </w:pPr>
      <w:r>
        <w:rPr/>
        <w:t>La proximidad de las viviendas de los niños a zonas agrícolas expuestas a plaguicidas o los miembros del hogar que trabajan en estas zonas son ejemplos de contaminación del medio ambiente. En un ambiente interior la degradación de los plaguicidas es más lenta, por tanto, los niños están expuestos más tiempo</w:t>
      </w:r>
      <w:r>
        <w:rPr>
          <w:position w:val="8"/>
          <w:sz w:val="16"/>
        </w:rPr>
        <w:t>44 </w:t>
      </w:r>
      <w:r>
        <w:rPr/>
        <w:t>ya que reciben indirectamente las sustancias sobre el cuerpo a través de los residuos en la ropa y piel de los padres expuestos</w:t>
      </w:r>
      <w:r>
        <w:rPr>
          <w:position w:val="8"/>
          <w:sz w:val="16"/>
        </w:rPr>
        <w:t>65, 28</w:t>
      </w:r>
      <w:r>
        <w:rPr/>
        <w:t>. Además, la piel de los niños en relación con el peso corporal es superior a la de los adultos, y resulta en una mayor absorción de aproximadamente tres veces más</w:t>
      </w:r>
      <w:r>
        <w:rPr>
          <w:position w:val="8"/>
          <w:sz w:val="16"/>
        </w:rPr>
        <w:t>19, 63</w:t>
      </w:r>
      <w:r>
        <w:rPr/>
        <w:t>.</w:t>
      </w:r>
    </w:p>
    <w:p>
      <w:pPr>
        <w:pStyle w:val="BodyText"/>
        <w:spacing w:before="2"/>
        <w:rPr>
          <w:sz w:val="36"/>
        </w:rPr>
      </w:pPr>
    </w:p>
    <w:p>
      <w:pPr>
        <w:pStyle w:val="BodyText"/>
        <w:ind w:left="1778" w:right="1703"/>
      </w:pPr>
      <w:r>
        <w:rPr>
          <w:rFonts w:ascii="Courier New" w:hAnsi="Courier New"/>
          <w:b/>
          <w:sz w:val="32"/>
        </w:rPr>
        <w:t>ͽ </w:t>
      </w:r>
      <w:r>
        <w:rPr/>
        <w:t>Comportamiento mano-a-boca:</w:t>
      </w:r>
    </w:p>
    <w:p>
      <w:pPr>
        <w:pStyle w:val="BodyText"/>
        <w:spacing w:line="360" w:lineRule="auto" w:before="94"/>
        <w:ind w:left="2138" w:right="1697"/>
        <w:jc w:val="both"/>
      </w:pPr>
      <w:r>
        <w:rPr/>
        <w:t>El comportamiento de los niños de traer consigo elementos del suelo a la boca y jugar más cerca de la tierra contaminada con plaguicidas los pone en mayor riesgo de exposición, debido a que los niños mayores de 6 años tienen generalmente muy limitado el comportamiento mano-boca y tienen mayores niveles de ingestión del suelo y polvo que un adulto</w:t>
      </w:r>
      <w:r>
        <w:rPr>
          <w:position w:val="8"/>
          <w:sz w:val="16"/>
        </w:rPr>
        <w:t>48</w:t>
      </w:r>
      <w:r>
        <w:rPr/>
        <w:t>. Por ejemplo, en un día típico, el niño promedio puede ingerir entre 28 y 45 mg de tierra o polvo vía mano-boca, mientras que lo estimado para un adulto es de 10 mg. Lo anterior, depende en gran medida del grado de actividad del niño respecto a su edad, estando más expuestos los niños de entre 1 y 6 años de edad.</w:t>
      </w:r>
    </w:p>
    <w:p>
      <w:pPr>
        <w:spacing w:after="0" w:line="360" w:lineRule="auto"/>
        <w:jc w:val="both"/>
        <w:sectPr>
          <w:pgSz w:w="12240" w:h="15840"/>
          <w:pgMar w:header="0" w:footer="599" w:top="1500" w:bottom="780" w:left="0" w:right="0"/>
        </w:sectPr>
      </w:pPr>
    </w:p>
    <w:p>
      <w:pPr>
        <w:pStyle w:val="BodyText"/>
        <w:spacing w:before="4"/>
        <w:rPr>
          <w:sz w:val="11"/>
        </w:rPr>
      </w:pPr>
    </w:p>
    <w:p>
      <w:pPr>
        <w:pStyle w:val="Heading4"/>
        <w:numPr>
          <w:ilvl w:val="3"/>
          <w:numId w:val="3"/>
        </w:numPr>
        <w:tabs>
          <w:tab w:pos="2127" w:val="left" w:leader="none"/>
        </w:tabs>
        <w:spacing w:line="240" w:lineRule="auto" w:before="69" w:after="0"/>
        <w:ind w:left="2126" w:right="0" w:hanging="280"/>
        <w:jc w:val="both"/>
      </w:pPr>
      <w:r>
        <w:rPr/>
        <w:t>Características de la mucosa</w:t>
      </w:r>
      <w:r>
        <w:rPr>
          <w:spacing w:val="-6"/>
        </w:rPr>
        <w:t> </w:t>
      </w:r>
      <w:r>
        <w:rPr/>
        <w:t>bucal</w:t>
      </w:r>
    </w:p>
    <w:p>
      <w:pPr>
        <w:pStyle w:val="BodyText"/>
        <w:rPr>
          <w:b/>
        </w:rPr>
      </w:pPr>
    </w:p>
    <w:p>
      <w:pPr>
        <w:pStyle w:val="BodyText"/>
        <w:rPr>
          <w:b/>
        </w:rPr>
      </w:pPr>
    </w:p>
    <w:p>
      <w:pPr>
        <w:pStyle w:val="BodyText"/>
        <w:spacing w:line="357" w:lineRule="auto"/>
        <w:ind w:left="1418" w:right="1706"/>
        <w:jc w:val="both"/>
      </w:pPr>
      <w:r>
        <w:rPr/>
        <w:t>La cavidad bucal está tapizada por una membrana mucosa de superficie húmeda, la estructura morfológica de la mucosa bucal varía por la adaptación funcional a la influencia mecánica que actúa sobre ella las diferentes regiones de la cavidad bucal</w:t>
      </w:r>
      <w:r>
        <w:rPr>
          <w:position w:val="8"/>
          <w:sz w:val="16"/>
        </w:rPr>
        <w:t>66</w:t>
      </w:r>
      <w:r>
        <w:rPr/>
        <w:t>. Se divide en tres tipos principales según sus criterios funcionales:</w:t>
      </w:r>
    </w:p>
    <w:p>
      <w:pPr>
        <w:pStyle w:val="BodyText"/>
        <w:rPr>
          <w:sz w:val="36"/>
        </w:rPr>
      </w:pPr>
    </w:p>
    <w:p>
      <w:pPr>
        <w:tabs>
          <w:tab w:pos="3090" w:val="left" w:leader="none"/>
        </w:tabs>
        <w:spacing w:before="0"/>
        <w:ind w:left="1846" w:right="597" w:hanging="144"/>
        <w:jc w:val="left"/>
        <w:rPr>
          <w:sz w:val="24"/>
        </w:rPr>
      </w:pPr>
      <w:r>
        <w:rPr>
          <w:rFonts w:ascii="Courier New" w:hAnsi="Courier New"/>
          <w:b/>
          <w:sz w:val="32"/>
        </w:rPr>
        <w:t>ͽ</w:t>
      </w:r>
      <w:r>
        <w:rPr>
          <w:rFonts w:ascii="Courier New" w:hAnsi="Courier New"/>
          <w:b/>
          <w:spacing w:val="-102"/>
          <w:sz w:val="32"/>
        </w:rPr>
        <w:t> </w:t>
      </w:r>
      <w:r>
        <w:rPr>
          <w:i/>
          <w:sz w:val="24"/>
        </w:rPr>
        <w:t>Mucosa</w:t>
        <w:tab/>
        <w:t>de  revestimiento</w:t>
      </w:r>
      <w:r>
        <w:rPr>
          <w:sz w:val="24"/>
        </w:rPr>
        <w:t>:  función  de  protección.  El  epitelio  es  de  tipo</w:t>
      </w:r>
      <w:r>
        <w:rPr>
          <w:spacing w:val="37"/>
          <w:sz w:val="24"/>
        </w:rPr>
        <w:t> </w:t>
      </w:r>
      <w:r>
        <w:rPr>
          <w:sz w:val="24"/>
        </w:rPr>
        <w:t>no</w:t>
      </w:r>
    </w:p>
    <w:p>
      <w:pPr>
        <w:pStyle w:val="BodyText"/>
        <w:spacing w:line="360" w:lineRule="auto" w:before="97"/>
        <w:ind w:left="1846" w:right="1702"/>
        <w:jc w:val="both"/>
      </w:pPr>
      <w:r>
        <w:rPr/>
        <w:t>queratinizado, corion laxo o semilaxo y presenta una submucosa bien definida.  Es distensible y se adapta a la contracción y relajación de las mejillas, labios y lengua, y a los movimientos del maxilar inferior, producidos durante la masticación. Se halla presente en la cara inferior del labio, paladar blando, cara ventral de la lengua, mejillas y piso o suelo de la</w:t>
      </w:r>
      <w:r>
        <w:rPr>
          <w:spacing w:val="-15"/>
        </w:rPr>
        <w:t> </w:t>
      </w:r>
      <w:r>
        <w:rPr/>
        <w:t>boca.</w:t>
      </w:r>
    </w:p>
    <w:p>
      <w:pPr>
        <w:pStyle w:val="BodyText"/>
      </w:pPr>
    </w:p>
    <w:p>
      <w:pPr>
        <w:pStyle w:val="BodyText"/>
        <w:spacing w:line="302" w:lineRule="auto" w:before="139"/>
        <w:ind w:left="1846" w:right="1703" w:hanging="144"/>
      </w:pPr>
      <w:r>
        <w:rPr>
          <w:rFonts w:ascii="Courier New" w:hAnsi="Courier New"/>
          <w:b/>
          <w:sz w:val="32"/>
        </w:rPr>
        <w:t>ͽ </w:t>
      </w:r>
      <w:r>
        <w:rPr>
          <w:i/>
        </w:rPr>
        <w:t>Mucosa masticatoria</w:t>
      </w:r>
      <w:r>
        <w:rPr/>
        <w:t>: sometida directamente a las fuerzas internas y presión originadas por el impacto masticatorio. Suele estar fija al hueso y no experimenta</w:t>
      </w:r>
    </w:p>
    <w:p>
      <w:pPr>
        <w:pStyle w:val="BodyText"/>
        <w:spacing w:line="360" w:lineRule="auto" w:before="70"/>
        <w:ind w:left="1846" w:right="1694"/>
        <w:jc w:val="both"/>
      </w:pPr>
      <w:r>
        <w:rPr/>
        <w:t>estiramiento. A este tipo de mucosa corresponden la encía y el paladar duro. El epitelio es queratinizado o paraqueratinizado, corion semidenso o denso y carece de submucosa en la encía.</w:t>
      </w:r>
    </w:p>
    <w:p>
      <w:pPr>
        <w:pStyle w:val="BodyText"/>
      </w:pPr>
    </w:p>
    <w:p>
      <w:pPr>
        <w:spacing w:before="139"/>
        <w:ind w:left="1702" w:right="1703" w:firstLine="0"/>
        <w:jc w:val="left"/>
        <w:rPr>
          <w:sz w:val="24"/>
        </w:rPr>
      </w:pPr>
      <w:r>
        <w:rPr>
          <w:rFonts w:ascii="Courier New" w:hAnsi="Courier New"/>
          <w:b/>
          <w:sz w:val="32"/>
        </w:rPr>
        <w:t>ͽ </w:t>
      </w:r>
      <w:r>
        <w:rPr>
          <w:i/>
          <w:sz w:val="24"/>
        </w:rPr>
        <w:t>Mucosa especializada</w:t>
      </w:r>
      <w:r>
        <w:rPr>
          <w:sz w:val="24"/>
        </w:rPr>
        <w:t>: aloja botones gustativos intraepitelales, que tienen  una</w:t>
      </w:r>
    </w:p>
    <w:p>
      <w:pPr>
        <w:pStyle w:val="BodyText"/>
        <w:spacing w:line="355" w:lineRule="auto" w:before="96"/>
        <w:ind w:left="1846" w:right="1696"/>
        <w:jc w:val="both"/>
      </w:pPr>
      <w:r>
        <w:rPr/>
        <w:t>función sensitiva destinada a la recepción de los estímulos gustativos, esta variedad de mucosa se observa en la cara dorsal de la lengua</w:t>
      </w:r>
      <w:r>
        <w:rPr>
          <w:position w:val="8"/>
          <w:sz w:val="16"/>
        </w:rPr>
        <w:t>66</w:t>
      </w:r>
      <w:r>
        <w:rPr/>
        <w:t>.</w:t>
      </w:r>
    </w:p>
    <w:p>
      <w:pPr>
        <w:pStyle w:val="BodyText"/>
        <w:spacing w:before="6"/>
        <w:rPr>
          <w:sz w:val="36"/>
        </w:rPr>
      </w:pPr>
    </w:p>
    <w:p>
      <w:pPr>
        <w:pStyle w:val="BodyText"/>
        <w:spacing w:line="360" w:lineRule="auto"/>
        <w:ind w:left="1418" w:right="1703"/>
        <w:jc w:val="both"/>
      </w:pPr>
      <w:r>
        <w:rPr/>
        <w:t>La mucosa bucal está integrada por dos capas de tejidos estructural y embriológicamente diferentes: una capa superficial constituida por tejido epitelial y otra capa subyacente de tejido conectivo (lámina propia o corion). Ambas están conectadas por la membrana basal.</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60" w:lineRule="auto" w:before="69"/>
        <w:ind w:left="1418" w:right="1696"/>
        <w:jc w:val="both"/>
      </w:pPr>
      <w:r>
        <w:rPr>
          <w:b/>
        </w:rPr>
        <w:t>Epitelio</w:t>
      </w:r>
      <w:r>
        <w:rPr/>
        <w:t>: el epitelio de la mucosa bucal es de tipo plano o pavimentoso estratificado. Puede ser queratinizado, paraqueratinizado o no queratinizado; según la localización presenta diferencias estructurales y funcionales. Las células epiteliales están estrechamente unidas entre sí, de manera que forman una barrera funcional de protección entre el medio bucal y el tejido conectivo subyacente</w:t>
      </w:r>
      <w:r>
        <w:rPr>
          <w:position w:val="8"/>
          <w:sz w:val="16"/>
        </w:rPr>
        <w:t>66</w:t>
      </w:r>
      <w:r>
        <w:rPr/>
        <w:t>.</w:t>
      </w:r>
    </w:p>
    <w:p>
      <w:pPr>
        <w:pStyle w:val="BodyText"/>
        <w:spacing w:before="9"/>
        <w:rPr>
          <w:sz w:val="35"/>
        </w:rPr>
      </w:pPr>
    </w:p>
    <w:p>
      <w:pPr>
        <w:pStyle w:val="ListParagraph"/>
        <w:numPr>
          <w:ilvl w:val="0"/>
          <w:numId w:val="7"/>
        </w:numPr>
        <w:tabs>
          <w:tab w:pos="2139" w:val="left" w:leader="none"/>
        </w:tabs>
        <w:spacing w:line="357" w:lineRule="auto" w:before="1" w:after="0"/>
        <w:ind w:left="2138" w:right="1699" w:hanging="360"/>
        <w:jc w:val="both"/>
        <w:rPr>
          <w:sz w:val="24"/>
        </w:rPr>
      </w:pPr>
      <w:r>
        <w:rPr>
          <w:i/>
          <w:sz w:val="24"/>
        </w:rPr>
        <w:t>Epitelio plano estratificado queratinizado</w:t>
      </w:r>
      <w:r>
        <w:rPr>
          <w:sz w:val="24"/>
        </w:rPr>
        <w:t>: constituido por dos tipos de poblaciones celulares: la población intrínseca, propia del epitelio, formada por los </w:t>
      </w:r>
      <w:r>
        <w:rPr>
          <w:sz w:val="22"/>
        </w:rPr>
        <w:t>queratinocitos</w:t>
      </w:r>
      <w:r>
        <w:rPr>
          <w:sz w:val="24"/>
        </w:rPr>
        <w:t>, que representan el 90% de la población celular, y la población extrínseca, de origen ajeno al epitelio, formada por una población de células permanentes o residentes que </w:t>
      </w:r>
      <w:r>
        <w:rPr>
          <w:sz w:val="22"/>
        </w:rPr>
        <w:t>representan </w:t>
      </w:r>
      <w:r>
        <w:rPr>
          <w:sz w:val="24"/>
        </w:rPr>
        <w:t>el 9% de la población  celular del epitelio y </w:t>
      </w:r>
      <w:r>
        <w:rPr>
          <w:sz w:val="22"/>
        </w:rPr>
        <w:t>una población </w:t>
      </w:r>
      <w:r>
        <w:rPr>
          <w:sz w:val="24"/>
        </w:rPr>
        <w:t>transitoria que representa el 1%</w:t>
      </w:r>
      <w:r>
        <w:rPr>
          <w:spacing w:val="-46"/>
          <w:sz w:val="24"/>
        </w:rPr>
        <w:t> </w:t>
      </w:r>
      <w:r>
        <w:rPr>
          <w:sz w:val="24"/>
        </w:rPr>
        <w:t>(</w:t>
      </w:r>
      <w:r>
        <w:rPr>
          <w:sz w:val="22"/>
        </w:rPr>
        <w:t>Figura 2</w:t>
      </w:r>
      <w:r>
        <w:rPr>
          <w:sz w:val="24"/>
        </w:rPr>
        <w:t>)</w:t>
      </w:r>
      <w:r>
        <w:rPr>
          <w:position w:val="8"/>
          <w:sz w:val="16"/>
        </w:rPr>
        <w:t>48</w:t>
      </w:r>
      <w:r>
        <w:rPr>
          <w:sz w:val="24"/>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p>
    <w:p>
      <w:pPr>
        <w:spacing w:after="0"/>
        <w:rPr>
          <w:sz w:val="29"/>
        </w:rPr>
        <w:sectPr>
          <w:pgSz w:w="12240" w:h="15840"/>
          <w:pgMar w:header="0" w:footer="599" w:top="1500" w:bottom="780" w:left="0" w:right="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8"/>
        </w:rPr>
      </w:pPr>
    </w:p>
    <w:p>
      <w:pPr>
        <w:spacing w:line="240" w:lineRule="auto"/>
        <w:ind w:left="5042" w:right="0" w:firstLine="0"/>
        <w:rPr>
          <w:sz w:val="20"/>
        </w:rPr>
      </w:pPr>
      <w:r>
        <w:rPr>
          <w:sz w:val="20"/>
        </w:rPr>
        <w:drawing>
          <wp:inline distT="0" distB="0" distL="0" distR="0">
            <wp:extent cx="217847" cy="257175"/>
            <wp:effectExtent l="0" t="0" r="0" b="0"/>
            <wp:docPr id="1" name="image13.png" descr=""/>
            <wp:cNvGraphicFramePr>
              <a:graphicFrameLocks noChangeAspect="1"/>
            </wp:cNvGraphicFramePr>
            <a:graphic>
              <a:graphicData uri="http://schemas.openxmlformats.org/drawingml/2006/picture">
                <pic:pic>
                  <pic:nvPicPr>
                    <pic:cNvPr id="2" name="image13.png"/>
                    <pic:cNvPicPr/>
                  </pic:nvPicPr>
                  <pic:blipFill>
                    <a:blip r:embed="rId25" cstate="print"/>
                    <a:stretch>
                      <a:fillRect/>
                    </a:stretch>
                  </pic:blipFill>
                  <pic:spPr>
                    <a:xfrm>
                      <a:off x="0" y="0"/>
                      <a:ext cx="217847" cy="257175"/>
                    </a:xfrm>
                    <a:prstGeom prst="rect">
                      <a:avLst/>
                    </a:prstGeom>
                  </pic:spPr>
                </pic:pic>
              </a:graphicData>
            </a:graphic>
          </wp:inline>
        </w:drawing>
      </w:r>
      <w:r>
        <w:rPr>
          <w:sz w:val="20"/>
        </w:rPr>
      </w:r>
      <w:r>
        <w:rPr>
          <w:rFonts w:ascii="Times New Roman"/>
          <w:spacing w:val="30"/>
          <w:sz w:val="20"/>
        </w:rPr>
        <w:t> </w:t>
      </w:r>
      <w:r>
        <w:rPr>
          <w:spacing w:val="30"/>
          <w:position w:val="2"/>
          <w:sz w:val="20"/>
        </w:rPr>
        <w:pict>
          <v:group style="width:42.2pt;height:25.05pt;mso-position-horizontal-relative:char;mso-position-vertical-relative:line" coordorigin="0,0" coordsize="844,501">
            <v:shape style="position:absolute;left:4;top:4;width:835;height:492" coordorigin="4,4" coordsize="835,492" path="m274,4l184,11,112,31,65,70,29,136,8,218,4,260,7,300,35,370,85,409,149,434,233,456,328,474,428,487,525,495,570,496,613,496,684,489,746,466,798,410,828,335,839,256,838,219,823,159,781,113,713,77,629,49,541,29,459,17,369,8,274,4xe" filled="true" fillcolor="#7e7e7e" stroked="false">
              <v:path arrowok="t"/>
              <v:fill type="solid"/>
            </v:shape>
            <v:shape style="position:absolute;left:4;top:4;width:835;height:492" coordorigin="4,4" coordsize="835,492" path="m498,22l415,12,321,5,274,4,228,6,146,19,87,47,46,100,16,176,4,260,7,300,35,370,85,409,149,434,233,456,328,474,428,487,525,495,570,496,613,496,684,489,746,466,798,410,828,335,839,256,838,219,823,159,781,113,713,77,629,49,541,29,498,22xe" filled="false" stroked="true" strokeweight=".408189pt" strokecolor="#375f92">
              <v:path arrowok="t"/>
            </v:shape>
            <v:shape style="position:absolute;left:151;top:111;width:646;height:306" coordorigin="151,111" coordsize="646,306" path="m776,328l467,328,508,330,538,334,568,350,575,372,576,394,587,408,617,414,655,417,693,411,724,396,746,372,770,340,776,328xm230,119l215,124,197,141,177,166,160,195,153,223,151,249,153,277,167,303,202,321,233,327,273,329,320,330,370,329,420,328,776,328,788,304,796,267,786,235,765,214,733,192,694,170,673,161,327,161,304,160,294,152,288,143,277,136,261,130,246,122,230,119xm525,111l479,111,434,122,392,138,356,153,327,161,673,161,650,150,605,133,562,120,525,111xe" filled="true" fillcolor="#ffffff" stroked="false">
              <v:path arrowok="t"/>
              <v:fill type="solid"/>
            </v:shape>
            <v:shape style="position:absolute;left:151;top:111;width:646;height:306" coordorigin="151,111" coordsize="646,306" path="m215,124l160,195,151,249,153,277,202,321,273,329,320,330,370,329,420,328,467,328,538,334,576,394,587,408,617,414,655,417,693,411,746,372,788,304,796,267,786,235,733,192,650,150,562,120,525,111,479,111,434,122,392,138,356,153,327,161,304,160,294,152,288,143,277,136,261,130,246,122,230,119,215,124xe" filled="false" stroked="true" strokeweight=".407927pt" strokecolor="#385d89">
              <v:path arrowok="t"/>
            </v:shape>
            <v:shape style="position:absolute;left:228;top:107;width:189;height:66" coordorigin="228,107" coordsize="189,66" path="m323,107l286,110,256,117,236,127,228,140,236,152,256,163,286,170,323,172,360,170,390,163,410,152,417,140,410,127,390,117,360,110,323,107xe" filled="true" fillcolor="#205868" stroked="false">
              <v:path arrowok="t"/>
              <v:fill type="solid"/>
            </v:shape>
            <v:shape style="position:absolute;left:228;top:107;width:189;height:66" coordorigin="228,107" coordsize="189,66" path="m228,140l236,127,256,117,286,110,323,107,360,110,390,117,410,127,417,140,410,152,390,163,360,170,323,172,286,170,256,163,236,152,228,140xe" filled="false" stroked="true" strokeweight=".407659pt" strokecolor="#00afef">
              <v:path arrowok="t"/>
            </v:shape>
            <v:shape style="position:absolute;left:360;top:294;width:189;height:57" coordorigin="360,294" coordsize="189,57" path="m454,294l417,297,387,303,367,312,360,323,367,334,387,343,417,349,454,351,491,349,521,343,541,334,549,323,541,312,521,303,491,297,454,294xe" filled="true" fillcolor="#205868" stroked="false">
              <v:path arrowok="t"/>
              <v:fill type="solid"/>
            </v:shape>
            <v:shape style="position:absolute;left:360;top:294;width:189;height:57" coordorigin="360,294" coordsize="189,57" path="m360,323l367,312,387,303,417,297,454,294,491,297,521,303,541,312,549,323,541,334,521,343,491,349,454,351,417,349,387,343,367,334,360,323xe" filled="false" stroked="true" strokeweight=".407579pt" strokecolor="#00afef">
              <v:path arrowok="t"/>
            </v:shape>
          </v:group>
        </w:pict>
      </w:r>
      <w:r>
        <w:rPr>
          <w:spacing w:val="30"/>
          <w:position w:val="2"/>
          <w:sz w:val="20"/>
        </w:rPr>
      </w:r>
    </w:p>
    <w:p>
      <w:pPr>
        <w:pStyle w:val="BodyText"/>
        <w:spacing w:line="57" w:lineRule="exact"/>
        <w:ind w:left="5723"/>
        <w:rPr>
          <w:sz w:val="5"/>
        </w:rPr>
      </w:pPr>
      <w:r>
        <w:rPr>
          <w:position w:val="0"/>
          <w:sz w:val="5"/>
        </w:rPr>
        <w:pict>
          <v:group style="width:31.25pt;height:2.9pt;mso-position-horizontal-relative:char;mso-position-vertical-relative:line" coordorigin="0,0" coordsize="625,58">
            <v:shape style="position:absolute;left:4;top:4;width:616;height:49" coordorigin="4,4" coordsize="616,49" path="m4,4l130,17,152,20,174,23,196,26,218,29,318,42,383,40,435,41,474,43,505,46,527,49,543,52,556,53,566,51,575,46,586,37,601,24,620,4e" filled="false" stroked="true" strokeweight=".407307pt" strokecolor="#497dba">
              <v:path arrowok="t"/>
            </v:shape>
          </v:group>
        </w:pict>
      </w:r>
      <w:r>
        <w:rPr>
          <w:position w:val="0"/>
          <w:sz w:val="5"/>
        </w:rPr>
      </w:r>
    </w:p>
    <w:p>
      <w:pPr>
        <w:pStyle w:val="BodyText"/>
        <w:spacing w:before="9"/>
        <w:rPr>
          <w:sz w:val="27"/>
        </w:rPr>
      </w:pPr>
    </w:p>
    <w:p>
      <w:pPr>
        <w:pStyle w:val="Heading3"/>
        <w:ind w:left="2544"/>
      </w:pPr>
      <w:r>
        <w:rPr/>
        <w:t>Figura 2. Epitelio plano  estratificado queratinizado</w:t>
      </w:r>
    </w:p>
    <w:p>
      <w:pPr>
        <w:spacing w:before="66"/>
        <w:ind w:left="818" w:right="0" w:firstLine="0"/>
        <w:jc w:val="left"/>
        <w:rPr>
          <w:rFonts w:ascii="Calibri" w:hAnsi="Calibri"/>
          <w:sz w:val="19"/>
        </w:rPr>
      </w:pPr>
      <w:r>
        <w:rPr/>
        <w:br w:type="column"/>
      </w:r>
      <w:r>
        <w:rPr>
          <w:rFonts w:ascii="Calibri" w:hAnsi="Calibri"/>
          <w:w w:val="105"/>
          <w:sz w:val="19"/>
        </w:rPr>
        <w:t>Estrato córneo</w:t>
      </w:r>
    </w:p>
    <w:p>
      <w:pPr>
        <w:pStyle w:val="BodyText"/>
        <w:spacing w:before="1"/>
        <w:rPr>
          <w:rFonts w:ascii="Calibri"/>
          <w:sz w:val="26"/>
        </w:rPr>
      </w:pPr>
    </w:p>
    <w:p>
      <w:pPr>
        <w:spacing w:before="0"/>
        <w:ind w:left="818" w:right="0" w:firstLine="0"/>
        <w:jc w:val="left"/>
        <w:rPr>
          <w:rFonts w:ascii="Calibri"/>
          <w:sz w:val="19"/>
        </w:rPr>
      </w:pPr>
      <w:r>
        <w:rPr/>
        <w:pict>
          <v:group style="position:absolute;margin-left:133.524323pt;margin-top:-36.994179pt;width:307.850pt;height:185.6pt;mso-position-horizontal-relative:page;mso-position-vertical-relative:paragraph;z-index:-339688" coordorigin="2670,-740" coordsize="6157,3712">
            <v:shape style="position:absolute;left:2732;top:-735;width:4810;height:135" coordorigin="2732,-735" coordsize="4810,135" path="m2732,-637l2797,-634,2907,-629,2996,-625,3067,-621,3145,-615,3165,-614,3183,-613,3250,-609,3261,-609,3273,-609,3347,-614,3418,-620,3448,-622,3482,-625,3491,-636,3499,-647,3508,-657,3519,-662,3554,-663,3588,-660,3623,-655,3657,-649,3696,-644,3712,-641,3719,-638,3729,-633,3757,-625,3772,-622,3788,-619,3804,-616,3819,-613,3832,-610,3844,-607,3857,-604,3869,-600,3895,-604,3916,-607,3932,-609,3944,-611,3953,-612,3958,-613,3962,-613,3963,-613,3964,-613,3964,-613,3964,-612,3986,-610,3999,-610,4067,-613,4141,-618,4244,-625,4269,-635,4282,-637,4310,-641,4338,-644,4366,-647,4394,-649,4406,-653,4419,-656,4431,-659,4444,-662,4463,-665,4481,-668,4500,-670,4519,-674,4532,-677,4544,-682,4556,-686,4656,-683,4757,-672,4822,-644,4831,-637,4872,-639,4913,-641,4954,-644,4995,-646,5036,-648,5077,-649,5119,-649,5193,-650,5264,-650,5329,-650,5390,-651,5500,-653,5594,-655,5674,-657,5742,-659,5824,-663,5867,-665,5886,-666,5949,-668,5963,-668,5975,-668,6037,-664,6112,-653,6174,-641,6255,-625,6292,-639,6343,-686,6409,-730,6418,-735,6449,-733,6481,-731,6543,-723,6571,-705,6580,-698,6654,-666,6724,-660,6811,-657,6899,-655,6942,-654,6986,-653,7074,-651,7163,-648,7255,-644,7346,-639,7392,-637,7431,-631,7453,-627,7467,-625,7481,-624,7503,-625,7542,-625e" filled="false" stroked="true" strokeweight=".407289pt" strokecolor="#497dba">
              <v:path arrowok="t"/>
            </v:shape>
            <v:shape style="position:absolute;left:2798;top:152;width:1108;height:244" type="#_x0000_t75" stroked="false">
              <v:imagedata r:id="rId26" o:title=""/>
            </v:shape>
            <v:shape style="position:absolute;left:2798;top:152;width:1109;height:245" coordorigin="2798,152" coordsize="1109,245" path="m2798,274l3352,152,3906,274,3352,396,2798,274xe" filled="false" stroked="true" strokeweight=".407448pt" strokecolor="#375f92">
              <v:path arrowok="t"/>
            </v:shape>
            <v:shape style="position:absolute;left:3291;top:30;width:1108;height:244" type="#_x0000_t75" stroked="false">
              <v:imagedata r:id="rId27" o:title=""/>
            </v:shape>
            <v:shape style="position:absolute;left:3291;top:30;width:1109;height:245" coordorigin="3291,30" coordsize="1109,245" path="m3291,152l3845,30,4399,152,3845,274,3291,152xe" filled="false" stroked="true" strokeweight=".407448pt" strokecolor="#375f92">
              <v:path arrowok="t"/>
            </v:shape>
            <v:shape style="position:absolute;left:3537;top:209;width:1108;height:244" type="#_x0000_t75" stroked="false">
              <v:imagedata r:id="rId28" o:title=""/>
            </v:shape>
            <v:shape style="position:absolute;left:3537;top:209;width:1109;height:245" coordorigin="3537,209" coordsize="1109,245" path="m3537,331l4091,209,4645,331,4091,453,3537,331xe" filled="false" stroked="true" strokeweight=".407448pt" strokecolor="#375f92">
              <v:path arrowok="t"/>
            </v:shape>
            <v:shape style="position:absolute;left:4152;top:87;width:1108;height:244" type="#_x0000_t75" stroked="false">
              <v:imagedata r:id="rId29" o:title=""/>
            </v:shape>
            <v:shape style="position:absolute;left:4152;top:87;width:1109;height:245" coordorigin="4152,87" coordsize="1109,245" path="m4152,209l4706,87,5260,209,4706,331,4152,209xe" filled="false" stroked="true" strokeweight=".407448pt" strokecolor="#375f92">
              <v:path arrowok="t"/>
            </v:shape>
            <v:shape style="position:absolute;left:4768;top:-36;width:1116;height:244" type="#_x0000_t75" stroked="false">
              <v:imagedata r:id="rId30" o:title=""/>
            </v:shape>
            <v:shape style="position:absolute;left:4768;top:-36;width:1117;height:245" coordorigin="4768,-36" coordsize="1117,245" path="m4768,87l5326,-36,5884,87,5326,209,4768,87xe" filled="false" stroked="true" strokeweight=".407446pt" strokecolor="#375f92">
              <v:path arrowok="t"/>
            </v:shape>
            <v:shape style="position:absolute;left:4711;top:209;width:1108;height:244" type="#_x0000_t75" stroked="false">
              <v:imagedata r:id="rId31" o:title=""/>
            </v:shape>
            <v:shape style="position:absolute;left:4711;top:209;width:1109;height:245" coordorigin="4711,209" coordsize="1109,245" path="m4711,331l5264,209,5819,331,5264,453,4711,331xe" filled="false" stroked="true" strokeweight=".407448pt" strokecolor="#375f92">
              <v:path arrowok="t"/>
            </v:shape>
            <v:shape style="position:absolute;left:5326;top:87;width:1108;height:244" type="#_x0000_t75" stroked="false">
              <v:imagedata r:id="rId32" o:title=""/>
            </v:shape>
            <v:shape style="position:absolute;left:5326;top:87;width:1109;height:245" coordorigin="5326,87" coordsize="1109,245" path="m5326,209l5880,87,6434,209,5880,331,5326,209xe" filled="false" stroked="true" strokeweight=".407448pt" strokecolor="#375f92">
              <v:path arrowok="t"/>
            </v:shape>
            <v:shape style="position:absolute;left:5819;top:-36;width:1108;height:244" type="#_x0000_t75" stroked="false">
              <v:imagedata r:id="rId33" o:title=""/>
            </v:shape>
            <v:shape style="position:absolute;left:5819;top:-36;width:1109;height:245" coordorigin="5819,-36" coordsize="1109,245" path="m5819,87l6373,-36,6927,87,6373,209,5819,87xe" filled="false" stroked="true" strokeweight=".407448pt" strokecolor="#1b1b1b">
              <v:path arrowok="t"/>
            </v:shape>
            <v:shape style="position:absolute;left:5884;top:209;width:1108;height:244" type="#_x0000_t75" stroked="false">
              <v:imagedata r:id="rId34" o:title=""/>
            </v:shape>
            <v:shape style="position:absolute;left:5884;top:209;width:1109;height:245" coordorigin="5884,209" coordsize="1109,245" path="m5884,331l6438,209,6992,331,6438,453,5884,331xe" filled="false" stroked="true" strokeweight=".407448pt" strokecolor="#375f92">
              <v:path arrowok="t"/>
            </v:shape>
            <v:shape style="position:absolute;left:6434;top:87;width:1108;height:244" type="#_x0000_t75" stroked="false">
              <v:imagedata r:id="rId35" o:title=""/>
            </v:shape>
            <v:shape style="position:absolute;left:6434;top:87;width:1109;height:245" coordorigin="6434,87" coordsize="1109,245" path="m6434,209l6988,87,7542,209,6988,331,6434,209xe" filled="false" stroked="true" strokeweight=".407448pt" strokecolor="#375f92">
              <v:path arrowok="t"/>
            </v:shape>
            <v:shape style="position:absolute;left:6565;top:-93;width:1108;height:244" type="#_x0000_t75" stroked="false">
              <v:imagedata r:id="rId36" o:title=""/>
            </v:shape>
            <v:shape style="position:absolute;left:6565;top:-93;width:1109;height:245" coordorigin="6565,-93" coordsize="1109,245" path="m6565,30l7119,-93,7673,30,7119,152,6565,30xe" filled="false" stroked="true" strokeweight=".407448pt" strokecolor="#375f92">
              <v:path arrowok="t"/>
            </v:shape>
            <v:shape style="position:absolute;left:6434;top:331;width:1108;height:244" type="#_x0000_t75" stroked="false">
              <v:imagedata r:id="rId37" o:title=""/>
            </v:shape>
            <v:shape style="position:absolute;left:6434;top:331;width:1109;height:245" coordorigin="6434,331" coordsize="1109,245" path="m6434,453l6988,331,7542,453,6988,575,6434,453xe" filled="false" stroked="true" strokeweight=".407448pt" strokecolor="#375f92">
              <v:path arrowok="t"/>
            </v:shape>
            <v:shape style="position:absolute;left:7050;top:209;width:1108;height:244" type="#_x0000_t75" stroked="false">
              <v:imagedata r:id="rId38" o:title=""/>
            </v:shape>
            <v:shape style="position:absolute;left:7050;top:209;width:1109;height:245" coordorigin="7050,209" coordsize="1109,245" path="m7050,331l7604,209,8158,331,7604,453,7050,331xe" filled="false" stroked="true" strokeweight=".407448pt" strokecolor="#375f92">
              <v:path arrowok="t"/>
            </v:shape>
            <v:shape style="position:absolute;left:2675;top:-93;width:1108;height:244" type="#_x0000_t75" stroked="false">
              <v:imagedata r:id="rId39" o:title=""/>
            </v:shape>
            <v:shape style="position:absolute;left:2675;top:-93;width:1109;height:245" coordorigin="2675,-93" coordsize="1109,245" path="m2675,30l3229,-93,3783,30,3229,152,2675,30xe" filled="false" stroked="true" strokeweight=".407448pt" strokecolor="#375f92">
              <v:path arrowok="t"/>
            </v:shape>
            <v:shape style="position:absolute;left:3726;top:-36;width:1108;height:244" type="#_x0000_t75" stroked="false">
              <v:imagedata r:id="rId40" o:title=""/>
            </v:shape>
            <v:shape style="position:absolute;left:3726;top:-36;width:1109;height:245" coordorigin="3726,-36" coordsize="1109,245" path="m3726,87l4280,-36,4834,87,4280,209,3726,87xe" filled="false" stroked="true" strokeweight=".407448pt" strokecolor="#375f92">
              <v:path arrowok="t"/>
            </v:shape>
            <v:shape style="position:absolute;left:4276;top:-158;width:1108;height:244" type="#_x0000_t75" stroked="false">
              <v:imagedata r:id="rId41" o:title=""/>
            </v:shape>
            <v:shape style="position:absolute;left:4276;top:-158;width:1109;height:245" coordorigin="4276,-158" coordsize="1109,245" path="m4276,-36l4829,-158,5384,-36,4829,87,4276,-36xe" filled="false" stroked="true" strokeweight=".407448pt" strokecolor="#375f92">
              <v:path arrowok="t"/>
            </v:shape>
            <v:shape style="position:absolute;left:5260;top:-158;width:1116;height:244" type="#_x0000_t75" stroked="false">
              <v:imagedata r:id="rId42" o:title=""/>
            </v:shape>
            <v:shape style="position:absolute;left:5260;top:-158;width:1117;height:245" coordorigin="5260,-158" coordsize="1117,245" path="m5260,-36l5819,-158,6377,-36,5819,87,5260,-36xe" filled="false" stroked="true" strokeweight=".407446pt" strokecolor="#375f92">
              <v:path arrowok="t"/>
            </v:shape>
            <v:shape style="position:absolute;left:2712;top:39;width:702;height:292" type="#_x0000_t75" stroked="false">
              <v:imagedata r:id="rId43" o:title=""/>
            </v:shape>
            <v:shape style="position:absolute;left:2712;top:39;width:703;height:292" coordorigin="2712,39" coordsize="703,292" path="m2712,39l3415,159,2737,331,2712,39xe" filled="false" stroked="true" strokeweight=".543194pt" strokecolor="#375f92">
              <v:path arrowok="t"/>
            </v:shape>
            <v:shape style="position:absolute;left:7117;top:1;width:975;height:332" type="#_x0000_t75" stroked="false">
              <v:imagedata r:id="rId44" o:title=""/>
            </v:shape>
            <v:shape style="position:absolute;left:7117;top:1;width:975;height:332" coordorigin="7117,1" coordsize="975,332" path="m8092,1l7117,129,8066,333,8092,1xe" filled="false" stroked="true" strokeweight=".40765pt" strokecolor="#375f92">
              <v:path arrowok="t"/>
            </v:shape>
            <v:shape style="position:absolute;left:142;top:919;width:9436;height:810" coordorigin="142,919" coordsize="9436,810" path="m2741,-141l2772,-144,2804,-146,2835,-149,2866,-153,2891,-159,2916,-167,2941,-174,2967,-178,3105,-190,3129,-198,3140,-201,3149,-205,3167,-215m3611,-36l3641,-38,3672,-41,3703,-44,3734,-48,3759,-53,3783,-61,3807,-68,3832,-72,3968,-84,3991,-92,4002,-95,4011,-99,4029,-109m5088,-158l5119,-160,5150,-163,5181,-166,5211,-170,5236,-175,5260,-183,5285,-190,5310,-194,5445,-206,5469,-214,5479,-218,5488,-222,5507,-231m4284,-255l4315,-258,4347,-260,4378,-263,4409,-267,4434,-273,4459,-281,4484,-288,4510,-292,4648,-304,4672,-312,4683,-315,4692,-319,4711,-329m6319,-93l6351,-95,6382,-98,6414,-100,6445,-105,6470,-110,6495,-118,6520,-125,6545,-129,6683,-141,6707,-149,6718,-152,6727,-156,6746,-166m2987,-402l3018,-404,3050,-407,3081,-410,3112,-414,3138,-420,3162,-427,3187,-434,3213,-438,3351,-451,3375,-458,3386,-462,3395,-466,3414,-475m5269,-385l5300,-388,5332,-391,5363,-393,5394,-398,5419,-403,5444,-411,5469,-418,5495,-422,5633,-434,5657,-442,5668,-445,5677,-449,5695,-459m6196,-320l6228,-323,6259,-326,6290,-329,6322,-334,6347,-340,6372,-349,6397,-356,6422,-361,6560,-375,6584,-383,6595,-387,6604,-391,6623,-402m7115,-190l7147,-193,7178,-196,7210,-199,7241,-204,7266,-210,7291,-218,7316,-226,7341,-231,7479,-244,7504,-253,7514,-257,7523,-261,7542,-272m7427,-93l7459,-95,7490,-98,7522,-100,7553,-105,7578,-110,7603,-118,7628,-125,7653,-129,7791,-141,7815,-149,7826,-152,7835,-156,7854,-166m7485,-402l7516,-404,7546,-407,7577,-410,7608,-414,7633,-420,7657,-427,7681,-434,7706,-438,7842,-451,7865,-458,7876,-462,7885,-466,7903,-475m6869,-402l6900,-404,6931,-407,6962,-410,6992,-414,7017,-420,7041,-427,7066,-434,7091,-438,7226,-451,7250,-458,7260,-462,7269,-466,7288,-475m3726,-385l3757,-388,3788,-391,3820,-393,3851,-398,3876,-403,3901,-411,3926,-418,3951,-422,4090,-434,4114,-442,4125,-445,4134,-449,4152,-459e" filled="false" stroked="true" strokeweight=".409039pt" strokecolor="#497dba">
              <v:path arrowok="t"/>
            </v:shape>
            <v:shape style="position:absolute;left:3360;top:-398;width:383;height:163" type="#_x0000_t75" stroked="false">
              <v:imagedata r:id="rId45" o:title=""/>
            </v:shape>
            <v:shape style="position:absolute;left:4464;top:-524;width:608;height:159" coordorigin="4464,-524" coordsize="608,159" path="m4464,-524l4512,-521,4559,-518,4607,-515,4674,-508,4743,-486,4752,-481,4762,-475,4772,-469,4781,-462,4787,-452,4792,-441,4797,-431,4806,-424,4830,-418,4856,-415,4881,-414,4907,-412,4924,-386,4935,-372,4945,-366,4958,-366,4980,-369,5017,-373,5072,-375e" filled="false" stroked="true" strokeweight=".407509pt" strokecolor="#497dba">
              <v:path arrowok="t"/>
            </v:shape>
            <v:shape style="position:absolute;left:5700;top:-398;width:320;height:138" type="#_x0000_t75" stroked="false">
              <v:imagedata r:id="rId46" o:title=""/>
            </v:shape>
            <v:shape style="position:absolute;left:1179;top:575;width:8610;height:938" coordorigin="1179,575" coordsize="8610,938" path="m5966,-524l6014,-521,6061,-519,6108,-516,6155,-512,6168,-510,6180,-503,6193,-499,6225,-491,6241,-487,6246,-486,6245,-487,6243,-487,6245,-487,6256,-483,6281,-475,6287,-466,6293,-456,6299,-447,6306,-438,6324,-424,6342,-415,6361,-408,6382,-402,6398,-404,6414,-407,6430,-409,6445,-414,6463,-423,6479,-435,6494,-449,6508,-463m6582,-267l6638,-271,6679,-275,6708,-278,6730,-279,6751,-279,6774,-278,6804,-274,6845,-267,6861,-265,6877,-262,6893,-259,6908,-255,6935,-249,6946,-245,6947,-244,6944,-243,6942,-243,6946,-241,6963,-238,6996,-232,7000,-231,7004,-232,7009,-232m6656,-611l6668,-607,6680,-598,6693,-598,6752,-598,6789,-599,6810,-600,6823,-603,6835,-608,6851,-614,6880,-624,6892,-627,6905,-630,6917,-633,6930,-636,6952,-644,6976,-652,6996,-659,7004,-662,7039,-660,7073,-659,7108,-656,7141,-649,7161,-639,7179,-624,7196,-609,7216,-598,7229,-594,7240,-588,7253,-586,7299,-578,7328,-574,7350,-573,7378,-573m7485,-613l7526,-612,7568,-611,7610,-611,7652,-610,7693,-610,7735,-608,7777,-607,7819,-605,7860,-601,7870,-598,7879,-590,7888,-583,7898,-578,7919,-576,7941,-576,7963,-577,7985,-578m7682,-243l7694,-246,7707,-249,7719,-252,7731,-255,7754,-262,7778,-270,7798,-277,7806,-280,7844,-274,7881,-269,7919,-263,7956,-255,7968,-252,7981,-250,7994,-247,8006,-243,8011,-241,8014,-235,8018,-231m3380,-239l3370,-237,3359,-235,3349,-233,3342,-227,3328,-206,3314,-181,3308,-160,3317,-153,3405,-165,3418,-169,3430,-178,3443,-178,3461,-175,3486,-168,3512,-159,3531,-153,3560,-161,3572,-164,3579,-165,3594,-165e" filled="false" stroked="true" strokeweight=".409039pt" strokecolor="#497dba">
              <v:path arrowok="t"/>
            </v:shape>
            <v:shape style="position:absolute;left:2761;top:-484;width:172;height:125" type="#_x0000_t75" stroked="false">
              <v:imagedata r:id="rId47" o:title=""/>
            </v:shape>
            <v:shape style="position:absolute;left:5014;top:-564;width:408;height:79" coordorigin="5014,-564" coordsize="408,79" path="m5014,-538l5055,-540,5095,-542,5135,-544,5176,-546,5216,-548,5256,-551,5266,-554,5275,-558,5284,-563,5294,-564,5320,-563,5345,-560,5371,-555,5396,-551,5404,-542,5413,-532,5420,-523,5422,-512,5414,-496,5401,-488,5385,-486,5371,-486e" filled="false" stroked="true" strokeweight=".407413pt" strokecolor="#497dba">
              <v:path arrowok="t"/>
            </v:shape>
            <v:shape style="position:absolute;left:5667;top:-572;width:284;height:182" type="#_x0000_t75" stroked="false">
              <v:imagedata r:id="rId48" o:title=""/>
            </v:shape>
            <v:shape style="position:absolute;left:1702;top:829;width:1981;height:733" coordorigin="1702,829" coordsize="1981,733" path="m3980,-216l4020,-215,4061,-215,4101,-215,4141,-212,4179,-203,4187,-195,4188,-181,4188,-165,4192,-152,4199,-146,4209,-143,4219,-141,4229,-139,4261,-131,4279,-128,4294,-127,4317,-127m4226,-377l4269,-380,4305,-382,4334,-384,4357,-386,4377,-387,4393,-388,4407,-388,4420,-389,4434,-389,4448,-389,4465,-389,4485,-389,4510,-389,4541,-388,4578,-388,4624,-388,4678,-388m3594,-466l3598,-477,3596,-493,3607,-501,3618,-506,3630,-508,3644,-510,3657,-512,3669,-516,3681,-520,3694,-524,3719,-521,3744,-519,3769,-516,3794,-512,3807,-510,3821,-508,3831,-501,3838,-493,3843,-483,3849,-474,3856,-466,3873,-458,3892,-454,3912,-454,3931,-454e" filled="false" stroked="true" strokeweight=".409039pt" strokecolor="#497dba">
              <v:path arrowok="t"/>
            </v:shape>
            <v:shape style="position:absolute;left:6407;top:-229;width:53;height:23" coordorigin="6407,-229" coordsize="53,23" path="m6444,-229l6430,-229,6416,-225,6407,-217,6408,-211,6417,-208,6430,-207,6441,-206,6445,-206,6459,-227,6453,-228,6444,-229xe" filled="true" fillcolor="#4f81bc" stroked="false">
              <v:path arrowok="t"/>
              <v:fill type="solid"/>
            </v:shape>
            <v:shape style="position:absolute;left:6407;top:-229;width:53;height:23" coordorigin="6407,-229" coordsize="53,23" path="m6453,-228l6444,-229,6430,-229,6416,-225,6407,-217,6408,-211,6417,-208,6430,-207,6441,-206,6445,-206,6459,-227,6453,-228xe" filled="false" stroked="true" strokeweight="1.222331pt" strokecolor="#385d89">
              <v:path arrowok="t"/>
            </v:shape>
            <v:shape style="position:absolute;left:3520;top:-418;width:33;height:29" coordorigin="3520,-418" coordsize="33,29" path="m3520,-404l3543,-393,3553,-389,3552,-396,3543,-418e" filled="false" stroked="true" strokeweight=".408812pt" strokecolor="#497dba">
              <v:path arrowok="t"/>
            </v:shape>
            <v:shape style="position:absolute;left:2927;top:-302;width:76;height:23" coordorigin="2927,-302" coordsize="76,23" path="m2965,-302l2950,-301,2936,-298,2927,-291,2929,-285,2939,-281,2952,-280,2965,-280,2977,-280,2992,-282,3002,-285,3002,-291,2990,-301,2990,-302,2977,-302,2965,-302xe" filled="true" fillcolor="#4f81bc" stroked="false">
              <v:path arrowok="t"/>
              <v:fill type="solid"/>
            </v:shape>
            <v:shape style="position:absolute;left:2927;top:-302;width:76;height:23" coordorigin="2927,-302" coordsize="76,23" path="m2977,-302l2965,-302,2950,-301,2936,-298,2927,-291,2929,-285,2939,-281,2952,-280,2965,-280,2977,-280,2992,-282,3002,-285,3002,-291,2990,-301,2990,-302,2977,-302xe" filled="false" stroked="true" strokeweight="1.221476pt" strokecolor="#385d89">
              <v:path arrowok="t"/>
            </v:shape>
            <v:shape style="position:absolute;left:5061;top:-237;width:69;height:23" coordorigin="5061,-237" coordsize="69,23" path="m5095,-237l5082,-236,5069,-233,5061,-226,5062,-219,5071,-216,5084,-215,5095,-215,5106,-215,5119,-217,5129,-220,5129,-226,5118,-236,5117,-236,5106,-236,5095,-237xe" filled="true" fillcolor="#4f81bc" stroked="false">
              <v:path arrowok="t"/>
              <v:fill type="solid"/>
            </v:shape>
            <v:shape style="position:absolute;left:5061;top:-237;width:69;height:23" coordorigin="5061,-237" coordsize="69,23" path="m5106,-236l5095,-237,5082,-236,5069,-233,5061,-226,5062,-219,5071,-216,5084,-215,5095,-215,5106,-215,5119,-217,5129,-220,5129,-226,5118,-236,5117,-236,5106,-236xe" filled="false" stroked="true" strokeweight="1.221633pt" strokecolor="#385d89">
              <v:path arrowok="t"/>
            </v:shape>
            <v:shape style="position:absolute;left:6538;top:-603;width:76;height:23" coordorigin="6538,-603" coordsize="76,23" path="m6577,-603l6562,-602,6548,-599,6538,-592,6540,-586,6550,-582,6564,-581,6576,-581,6589,-581,6603,-583,6613,-587,6614,-592,6602,-602,6601,-603,6589,-603,6577,-603xe" filled="true" fillcolor="#4f81bc" stroked="false">
              <v:path arrowok="t"/>
              <v:fill type="solid"/>
            </v:shape>
            <v:shape style="position:absolute;left:6538;top:-603;width:76;height:23" coordorigin="6538,-603" coordsize="76,23" path="m6589,-603l6577,-603,6562,-602,6548,-599,6538,-592,6540,-586,6550,-582,6564,-581,6576,-581,6589,-581,6603,-583,6613,-587,6614,-592,6602,-602,6601,-603,6589,-603xe" filled="false" stroked="true" strokeweight="1.221475pt" strokecolor="#385d89">
              <v:path arrowok="t"/>
            </v:shape>
            <v:shape style="position:absolute;left:2864;top:152;width:124;height:41" coordorigin="2864,152" coordsize="124,41" path="m2925,152l2901,153,2882,158,2869,164,2864,172,2869,180,2882,186,2901,191,2925,192,2949,191,2969,186,2982,180,2987,172,2982,164,2969,158,2949,153,2925,152xe" filled="true" fillcolor="#205868" stroked="false">
              <v:path arrowok="t"/>
              <v:fill type="solid"/>
            </v:shape>
            <v:shape style="position:absolute;left:2864;top:152;width:124;height:41" coordorigin="2864,152" coordsize="124,41" path="m2864,172l2869,164,2882,158,2901,153,2925,152,2949,153,2969,158,2982,164,2987,172,2982,180,2969,186,2949,191,2925,192,2901,191,2882,186,2869,180,2864,172xe" filled="false" stroked="true" strokeweight=".407631pt" strokecolor="#00afef">
              <v:path arrowok="t"/>
            </v:shape>
            <v:shape style="position:absolute;left:3291;top:233;width:124;height:41" coordorigin="3291,233" coordsize="124,41" path="m3352,233l3328,235,3309,239,3295,245,3291,253,3295,261,3309,268,3328,272,3352,274,3376,272,3396,268,3409,261,3414,253,3409,245,3396,239,3376,235,3352,233xe" filled="true" fillcolor="#205868" stroked="false">
              <v:path arrowok="t"/>
              <v:fill type="solid"/>
            </v:shape>
            <v:shape style="position:absolute;left:3291;top:233;width:124;height:41" coordorigin="3291,233" coordsize="124,41" path="m3291,253l3295,245,3309,239,3328,235,3352,233,3376,235,3396,239,3409,245,3414,253,3409,261,3396,268,3376,272,3352,274,3328,272,3309,268,3295,261,3291,253xe" filled="false" stroked="true" strokeweight=".407631pt" strokecolor="#00afef">
              <v:path arrowok="t"/>
            </v:shape>
            <v:shape style="position:absolute;left:3167;top:-11;width:124;height:41" coordorigin="3167,-11" coordsize="124,41" path="m3229,-11l3205,-10,3185,-5,3172,1,3167,9,3172,17,3185,24,3205,28,3229,30,3253,28,3273,24,3286,17,3291,9,3286,1,3273,-5,3253,-10,3229,-11xe" filled="true" fillcolor="#205868" stroked="false">
              <v:path arrowok="t"/>
              <v:fill type="solid"/>
            </v:shape>
            <v:shape style="position:absolute;left:3167;top:-11;width:124;height:41" coordorigin="3167,-11" coordsize="124,41" path="m3167,9l3172,1,3185,-5,3205,-10,3229,-11,3253,-10,3273,-5,3286,1,3291,9,3286,17,3273,24,3253,28,3229,30,3205,28,3185,24,3172,17,3167,9xe" filled="false" stroked="true" strokeweight=".407631pt" strokecolor="#00afef">
              <v:path arrowok="t"/>
            </v:shape>
            <v:shape style="position:absolute;left:3783;top:119;width:124;height:41" coordorigin="3783,119" coordsize="124,41" path="m3845,119l3821,121,3801,125,3788,132,3783,139,3788,147,3801,154,3821,158,3845,160,3869,158,3888,154,3901,147,3906,139,3901,132,3888,125,3869,121,3845,119xe" filled="true" fillcolor="#205868" stroked="false">
              <v:path arrowok="t"/>
              <v:fill type="solid"/>
            </v:shape>
            <v:shape style="position:absolute;left:3783;top:119;width:124;height:41" coordorigin="3783,119" coordsize="124,41" path="m3783,139l3788,132,3801,125,3821,121,3845,119,3869,121,3888,125,3901,132,3906,139,3901,147,3888,154,3869,158,3845,160,3821,158,3801,154,3788,147,3783,139xe" filled="false" stroked="true" strokeweight=".407631pt" strokecolor="#00afef">
              <v:path arrowok="t"/>
            </v:shape>
            <v:shape style="position:absolute;left:4095;top:298;width:124;height:33" coordorigin="4095,298" coordsize="124,33" path="m4156,298l4132,299,4113,303,4100,308,4095,314,4100,321,4113,326,4132,329,4156,331,4180,329,4200,326,4213,321,4218,314,4213,308,4200,303,4180,299,4156,298xe" filled="true" fillcolor="#205868" stroked="false">
              <v:path arrowok="t"/>
              <v:fill type="solid"/>
            </v:shape>
            <v:shape style="position:absolute;left:4095;top:298;width:124;height:33" coordorigin="4095,298" coordsize="124,33" path="m4095,314l4100,308,4113,303,4132,299,4156,298,4180,299,4200,303,4213,308,4218,314,4213,321,4200,326,4180,329,4156,331,4132,329,4113,326,4100,321,4095,314xe" filled="false" stroked="true" strokeweight=".407515pt" strokecolor="#00afef">
              <v:path arrowok="t"/>
            </v:shape>
            <v:shape style="position:absolute;left:4226;top:54;width:124;height:33" coordorigin="4226,54" coordsize="124,33" path="m4288,54l4264,55,4244,59,4231,64,4226,70,4231,77,4244,82,4264,85,4288,87,4312,85,4331,82,4345,77,4349,70,4345,64,4331,59,4312,55,4288,54xe" filled="true" fillcolor="#205868" stroked="false">
              <v:path arrowok="t"/>
              <v:fill type="solid"/>
            </v:shape>
            <v:shape style="position:absolute;left:4226;top:54;width:124;height:33" coordorigin="4226,54" coordsize="124,33" path="m4226,70l4231,64,4244,59,4264,55,4288,54,4312,55,4331,59,4345,64,4349,70,4345,77,4331,82,4312,85,4288,87,4264,85,4244,82,4231,77,4226,70xe" filled="false" stroked="true" strokeweight=".407515pt" strokecolor="#00afef">
              <v:path arrowok="t"/>
            </v:shape>
            <v:shape style="position:absolute;left:4645;top:184;width:124;height:33" coordorigin="4645,184" coordsize="124,33" path="m4706,184l4682,185,4663,189,4650,194,4645,200,4650,207,4663,212,4682,215,4706,217,4730,215,4750,212,4763,207,4768,200,4763,194,4750,189,4730,185,4706,184xe" filled="true" fillcolor="#205868" stroked="false">
              <v:path arrowok="t"/>
              <v:fill type="solid"/>
            </v:shape>
            <v:shape style="position:absolute;left:4645;top:184;width:124;height:33" coordorigin="4645,184" coordsize="124,33" path="m4645,200l4650,194,4663,189,4682,185,4706,184,4730,185,4750,189,4763,194,4768,200,4763,207,4750,212,4730,215,4706,217,4682,215,4663,212,4650,207,4645,200xe" filled="false" stroked="true" strokeweight=".407515pt" strokecolor="#00afef">
              <v:path arrowok="t"/>
            </v:shape>
            <v:shape style="position:absolute;left:4711;top:-68;width:124;height:33" coordorigin="4711,-68" coordsize="124,33" path="m4772,-68l4748,-67,4729,-63,4715,-58,4711,-52,4715,-45,4729,-40,4748,-37,4772,-36,4796,-37,4816,-40,4829,-45,4834,-52,4829,-58,4816,-63,4796,-67,4772,-68xe" filled="true" fillcolor="#205868" stroked="false">
              <v:path arrowok="t"/>
              <v:fill type="solid"/>
            </v:shape>
            <v:shape style="position:absolute;left:4711;top:-68;width:124;height:33" coordorigin="4711,-68" coordsize="124,33" path="m4711,-52l4715,-58,4729,-63,4748,-67,4772,-68,4796,-67,4816,-63,4829,-58,4834,-52,4829,-45,4816,-40,4796,-37,4772,-36,4748,-37,4729,-40,4715,-45,4711,-52xe" filled="false" stroked="true" strokeweight=".407515pt" strokecolor="#00afef">
              <v:path arrowok="t"/>
            </v:shape>
            <v:shape style="position:absolute;left:5260;top:87;width:124;height:41" coordorigin="5260,87" coordsize="124,41" path="m5322,87l5298,88,5278,92,5265,99,5260,107,5265,115,5278,121,5298,126,5322,127,5346,126,5366,121,5379,115,5384,107,5379,99,5366,92,5346,88,5322,87xe" filled="true" fillcolor="#205868" stroked="false">
              <v:path arrowok="t"/>
              <v:fill type="solid"/>
            </v:shape>
            <v:shape style="position:absolute;left:5260;top:87;width:124;height:41" coordorigin="5260,87" coordsize="124,41" path="m5260,107l5265,99,5278,92,5298,88,5322,87,5346,88,5366,92,5379,99,5384,107,5379,115,5366,121,5346,126,5322,127,5298,126,5278,121,5265,115,5260,107xe" filled="false" stroked="true" strokeweight=".407631pt" strokecolor="#00afef">
              <v:path arrowok="t"/>
            </v:shape>
            <v:shape style="position:absolute;left:5203;top:331;width:124;height:41" coordorigin="5203,331" coordsize="124,41" path="m5264,331l5241,332,5221,337,5208,343,5203,351,5208,359,5221,365,5241,370,5264,371,5288,370,5308,365,5321,359,5326,351,5321,343,5308,337,5288,332,5264,331xe" filled="true" fillcolor="#205868" stroked="false">
              <v:path arrowok="t"/>
              <v:fill type="solid"/>
            </v:shape>
            <v:shape style="position:absolute;left:5203;top:331;width:124;height:41" coordorigin="5203,331" coordsize="124,41" path="m5203,351l5208,343,5221,337,5241,332,5264,331,5288,332,5308,337,5321,343,5326,351,5321,359,5308,365,5288,370,5264,371,5241,370,5221,365,5208,359,5203,351xe" filled="false" stroked="true" strokeweight=".407631pt" strokecolor="#00afef">
              <v:path arrowok="t"/>
            </v:shape>
            <v:shape style="position:absolute;left:5753;top:176;width:132;height:33" coordorigin="5753,176" coordsize="132,33" path="m5819,176l5793,177,5772,181,5758,186,5753,192,5758,199,5772,204,5793,207,5819,209,5844,207,5865,204,5879,199,5884,192,5879,186,5865,181,5844,177,5819,176xe" filled="true" fillcolor="#205868" stroked="false">
              <v:path arrowok="t"/>
              <v:fill type="solid"/>
            </v:shape>
            <v:shape style="position:absolute;left:5753;top:176;width:132;height:33" coordorigin="5753,176" coordsize="132,33" path="m5753,192l5758,186,5772,181,5793,177,5819,176,5844,177,5865,181,5879,186,5884,192,5879,199,5865,204,5844,207,5819,209,5793,207,5772,204,5758,199,5753,192xe" filled="false" stroked="true" strokeweight=".407489pt" strokecolor="#00afef">
              <v:path arrowok="t"/>
            </v:shape>
            <v:shape style="position:absolute;left:5753;top:-68;width:132;height:33" coordorigin="5753,-68" coordsize="132,33" path="m5819,-68l5793,-67,5772,-63,5758,-58,5753,-52,5758,-45,5772,-40,5793,-37,5819,-36,5844,-37,5865,-40,5879,-45,5884,-52,5879,-58,5865,-63,5844,-67,5819,-68xe" filled="true" fillcolor="#205868" stroked="false">
              <v:path arrowok="t"/>
              <v:fill type="solid"/>
            </v:shape>
            <v:shape style="position:absolute;left:5753;top:-68;width:132;height:33" coordorigin="5753,-68" coordsize="132,33" path="m5753,-52l5758,-58,5772,-63,5793,-67,5819,-68,5844,-67,5865,-63,5879,-58,5884,-52,5879,-45,5865,-40,5844,-37,5819,-36,5793,-37,5772,-40,5758,-45,5753,-52xe" filled="false" stroked="true" strokeweight=".407489pt" strokecolor="#00afef">
              <v:path arrowok="t"/>
            </v:shape>
            <v:shape style="position:absolute;left:6311;top:62;width:124;height:33" coordorigin="6311,62" coordsize="124,33" path="m6373,62l6349,63,6329,67,6316,72,6311,78,6316,85,6329,90,6349,93,6373,95,6397,93,6416,90,6429,85,6434,78,6429,72,6416,67,6397,63,6373,62xe" filled="true" fillcolor="#205868" stroked="false">
              <v:path arrowok="t"/>
              <v:fill type="solid"/>
            </v:shape>
            <v:shape style="position:absolute;left:6311;top:62;width:124;height:33" coordorigin="6311,62" coordsize="124,33" path="m6311,78l6316,72,6329,67,6349,63,6373,62,6397,63,6416,67,6429,72,6434,78,6429,85,6416,90,6397,93,6373,95,6349,93,6329,90,6316,85,6311,78xe" filled="false" stroked="true" strokeweight=".407515pt" strokecolor="#00afef">
              <v:path arrowok="t"/>
            </v:shape>
            <v:shape style="position:absolute;left:6377;top:298;width:124;height:33" coordorigin="6377,298" coordsize="124,33" path="m6438,298l6414,299,6395,303,6382,308,6377,314,6382,321,6395,326,6414,329,6438,331,6462,329,6482,326,6495,321,6500,314,6495,308,6482,303,6462,299,6438,298xe" filled="true" fillcolor="#205868" stroked="false">
              <v:path arrowok="t"/>
              <v:fill type="solid"/>
            </v:shape>
            <v:shape style="position:absolute;left:6377;top:298;width:124;height:33" coordorigin="6377,298" coordsize="124,33" path="m6377,314l6382,308,6395,303,6414,299,6438,298,6462,299,6482,303,6495,308,6500,314,6495,321,6482,326,6462,329,6438,331,6414,329,6395,326,6382,321,6377,314xe" filled="false" stroked="true" strokeweight=".407515pt" strokecolor="#00afef">
              <v:path arrowok="t"/>
            </v:shape>
            <v:shape style="position:absolute;left:6927;top:428;width:124;height:33" coordorigin="6927,428" coordsize="124,33" path="m6988,428l6964,430,6945,433,6931,438,6927,445,6931,451,6945,456,6964,460,6988,461,7012,460,7032,456,7045,451,7050,445,7045,438,7032,433,7012,430,6988,428xe" filled="true" fillcolor="#205868" stroked="false">
              <v:path arrowok="t"/>
              <v:fill type="solid"/>
            </v:shape>
            <v:shape style="position:absolute;left:6927;top:428;width:124;height:33" coordorigin="6927,428" coordsize="124,33" path="m6927,445l6931,438,6945,433,6964,430,6988,428,7012,430,7032,433,7045,438,7050,445,7045,451,7032,456,7012,460,6988,461,6964,460,6945,456,6931,451,6927,445xe" filled="false" stroked="true" strokeweight=".407515pt" strokecolor="#00afef">
              <v:path arrowok="t"/>
            </v:shape>
            <v:shape style="position:absolute;left:6927;top:209;width:124;height:41" coordorigin="6927,209" coordsize="124,41" path="m6988,209l6964,210,6945,215,6931,221,6927,229,6931,237,6945,243,6964,248,6988,249,7012,248,7032,243,7045,237,7050,229,7045,221,7032,215,7012,210,6988,209xe" filled="true" fillcolor="#205868" stroked="false">
              <v:path arrowok="t"/>
              <v:fill type="solid"/>
            </v:shape>
            <v:shape style="position:absolute;left:6927;top:209;width:124;height:41" coordorigin="6927,209" coordsize="124,41" path="m6927,229l6931,221,6945,215,6964,210,6988,209,7012,210,7032,215,7045,221,7050,229,7045,237,7032,243,7012,248,6988,249,6964,248,6945,243,6931,237,6927,229xe" filled="false" stroked="true" strokeweight=".407631pt" strokecolor="#00afef">
              <v:path arrowok="t"/>
            </v:shape>
            <v:shape style="position:absolute;left:7058;top:-11;width:124;height:41" coordorigin="7058,-11" coordsize="124,41" path="m7119,-11l7095,-10,7076,-5,7063,1,7058,9,7063,17,7076,24,7095,28,7119,30,7143,28,7163,24,7176,17,7181,9,7176,1,7163,-5,7143,-10,7119,-11xe" filled="true" fillcolor="#205868" stroked="false">
              <v:path arrowok="t"/>
              <v:fill type="solid"/>
            </v:shape>
            <v:shape style="position:absolute;left:7058;top:-11;width:124;height:41" coordorigin="7058,-11" coordsize="124,41" path="m7058,9l7063,1,7076,-5,7095,-10,7119,-11,7143,-10,7163,-5,7176,1,7181,9,7176,17,7163,24,7143,28,7119,30,7095,28,7076,24,7063,17,7058,9xe" filled="false" stroked="true" strokeweight=".407631pt" strokecolor="#00afef">
              <v:path arrowok="t"/>
            </v:shape>
            <v:shape style="position:absolute;left:7542;top:331;width:124;height:41" coordorigin="7542,331" coordsize="124,41" path="m7604,331l7580,332,7560,337,7547,343,7542,351,7547,359,7560,365,7580,370,7604,371,7628,370,7647,365,7660,359,7665,351,7660,343,7647,337,7628,332,7604,331xe" filled="true" fillcolor="#205868" stroked="false">
              <v:path arrowok="t"/>
              <v:fill type="solid"/>
            </v:shape>
            <v:shape style="position:absolute;left:7542;top:331;width:124;height:41" coordorigin="7542,331" coordsize="124,41" path="m7542,351l7547,343,7560,337,7580,332,7604,331,7628,332,7647,337,7660,343,7665,351,7660,359,7647,365,7628,370,7604,371,7580,370,7560,365,7547,359,7542,351xe" filled="false" stroked="true" strokeweight=".407631pt" strokecolor="#00afef">
              <v:path arrowok="t"/>
            </v:shape>
            <v:shape style="position:absolute;left:7673;top:152;width:124;height:41" coordorigin="7673,152" coordsize="124,41" path="m7735,152l7711,153,7691,158,7678,164,7673,172,7678,180,7691,186,7711,191,7735,192,7759,191,7779,186,7792,180,7797,172,7792,164,7779,158,7759,153,7735,152xe" filled="true" fillcolor="#205868" stroked="false">
              <v:path arrowok="t"/>
              <v:fill type="solid"/>
            </v:shape>
            <v:shape style="position:absolute;left:7673;top:152;width:124;height:41" coordorigin="7673,152" coordsize="124,41" path="m7673,172l7678,164,7691,158,7711,153,7735,152,7759,153,7779,158,7792,164,7797,172,7792,180,7779,186,7759,191,7735,192,7711,191,7691,186,7678,180,7673,172xe" filled="false" stroked="true" strokeweight=".407631pt" strokecolor="#00afef">
              <v:path arrowok="t"/>
            </v:shape>
            <v:shape style="position:absolute;left:2728;top:1173;width:5433;height:635" type="#_x0000_t75" stroked="false">
              <v:imagedata r:id="rId49" o:title=""/>
            </v:shape>
            <v:shape style="position:absolute;left:2975;top:994;width:131;height:147" type="#_x0000_t75" stroked="false">
              <v:imagedata r:id="rId50" o:title=""/>
            </v:shape>
            <v:shape style="position:absolute;left:4025;top:1922;width:295;height:187" type="#_x0000_t75" stroked="false">
              <v:imagedata r:id="rId51" o:title=""/>
            </v:shape>
            <v:shape style="position:absolute;left:4354;top:1799;width:353;height:106" type="#_x0000_t75" stroked="false">
              <v:imagedata r:id="rId52" o:title=""/>
            </v:shape>
            <v:shape style="position:absolute;left:4789;top:1897;width:222;height:309" type="#_x0000_t75" stroked="false">
              <v:imagedata r:id="rId53" o:title=""/>
            </v:shape>
            <v:shape style="position:absolute;left:3428;top:2067;width:342;height:304" type="#_x0000_t75" stroked="false">
              <v:imagedata r:id="rId54" o:title=""/>
            </v:shape>
            <v:shape style="position:absolute;left:187;top:5435;width:7426;height:1829" coordorigin="187,5435" coordsize="7426,1829" path="m2765,2099l2778,2103,2790,2111,2803,2111,2868,2111,2909,2110,2937,2107,2964,2099,3002,2087,3012,2080,3021,2074,3030,2067,3040,2062,3052,2056,3066,2057,3077,2049,3093,2035,3112,2015,3132,1997,3152,1987,3197,1981,3240,1977,3281,1976,3322,1975,3364,1975m3578,2967l3584,2958,3589,2948,3595,2939,3603,2932,3615,2927,3628,2924,3641,2922,3654,2920,3677,2913,3690,2909,3697,2906,3700,2904,3704,2904,3710,2905,3723,2906,3746,2907,3781,2907,3832,2908m3364,2861l3374,2855,3384,2850,3393,2843,3402,2837,3415,2824,3427,2811,3439,2798,3452,2787,3463,2779,3477,2779,3490,2774,3502,2762,3514,2749,3527,2737,3540,2725,3552,2715,3565,2706,3578,2698,3590,2687,3597,2679,3603,2669,3608,2659,3615,2650,3627,2637,3640,2625,3653,2613,3665,2600,3692,2565,3706,2544,3711,2533,3713,2528,3717,2524,3729,2517,3753,2501,3759,2491,3764,2482,3771,2472,3778,2464,3787,2457,3796,2451,3806,2445,3815,2439,3825,2431,3832,2422,3841,2414m6155,2126l6174,2129,6192,2132,6211,2135,6230,2138,6264,2141,6298,2144,6333,2147,6367,2150,6491,2162,6514,2160,6536,2158,6558,2156,6579,2150,6587,2143,6592,2133,6597,2123,6604,2114,6615,2107,6628,2101,6641,2096,6654,2090,6681,2074,6689,2068,6692,2066,6701,2063,6728,2055,6738,2048,6747,2042,6756,2036,6766,2031,6777,2025,6791,2024,6803,2019,6812,2016,6820,2011,6828,2007e" filled="false" stroked="true" strokeweight=".409039pt" strokecolor="#497dba">
              <v:path arrowok="t"/>
            </v:shape>
            <v:shape style="position:absolute;left:6816;top:2589;width:115;height:130" type="#_x0000_t75" stroked="false">
              <v:imagedata r:id="rId55" o:title=""/>
            </v:shape>
            <v:shape style="position:absolute;left:7358;top:2102;width:328;height:330" type="#_x0000_t75" stroked="false">
              <v:imagedata r:id="rId56" o:title=""/>
            </v:shape>
            <v:shape style="position:absolute;left:3548;top:5644;width:6199;height:1096" coordorigin="3548,5644" coordsize="6199,1096" path="m6853,2316l6865,2323,6878,2329,6890,2335,6904,2341,6933,2349,6968,2355,7003,2361,7031,2365,7068,2371,7087,2375,7104,2380,7132,2389,7139,2399,7145,2408,7152,2417,7158,2426,7168,2446,7180,2470,7194,2493,7209,2512,7217,2519,7227,2525,7237,2530,7247,2536,7253,2545,7258,2555,7265,2564,7272,2573,7281,2579,7292,2584,7302,2589,7310,2597,7325,2623,7333,2643,7335,2661,7336,2682m7583,2528l7602,2526,7640,2521,7680,2513,7708,2503,7718,2494,7727,2484,7736,2474,7746,2465,7755,2458,7764,2452,7774,2446,7783,2440,7790,2431,7796,2421,7803,2412,7808,2402,7811,2393,7814,2383,7816,2373,7821,2365,7829,2357,7838,2351,7848,2345,7858,2339,7865,2321,7871,2302,7878,2283,7883,2264,7886,2251,7888,2238,7891,2226,7896,2214,7904,2203,7914,2195,7924,2186,7933,2176,7964,2136,7979,2113,7984,2104,7983,2103,7981,2103,7984,2100,7996,2088m4604,2577l4606,2566,4607,2554,4610,2543,4616,2536,4637,2529,4659,2525,4682,2524,4705,2523,4747,2522,4789,2522,4831,2522,4873,2522,4915,2523,4957,2523e" filled="false" stroked="true" strokeweight=".409039pt" strokecolor="#497dba">
              <v:path arrowok="t"/>
            </v:shape>
            <v:shape style="position:absolute;left:5626;top:1979;width:123;height:130" type="#_x0000_t75" stroked="false">
              <v:imagedata r:id="rId57" o:title=""/>
            </v:shape>
            <v:shape style="position:absolute;left:38;top:5199;width:9221;height:250" coordorigin="38,5199" coordsize="9221,250" path="m5367,1926l5402,1923,5436,1921,5470,1918,5505,1915,5520,1913,5536,1910,5551,1907,5567,1905,5627,1901,5677,1898,5718,1896,5756,1895,5791,1895,5828,1894,5869,1894,5917,1894m7115,1983l7140,1944,7154,1921,7163,1909,7176,1902,7200,1895,7240,1882,7278,1869,7316,1857,7381,1859,7436,1860,7483,1860,7522,1859,7554,1858,7580,1856,7600,1854,7615,1852,7626,1850,7634,1849,7639,1848,7642,1847,7643,1847,7645,1848,7646,1850,7649,1854,7653,1858,7660,1865,7670,1873,7685,1883,7704,1895,7712,1899,7720,1903,7729,1907m2683,1942l2721,1929,2743,1921,2757,1918,2772,1917,2796,1918,2839,1918e" filled="false" stroked="true" strokeweight=".409039pt" strokecolor="#497dba">
              <v:path arrowok="t"/>
            </v:shape>
            <v:shape style="position:absolute;left:2909;top:2499;width:336;height:228" type="#_x0000_t75" stroked="false">
              <v:imagedata r:id="rId58" o:title=""/>
            </v:shape>
            <v:shape style="position:absolute;left:352;top:5374;width:6631;height:915" coordorigin="352,5374" coordsize="6631,915" path="m2856,2438l2860,2426,2860,2412,2868,2402,2879,2392,2896,2382,2914,2372,2929,2365m5219,2210l5224,2199,5223,2185,5232,2177,5249,2168,5270,2165,5291,2165,5310,2165m6434,1991l6438,1979,6437,1963,6446,1954,6456,1945,6483,1942,6483,1942e" filled="false" stroked="true" strokeweight=".409039pt" strokecolor="#497dba">
              <v:path arrowok="t"/>
            </v:shape>
            <v:shape style="position:absolute;left:3996;top:2348;width:521;height:471" type="#_x0000_t75" stroked="false">
              <v:imagedata r:id="rId59" o:title=""/>
            </v:shape>
            <v:shape style="position:absolute;left:3368;top:5239;width:6623;height:1546" coordorigin="3368,5239" coordsize="6623,1546" path="m4505,2389l4519,2367,4531,2351,4545,2338,4569,2326,4591,2317,4616,2309,4636,2302,4645,2300m7920,1907l7932,1903,7944,1896,7957,1894,8022,1890,8068,1893,8099,1898,8117,1903,8126,1902,8129,1892,8129,1869m7854,2707l7897,2695,7918,2689,7932,2687,7950,2686,7985,2687e" filled="false" stroked="true" strokeweight=".409039pt" strokecolor="#497dba">
              <v:path arrowok="t"/>
            </v:shape>
            <v:shape style="position:absolute;left:2714;top:284;width:5509;height:1193" type="#_x0000_t75" stroked="false">
              <v:imagedata r:id="rId60" o:title=""/>
            </v:shape>
            <v:shape style="position:absolute;left:2983;top:1002;width:115;height:130" type="#_x0000_t75" stroked="false">
              <v:imagedata r:id="rId61" o:title=""/>
            </v:shape>
            <v:shape style="position:absolute;left:3615;top:1181;width:115;height:138" type="#_x0000_t75" stroked="false">
              <v:imagedata r:id="rId62" o:title=""/>
            </v:shape>
            <v:shape style="position:absolute;left:3114;top:636;width:115;height:130" type="#_x0000_t75" stroked="false">
              <v:imagedata r:id="rId63" o:title=""/>
            </v:shape>
            <v:shape style="position:absolute;left:2860;top:392;width:115;height:130" type="#_x0000_t75" stroked="false">
              <v:imagedata r:id="rId64" o:title=""/>
            </v:shape>
            <v:shape style="position:absolute;left:3779;top:522;width:115;height:130" type="#_x0000_t75" stroked="false">
              <v:imagedata r:id="rId65" o:title=""/>
            </v:shape>
            <v:shape style="position:absolute;left:4354;top:449;width:115;height:130" type="#_x0000_t75" stroked="false">
              <v:imagedata r:id="rId66" o:title=""/>
            </v:shape>
            <v:shape style="position:absolute;left:4288;top:758;width:115;height:130" type="#_x0000_t75" stroked="false">
              <v:imagedata r:id="rId67" o:title=""/>
            </v:shape>
            <v:shape style="position:absolute;left:4271;top:1059;width:115;height:130" type="#_x0000_t75" stroked="false">
              <v:imagedata r:id="rId65" o:title=""/>
            </v:shape>
            <v:shape style="position:absolute;left:4846;top:1002;width:115;height:130" type="#_x0000_t75" stroked="false">
              <v:imagedata r:id="rId65" o:title=""/>
            </v:shape>
            <v:shape style="position:absolute;left:4977;top:693;width:115;height:130" type="#_x0000_t75" stroked="false">
              <v:imagedata r:id="rId65" o:title=""/>
            </v:shape>
            <v:shape style="position:absolute;left:4764;top:392;width:115;height:130" type="#_x0000_t75" stroked="false">
              <v:imagedata r:id="rId68" o:title=""/>
            </v:shape>
            <v:shape style="position:absolute;left:5396;top:522;width:115;height:130" type="#_x0000_t75" stroked="false">
              <v:imagedata r:id="rId68" o:title=""/>
            </v:shape>
            <v:shape style="position:absolute;left:5379;top:880;width:115;height:130" type="#_x0000_t75" stroked="false">
              <v:imagedata r:id="rId68" o:title=""/>
            </v:shape>
            <v:shape style="position:absolute;left:5765;top:1181;width:123;height:138" type="#_x0000_t75" stroked="false">
              <v:imagedata r:id="rId69" o:title=""/>
            </v:shape>
            <v:shape style="position:absolute;left:5814;top:758;width:115;height:130" type="#_x0000_t75" stroked="false">
              <v:imagedata r:id="rId66" o:title=""/>
            </v:shape>
            <v:shape style="position:absolute;left:5814;top:392;width:115;height:130" type="#_x0000_t75" stroked="false">
              <v:imagedata r:id="rId68" o:title=""/>
            </v:shape>
            <v:shape style="position:absolute;left:6143;top:571;width:115;height:130" type="#_x0000_t75" stroked="false">
              <v:imagedata r:id="rId65" o:title=""/>
            </v:shape>
            <v:shape style="position:absolute;left:6126;top:1002;width:115;height:130" type="#_x0000_t75" stroked="false">
              <v:imagedata r:id="rId65" o:title=""/>
            </v:shape>
            <v:shape style="position:absolute;left:6570;top:1181;width:115;height:138" type="#_x0000_t75" stroked="false">
              <v:imagedata r:id="rId70" o:title=""/>
            </v:shape>
            <v:shape style="position:absolute;left:6553;top:880;width:115;height:130" type="#_x0000_t75" stroked="false">
              <v:imagedata r:id="rId65" o:title=""/>
            </v:shape>
            <v:shape style="position:absolute;left:7005;top:1059;width:115;height:130" type="#_x0000_t75" stroked="false">
              <v:imagedata r:id="rId65" o:title=""/>
            </v:shape>
            <v:shape style="position:absolute;left:7111;top:693;width:115;height:130" type="#_x0000_t75" stroked="false">
              <v:imagedata r:id="rId65" o:title=""/>
            </v:shape>
            <v:shape style="position:absolute;left:6570;top:514;width:115;height:130" type="#_x0000_t75" stroked="false">
              <v:imagedata r:id="rId65" o:title=""/>
            </v:shape>
            <v:shape style="position:absolute;left:7678;top:571;width:115;height:130" type="#_x0000_t75" stroked="false">
              <v:imagedata r:id="rId65" o:title=""/>
            </v:shape>
            <v:shape style="position:absolute;left:7990;top:1059;width:115;height:130" type="#_x0000_t75" stroked="false">
              <v:imagedata r:id="rId68" o:title=""/>
            </v:shape>
            <v:shape style="position:absolute;left:7481;top:937;width:115;height:130" type="#_x0000_t75" stroked="false">
              <v:imagedata r:id="rId66" o:title=""/>
            </v:shape>
            <v:shape style="position:absolute;left:3795;top:880;width:115;height:130" type="#_x0000_t75" stroked="false">
              <v:imagedata r:id="rId65" o:title=""/>
            </v:shape>
            <v:shape style="position:absolute;left:7768;top:2158;width:1059;height:480" type="#_x0000_t75" stroked="false">
              <v:imagedata r:id="rId71" o:title=""/>
            </v:shape>
            <v:shape style="position:absolute;left:7907;top:2247;width:862;height:331" coordorigin="7907,2247" coordsize="862,331" path="m7989,2483l7985,2485,7907,2530,7985,2575,7989,2577,7994,2576,7999,2568,7997,2563,7954,2538,7924,2538,7924,2522,7954,2522,7997,2497,7999,2492,7994,2484,7989,2483xm7954,2522l7924,2522,7924,2538,7954,2538,7952,2537,7928,2537,7928,2523,7952,2523,7954,2522xm8330,2522l7954,2522,7940,2530,7954,2538,8343,2538,8347,2534,8347,2530,8330,2530,8330,2522xm7928,2523l7928,2537,7940,2530,7928,2523xm7940,2530l7928,2537,7952,2537,7940,2530xm8769,2247l8334,2247,8330,2251,8330,2530,8338,2522,8347,2522,8347,2263,8338,2263,8347,2255,8769,2255,8769,2247xm8347,2522l8338,2522,8330,2530,8347,2530,8347,2522xm7952,2523l7928,2523,7940,2530,7952,2523xm8347,2255l8338,2263,8347,2263,8347,2255xm8769,2255l8347,2255,8347,2263,8769,2263,8769,2255xe" filled="true" fillcolor="#17375e" stroked="false">
              <v:path arrowok="t"/>
              <v:fill type="solid"/>
            </v:shape>
            <w10:wrap type="none"/>
          </v:group>
        </w:pict>
      </w:r>
      <w:r>
        <w:rPr/>
        <w:pict>
          <v:group style="position:absolute;margin-left:423.273987pt;margin-top:-37.376785pt;width:15.6pt;height:125.75pt;mso-position-horizontal-relative:page;mso-position-vertical-relative:paragraph;z-index:1288" coordorigin="8465,-748" coordsize="312,2515">
            <v:shape style="position:absolute;left:8465;top:-748;width:312;height:684" type="#_x0000_t75" stroked="false">
              <v:imagedata r:id="rId72" o:title=""/>
            </v:shape>
            <v:shape style="position:absolute;left:8548;top:-463;width:115;height:114" type="#_x0000_t75" stroked="false">
              <v:imagedata r:id="rId73" o:title=""/>
            </v:shape>
            <v:shape style="position:absolute;left:8523;top:-650;width:189;height:554" coordorigin="8523,-650" coordsize="189,554" path="m8523,-650l8634,-647,8702,-639,8712,-634,8712,-112,8702,-107,8675,-103,8634,-100,8583,-97,8523,-97e" filled="false" stroked="true" strokeweight=".820034pt" strokecolor="#17375e">
              <v:path arrowok="t"/>
            </v:shape>
            <v:shape style="position:absolute;left:8465;top:-137;width:312;height:496" type="#_x0000_t75" stroked="false">
              <v:imagedata r:id="rId74" o:title=""/>
            </v:shape>
            <v:shape style="position:absolute;left:8548;top:58;width:115;height:114" type="#_x0000_t75" stroked="false">
              <v:imagedata r:id="rId73" o:title=""/>
            </v:shape>
            <v:shape style="position:absolute;left:8515;top:-48;width:205;height:383" type="#_x0000_t75" stroked="false">
              <v:imagedata r:id="rId75" o:title=""/>
            </v:shape>
            <v:shape style="position:absolute;left:8465;top:294;width:312;height:1050" type="#_x0000_t75" stroked="false">
              <v:imagedata r:id="rId76" o:title=""/>
            </v:shape>
            <v:shape style="position:absolute;left:8548;top:758;width:115;height:114" type="#_x0000_t75" stroked="false">
              <v:imagedata r:id="rId73" o:title=""/>
            </v:shape>
            <v:shape style="position:absolute;left:8523;top:392;width:189;height:920" coordorigin="8523,392" coordsize="189,920" path="m8523,392l8634,395,8702,402,8712,407,8712,1296,8702,1301,8675,1305,8634,1308,8583,1310,8523,1311e" filled="false" stroked="true" strokeweight=".820481pt" strokecolor="#17375e">
              <v:path arrowok="t"/>
            </v:shape>
            <v:shape style="position:absolute;left:8465;top:1271;width:312;height:496" type="#_x0000_t75" stroked="false">
              <v:imagedata r:id="rId74" o:title=""/>
            </v:shape>
            <v:shape style="position:absolute;left:8548;top:1466;width:115;height:114" type="#_x0000_t75" stroked="false">
              <v:imagedata r:id="rId73" o:title=""/>
            </v:shape>
            <v:shape style="position:absolute;left:8515;top:1360;width:205;height:383" type="#_x0000_t75" stroked="false">
              <v:imagedata r:id="rId75" o:title=""/>
            </v:shape>
            <w10:wrap type="none"/>
          </v:group>
        </w:pict>
      </w:r>
      <w:r>
        <w:rPr>
          <w:rFonts w:ascii="Calibri"/>
          <w:w w:val="105"/>
          <w:sz w:val="19"/>
        </w:rPr>
        <w:t>Estrato granuloso</w:t>
      </w:r>
    </w:p>
    <w:p>
      <w:pPr>
        <w:pStyle w:val="BodyText"/>
        <w:rPr>
          <w:rFonts w:ascii="Calibri"/>
          <w:sz w:val="20"/>
        </w:rPr>
      </w:pPr>
    </w:p>
    <w:p>
      <w:pPr>
        <w:pStyle w:val="BodyText"/>
        <w:spacing w:before="1"/>
        <w:rPr>
          <w:rFonts w:ascii="Calibri"/>
          <w:sz w:val="21"/>
        </w:rPr>
      </w:pPr>
    </w:p>
    <w:p>
      <w:pPr>
        <w:spacing w:before="0"/>
        <w:ind w:left="818" w:right="0" w:firstLine="0"/>
        <w:jc w:val="left"/>
        <w:rPr>
          <w:rFonts w:ascii="Calibri"/>
          <w:sz w:val="19"/>
        </w:rPr>
      </w:pPr>
      <w:r>
        <w:rPr>
          <w:rFonts w:ascii="Calibri"/>
          <w:w w:val="105"/>
          <w:sz w:val="19"/>
        </w:rPr>
        <w:t>Estrato espinoso</w:t>
      </w:r>
    </w:p>
    <w:p>
      <w:pPr>
        <w:pStyle w:val="BodyText"/>
        <w:rPr>
          <w:rFonts w:ascii="Calibri"/>
          <w:sz w:val="20"/>
        </w:rPr>
      </w:pPr>
    </w:p>
    <w:p>
      <w:pPr>
        <w:pStyle w:val="BodyText"/>
        <w:spacing w:before="1"/>
        <w:rPr>
          <w:rFonts w:ascii="Calibri"/>
          <w:sz w:val="21"/>
        </w:rPr>
      </w:pPr>
    </w:p>
    <w:p>
      <w:pPr>
        <w:spacing w:before="0"/>
        <w:ind w:left="818" w:right="0" w:firstLine="0"/>
        <w:jc w:val="left"/>
        <w:rPr>
          <w:rFonts w:ascii="Calibri"/>
          <w:sz w:val="19"/>
        </w:rPr>
      </w:pPr>
      <w:r>
        <w:rPr>
          <w:rFonts w:ascii="Calibri"/>
          <w:w w:val="105"/>
          <w:sz w:val="19"/>
        </w:rPr>
        <w:t>Estrato basal</w:t>
      </w:r>
    </w:p>
    <w:p>
      <w:pPr>
        <w:pStyle w:val="BodyText"/>
        <w:rPr>
          <w:rFonts w:ascii="Calibri"/>
          <w:sz w:val="20"/>
        </w:rPr>
      </w:pPr>
    </w:p>
    <w:p>
      <w:pPr>
        <w:pStyle w:val="BodyText"/>
        <w:spacing w:before="1"/>
        <w:rPr>
          <w:rFonts w:ascii="Calibri"/>
          <w:sz w:val="16"/>
        </w:rPr>
      </w:pPr>
    </w:p>
    <w:p>
      <w:pPr>
        <w:spacing w:before="0"/>
        <w:ind w:left="818" w:right="0" w:firstLine="0"/>
        <w:jc w:val="left"/>
        <w:rPr>
          <w:rFonts w:ascii="Calibri"/>
          <w:sz w:val="19"/>
        </w:rPr>
      </w:pPr>
      <w:r>
        <w:rPr>
          <w:rFonts w:ascii="Calibri"/>
          <w:w w:val="105"/>
          <w:sz w:val="19"/>
        </w:rPr>
        <w:t>Tejido conectivo</w:t>
      </w:r>
    </w:p>
    <w:p>
      <w:pPr>
        <w:spacing w:after="0"/>
        <w:jc w:val="left"/>
        <w:rPr>
          <w:rFonts w:ascii="Calibri"/>
          <w:sz w:val="19"/>
        </w:rPr>
        <w:sectPr>
          <w:type w:val="continuous"/>
          <w:pgSz w:w="12240" w:h="15840"/>
          <w:pgMar w:top="1420" w:bottom="280" w:left="0" w:right="0"/>
          <w:cols w:num="2" w:equalWidth="0">
            <w:col w:w="7997" w:space="40"/>
            <w:col w:w="4203"/>
          </w:cols>
        </w:sectPr>
      </w:pPr>
    </w:p>
    <w:p>
      <w:pPr>
        <w:pStyle w:val="BodyText"/>
        <w:rPr>
          <w:rFonts w:ascii="Calibri"/>
          <w:sz w:val="20"/>
        </w:rPr>
      </w:pPr>
    </w:p>
    <w:p>
      <w:pPr>
        <w:pStyle w:val="BodyText"/>
        <w:rPr>
          <w:rFonts w:ascii="Calibri"/>
          <w:sz w:val="20"/>
        </w:rPr>
      </w:pPr>
    </w:p>
    <w:p>
      <w:pPr>
        <w:pStyle w:val="BodyText"/>
        <w:spacing w:before="3"/>
        <w:rPr>
          <w:rFonts w:ascii="Calibri"/>
        </w:rPr>
      </w:pPr>
    </w:p>
    <w:p>
      <w:pPr>
        <w:pStyle w:val="BodyText"/>
        <w:spacing w:line="360" w:lineRule="auto" w:before="69"/>
        <w:ind w:left="1418" w:right="1704"/>
        <w:jc w:val="both"/>
      </w:pPr>
      <w:r>
        <w:rPr/>
        <w:t>Los queratinocitos son las células del epitelio destinadas a queratinizarse, durante su evolución sufren una migración desde las capas más profundas hasta la superficie. Luego de producida la mitosis pueden permanecer en la capa basal o dividirse nuevamente  antes  de  emigrar  hacia  el  exterior,  se  transforman  en  una    célula</w:t>
      </w:r>
    </w:p>
    <w:p>
      <w:pPr>
        <w:spacing w:after="0" w:line="360" w:lineRule="auto"/>
        <w:jc w:val="both"/>
        <w:sectPr>
          <w:type w:val="continuous"/>
          <w:pgSz w:w="12240" w:h="15840"/>
          <w:pgMar w:top="1420" w:bottom="280" w:left="0" w:right="0"/>
        </w:sectPr>
      </w:pPr>
    </w:p>
    <w:p>
      <w:pPr>
        <w:pStyle w:val="BodyText"/>
        <w:spacing w:before="4"/>
        <w:rPr>
          <w:sz w:val="11"/>
        </w:rPr>
      </w:pPr>
    </w:p>
    <w:p>
      <w:pPr>
        <w:pStyle w:val="BodyText"/>
        <w:spacing w:line="357" w:lineRule="auto" w:before="69"/>
        <w:ind w:left="1418" w:right="1702"/>
        <w:jc w:val="both"/>
      </w:pPr>
      <w:r>
        <w:rPr/>
        <w:t>especializada. Durante la citodiferenciación experimentan cambios bioquímicos y morfológicos para convertirse en una escama eosinófila queratinizada (anucleada) que más tarde se descama y cae al medio bucal</w:t>
      </w:r>
      <w:r>
        <w:rPr>
          <w:position w:val="8"/>
          <w:sz w:val="16"/>
        </w:rPr>
        <w:t>66</w:t>
      </w:r>
      <w:r>
        <w:rPr/>
        <w:t>.</w:t>
      </w:r>
    </w:p>
    <w:p>
      <w:pPr>
        <w:pStyle w:val="BodyText"/>
        <w:spacing w:before="2"/>
        <w:rPr>
          <w:sz w:val="36"/>
        </w:rPr>
      </w:pPr>
    </w:p>
    <w:p>
      <w:pPr>
        <w:pStyle w:val="BodyText"/>
        <w:spacing w:line="360" w:lineRule="auto" w:before="1"/>
        <w:ind w:left="1418" w:right="1706"/>
        <w:jc w:val="both"/>
      </w:pPr>
      <w:r>
        <w:rPr/>
        <w:t>Los queratinocitos que integran el epitelio bucal se disponen formando cuatro capas  o</w:t>
      </w:r>
      <w:r>
        <w:rPr>
          <w:spacing w:val="-2"/>
        </w:rPr>
        <w:t> </w:t>
      </w:r>
      <w:r>
        <w:rPr/>
        <w:t>estratos:</w:t>
      </w:r>
    </w:p>
    <w:p>
      <w:pPr>
        <w:pStyle w:val="BodyText"/>
      </w:pPr>
    </w:p>
    <w:p>
      <w:pPr>
        <w:pStyle w:val="ListParagraph"/>
        <w:numPr>
          <w:ilvl w:val="0"/>
          <w:numId w:val="9"/>
        </w:numPr>
        <w:tabs>
          <w:tab w:pos="2413" w:val="left" w:leader="none"/>
        </w:tabs>
        <w:spacing w:line="360" w:lineRule="auto" w:before="142" w:after="0"/>
        <w:ind w:left="2412" w:right="1697" w:hanging="286"/>
        <w:jc w:val="both"/>
        <w:rPr>
          <w:sz w:val="24"/>
        </w:rPr>
      </w:pPr>
      <w:r>
        <w:rPr>
          <w:sz w:val="24"/>
        </w:rPr>
        <w:t>Basal o germinativo: constituido por una capa única de células de forma cúbica o cilíndrica. Los queratinocitos son responsables de la formación de la lámina basal, que forma parte de la membrana basal. En este estrato se observan figuras mitóticas y comienza el proceso de renovación epitelial a partir de las células</w:t>
      </w:r>
      <w:r>
        <w:rPr>
          <w:spacing w:val="-7"/>
          <w:sz w:val="24"/>
        </w:rPr>
        <w:t> </w:t>
      </w:r>
      <w:r>
        <w:rPr>
          <w:sz w:val="24"/>
        </w:rPr>
        <w:t>madres.</w:t>
      </w:r>
    </w:p>
    <w:p>
      <w:pPr>
        <w:pStyle w:val="BodyText"/>
      </w:pPr>
    </w:p>
    <w:p>
      <w:pPr>
        <w:pStyle w:val="ListParagraph"/>
        <w:numPr>
          <w:ilvl w:val="0"/>
          <w:numId w:val="9"/>
        </w:numPr>
        <w:tabs>
          <w:tab w:pos="2413" w:val="left" w:leader="none"/>
        </w:tabs>
        <w:spacing w:line="360" w:lineRule="auto" w:before="142" w:after="0"/>
        <w:ind w:left="2412" w:right="1697" w:hanging="286"/>
        <w:jc w:val="both"/>
        <w:rPr>
          <w:sz w:val="24"/>
        </w:rPr>
      </w:pPr>
      <w:r>
        <w:rPr>
          <w:sz w:val="24"/>
        </w:rPr>
        <w:t>Espinoso: formado por varias hileras de queratinocitos. Las células que lo constituyen son poligonales de núcleo redondo con citoplasma ligeramente basófilo, con hemidesmosomas más</w:t>
      </w:r>
      <w:r>
        <w:rPr>
          <w:spacing w:val="-18"/>
          <w:sz w:val="24"/>
        </w:rPr>
        <w:t> </w:t>
      </w:r>
      <w:r>
        <w:rPr>
          <w:sz w:val="24"/>
        </w:rPr>
        <w:t>prominentes.</w:t>
      </w:r>
    </w:p>
    <w:p>
      <w:pPr>
        <w:pStyle w:val="BodyText"/>
      </w:pPr>
    </w:p>
    <w:p>
      <w:pPr>
        <w:pStyle w:val="ListParagraph"/>
        <w:numPr>
          <w:ilvl w:val="0"/>
          <w:numId w:val="9"/>
        </w:numPr>
        <w:tabs>
          <w:tab w:pos="2413" w:val="left" w:leader="none"/>
        </w:tabs>
        <w:spacing w:line="360" w:lineRule="auto" w:before="142" w:after="0"/>
        <w:ind w:left="2412" w:right="1697" w:hanging="286"/>
        <w:jc w:val="both"/>
        <w:rPr>
          <w:sz w:val="24"/>
        </w:rPr>
      </w:pPr>
      <w:r>
        <w:rPr>
          <w:sz w:val="24"/>
        </w:rPr>
        <w:t>Granuloso: constituido por dos o tres capas de células aplanadas o escamosas con un núcleo pequeño de cromatina densa. El citoplasma está lleno de gránulos de queratohialina intensamente basófilos. La capa de células granulosas es la zona en la que comienza la degeneración del núcleo y del resto de los organoides</w:t>
      </w:r>
      <w:r>
        <w:rPr>
          <w:spacing w:val="-17"/>
          <w:sz w:val="24"/>
        </w:rPr>
        <w:t> </w:t>
      </w:r>
      <w:r>
        <w:rPr>
          <w:sz w:val="24"/>
        </w:rPr>
        <w:t>celulares.</w:t>
      </w:r>
    </w:p>
    <w:p>
      <w:pPr>
        <w:pStyle w:val="BodyText"/>
        <w:spacing w:before="11"/>
        <w:rPr>
          <w:sz w:val="27"/>
        </w:rPr>
      </w:pPr>
    </w:p>
    <w:p>
      <w:pPr>
        <w:pStyle w:val="ListParagraph"/>
        <w:numPr>
          <w:ilvl w:val="0"/>
          <w:numId w:val="9"/>
        </w:numPr>
        <w:tabs>
          <w:tab w:pos="2413" w:val="left" w:leader="none"/>
        </w:tabs>
        <w:spacing w:line="360" w:lineRule="auto" w:before="0" w:after="0"/>
        <w:ind w:left="2412" w:right="1699" w:hanging="286"/>
        <w:jc w:val="both"/>
        <w:rPr>
          <w:sz w:val="24"/>
        </w:rPr>
      </w:pPr>
      <w:r>
        <w:rPr>
          <w:sz w:val="24"/>
        </w:rPr>
        <w:t>Córneo: se caracteriza por estar constituido por células planas, sin núcleo evidente y con citoplasma fuertemente acidófilo. Estas células reciben la denominación de corneocitos y no presentan gránulos de queratohialina. La membrana plasmática es más gruesa que en las células de las capas más profundas. Las uniones intercelulares se modifican, lo que facilita la descamación</w:t>
      </w:r>
      <w:r>
        <w:rPr>
          <w:spacing w:val="-6"/>
          <w:sz w:val="24"/>
        </w:rPr>
        <w:t> </w:t>
      </w:r>
      <w:r>
        <w:rPr>
          <w:sz w:val="24"/>
        </w:rPr>
        <w:t>celular.</w:t>
      </w:r>
    </w:p>
    <w:p>
      <w:pPr>
        <w:spacing w:after="0" w:line="360" w:lineRule="auto"/>
        <w:jc w:val="both"/>
        <w:rPr>
          <w:sz w:val="24"/>
        </w:rPr>
        <w:sectPr>
          <w:pgSz w:w="12240" w:h="15840"/>
          <w:pgMar w:header="0" w:footer="599" w:top="1500" w:bottom="780" w:left="0" w:right="0"/>
        </w:sectPr>
      </w:pPr>
    </w:p>
    <w:p>
      <w:pPr>
        <w:pStyle w:val="BodyText"/>
        <w:spacing w:before="4"/>
        <w:rPr>
          <w:sz w:val="11"/>
        </w:rPr>
      </w:pPr>
    </w:p>
    <w:p>
      <w:pPr>
        <w:pStyle w:val="BodyText"/>
        <w:spacing w:line="357" w:lineRule="auto" w:before="69"/>
        <w:ind w:left="1418" w:right="1699"/>
        <w:jc w:val="both"/>
      </w:pPr>
      <w:r>
        <w:rPr/>
        <w:t>La población epitelial queratinocítica que reviste la mucosa bucal se renueva  de forma permanente. Existe un equilibrio biológico entre las células que se descaman en la superficie y las que se forman por mitosis en la capa basal. Esta capacidad especial proliferativa permite a la población celular mantenerse constante</w:t>
      </w:r>
      <w:r>
        <w:rPr>
          <w:position w:val="8"/>
          <w:sz w:val="16"/>
        </w:rPr>
        <w:t>13</w:t>
      </w:r>
      <w:r>
        <w:rPr/>
        <w:t>. El ciclo de renovación dura aproximadamente de diez a catorce días. El número de unidades epiteliales proliferativas por milímetro cuadrado es aproximadamente de 1,400</w:t>
      </w:r>
      <w:r>
        <w:rPr>
          <w:position w:val="8"/>
          <w:sz w:val="16"/>
        </w:rPr>
        <w:t>66</w:t>
      </w:r>
      <w:r>
        <w:rPr/>
        <w:t>.</w:t>
      </w:r>
    </w:p>
    <w:p>
      <w:pPr>
        <w:pStyle w:val="BodyText"/>
        <w:spacing w:before="2"/>
        <w:rPr>
          <w:sz w:val="36"/>
        </w:rPr>
      </w:pPr>
    </w:p>
    <w:p>
      <w:pPr>
        <w:pStyle w:val="BodyText"/>
        <w:spacing w:line="357" w:lineRule="auto" w:before="1"/>
        <w:ind w:left="1418" w:right="1707"/>
        <w:jc w:val="both"/>
      </w:pPr>
      <w:r>
        <w:rPr/>
        <w:t>La velocidad de sustitución, o el tiempo de renovación de las células de la población epitelial, está sometida a la influencia de distintos factores, hormonas, citoquinas que la inhiben, inflamación y grado de queratinización</w:t>
      </w:r>
      <w:r>
        <w:rPr>
          <w:position w:val="8"/>
          <w:sz w:val="16"/>
        </w:rPr>
        <w:t>66</w:t>
      </w:r>
      <w:r>
        <w:rPr/>
        <w:t>.</w:t>
      </w:r>
    </w:p>
    <w:p>
      <w:pPr>
        <w:pStyle w:val="BodyText"/>
        <w:spacing w:before="2"/>
        <w:rPr>
          <w:sz w:val="36"/>
        </w:rPr>
      </w:pPr>
    </w:p>
    <w:p>
      <w:pPr>
        <w:pStyle w:val="BodyText"/>
        <w:spacing w:line="360" w:lineRule="auto" w:before="1"/>
        <w:ind w:left="1418" w:right="1707"/>
        <w:jc w:val="both"/>
      </w:pPr>
      <w:r>
        <w:rPr/>
        <w:t>Se ha sugerido que el proceso final de diferenciación queratinocítica que conduce a la descamación es un proceso vinculado a la apoptosis o muerte celular programada de la línea</w:t>
      </w:r>
      <w:r>
        <w:rPr>
          <w:spacing w:val="-10"/>
        </w:rPr>
        <w:t> </w:t>
      </w:r>
      <w:r>
        <w:rPr/>
        <w:t>queratinocítica.</w:t>
      </w:r>
    </w:p>
    <w:p>
      <w:pPr>
        <w:pStyle w:val="BodyText"/>
      </w:pPr>
    </w:p>
    <w:p>
      <w:pPr>
        <w:pStyle w:val="ListParagraph"/>
        <w:numPr>
          <w:ilvl w:val="0"/>
          <w:numId w:val="7"/>
        </w:numPr>
        <w:tabs>
          <w:tab w:pos="2139" w:val="left" w:leader="none"/>
        </w:tabs>
        <w:spacing w:line="360" w:lineRule="auto" w:before="140" w:after="0"/>
        <w:ind w:left="2138" w:right="1698" w:hanging="360"/>
        <w:jc w:val="both"/>
        <w:rPr>
          <w:sz w:val="24"/>
        </w:rPr>
      </w:pPr>
      <w:r>
        <w:rPr>
          <w:i/>
          <w:sz w:val="24"/>
        </w:rPr>
        <w:t>Epitelio plano estratificado paraqueratinizado</w:t>
      </w:r>
      <w:r>
        <w:rPr>
          <w:sz w:val="24"/>
        </w:rPr>
        <w:t>: presenta iguales características que el queratinizado a nivel de los estratos basal, espinoso y granuloso; este último poco desarrollado. Las diferencias se manifiestan en los elementos celulares del estrato córneo superficial, en este tipo de epitelio conservan sus núcleos y también algunas organelas celulares parcialmente lisadas, hasta  que se descaman. Los núcleos son picnóticos con cromatina condensada (Figura</w:t>
      </w:r>
      <w:r>
        <w:rPr>
          <w:spacing w:val="-3"/>
          <w:sz w:val="24"/>
        </w:rPr>
        <w:t> </w:t>
      </w:r>
      <w:r>
        <w:rPr>
          <w:sz w:val="24"/>
        </w:rPr>
        <w:t>3).</w:t>
      </w:r>
    </w:p>
    <w:p>
      <w:pPr>
        <w:pStyle w:val="BodyText"/>
      </w:pPr>
    </w:p>
    <w:p>
      <w:pPr>
        <w:pStyle w:val="ListParagraph"/>
        <w:numPr>
          <w:ilvl w:val="0"/>
          <w:numId w:val="7"/>
        </w:numPr>
        <w:tabs>
          <w:tab w:pos="2139" w:val="left" w:leader="none"/>
        </w:tabs>
        <w:spacing w:line="352" w:lineRule="auto" w:before="140" w:after="0"/>
        <w:ind w:left="2138" w:right="1698" w:hanging="360"/>
        <w:jc w:val="both"/>
        <w:rPr>
          <w:sz w:val="24"/>
        </w:rPr>
      </w:pPr>
      <w:r>
        <w:rPr>
          <w:i/>
          <w:sz w:val="24"/>
        </w:rPr>
        <w:t>Epitelio plano estratificado no queratinizado</w:t>
      </w:r>
      <w:r>
        <w:rPr>
          <w:sz w:val="24"/>
        </w:rPr>
        <w:t>: se diferencia del epitelio queratinizado principalmente porque no produce la capa superficial córnea y carece, además, del estrato granuloso (Figura</w:t>
      </w:r>
      <w:r>
        <w:rPr>
          <w:spacing w:val="-13"/>
          <w:sz w:val="24"/>
        </w:rPr>
        <w:t> </w:t>
      </w:r>
      <w:r>
        <w:rPr>
          <w:sz w:val="24"/>
        </w:rPr>
        <w:t>3)</w:t>
      </w:r>
      <w:r>
        <w:rPr>
          <w:position w:val="8"/>
          <w:sz w:val="16"/>
        </w:rPr>
        <w:t>66</w:t>
      </w:r>
      <w:r>
        <w:rPr>
          <w:sz w:val="24"/>
        </w:rPr>
        <w:t>.</w:t>
      </w:r>
    </w:p>
    <w:p>
      <w:pPr>
        <w:spacing w:after="0" w:line="352" w:lineRule="auto"/>
        <w:jc w:val="both"/>
        <w:rPr>
          <w:sz w:val="24"/>
        </w:rPr>
        <w:sectPr>
          <w:footerReference w:type="default" r:id="rId77"/>
          <w:pgSz w:w="12240" w:h="15840"/>
          <w:pgMar w:footer="599" w:header="0" w:top="1500" w:bottom="780" w:left="0" w:right="0"/>
        </w:sectPr>
      </w:pPr>
    </w:p>
    <w:p>
      <w:pPr>
        <w:pStyle w:val="BodyText"/>
        <w:spacing w:before="11"/>
        <w:rPr>
          <w:sz w:val="21"/>
        </w:rPr>
      </w:pPr>
    </w:p>
    <w:p>
      <w:pPr>
        <w:spacing w:before="67"/>
        <w:ind w:left="1162" w:right="3079" w:firstLine="0"/>
        <w:jc w:val="center"/>
        <w:rPr>
          <w:rFonts w:ascii="Calibri" w:hAnsi="Calibri"/>
          <w:sz w:val="18"/>
        </w:rPr>
      </w:pPr>
      <w:r>
        <w:rPr>
          <w:rFonts w:ascii="Calibri" w:hAnsi="Calibri"/>
          <w:sz w:val="18"/>
        </w:rPr>
        <w:t>Núcleospicnóticos</w:t>
      </w:r>
    </w:p>
    <w:p>
      <w:pPr>
        <w:pStyle w:val="BodyText"/>
        <w:spacing w:before="8"/>
        <w:rPr>
          <w:rFonts w:ascii="Calibri"/>
          <w:sz w:val="21"/>
        </w:rPr>
      </w:pPr>
    </w:p>
    <w:p>
      <w:pPr>
        <w:spacing w:line="242" w:lineRule="auto" w:before="67"/>
        <w:ind w:left="8424" w:right="1703" w:firstLine="0"/>
        <w:jc w:val="left"/>
        <w:rPr>
          <w:rFonts w:ascii="Calibri" w:hAnsi="Calibri"/>
          <w:sz w:val="18"/>
        </w:rPr>
      </w:pPr>
      <w:r>
        <w:rPr/>
        <w:pict>
          <v:group style="position:absolute;margin-left:130.771591pt;margin-top:-6.229342pt;width:289.2pt;height:176.5pt;mso-position-horizontal-relative:page;mso-position-vertical-relative:paragraph;z-index:1312" coordorigin="2615,-125" coordsize="5784,3530">
            <v:shape style="position:absolute;left:2773;top:752;width:1034;height:230" type="#_x0000_t75" stroked="false">
              <v:imagedata r:id="rId79" o:title=""/>
            </v:shape>
            <v:shape style="position:absolute;left:2773;top:752;width:1035;height:230" coordorigin="2773,752" coordsize="1035,230" path="m2773,867l3290,752,3807,867,3290,982,2773,867xe" filled="false" stroked="true" strokeweight=".383217pt" strokecolor="#375f92">
              <v:path arrowok="t"/>
            </v:shape>
            <v:shape style="position:absolute;left:3232;top:637;width:1034;height:230" type="#_x0000_t75" stroked="false">
              <v:imagedata r:id="rId80" o:title=""/>
            </v:shape>
            <v:shape style="position:absolute;left:3232;top:637;width:1035;height:230" coordorigin="3232,637" coordsize="1035,230" path="m3232,752l3749,637,4267,752,3749,867,3232,752xe" filled="false" stroked="true" strokeweight=".383217pt" strokecolor="#375f92">
              <v:path arrowok="t"/>
            </v:shape>
            <v:shape style="position:absolute;left:3462;top:806;width:1034;height:230" type="#_x0000_t75" stroked="false">
              <v:imagedata r:id="rId81" o:title=""/>
            </v:shape>
            <v:shape style="position:absolute;left:3462;top:806;width:1035;height:230" coordorigin="3462,806" coordsize="1035,230" path="m3462,921l3979,806,4496,921,3979,1035,3462,921xe" filled="false" stroked="true" strokeweight=".383217pt" strokecolor="#375f92">
              <v:path arrowok="t"/>
            </v:shape>
            <v:shape style="position:absolute;left:4037;top:691;width:1034;height:230" type="#_x0000_t75" stroked="false">
              <v:imagedata r:id="rId82" o:title=""/>
            </v:shape>
            <v:shape style="position:absolute;left:4037;top:691;width:1035;height:230" coordorigin="4037,691" coordsize="1035,230" path="m4037,806l4554,691,5071,806,4554,921,4037,806xe" filled="false" stroked="true" strokeweight=".383217pt" strokecolor="#375f92">
              <v:path arrowok="t"/>
            </v:shape>
            <v:shape style="position:absolute;left:4611;top:576;width:1042;height:230" type="#_x0000_t75" stroked="false">
              <v:imagedata r:id="rId83" o:title=""/>
            </v:shape>
            <v:shape style="position:absolute;left:4611;top:576;width:1042;height:230" coordorigin="4611,576" coordsize="1042,230" path="m4611,691l5132,576,5653,691,5132,806,4611,691xe" filled="false" stroked="true" strokeweight=".383217pt" strokecolor="#375f92">
              <v:path arrowok="t"/>
            </v:shape>
            <v:shape style="position:absolute;left:4558;top:806;width:1034;height:230" type="#_x0000_t75" stroked="false">
              <v:imagedata r:id="rId84" o:title=""/>
            </v:shape>
            <v:shape style="position:absolute;left:4558;top:806;width:1035;height:230" coordorigin="4558,806" coordsize="1035,230" path="m4558,921l5075,806,5592,921,5075,1035,4558,921xe" filled="false" stroked="true" strokeweight=".383217pt" strokecolor="#375f92">
              <v:path arrowok="t"/>
            </v:shape>
            <v:shape style="position:absolute;left:5132;top:691;width:1034;height:230" type="#_x0000_t75" stroked="false">
              <v:imagedata r:id="rId85" o:title=""/>
            </v:shape>
            <v:shape style="position:absolute;left:5132;top:691;width:1035;height:230" coordorigin="5132,691" coordsize="1035,230" path="m5132,806l5649,691,6166,806,5649,921,5132,806xe" filled="false" stroked="true" strokeweight=".383217pt" strokecolor="#375f92">
              <v:path arrowok="t"/>
            </v:shape>
            <v:shape style="position:absolute;left:5592;top:576;width:1034;height:230" type="#_x0000_t75" stroked="false">
              <v:imagedata r:id="rId86" o:title=""/>
            </v:shape>
            <v:shape style="position:absolute;left:5592;top:576;width:1035;height:230" coordorigin="5592,576" coordsize="1035,230" path="m5592,691l6109,576,6626,691,6109,806,5592,691xe" filled="false" stroked="true" strokeweight=".383217pt" strokecolor="#1b1b1b">
              <v:path arrowok="t"/>
            </v:shape>
            <v:shape style="position:absolute;left:5653;top:806;width:1034;height:230" type="#_x0000_t75" stroked="false">
              <v:imagedata r:id="rId87" o:title=""/>
            </v:shape>
            <v:shape style="position:absolute;left:5653;top:806;width:1035;height:230" coordorigin="5653,806" coordsize="1035,230" path="m5653,921l6170,806,6687,921,6170,1035,5653,921xe" filled="false" stroked="true" strokeweight=".383217pt" strokecolor="#375f92">
              <v:path arrowok="t"/>
            </v:shape>
            <v:shape style="position:absolute;left:6166;top:691;width:1034;height:230" type="#_x0000_t75" stroked="false">
              <v:imagedata r:id="rId88" o:title=""/>
            </v:shape>
            <v:shape style="position:absolute;left:6166;top:691;width:1035;height:230" coordorigin="6166,691" coordsize="1035,230" path="m6166,806l6683,691,7200,806,6683,921,6166,806xe" filled="false" stroked="true" strokeweight=".383217pt" strokecolor="#375f92">
              <v:path arrowok="t"/>
            </v:shape>
            <v:shape style="position:absolute;left:6166;top:921;width:1034;height:230" type="#_x0000_t75" stroked="false">
              <v:imagedata r:id="rId89" o:title=""/>
            </v:shape>
            <v:shape style="position:absolute;left:6166;top:921;width:1035;height:230" coordorigin="6166,921" coordsize="1035,230" path="m6166,1035l6683,921,7200,1035,6683,1150,6166,1035xe" filled="false" stroked="true" strokeweight=".383217pt" strokecolor="#375f92">
              <v:path arrowok="t"/>
            </v:shape>
            <v:shape style="position:absolute;left:6741;top:806;width:1034;height:230" type="#_x0000_t75" stroked="false">
              <v:imagedata r:id="rId90" o:title=""/>
            </v:shape>
            <v:shape style="position:absolute;left:6741;top:806;width:1035;height:230" coordorigin="6741,806" coordsize="1035,230" path="m6741,921l7258,806,7775,921,7258,1035,6741,921xe" filled="false" stroked="true" strokeweight=".383217pt" strokecolor="#375f92">
              <v:path arrowok="t"/>
            </v:shape>
            <v:shape style="position:absolute;left:2658;top:522;width:1034;height:230" type="#_x0000_t75" stroked="false">
              <v:imagedata r:id="rId91" o:title=""/>
            </v:shape>
            <v:shape style="position:absolute;left:2658;top:522;width:1035;height:230" coordorigin="2658,522" coordsize="1035,230" path="m2658,637l3175,522,3692,637,3175,752,2658,637xe" filled="false" stroked="true" strokeweight=".383217pt" strokecolor="#375f92">
              <v:path arrowok="t"/>
            </v:shape>
            <v:shape style="position:absolute;left:3638;top:576;width:1034;height:230" type="#_x0000_t75" stroked="false">
              <v:imagedata r:id="rId92" o:title=""/>
            </v:shape>
            <v:shape style="position:absolute;left:3638;top:576;width:1035;height:230" coordorigin="3638,576" coordsize="1035,230" path="m3638,691l4155,576,4672,691,4155,806,3638,691xe" filled="false" stroked="true" strokeweight=".383217pt" strokecolor="#375f92">
              <v:path arrowok="t"/>
            </v:shape>
            <v:shape style="position:absolute;left:2693;top:646;width:656;height:275" type="#_x0000_t75" stroked="false">
              <v:imagedata r:id="rId93" o:title=""/>
            </v:shape>
            <v:shape style="position:absolute;left:2693;top:646;width:656;height:275" coordorigin="2693,646" coordsize="656,275" path="m2693,646l3348,759,2715,921,2693,646xe" filled="false" stroked="true" strokeweight=".510466pt" strokecolor="#375f92">
              <v:path arrowok="t"/>
            </v:shape>
            <v:shape style="position:absolute;left:6804;top:610;width:909;height:312" type="#_x0000_t75" stroked="false">
              <v:imagedata r:id="rId94" o:title=""/>
            </v:shape>
            <v:shape style="position:absolute;left:6804;top:610;width:910;height:313" coordorigin="6804,610" coordsize="910,313" path="m7713,610l6804,731,7689,923,7713,610xe" filled="false" stroked="true" strokeweight=".383226pt" strokecolor="#375f92">
              <v:path arrowok="t"/>
            </v:shape>
            <v:shape style="position:absolute;left:2834;top:752;width:115;height:39" coordorigin="2834,752" coordsize="115,39" path="m2892,752l2869,754,2851,758,2839,764,2834,771,2839,779,2851,785,2869,789,2892,790,2914,789,2932,785,2945,779,2949,771,2945,764,2932,758,2914,754,2892,752xe" filled="true" fillcolor="#205868" stroked="false">
              <v:path arrowok="t"/>
              <v:fill type="solid"/>
            </v:shape>
            <v:shape style="position:absolute;left:2834;top:752;width:115;height:39" coordorigin="2834,752" coordsize="115,39" path="m2834,771l2839,764,2851,758,2869,754,2892,752,2914,754,2932,758,2945,764,2949,771,2945,779,2932,785,2914,789,2892,790,2869,789,2851,785,2839,779,2834,771xe" filled="false" stroked="true" strokeweight=".383225pt" strokecolor="#00afef">
              <v:path arrowok="t"/>
            </v:shape>
            <v:shape style="position:absolute;left:3232;top:829;width:115;height:39" coordorigin="3232,829" coordsize="115,39" path="m3290,829l3268,830,3249,834,3237,840,3232,848,3237,855,3249,861,3268,865,3290,867,3312,865,3330,861,3343,855,3347,848,3343,840,3330,834,3312,830,3290,829xe" filled="true" fillcolor="#205868" stroked="false">
              <v:path arrowok="t"/>
              <v:fill type="solid"/>
            </v:shape>
            <v:shape style="position:absolute;left:3232;top:829;width:115;height:39" coordorigin="3232,829" coordsize="115,39" path="m3232,848l3237,840,3249,834,3268,830,3290,829,3312,830,3330,834,3343,840,3347,848,3343,855,3330,861,3312,865,3290,867,3268,865,3249,861,3237,855,3232,848xe" filled="false" stroked="true" strokeweight=".383225pt" strokecolor="#00afef">
              <v:path arrowok="t"/>
            </v:shape>
            <v:shape style="position:absolute;left:3118;top:599;width:115;height:39" coordorigin="3118,599" coordsize="115,39" path="m3175,599l3153,600,3134,605,3122,611,3118,618,3122,626,3134,632,3153,636,3175,637,3197,636,3216,632,3228,626,3232,618,3228,611,3216,605,3197,600,3175,599xe" filled="true" fillcolor="#205868" stroked="false">
              <v:path arrowok="t"/>
              <v:fill type="solid"/>
            </v:shape>
            <v:shape style="position:absolute;left:3118;top:599;width:115;height:39" coordorigin="3118,599" coordsize="115,39" path="m3118,618l3122,611,3134,605,3153,600,3175,599,3197,600,3216,605,3228,611,3232,618,3228,626,3216,632,3197,636,3175,637,3153,636,3134,632,3122,626,3118,618xe" filled="false" stroked="true" strokeweight=".383225pt" strokecolor="#00afef">
              <v:path arrowok="t"/>
            </v:shape>
            <v:shape style="position:absolute;left:3692;top:721;width:115;height:39" coordorigin="3692,721" coordsize="115,39" path="m3749,721l3727,723,3709,727,3697,733,3692,741,3697,748,3709,754,3727,758,3749,760,3772,758,3790,754,3802,748,3807,741,3802,733,3790,727,3772,723,3749,721xe" filled="true" fillcolor="#205868" stroked="false">
              <v:path arrowok="t"/>
              <v:fill type="solid"/>
            </v:shape>
            <v:shape style="position:absolute;left:3692;top:721;width:115;height:39" coordorigin="3692,721" coordsize="115,39" path="m3692,741l3697,733,3709,727,3727,723,3749,721,3772,723,3790,727,3802,733,3807,741,3802,748,3790,754,3772,758,3749,760,3727,758,3709,754,3697,748,3692,741xe" filled="false" stroked="true" strokeweight=".383225pt" strokecolor="#00afef">
              <v:path arrowok="t"/>
            </v:shape>
            <v:shape style="position:absolute;left:3983;top:890;width:115;height:31" coordorigin="3983,890" coordsize="115,31" path="m4041,890l4018,891,4000,894,3988,899,3983,905,3988,911,4000,916,4018,919,4041,921,4063,919,4081,916,4093,911,4098,905,4093,899,4081,894,4063,891,4041,890xe" filled="true" fillcolor="#205868" stroked="false">
              <v:path arrowok="t"/>
              <v:fill type="solid"/>
            </v:shape>
            <v:shape style="position:absolute;left:3983;top:890;width:115;height:31" coordorigin="3983,890" coordsize="115,31" path="m3983,905l3988,899,4000,894,4018,891,4041,890,4063,891,4081,894,4093,899,4098,905,4093,911,4081,916,4063,919,4041,921,4018,919,4000,916,3988,911,3983,905xe" filled="false" stroked="true" strokeweight=".38322pt" strokecolor="#00afef">
              <v:path arrowok="t"/>
            </v:shape>
            <v:shape style="position:absolute;left:4106;top:660;width:115;height:31" coordorigin="4106,660" coordsize="115,31" path="m4163,660l4141,661,4122,665,4110,670,4106,676,4110,681,4122,686,4141,690,4163,691,4185,690,4204,686,4216,681,4221,676,4216,670,4204,665,4185,661,4163,660xe" filled="true" fillcolor="#205868" stroked="false">
              <v:path arrowok="t"/>
              <v:fill type="solid"/>
            </v:shape>
            <v:shape style="position:absolute;left:4106;top:660;width:115;height:31" coordorigin="4106,660" coordsize="115,31" path="m4106,676l4110,670,4122,665,4141,661,4163,660,4185,661,4204,665,4216,670,4221,676,4216,681,4204,686,4185,690,4163,691,4141,690,4122,686,4110,681,4106,676xe" filled="false" stroked="true" strokeweight=".38322pt" strokecolor="#00afef">
              <v:path arrowok="t"/>
            </v:shape>
            <v:shape style="position:absolute;left:4496;top:783;width:115;height:31" coordorigin="4496,783" coordsize="115,31" path="m4554,783l4531,784,4513,787,4501,792,4496,798,4501,804,4513,809,4531,812,4554,813,4576,812,4594,809,4607,804,4611,798,4607,792,4594,787,4576,784,4554,783xe" filled="true" fillcolor="#205868" stroked="false">
              <v:path arrowok="t"/>
              <v:fill type="solid"/>
            </v:shape>
            <v:shape style="position:absolute;left:4496;top:783;width:115;height:31" coordorigin="4496,783" coordsize="115,31" path="m4496,798l4501,792,4513,787,4531,784,4554,783,4576,784,4594,787,4607,792,4611,798,4607,804,4594,809,4576,812,4554,813,4531,812,4513,809,4501,804,4496,798xe" filled="false" stroked="true" strokeweight=".38322pt" strokecolor="#00afef">
              <v:path arrowok="t"/>
            </v:shape>
            <v:shape style="position:absolute;left:5071;top:691;width:115;height:39" coordorigin="5071,691" coordsize="115,39" path="m5128,691l5106,692,5088,696,5075,703,5071,710,5075,717,5088,724,5106,728,5128,729,5151,728,5169,724,5181,717,5186,710,5181,703,5169,696,5151,692,5128,691xe" filled="true" fillcolor="#205868" stroked="false">
              <v:path arrowok="t"/>
              <v:fill type="solid"/>
            </v:shape>
            <v:shape style="position:absolute;left:5071;top:691;width:115;height:39" coordorigin="5071,691" coordsize="115,39" path="m5071,710l5075,703,5088,696,5106,692,5128,691,5151,692,5169,696,5181,703,5186,710,5181,717,5169,724,5151,728,5128,729,5106,728,5088,724,5075,717,5071,710xe" filled="false" stroked="true" strokeweight=".383225pt" strokecolor="#00afef">
              <v:path arrowok="t"/>
            </v:shape>
            <v:shape style="position:absolute;left:5017;top:921;width:115;height:39" coordorigin="5017,921" coordsize="115,39" path="m5075,921l5052,922,5034,926,5022,932,5017,940,5022,947,5034,953,5052,957,5075,959,5097,957,5115,953,5128,947,5132,940,5128,932,5115,926,5097,922,5075,921xe" filled="true" fillcolor="#205868" stroked="false">
              <v:path arrowok="t"/>
              <v:fill type="solid"/>
            </v:shape>
            <v:shape style="position:absolute;left:5017;top:921;width:115;height:39" coordorigin="5017,921" coordsize="115,39" path="m5017,940l5022,932,5034,926,5052,922,5075,921,5097,922,5115,926,5128,932,5132,940,5128,947,5115,953,5097,957,5075,959,5052,957,5034,953,5022,947,5017,940xe" filled="false" stroked="true" strokeweight=".383225pt" strokecolor="#00afef">
              <v:path arrowok="t"/>
            </v:shape>
            <v:shape style="position:absolute;left:5530;top:775;width:123;height:31" coordorigin="5530,775" coordsize="123,31" path="m5592,775l5568,776,5548,780,5535,784,5530,790,5535,796,5548,801,5568,804,5592,806,5615,804,5635,801,5648,796,5653,790,5648,784,5635,780,5615,776,5592,775xe" filled="true" fillcolor="#205868" stroked="false">
              <v:path arrowok="t"/>
              <v:fill type="solid"/>
            </v:shape>
            <v:shape style="position:absolute;left:5530;top:775;width:123;height:31" coordorigin="5530,775" coordsize="123,31" path="m5530,790l5535,784,5548,780,5568,776,5592,775,5615,776,5635,780,5648,784,5653,790,5648,796,5635,801,5615,804,5592,806,5568,804,5548,801,5535,796,5530,790xe" filled="false" stroked="true" strokeweight=".383219pt" strokecolor="#00afef">
              <v:path arrowok="t"/>
            </v:shape>
            <v:shape style="position:absolute;left:6051;top:668;width:115;height:31" coordorigin="6051,668" coordsize="115,31" path="m6109,668l6086,669,6068,672,6056,677,6051,683,6056,689,6068,694,6086,697,6109,698,6131,697,6149,694,6162,689,6166,683,6162,677,6149,672,6131,669,6109,668xe" filled="true" fillcolor="#205868" stroked="false">
              <v:path arrowok="t"/>
              <v:fill type="solid"/>
            </v:shape>
            <v:shape style="position:absolute;left:6051;top:668;width:115;height:31" coordorigin="6051,668" coordsize="115,31" path="m6051,683l6056,677,6068,672,6086,669,6109,668,6131,669,6149,672,6162,677,6166,683,6162,689,6149,694,6131,697,6109,698,6086,697,6068,694,6056,689,6051,683xe" filled="false" stroked="true" strokeweight=".38322pt" strokecolor="#00afef">
              <v:path arrowok="t"/>
            </v:shape>
            <v:shape style="position:absolute;left:6112;top:890;width:115;height:31" coordorigin="6112,890" coordsize="115,31" path="m6170,890l6147,891,6129,894,6117,899,6112,905,6117,911,6129,916,6147,919,6170,921,6192,919,6211,916,6223,911,6227,905,6223,899,6211,894,6192,891,6170,890xe" filled="true" fillcolor="#205868" stroked="false">
              <v:path arrowok="t"/>
              <v:fill type="solid"/>
            </v:shape>
            <v:shape style="position:absolute;left:6112;top:890;width:115;height:31" coordorigin="6112,890" coordsize="115,31" path="m6112,905l6117,899,6129,894,6147,891,6170,890,6192,891,6211,894,6223,899,6227,905,6223,911,6211,916,6192,919,6170,921,6147,919,6129,916,6117,911,6112,905xe" filled="false" stroked="true" strokeweight=".38322pt" strokecolor="#00afef">
              <v:path arrowok="t"/>
            </v:shape>
            <v:shape style="position:absolute;left:6626;top:1012;width:115;height:31" coordorigin="6626,1012" coordsize="115,31" path="m6683,1012l6661,1014,6642,1017,6630,1022,6626,1028,6630,1034,6642,1039,6661,1042,6683,1043,6705,1042,6724,1039,6736,1034,6741,1028,6736,1022,6724,1017,6705,1014,6683,1012xe" filled="true" fillcolor="#205868" stroked="false">
              <v:path arrowok="t"/>
              <v:fill type="solid"/>
            </v:shape>
            <v:shape style="position:absolute;left:6626;top:1012;width:115;height:31" coordorigin="6626,1012" coordsize="115,31" path="m6626,1028l6630,1022,6642,1017,6661,1014,6683,1012,6705,1014,6724,1017,6736,1022,6741,1028,6736,1034,6724,1039,6705,1042,6683,1043,6661,1042,6642,1039,6630,1034,6626,1028xe" filled="false" stroked="true" strokeweight=".38322pt" strokecolor="#00afef">
              <v:path arrowok="t"/>
            </v:shape>
            <v:shape style="position:absolute;left:6626;top:806;width:115;height:39" coordorigin="6626,806" coordsize="115,39" path="m6683,806l6661,807,6642,811,6630,817,6626,825,6630,832,6642,838,6661,842,6683,844,6705,842,6724,838,6736,832,6741,825,6736,817,6724,811,6705,807,6683,806xe" filled="true" fillcolor="#205868" stroked="false">
              <v:path arrowok="t"/>
              <v:fill type="solid"/>
            </v:shape>
            <v:shape style="position:absolute;left:6626;top:806;width:115;height:39" coordorigin="6626,806" coordsize="115,39" path="m6626,825l6630,817,6642,811,6661,807,6683,806,6705,807,6724,811,6736,817,6741,825,6736,832,6724,838,6705,842,6683,844,6661,842,6642,838,6630,832,6626,825xe" filled="false" stroked="true" strokeweight=".383225pt" strokecolor="#00afef">
              <v:path arrowok="t"/>
            </v:shape>
            <v:shape style="position:absolute;left:7200;top:921;width:115;height:39" coordorigin="7200,921" coordsize="115,39" path="m7258,921l7235,922,7217,926,7205,932,7200,940,7205,947,7217,953,7235,957,7258,959,7280,957,7298,953,7311,947,7315,940,7311,932,7298,926,7280,922,7258,921xe" filled="true" fillcolor="#205868" stroked="false">
              <v:path arrowok="t"/>
              <v:fill type="solid"/>
            </v:shape>
            <v:shape style="position:absolute;left:7200;top:921;width:115;height:39" coordorigin="7200,921" coordsize="115,39" path="m7200,940l7205,932,7217,926,7235,922,7258,921,7280,922,7298,926,7311,932,7315,940,7311,947,7298,953,7280,957,7258,959,7235,957,7217,953,7205,947,7200,940xe" filled="false" stroked="true" strokeweight=".383225pt" strokecolor="#00afef">
              <v:path arrowok="t"/>
            </v:shape>
            <v:shape style="position:absolute;left:7323;top:752;width:115;height:39" coordorigin="7323,752" coordsize="115,39" path="m7380,752l7358,754,7339,758,7327,764,7323,771,7327,779,7339,785,7358,789,7380,790,7402,789,7421,785,7433,779,7438,771,7433,764,7421,758,7402,754,7380,752xe" filled="true" fillcolor="#205868" stroked="false">
              <v:path arrowok="t"/>
              <v:fill type="solid"/>
            </v:shape>
            <v:shape style="position:absolute;left:7323;top:752;width:115;height:39" coordorigin="7323,752" coordsize="115,39" path="m7323,771l7327,764,7339,758,7358,754,7380,752,7402,754,7421,758,7433,764,7438,771,7433,779,7421,785,7402,789,7380,790,7358,789,7339,785,7327,779,7323,771xe" filled="false" stroked="true" strokeweight=".383225pt" strokecolor="#00afef">
              <v:path arrowok="t"/>
            </v:shape>
            <v:shape style="position:absolute;left:2708;top:1713;width:5071;height:597" type="#_x0000_t75" stroked="false">
              <v:imagedata r:id="rId95" o:title=""/>
            </v:shape>
            <v:shape style="position:absolute;left:2938;top:1545;width:123;height:138" type="#_x0000_t75" stroked="false">
              <v:imagedata r:id="rId96" o:title=""/>
            </v:shape>
            <v:shape style="position:absolute;left:3918;top:2417;width:276;height:176" type="#_x0000_t75" stroked="false">
              <v:imagedata r:id="rId97" o:title=""/>
            </v:shape>
            <v:shape style="position:absolute;left:4228;top:2306;width:322;height:92" coordorigin="4228,2306" coordsize="322,92" path="m4228,2398l4232,2387,4232,2373,4240,2364,4254,2351,4272,2342,4291,2335,4309,2329,4317,2323,4325,2315,4333,2309,4343,2306,4550,2318e" filled="false" stroked="true" strokeweight=".383221pt" strokecolor="#497dba">
              <v:path arrowok="t"/>
            </v:shape>
            <v:shape style="position:absolute;left:4630;top:2394;width:207;height:291" type="#_x0000_t75" stroked="false">
              <v:imagedata r:id="rId98" o:title=""/>
            </v:shape>
            <v:shape style="position:absolute;left:3361;top:2554;width:320;height:286" type="#_x0000_t75" stroked="false">
              <v:imagedata r:id="rId99" o:title=""/>
            </v:shape>
            <v:shape style="position:absolute;left:263;top:11685;width:7426;height:1829" coordorigin="263,11685" coordsize="7426,1829" path="m2742,2584l2754,2588,2765,2596,2777,2596,2838,2596,2876,2595,2902,2592,2928,2585,2964,2573,2972,2567,2981,2560,2989,2555,2998,2549,3009,2544,3023,2544,3033,2538,3048,2524,3065,2506,3084,2489,3103,2479,3146,2473,3185,2470,3224,2468,3262,2468,3301,2468m3501,3401l3506,3392,3511,3383,3517,3375,3524,3368,3535,3363,3547,3360,3560,3359,3572,3357,3593,3350,3605,3346,3612,3343,3615,3342,3618,3342,3624,3342,3636,3343,3657,3344,3690,3345,3738,3345m3301,3302l3310,3296,3319,3291,3328,3285,3336,3278,3348,3267,3359,3254,3371,3242,3383,3232,3393,3224,3407,3224,3418,3220,3430,3208,3441,3196,3453,3184,3465,3173,3477,3164,3489,3156,3501,3147,3512,3138,3518,3130,3524,3121,3529,3111,3535,3103,3547,3091,3559,3080,3571,3068,3582,3056,3607,3023,3620,3003,3625,2993,3627,2988,3631,2984,3641,2977,3664,2962,3669,2953,3675,2944,3680,2935,3687,2927,3695,2921,3704,2915,3714,2910,3722,2904,3731,2897,3738,2888,3746,2881m5906,2610l5923,2613,5940,2616,5958,2619,5975,2621,6007,2624,6039,2627,6071,2629,6103,2632,6220,2643,6240,2641,6261,2640,6282,2638,6301,2632,6309,2626,6313,2616,6318,2607,6324,2598,6335,2592,6347,2586,6359,2582,6371,2576,6396,2561,6404,2555,6407,2553,6415,2551,6441,2543,6449,2537,6458,2531,6466,2525,6476,2520,6486,2515,6499,2513,6510,2509,6519,2506,6526,2502,6534,2498e" filled="false" stroked="true" strokeweight=".383285pt" strokecolor="#497dba">
              <v:path arrowok="t"/>
            </v:shape>
            <v:shape style="position:absolute;left:6522;top:3045;width:107;height:123" type="#_x0000_t75" stroked="false">
              <v:imagedata r:id="rId100" o:title=""/>
            </v:shape>
            <v:shape style="position:absolute;left:7028;top:2588;width:306;height:310" type="#_x0000_t75" stroked="false">
              <v:imagedata r:id="rId101" o:title=""/>
            </v:shape>
            <v:shape style="position:absolute;left:3623;top:11893;width:6199;height:1096" coordorigin="3623,11893" coordsize="6199,1096" path="m6557,2789l6568,2795,6580,2801,6592,2807,6604,2812,6631,2819,6665,2825,6697,2831,6723,2835,6757,2841,6775,2844,6791,2849,6818,2858,6824,2866,6830,2875,6836,2883,6841,2892,6851,2911,6862,2933,6875,2955,6889,2972,6897,2979,6906,2985,6915,2990,6924,2995,6930,3004,6935,3013,6941,3022,6948,3030,6957,3036,6967,3041,6976,3046,6984,3053,6998,3077,7005,3096,7007,3113,7007,3133m7238,2988l7256,2986,7291,2981,7328,2974,7355,2964,7365,2956,7373,2947,7381,2937,7390,2929,7398,2922,7407,2916,7416,2911,7425,2905,7431,2896,7437,2888,7443,2879,7448,2870,7454,2859,7452,2844,7460,2834,7468,2827,7476,2821,7486,2816,7495,2811,7501,2793,7507,2775,7513,2758,7518,2740,7521,2728,7523,2715,7525,2704,7530,2692,7537,2683,7547,2674,7556,2666,7565,2657,7594,2619,7608,2598,7612,2589,7611,2588,7610,2588,7612,2585,7623,2574m4458,3034l4460,3023,4461,3012,4464,3003,4470,2996,4489,2988,4510,2985,4531,2984,4552,2983,4591,2982,4630,2982,4670,2982,4709,2983,4748,2983,4787,2983e" filled="false" stroked="true" strokeweight=".383285pt" strokecolor="#497dba">
              <v:path arrowok="t"/>
            </v:shape>
            <v:shape style="position:absolute;left:5412;top:2471;width:115;height:123" type="#_x0000_t75" stroked="false">
              <v:imagedata r:id="rId102" o:title=""/>
            </v:shape>
            <v:shape style="position:absolute;left:113;top:11449;width:9221;height:250" coordorigin="113,11449" coordsize="9221,250" path="m5170,2421l5202,2419,5235,2417,5267,2414,5299,2411,5313,2409,5328,2406,5342,2403,5357,2402,5413,2398,5459,2395,5498,2394,5533,2393,5566,2392,5600,2392,5638,2392,5684,2392m6802,2475l6825,2438,6837,2417,6847,2405,6859,2399,6881,2392,6919,2380,6954,2368,6989,2356,7049,2358,7101,2359,7145,2359,7182,2358,7212,2357,7235,2356,7254,2354,7268,2352,7279,2350,7286,2349,7290,2348,7293,2347,7295,2347,7296,2348,7297,2350,7300,2354,7304,2358,7310,2364,7320,2371,7333,2381,7351,2392,7358,2396,7366,2400,7374,2404m2666,2437l2701,2424,2722,2417,2735,2414,2749,2413,2771,2414,2811,2414e" filled="false" stroked="true" strokeweight=".383285pt" strokecolor="#497dba">
              <v:path arrowok="t"/>
            </v:shape>
            <v:shape style="position:absolute;left:2876;top:2961;width:314;height:214" type="#_x0000_t75" stroked="false">
              <v:imagedata r:id="rId103" o:title=""/>
            </v:shape>
            <v:shape style="position:absolute;left:428;top:11624;width:6631;height:915" coordorigin="428,11624" coordsize="6631,915" path="m2826,2904l2830,2892,2830,2879,2838,2869,2849,2860,2864,2850,2881,2842,2895,2835m5032,2689l5036,2679,5036,2665,5044,2657,5060,2650,5079,2647,5100,2646,5117,2647m6166,2482l6170,2471,6169,2457,6178,2448,6186,2439,6212,2437,6212,2437e" filled="false" stroked="true" strokeweight=".383285pt" strokecolor="#497dba">
              <v:path arrowok="t"/>
            </v:shape>
            <v:shape style="position:absolute;left:3890;top:2818;width:487;height:444" type="#_x0000_t75" stroked="false">
              <v:imagedata r:id="rId104" o:title=""/>
            </v:shape>
            <v:shape style="position:absolute;left:3443;top:11489;width:6623;height:1545" coordorigin="3443,11489" coordsize="6623,1545" path="m4366,2858l4379,2837,4390,2822,4403,2809,4425,2797,4446,2789,4469,2782,4488,2776,4496,2773m7552,2404l7564,2400,7575,2393,7587,2392,7648,2388,7691,2390,7719,2395,7736,2400,7745,2399,7747,2390,7748,2368m7491,3156l7531,3145,7551,3140,7564,3137,7581,3137,7614,3137e" filled="false" stroked="true" strokeweight=".383285pt" strokecolor="#497dba">
              <v:path arrowok="t"/>
            </v:shape>
            <v:shape style="position:absolute;left:2694;top:876;width:5141;height:1123" type="#_x0000_t75" stroked="false">
              <v:imagedata r:id="rId105" o:title=""/>
            </v:shape>
            <v:shape style="position:absolute;left:2945;top:1552;width:107;height:123" type="#_x0000_t75" stroked="false">
              <v:imagedata r:id="rId106" o:title=""/>
            </v:shape>
            <v:shape style="position:absolute;left:3535;top:1721;width:107;height:130" type="#_x0000_t75" stroked="false">
              <v:imagedata r:id="rId107" o:title=""/>
            </v:shape>
            <v:shape style="position:absolute;left:3068;top:1208;width:107;height:123" type="#_x0000_t75" stroked="false">
              <v:imagedata r:id="rId106" o:title=""/>
            </v:shape>
            <v:shape style="position:absolute;left:2830;top:978;width:107;height:123" type="#_x0000_t75" stroked="false">
              <v:imagedata r:id="rId108" o:title=""/>
            </v:shape>
            <v:shape style="position:absolute;left:3688;top:1100;width:107;height:123" type="#_x0000_t75" stroked="false">
              <v:imagedata r:id="rId109" o:title=""/>
            </v:shape>
            <v:shape style="position:absolute;left:4224;top:1032;width:107;height:123" type="#_x0000_t75" stroked="false">
              <v:imagedata r:id="rId110" o:title=""/>
            </v:shape>
            <v:shape style="position:absolute;left:4163;top:1322;width:107;height:123" type="#_x0000_t75" stroked="false">
              <v:imagedata r:id="rId109" o:title=""/>
            </v:shape>
            <v:shape style="position:absolute;left:4148;top:1606;width:107;height:123" type="#_x0000_t75" stroked="false">
              <v:imagedata r:id="rId111" o:title=""/>
            </v:shape>
            <v:shape style="position:absolute;left:4684;top:1552;width:107;height:123" type="#_x0000_t75" stroked="false">
              <v:imagedata r:id="rId111" o:title=""/>
            </v:shape>
            <v:shape style="position:absolute;left:4807;top:1261;width:107;height:123" type="#_x0000_t75" stroked="false">
              <v:imagedata r:id="rId111" o:title=""/>
            </v:shape>
            <v:shape style="position:absolute;left:4607;top:978;width:107;height:123" type="#_x0000_t75" stroked="false">
              <v:imagedata r:id="rId110" o:title=""/>
            </v:shape>
            <v:shape style="position:absolute;left:5197;top:1100;width:107;height:123" type="#_x0000_t75" stroked="false">
              <v:imagedata r:id="rId109" o:title=""/>
            </v:shape>
            <v:shape style="position:absolute;left:5182;top:1437;width:107;height:123" type="#_x0000_t75" stroked="false">
              <v:imagedata r:id="rId109" o:title=""/>
            </v:shape>
            <v:shape style="position:absolute;left:5542;top:1721;width:115;height:130" type="#_x0000_t75" stroked="false">
              <v:imagedata r:id="rId112" o:title=""/>
            </v:shape>
            <v:shape style="position:absolute;left:5588;top:1322;width:107;height:123" type="#_x0000_t75" stroked="false">
              <v:imagedata r:id="rId109" o:title=""/>
            </v:shape>
            <v:shape style="position:absolute;left:5588;top:978;width:107;height:123" type="#_x0000_t75" stroked="false">
              <v:imagedata r:id="rId109" o:title=""/>
            </v:shape>
            <v:shape style="position:absolute;left:5894;top:1146;width:107;height:123" type="#_x0000_t75" stroked="false">
              <v:imagedata r:id="rId109" o:title=""/>
            </v:shape>
            <v:shape style="position:absolute;left:5879;top:1552;width:107;height:123" type="#_x0000_t75" stroked="false">
              <v:imagedata r:id="rId111" o:title=""/>
            </v:shape>
            <v:shape style="position:absolute;left:6292;top:1721;width:107;height:130" type="#_x0000_t75" stroked="false">
              <v:imagedata r:id="rId113" o:title=""/>
            </v:shape>
            <v:shape style="position:absolute;left:6277;top:1437;width:107;height:123" type="#_x0000_t75" stroked="false">
              <v:imagedata r:id="rId109" o:title=""/>
            </v:shape>
            <v:shape style="position:absolute;left:6698;top:1606;width:107;height:123" type="#_x0000_t75" stroked="false">
              <v:imagedata r:id="rId111" o:title=""/>
            </v:shape>
            <v:shape style="position:absolute;left:6798;top:1261;width:107;height:123" type="#_x0000_t75" stroked="false">
              <v:imagedata r:id="rId114" o:title=""/>
            </v:shape>
            <v:shape style="position:absolute;left:6292;top:1093;width:107;height:123" type="#_x0000_t75" stroked="false">
              <v:imagedata r:id="rId109" o:title=""/>
            </v:shape>
            <v:shape style="position:absolute;left:7327;top:1146;width:107;height:123" type="#_x0000_t75" stroked="false">
              <v:imagedata r:id="rId109" o:title=""/>
            </v:shape>
            <v:shape style="position:absolute;left:7618;top:1606;width:107;height:123" type="#_x0000_t75" stroked="false">
              <v:imagedata r:id="rId111" o:title=""/>
            </v:shape>
            <v:shape style="position:absolute;left:7143;top:1491;width:107;height:123" type="#_x0000_t75" stroked="false">
              <v:imagedata r:id="rId110" o:title=""/>
            </v:shape>
            <v:shape style="position:absolute;left:3704;top:1437;width:107;height:123" type="#_x0000_t75" stroked="false">
              <v:imagedata r:id="rId109" o:title=""/>
            </v:shape>
            <v:shape style="position:absolute;left:7411;top:2639;width:988;height:452" type="#_x0000_t75" stroked="false">
              <v:imagedata r:id="rId71" o:title=""/>
            </v:shape>
            <v:shape style="position:absolute;left:7541;top:2724;width:805;height:311" coordorigin="7541,2724" coordsize="805,311" path="m7617,2945l7614,2947,7541,2990,7614,3032,7617,3034,7622,3033,7626,3026,7625,3021,7584,2997,7556,2997,7556,2982,7584,2982,7625,2958,7626,2954,7622,2946,7617,2945xm7584,2982l7556,2982,7556,2997,7584,2997,7583,2996,7560,2996,7560,2983,7583,2983,7584,2982xm7935,2982l7584,2982,7571,2990,7584,2997,7947,2997,7951,2994,7951,2990,7935,2990,7935,2982xm7560,2983l7560,2996,7571,2990,7560,2983xm7571,2990l7560,2996,7583,2996,7571,2990xm7583,2983l7560,2983,7571,2990,7583,2983xm8345,2724l7939,2724,7935,2727,7935,2990,7943,2982,7951,2982,7951,2739,7943,2739,7951,2731,8345,2731,8345,2724xm7951,2982l7943,2982,7935,2990,7951,2990,7951,2982xm7951,2731l7943,2739,7951,2739,7951,2731xm8345,2731l7951,2731,7951,2739,8345,2739,8345,2731xe" filled="true" fillcolor="#17375e" stroked="false">
              <v:path arrowok="t"/>
              <v:fill type="solid"/>
            </v:shape>
            <v:shape style="position:absolute;left:2615;top:-125;width:5117;height:863" type="#_x0000_t75" stroked="false">
              <v:imagedata r:id="rId115" o:title=""/>
            </v:shape>
            <w10:wrap type="none"/>
          </v:group>
        </w:pict>
      </w:r>
      <w:r>
        <w:rPr/>
        <w:pict>
          <v:group style="position:absolute;margin-left:403.088776pt;margin-top:6.789441pt;width:14.6pt;height:106.85pt;mso-position-horizontal-relative:page;mso-position-vertical-relative:paragraph;z-index:1384" coordorigin="8062,136" coordsize="292,2137">
            <v:shape style="position:absolute;left:8062;top:136;width:230;height:413" type="#_x0000_t75" stroked="false">
              <v:imagedata r:id="rId116" o:title=""/>
            </v:shape>
            <v:shape style="position:absolute;left:8138;top:289;width:107;height:107" type="#_x0000_t75" stroked="false">
              <v:imagedata r:id="rId73" o:title=""/>
            </v:shape>
            <v:shape style="position:absolute;left:8108;top:220;width:130;height:306" type="#_x0000_t75" stroked="false">
              <v:imagedata r:id="rId117" o:title=""/>
            </v:shape>
            <v:shape style="position:absolute;left:8062;top:480;width:291;height:467" type="#_x0000_t75" stroked="false">
              <v:imagedata r:id="rId74" o:title=""/>
            </v:shape>
            <v:shape style="position:absolute;left:8138;top:664;width:107;height:107" type="#_x0000_t75" stroked="false">
              <v:imagedata r:id="rId73" o:title=""/>
            </v:shape>
            <v:shape style="position:absolute;left:8108;top:565;width:191;height:360" type="#_x0000_t75" stroked="false">
              <v:imagedata r:id="rId118" o:title=""/>
            </v:shape>
            <v:shape style="position:absolute;left:8062;top:886;width:291;height:988" type="#_x0000_t75" stroked="false">
              <v:imagedata r:id="rId76" o:title=""/>
            </v:shape>
            <v:shape style="position:absolute;left:8138;top:1323;width:107;height:107" type="#_x0000_t75" stroked="false">
              <v:imagedata r:id="rId73" o:title=""/>
            </v:shape>
            <v:shape style="position:absolute;left:8115;top:978;width:177;height:866" coordorigin="8115,978" coordsize="177,866" path="m8115,978l8219,981,8283,988,8292,993,8292,1828,8283,1833,8258,1837,8219,1840,8171,1842,8115,1843e" filled="false" stroked="true" strokeweight=".765944pt" strokecolor="#17375e">
              <v:path arrowok="t"/>
            </v:shape>
            <v:shape style="position:absolute;left:8062;top:1805;width:291;height:467" type="#_x0000_t75" stroked="false">
              <v:imagedata r:id="rId74" o:title=""/>
            </v:shape>
            <v:shape style="position:absolute;left:8138;top:1989;width:107;height:107" type="#_x0000_t75" stroked="false">
              <v:imagedata r:id="rId73" o:title=""/>
            </v:shape>
            <v:shape style="position:absolute;left:8108;top:1889;width:191;height:360" type="#_x0000_t75" stroked="false">
              <v:imagedata r:id="rId118" o:title=""/>
            </v:shape>
            <w10:wrap type="none"/>
          </v:group>
        </w:pict>
      </w:r>
      <w:r>
        <w:rPr>
          <w:rFonts w:ascii="Calibri" w:hAnsi="Calibri"/>
          <w:sz w:val="18"/>
        </w:rPr>
        <w:t>Estrato &lt;córneo&gt; o paraqueratinizado</w:t>
      </w:r>
    </w:p>
    <w:p>
      <w:pPr>
        <w:spacing w:before="97"/>
        <w:ind w:left="8424" w:right="1703" w:firstLine="0"/>
        <w:jc w:val="left"/>
        <w:rPr>
          <w:rFonts w:ascii="Calibri"/>
          <w:sz w:val="18"/>
        </w:rPr>
      </w:pPr>
      <w:r>
        <w:rPr>
          <w:rFonts w:ascii="Calibri"/>
          <w:sz w:val="18"/>
        </w:rPr>
        <w:t>Estrato granuloso</w:t>
      </w:r>
    </w:p>
    <w:p>
      <w:pPr>
        <w:pStyle w:val="BodyText"/>
        <w:rPr>
          <w:rFonts w:ascii="Calibri"/>
          <w:sz w:val="18"/>
        </w:rPr>
      </w:pPr>
    </w:p>
    <w:p>
      <w:pPr>
        <w:pStyle w:val="BodyText"/>
        <w:spacing w:before="6"/>
        <w:rPr>
          <w:rFonts w:ascii="Calibri"/>
          <w:sz w:val="20"/>
        </w:rPr>
      </w:pPr>
    </w:p>
    <w:p>
      <w:pPr>
        <w:spacing w:before="0"/>
        <w:ind w:left="8424" w:right="1703" w:firstLine="0"/>
        <w:jc w:val="left"/>
        <w:rPr>
          <w:rFonts w:ascii="Calibri"/>
          <w:sz w:val="18"/>
        </w:rPr>
      </w:pPr>
      <w:r>
        <w:rPr>
          <w:rFonts w:ascii="Calibri"/>
          <w:sz w:val="18"/>
        </w:rPr>
        <w:t>Estrato espinoso</w:t>
      </w:r>
    </w:p>
    <w:p>
      <w:pPr>
        <w:pStyle w:val="BodyText"/>
        <w:rPr>
          <w:rFonts w:ascii="Calibri"/>
          <w:sz w:val="18"/>
        </w:rPr>
      </w:pPr>
    </w:p>
    <w:p>
      <w:pPr>
        <w:pStyle w:val="BodyText"/>
        <w:spacing w:before="6"/>
        <w:rPr>
          <w:rFonts w:ascii="Calibri"/>
          <w:sz w:val="20"/>
        </w:rPr>
      </w:pPr>
    </w:p>
    <w:p>
      <w:pPr>
        <w:spacing w:line="691" w:lineRule="auto" w:before="1"/>
        <w:ind w:left="8424" w:right="2595" w:firstLine="0"/>
        <w:jc w:val="left"/>
        <w:rPr>
          <w:rFonts w:ascii="Calibri"/>
          <w:sz w:val="18"/>
        </w:rPr>
      </w:pPr>
      <w:r>
        <w:rPr/>
        <w:pict>
          <v:group style="position:absolute;margin-left:263.185181pt;margin-top:36.499283pt;width:41.15pt;height:29.35pt;mso-position-horizontal-relative:page;mso-position-vertical-relative:paragraph;z-index:1336" coordorigin="5264,730" coordsize="823,587">
            <v:shape style="position:absolute;left:5268;top:734;width:779;height:463" coordorigin="5268,734" coordsize="779,463" path="m5519,734l5436,740,5368,759,5306,824,5279,895,5268,974,5270,1012,5296,1078,5370,1127,5440,1149,5524,1168,5616,1182,5709,1192,5796,1196,5835,1196,5901,1190,5959,1168,6008,1116,6037,1045,6047,970,6045,935,6016,857,5963,818,5891,788,5809,766,5729,751,5651,741,5563,735,5519,734xe" filled="true" fillcolor="#7e7e7e" stroked="false">
              <v:path arrowok="t"/>
              <v:fill type="solid"/>
            </v:shape>
            <v:shape style="position:absolute;left:5268;top:734;width:779;height:463" coordorigin="5268,734" coordsize="779,463" path="m5729,751l5651,741,5563,735,5519,734,5476,736,5399,748,5344,774,5306,824,5279,895,5268,974,5270,1012,5296,1078,5370,1127,5440,1149,5524,1168,5616,1182,5709,1192,5796,1196,5835,1196,5901,1190,5959,1168,6008,1116,6037,1045,6047,970,6045,935,6016,857,5963,818,5891,788,5809,766,5729,751xe" filled="false" stroked="true" strokeweight=".383249pt" strokecolor="#375f92">
              <v:path arrowok="t"/>
            </v:shape>
            <v:shape style="position:absolute;left:5404;top:835;width:603;height:288" coordorigin="5404,835" coordsize="603,288" path="m5988,1039l5700,1039,5737,1040,5765,1044,5794,1059,5800,1080,5801,1101,5812,1114,5840,1120,5875,1122,5910,1117,5939,1102,5960,1080,5982,1050,5988,1039xm5478,841l5464,846,5447,862,5428,886,5413,913,5406,939,5404,964,5406,991,5420,1015,5452,1032,5481,1037,5518,1040,5562,1040,5609,1040,5656,1039,5988,1039,5999,1015,6006,981,5997,951,5978,931,5948,910,5911,890,5891,881,5568,881,5547,880,5538,873,5532,864,5522,858,5507,852,5493,845,5478,841xm5754,835l5711,835,5669,845,5630,860,5596,874,5568,881,5891,881,5870,871,5828,855,5788,842,5754,835xe" filled="true" fillcolor="#ffffff" stroked="false">
              <v:path arrowok="t"/>
              <v:fill type="solid"/>
            </v:shape>
            <v:shape style="position:absolute;left:5404;top:835;width:603;height:288" coordorigin="5404,835" coordsize="603,288" path="m5464,846l5413,913,5404,964,5406,991,5452,1032,5518,1040,5562,1040,5609,1040,5656,1039,5700,1039,5765,1044,5801,1101,5812,1114,5840,1120,5875,1122,5910,1117,5960,1080,5999,1015,6006,981,5997,951,5948,910,5870,871,5788,842,5754,835,5711,835,5669,845,5630,860,5596,874,5568,881,5547,880,5538,873,5532,864,5522,858,5507,852,5493,845,5478,841,5464,846xe" filled="false" stroked="true" strokeweight=".383238pt" strokecolor="#385d89">
              <v:path arrowok="t"/>
            </v:shape>
            <v:shape style="position:absolute;left:5477;top:831;width:177;height:62" coordorigin="5477,831" coordsize="177,62" path="m5565,831l5530,833,5503,840,5484,849,5477,861,5484,873,5503,883,5530,889,5565,892,5599,889,5627,883,5646,873,5653,861,5646,849,5627,840,5599,833,5565,831xe" filled="true" fillcolor="#205868" stroked="false">
              <v:path arrowok="t"/>
              <v:fill type="solid"/>
            </v:shape>
            <v:shape style="position:absolute;left:5477;top:831;width:177;height:62" coordorigin="5477,831" coordsize="177,62" path="m5477,861l5484,849,5503,840,5530,833,5565,831,5599,833,5627,840,5646,849,5653,861,5646,873,5627,883,5599,889,5565,892,5530,889,5503,883,5484,873,5477,861xe" filled="false" stroked="true" strokeweight=".383226pt" strokecolor="#00afef">
              <v:path arrowok="t"/>
            </v:shape>
            <v:shape style="position:absolute;left:5599;top:1007;width:177;height:54" coordorigin="5599,1007" coordsize="177,54" path="m5687,1007l5653,1009,5625,1014,5606,1023,5599,1033,5606,1044,5625,1052,5653,1058,5687,1060,5722,1058,5750,1052,5769,1044,5775,1033,5769,1023,5750,1014,5722,1009,5687,1007xe" filled="true" fillcolor="#205868" stroked="false">
              <v:path arrowok="t"/>
              <v:fill type="solid"/>
            </v:shape>
            <v:shape style="position:absolute;left:5599;top:1007;width:177;height:54" coordorigin="5599,1007" coordsize="177,54" path="m5599,1033l5606,1023,5625,1014,5653,1009,5687,1007,5722,1009,5750,1014,5769,1023,5775,1033,5769,1044,5750,1052,5722,1058,5687,1060,5653,1058,5625,1052,5606,1044,5599,1033xe" filled="false" stroked="true" strokeweight=".383223pt" strokecolor="#00afef">
              <v:path arrowok="t"/>
            </v:shape>
            <v:shape style="position:absolute;left:5507;top:1267;width:575;height:46" coordorigin="5507,1267" coordsize="575,46" path="m5507,1267l5625,1279,5645,1281,5666,1284,5686,1287,5707,1290,5800,1302,5861,1300,5909,1301,5946,1303,5974,1306,5995,1309,6010,1312,6022,1312,6031,1311,6040,1306,6050,1298,6064,1285,6082,1267e" filled="false" stroked="true" strokeweight=".383211pt" strokecolor="#497dba">
              <v:path arrowok="t"/>
            </v:shape>
            <w10:wrap type="none"/>
          </v:group>
        </w:pict>
      </w:r>
      <w:r>
        <w:rPr/>
        <w:drawing>
          <wp:anchor distT="0" distB="0" distL="0" distR="0" allowOverlap="1" layoutInCell="1" locked="0" behindDoc="0" simplePos="0" relativeHeight="1360">
            <wp:simplePos x="0" y="0"/>
            <wp:positionH relativeFrom="page">
              <wp:posOffset>3091044</wp:posOffset>
            </wp:positionH>
            <wp:positionV relativeFrom="paragraph">
              <wp:posOffset>534684</wp:posOffset>
            </wp:positionV>
            <wp:extent cx="204284" cy="243101"/>
            <wp:effectExtent l="0" t="0" r="0" b="0"/>
            <wp:wrapNone/>
            <wp:docPr id="3" name="image105.png" descr=""/>
            <wp:cNvGraphicFramePr>
              <a:graphicFrameLocks noChangeAspect="1"/>
            </wp:cNvGraphicFramePr>
            <a:graphic>
              <a:graphicData uri="http://schemas.openxmlformats.org/drawingml/2006/picture">
                <pic:pic>
                  <pic:nvPicPr>
                    <pic:cNvPr id="4" name="image105.png"/>
                    <pic:cNvPicPr/>
                  </pic:nvPicPr>
                  <pic:blipFill>
                    <a:blip r:embed="rId119" cstate="print"/>
                    <a:stretch>
                      <a:fillRect/>
                    </a:stretch>
                  </pic:blipFill>
                  <pic:spPr>
                    <a:xfrm>
                      <a:off x="0" y="0"/>
                      <a:ext cx="204284" cy="243101"/>
                    </a:xfrm>
                    <a:prstGeom prst="rect">
                      <a:avLst/>
                    </a:prstGeom>
                  </pic:spPr>
                </pic:pic>
              </a:graphicData>
            </a:graphic>
          </wp:anchor>
        </w:drawing>
      </w:r>
      <w:r>
        <w:rPr>
          <w:rFonts w:ascii="Calibri"/>
          <w:sz w:val="18"/>
        </w:rPr>
        <w:t>Estrato basal Tejido conectivo</w:t>
      </w:r>
    </w:p>
    <w:p>
      <w:pPr>
        <w:pStyle w:val="BodyText"/>
        <w:spacing w:before="3"/>
        <w:rPr>
          <w:rFonts w:ascii="Calibri"/>
          <w:sz w:val="16"/>
        </w:rPr>
      </w:pPr>
    </w:p>
    <w:p>
      <w:pPr>
        <w:pStyle w:val="Heading2"/>
      </w:pPr>
      <w:r>
        <w:rPr/>
        <w:t>A)</w:t>
      </w:r>
    </w:p>
    <w:p>
      <w:pPr>
        <w:pStyle w:val="BodyText"/>
        <w:spacing w:before="8"/>
        <w:rPr>
          <w:rFonts w:ascii="Calibri"/>
          <w:b/>
          <w:sz w:val="28"/>
        </w:rPr>
      </w:pPr>
    </w:p>
    <w:p>
      <w:pPr>
        <w:spacing w:before="62"/>
        <w:ind w:left="8693" w:right="1703" w:firstLine="0"/>
        <w:jc w:val="left"/>
        <w:rPr>
          <w:rFonts w:ascii="Calibri"/>
          <w:sz w:val="19"/>
        </w:rPr>
      </w:pPr>
      <w:r>
        <w:rPr/>
        <w:pict>
          <v:group style="position:absolute;margin-left:138.225449pt;margin-top:-4.386198pt;width:295.150pt;height:151.65pt;mso-position-horizontal-relative:page;mso-position-vertical-relative:paragraph;z-index:-339544" coordorigin="2765,-88" coordsize="5903,3033">
            <v:shape style="position:absolute;left:2887;top:216;width:1063;height:236" type="#_x0000_t75" stroked="false">
              <v:imagedata r:id="rId120" o:title=""/>
            </v:shape>
            <v:shape style="position:absolute;left:2887;top:216;width:1063;height:237" coordorigin="2887,216" coordsize="1063,237" path="m2887,334l3418,216,3949,334,3418,452,2887,334xe" filled="false" stroked="true" strokeweight=".394228pt" strokecolor="#375f92">
              <v:path arrowok="t"/>
            </v:shape>
            <v:shape style="position:absolute;left:3359;top:97;width:1063;height:236" type="#_x0000_t75" stroked="false">
              <v:imagedata r:id="rId121" o:title=""/>
            </v:shape>
            <v:shape style="position:absolute;left:3359;top:97;width:1063;height:237" coordorigin="3359,97" coordsize="1063,237" path="m3359,216l3890,97,4421,216,3890,334,3359,216xe" filled="false" stroked="true" strokeweight=".394228pt" strokecolor="#375f92">
              <v:path arrowok="t"/>
            </v:shape>
            <v:shape style="position:absolute;left:3595;top:271;width:1063;height:236" type="#_x0000_t75" stroked="false">
              <v:imagedata r:id="rId122" o:title=""/>
            </v:shape>
            <v:shape style="position:absolute;left:3595;top:271;width:1063;height:237" coordorigin="3595,271" coordsize="1063,237" path="m3595,389l4126,271,4657,389,4126,507,3595,389xe" filled="false" stroked="true" strokeweight=".394228pt" strokecolor="#375f92">
              <v:path arrowok="t"/>
            </v:shape>
            <v:shape style="position:absolute;left:4185;top:153;width:1063;height:236" type="#_x0000_t75" stroked="false">
              <v:imagedata r:id="rId123" o:title=""/>
            </v:shape>
            <v:shape style="position:absolute;left:4185;top:153;width:1063;height:237" coordorigin="4185,153" coordsize="1063,237" path="m4185,271l4716,153,5248,271,4716,389,4185,271xe" filled="false" stroked="true" strokeweight=".394228pt" strokecolor="#375f92">
              <v:path arrowok="t"/>
            </v:shape>
            <v:shape style="position:absolute;left:4776;top:34;width:1070;height:236" type="#_x0000_t75" stroked="false">
              <v:imagedata r:id="rId124" o:title=""/>
            </v:shape>
            <v:shape style="position:absolute;left:4776;top:34;width:1071;height:237" coordorigin="4776,34" coordsize="1071,237" path="m4776,153l5311,34,5846,153,5311,271,4776,153xe" filled="false" stroked="true" strokeweight=".394228pt" strokecolor="#375f92">
              <v:path arrowok="t"/>
            </v:shape>
            <v:shape style="position:absolute;left:4720;top:271;width:1063;height:236" type="#_x0000_t75" stroked="false">
              <v:imagedata r:id="rId125" o:title=""/>
            </v:shape>
            <v:shape style="position:absolute;left:4720;top:271;width:1063;height:237" coordorigin="4720,271" coordsize="1063,237" path="m4720,389l5252,271,5783,389,5252,507,4720,389xe" filled="false" stroked="true" strokeweight=".394228pt" strokecolor="#375f92">
              <v:path arrowok="t"/>
            </v:shape>
            <v:shape style="position:absolute;left:5311;top:153;width:1063;height:236" type="#_x0000_t75" stroked="false">
              <v:imagedata r:id="rId126" o:title=""/>
            </v:shape>
            <v:shape style="position:absolute;left:5311;top:153;width:1063;height:237" coordorigin="5311,153" coordsize="1063,237" path="m5311,271l5842,153,6373,271,5842,389,5311,271xe" filled="false" stroked="true" strokeweight=".394228pt" strokecolor="#375f92">
              <v:path arrowok="t"/>
            </v:shape>
            <v:shape style="position:absolute;left:5783;top:34;width:1063;height:236" type="#_x0000_t75" stroked="false">
              <v:imagedata r:id="rId127" o:title=""/>
            </v:shape>
            <v:shape style="position:absolute;left:5783;top:34;width:1063;height:237" coordorigin="5783,34" coordsize="1063,237" path="m5783,153l6314,34,6845,153,6314,271,5783,153xe" filled="false" stroked="true" strokeweight=".394228pt" strokecolor="#1b1b1b">
              <v:path arrowok="t"/>
            </v:shape>
            <v:shape style="position:absolute;left:5846;top:271;width:1063;height:236" type="#_x0000_t75" stroked="false">
              <v:imagedata r:id="rId128" o:title=""/>
            </v:shape>
            <v:shape style="position:absolute;left:5846;top:271;width:1063;height:237" coordorigin="5846,271" coordsize="1063,237" path="m5846,389l6377,271,6908,389,6377,507,5846,389xe" filled="false" stroked="true" strokeweight=".394228pt" strokecolor="#375f92">
              <v:path arrowok="t"/>
            </v:shape>
            <v:shape style="position:absolute;left:6373;top:153;width:1063;height:236" type="#_x0000_t75" stroked="false">
              <v:imagedata r:id="rId129" o:title=""/>
            </v:shape>
            <v:shape style="position:absolute;left:6373;top:153;width:1063;height:237" coordorigin="6373,153" coordsize="1063,237" path="m6373,271l6904,153,7436,271,6904,389,6373,271xe" filled="false" stroked="true" strokeweight=".394228pt" strokecolor="#375f92">
              <v:path arrowok="t"/>
            </v:shape>
            <v:shape style="position:absolute;left:6499;top:-21;width:1063;height:236" type="#_x0000_t75" stroked="false">
              <v:imagedata r:id="rId130" o:title=""/>
            </v:shape>
            <v:shape style="position:absolute;left:6499;top:-21;width:1063;height:237" coordorigin="6499,-21" coordsize="1063,237" path="m6499,97l7030,-21,7562,97,7030,216,6499,97xe" filled="false" stroked="true" strokeweight=".394228pt" strokecolor="#375f92">
              <v:path arrowok="t"/>
            </v:shape>
            <v:shape style="position:absolute;left:6373;top:389;width:1063;height:236" type="#_x0000_t75" stroked="false">
              <v:imagedata r:id="rId131" o:title=""/>
            </v:shape>
            <v:shape style="position:absolute;left:6373;top:389;width:1063;height:237" coordorigin="6373,389" coordsize="1063,237" path="m6373,507l6904,389,7436,507,6904,625,6373,507xe" filled="false" stroked="true" strokeweight=".394228pt" strokecolor="#375f92">
              <v:path arrowok="t"/>
            </v:shape>
            <v:shape style="position:absolute;left:6963;top:271;width:1063;height:236" type="#_x0000_t75" stroked="false">
              <v:imagedata r:id="rId132" o:title=""/>
            </v:shape>
            <v:shape style="position:absolute;left:6963;top:271;width:1063;height:237" coordorigin="6963,271" coordsize="1063,237" path="m6963,389l7495,271,8026,389,7495,507,6963,389xe" filled="false" stroked="true" strokeweight=".394228pt" strokecolor="#375f92">
              <v:path arrowok="t"/>
            </v:shape>
            <v:shape style="position:absolute;left:2769;top:-21;width:1063;height:236" type="#_x0000_t75" stroked="false">
              <v:imagedata r:id="rId133" o:title=""/>
            </v:shape>
            <v:shape style="position:absolute;left:2769;top:-21;width:1063;height:237" coordorigin="2769,-21" coordsize="1063,237" path="m2769,97l3300,-21,3831,97,3300,216,2769,97xe" filled="false" stroked="true" strokeweight=".394228pt" strokecolor="#375f92">
              <v:path arrowok="t"/>
            </v:shape>
            <v:shape style="position:absolute;left:3776;top:34;width:1063;height:236" type="#_x0000_t75" stroked="false">
              <v:imagedata r:id="rId134" o:title=""/>
            </v:shape>
            <v:shape style="position:absolute;left:3776;top:34;width:1063;height:237" coordorigin="3776,34" coordsize="1063,237" path="m3776,153l4307,34,4838,153,4307,271,3776,153xe" filled="false" stroked="true" strokeweight=".394228pt" strokecolor="#375f92">
              <v:path arrowok="t"/>
            </v:shape>
            <v:shape style="position:absolute;left:4303;top:-84;width:1063;height:236" type="#_x0000_t75" stroked="false">
              <v:imagedata r:id="rId135" o:title=""/>
            </v:shape>
            <v:shape style="position:absolute;left:4303;top:-84;width:1063;height:237" coordorigin="4303,-84" coordsize="1063,237" path="m4303,34l4834,-84,5366,34,4834,153,4303,34xe" filled="false" stroked="true" strokeweight=".394228pt" strokecolor="#375f92">
              <v:path arrowok="t"/>
            </v:shape>
            <v:shape style="position:absolute;left:5248;top:-84;width:1070;height:236" type="#_x0000_t75" stroked="false">
              <v:imagedata r:id="rId136" o:title=""/>
            </v:shape>
            <v:shape style="position:absolute;left:5248;top:-84;width:1071;height:237" coordorigin="5248,-84" coordsize="1071,237" path="m5248,34l5783,-84,6318,34,5783,153,5248,34xe" filled="false" stroked="true" strokeweight=".394228pt" strokecolor="#375f92">
              <v:path arrowok="t"/>
            </v:shape>
            <v:shape style="position:absolute;left:2804;top:106;width:674;height:283" type="#_x0000_t75" stroked="false">
              <v:imagedata r:id="rId137" o:title=""/>
            </v:shape>
            <v:shape style="position:absolute;left:2804;top:106;width:674;height:283" coordorigin="2804,106" coordsize="674,283" path="m2804,106l3478,223,2828,389,2804,106xe" filled="false" stroked="true" strokeweight=".525067pt" strokecolor="#375f92">
              <v:path arrowok="t"/>
            </v:shape>
            <v:shape style="position:absolute;left:7028;top:70;width:934;height:321" type="#_x0000_t75" stroked="false">
              <v:imagedata r:id="rId138" o:title=""/>
            </v:shape>
            <v:shape style="position:absolute;left:7028;top:70;width:935;height:322" coordorigin="7028,70" coordsize="935,322" path="m7963,70l7028,194,7938,391,7963,70xe" filled="false" stroked="true" strokeweight=".394208pt" strokecolor="#375f92">
              <v:path arrowok="t"/>
            </v:shape>
            <v:shape style="position:absolute;left:2950;top:216;width:119;height:40" coordorigin="2950,216" coordsize="119,40" path="m3009,216l2986,217,2967,221,2954,228,2950,235,2954,243,2967,249,2986,253,3009,255,3032,253,3050,249,3063,243,3068,235,3063,228,3050,221,3032,217,3009,216xe" filled="true" fillcolor="#205868" stroked="false">
              <v:path arrowok="t"/>
              <v:fill type="solid"/>
            </v:shape>
            <v:shape style="position:absolute;left:2950;top:216;width:119;height:40" coordorigin="2950,216" coordsize="119,40" path="m2950,235l2954,228,2967,221,2986,217,3009,216,3032,217,3050,221,3063,228,3068,235,3063,243,3050,249,3032,253,3009,255,2986,253,2967,249,2954,243,2950,235xe" filled="false" stroked="true" strokeweight=".39421pt" strokecolor="#00afef">
              <v:path arrowok="t"/>
            </v:shape>
            <v:shape style="position:absolute;left:3359;top:294;width:119;height:40" coordorigin="3359,294" coordsize="119,40" path="m3418,294l3395,296,3376,300,3363,306,3359,314,3363,322,3376,328,3395,332,3418,334,3441,332,3460,328,3472,322,3477,314,3472,306,3460,300,3441,296,3418,294xe" filled="true" fillcolor="#205868" stroked="false">
              <v:path arrowok="t"/>
              <v:fill type="solid"/>
            </v:shape>
            <v:shape style="position:absolute;left:3359;top:294;width:119;height:40" coordorigin="3359,294" coordsize="119,40" path="m3359,314l3363,306,3376,300,3395,296,3418,294,3441,296,3460,300,3472,306,3477,314,3472,322,3460,328,3441,332,3418,334,3395,332,3376,328,3363,322,3359,314xe" filled="false" stroked="true" strokeweight=".39421pt" strokecolor="#00afef">
              <v:path arrowok="t"/>
            </v:shape>
            <v:shape style="position:absolute;left:3241;top:58;width:119;height:40" coordorigin="3241,58" coordsize="119,40" path="m3300,58l3277,60,3258,64,3245,70,3241,78,3245,85,3258,92,3277,96,3300,97,3323,96,3342,92,3354,85,3359,78,3354,70,3342,64,3323,60,3300,58xe" filled="true" fillcolor="#205868" stroked="false">
              <v:path arrowok="t"/>
              <v:fill type="solid"/>
            </v:shape>
            <v:shape style="position:absolute;left:3241;top:58;width:119;height:40" coordorigin="3241,58" coordsize="119,40" path="m3241,78l3245,70,3258,64,3277,60,3300,58,3323,60,3342,64,3354,70,3359,78,3354,85,3342,92,3323,96,3300,97,3277,96,3258,92,3245,85,3241,78xe" filled="false" stroked="true" strokeweight=".39421pt" strokecolor="#00afef">
              <v:path arrowok="t"/>
            </v:shape>
            <v:shape style="position:absolute;left:3831;top:184;width:119;height:40" coordorigin="3831,184" coordsize="119,40" path="m3890,184l3867,186,3848,190,3836,196,3831,204,3836,211,3848,218,3867,222,3890,223,3913,222,3932,218,3944,211,3949,204,3944,196,3932,190,3913,186,3890,184xe" filled="true" fillcolor="#205868" stroked="false">
              <v:path arrowok="t"/>
              <v:fill type="solid"/>
            </v:shape>
            <v:shape style="position:absolute;left:3831;top:184;width:119;height:40" coordorigin="3831,184" coordsize="119,40" path="m3831,204l3836,196,3848,190,3867,186,3890,184,3913,186,3932,190,3944,196,3949,204,3944,211,3932,218,3913,222,3890,223,3867,222,3848,218,3836,211,3831,204xe" filled="false" stroked="true" strokeweight=".39421pt" strokecolor="#00afef">
              <v:path arrowok="t"/>
            </v:shape>
            <v:shape style="position:absolute;left:4130;top:357;width:119;height:32" coordorigin="4130,357" coordsize="119,32" path="m4189,357l4166,359,4147,362,4135,367,4130,373,4135,379,4147,384,4166,388,4189,389,4212,388,4231,384,4244,379,4248,373,4244,367,4231,362,4212,359,4189,357xe" filled="true" fillcolor="#205868" stroked="false">
              <v:path arrowok="t"/>
              <v:fill type="solid"/>
            </v:shape>
            <v:shape style="position:absolute;left:4130;top:357;width:119;height:32" coordorigin="4130,357" coordsize="119,32" path="m4130,373l4135,367,4147,362,4166,359,4189,357,4212,359,4231,362,4244,367,4248,373,4244,379,4231,384,4212,388,4189,389,4166,388,4147,384,4135,379,4130,373xe" filled="false" stroked="true" strokeweight=".394221pt" strokecolor="#00afef">
              <v:path arrowok="t"/>
            </v:shape>
            <v:shape style="position:absolute;left:4256;top:121;width:119;height:32" coordorigin="4256,121" coordsize="119,32" path="m4315,121l4292,122,4273,126,4261,131,4256,137,4261,143,4273,148,4292,151,4315,153,4338,151,4357,148,4369,143,4374,137,4369,131,4357,126,4338,122,4315,121xe" filled="true" fillcolor="#205868" stroked="false">
              <v:path arrowok="t"/>
              <v:fill type="solid"/>
            </v:shape>
            <v:shape style="position:absolute;left:4256;top:121;width:119;height:32" coordorigin="4256,121" coordsize="119,32" path="m4256,137l4261,131,4273,126,4292,122,4315,121,4338,122,4357,126,4369,131,4374,137,4369,143,4357,148,4338,151,4315,153,4292,151,4273,148,4261,143,4256,137xe" filled="false" stroked="true" strokeweight=".394221pt" strokecolor="#00afef">
              <v:path arrowok="t"/>
            </v:shape>
            <v:shape style="position:absolute;left:4657;top:247;width:119;height:32" coordorigin="4657,247" coordsize="119,32" path="m4716,247l4693,248,4675,252,4662,257,4657,263,4662,269,4675,274,4693,277,4716,279,4739,277,4758,274,4771,269,4776,263,4771,257,4758,252,4739,248,4716,247xe" filled="true" fillcolor="#205868" stroked="false">
              <v:path arrowok="t"/>
              <v:fill type="solid"/>
            </v:shape>
            <v:shape style="position:absolute;left:4657;top:247;width:119;height:32" coordorigin="4657,247" coordsize="119,32" path="m4657,263l4662,257,4675,252,4693,248,4716,247,4739,248,4758,252,4771,257,4776,263,4771,269,4758,274,4739,277,4716,279,4693,277,4675,274,4662,269,4657,263xe" filled="false" stroked="true" strokeweight=".394221pt" strokecolor="#00afef">
              <v:path arrowok="t"/>
            </v:shape>
            <v:shape style="position:absolute;left:4720;top:3;width:119;height:32" coordorigin="4720,3" coordsize="119,32" path="m4779,3l4756,4,4738,8,4725,13,4720,19,4725,25,4738,30,4756,33,4779,34,4802,33,4821,30,4834,25,4838,19,4834,13,4821,8,4802,4,4779,3xe" filled="true" fillcolor="#205868" stroked="false">
              <v:path arrowok="t"/>
              <v:fill type="solid"/>
            </v:shape>
            <v:shape style="position:absolute;left:4720;top:3;width:119;height:32" coordorigin="4720,3" coordsize="119,32" path="m4720,19l4725,13,4738,8,4756,4,4779,3,4802,4,4821,8,4834,13,4838,19,4834,25,4821,30,4802,33,4779,34,4756,33,4738,30,4725,25,4720,19xe" filled="false" stroked="true" strokeweight=".394221pt" strokecolor="#00afef">
              <v:path arrowok="t"/>
            </v:shape>
            <v:shape style="position:absolute;left:5248;top:153;width:119;height:40" coordorigin="5248,153" coordsize="119,40" path="m5307,153l5284,154,5265,158,5252,165,5248,172,5252,180,5265,186,5284,190,5307,192,5330,190,5348,186,5361,180,5366,172,5361,165,5348,158,5330,154,5307,153xe" filled="true" fillcolor="#205868" stroked="false">
              <v:path arrowok="t"/>
              <v:fill type="solid"/>
            </v:shape>
            <v:shape style="position:absolute;left:5248;top:153;width:119;height:40" coordorigin="5248,153" coordsize="119,40" path="m5248,172l5252,165,5265,158,5284,154,5307,153,5330,154,5348,158,5361,165,5366,172,5361,180,5348,186,5330,190,5307,192,5284,190,5265,186,5252,180,5248,172xe" filled="false" stroked="true" strokeweight=".39421pt" strokecolor="#00afef">
              <v:path arrowok="t"/>
            </v:shape>
            <v:shape style="position:absolute;left:5193;top:389;width:119;height:40" coordorigin="5193,389" coordsize="119,40" path="m5252,389l5229,390,5210,395,5197,401,5193,409,5197,416,5210,423,5229,427,5252,428,5275,427,5293,423,5306,416,5311,409,5306,401,5293,395,5275,390,5252,389xe" filled="true" fillcolor="#205868" stroked="false">
              <v:path arrowok="t"/>
              <v:fill type="solid"/>
            </v:shape>
            <v:shape style="position:absolute;left:5193;top:389;width:119;height:40" coordorigin="5193,389" coordsize="119,40" path="m5193,409l5197,401,5210,395,5229,390,5252,389,5275,390,5293,395,5306,401,5311,409,5306,416,5293,423,5275,427,5252,428,5229,427,5210,423,5197,416,5193,409xe" filled="false" stroked="true" strokeweight=".39421pt" strokecolor="#00afef">
              <v:path arrowok="t"/>
            </v:shape>
            <v:shape style="position:absolute;left:5720;top:239;width:126;height:32" coordorigin="5720,239" coordsize="126,32" path="m5783,239l5758,240,5738,244,5725,249,5720,255,5725,261,5738,266,5758,269,5783,271,5807,269,5827,266,5841,261,5846,255,5841,249,5827,244,5807,240,5783,239xe" filled="true" fillcolor="#205868" stroked="false">
              <v:path arrowok="t"/>
              <v:fill type="solid"/>
            </v:shape>
            <v:shape style="position:absolute;left:5720;top:239;width:126;height:32" coordorigin="5720,239" coordsize="126,32" path="m5720,255l5725,249,5738,244,5758,240,5783,239,5807,240,5827,244,5841,249,5846,255,5841,261,5827,266,5807,269,5783,271,5758,269,5738,266,5725,261,5720,255xe" filled="false" stroked="true" strokeweight=".394224pt" strokecolor="#00afef">
              <v:path arrowok="t"/>
            </v:shape>
            <v:shape style="position:absolute;left:5720;top:3;width:126;height:32" coordorigin="5720,3" coordsize="126,32" path="m5783,3l5758,4,5738,8,5725,13,5720,19,5725,25,5738,30,5758,33,5783,34,5807,33,5827,30,5841,25,5846,19,5841,13,5827,8,5807,4,5783,3xe" filled="true" fillcolor="#205868" stroked="false">
              <v:path arrowok="t"/>
              <v:fill type="solid"/>
            </v:shape>
            <v:shape style="position:absolute;left:5720;top:3;width:126;height:32" coordorigin="5720,3" coordsize="126,32" path="m5720,19l5725,13,5738,8,5758,4,5783,3,5807,4,5827,8,5841,13,5846,19,5841,25,5827,30,5807,33,5783,34,5758,33,5738,30,5725,25,5720,19xe" filled="false" stroked="true" strokeweight=".394224pt" strokecolor="#00afef">
              <v:path arrowok="t"/>
            </v:shape>
            <v:shape style="position:absolute;left:6255;top:129;width:119;height:32" coordorigin="6255,129" coordsize="119,32" path="m6314,129l6291,130,6272,134,6260,139,6255,145,6260,151,6272,156,6291,159,6314,160,6337,159,6356,156,6369,151,6373,145,6369,139,6356,134,6337,130,6314,129xe" filled="true" fillcolor="#205868" stroked="false">
              <v:path arrowok="t"/>
              <v:fill type="solid"/>
            </v:shape>
            <v:shape style="position:absolute;left:6255;top:129;width:119;height:32" coordorigin="6255,129" coordsize="119,32" path="m6255,145l6260,139,6272,134,6291,130,6314,129,6337,130,6356,134,6369,139,6373,145,6369,151,6356,156,6337,159,6314,160,6291,159,6272,156,6260,151,6255,145xe" filled="false" stroked="true" strokeweight=".394221pt" strokecolor="#00afef">
              <v:path arrowok="t"/>
            </v:shape>
            <v:shape style="position:absolute;left:6318;top:357;width:119;height:32" coordorigin="6318,357" coordsize="119,32" path="m6377,357l6354,359,6335,362,6323,367,6318,373,6323,379,6335,384,6354,388,6377,389,6400,388,6419,384,6432,379,6436,373,6432,367,6419,362,6400,359,6377,357xe" filled="true" fillcolor="#205868" stroked="false">
              <v:path arrowok="t"/>
              <v:fill type="solid"/>
            </v:shape>
            <v:shape style="position:absolute;left:6318;top:357;width:119;height:32" coordorigin="6318,357" coordsize="119,32" path="m6318,373l6323,367,6335,362,6354,359,6377,357,6400,359,6419,362,6432,367,6436,373,6432,379,6419,384,6400,388,6377,389,6354,388,6335,384,6323,379,6318,373xe" filled="false" stroked="true" strokeweight=".394221pt" strokecolor="#00afef">
              <v:path arrowok="t"/>
            </v:shape>
            <v:shape style="position:absolute;left:6845;top:483;width:119;height:32" coordorigin="6845,483" coordsize="119,32" path="m6904,483l6881,485,6863,488,6850,493,6845,499,6850,505,6863,510,6881,514,6904,515,6927,514,6946,510,6959,505,6963,499,6959,493,6946,488,6927,485,6904,483xe" filled="true" fillcolor="#205868" stroked="false">
              <v:path arrowok="t"/>
              <v:fill type="solid"/>
            </v:shape>
            <v:shape style="position:absolute;left:6845;top:483;width:119;height:32" coordorigin="6845,483" coordsize="119,32" path="m6845,499l6850,493,6863,488,6881,485,6904,483,6927,485,6946,488,6959,493,6963,499,6959,505,6946,510,6927,514,6904,515,6881,514,6863,510,6850,505,6845,499xe" filled="false" stroked="true" strokeweight=".394221pt" strokecolor="#00afef">
              <v:path arrowok="t"/>
            </v:shape>
            <v:shape style="position:absolute;left:6845;top:271;width:119;height:40" coordorigin="6845,271" coordsize="119,40" path="m6904,271l6881,272,6863,277,6850,283,6845,290,6850,298,6863,304,6881,309,6904,310,6927,309,6946,304,6959,298,6963,290,6959,283,6946,277,6927,272,6904,271xe" filled="true" fillcolor="#205868" stroked="false">
              <v:path arrowok="t"/>
              <v:fill type="solid"/>
            </v:shape>
            <v:shape style="position:absolute;left:6845;top:271;width:119;height:40" coordorigin="6845,271" coordsize="119,40" path="m6845,290l6850,283,6863,277,6881,272,6904,271,6927,272,6946,277,6959,283,6963,290,6959,298,6946,304,6927,309,6904,310,6881,309,6863,304,6850,298,6845,290xe" filled="false" stroked="true" strokeweight=".39421pt" strokecolor="#00afef">
              <v:path arrowok="t"/>
            </v:shape>
            <v:shape style="position:absolute;left:6971;top:58;width:119;height:40" coordorigin="6971,58" coordsize="119,40" path="m7030,58l7007,60,6989,64,6976,70,6971,78,6976,85,6989,92,7007,96,7030,97,7053,96,7072,92,7085,85,7089,78,7085,70,7072,64,7053,60,7030,58xe" filled="true" fillcolor="#205868" stroked="false">
              <v:path arrowok="t"/>
              <v:fill type="solid"/>
            </v:shape>
            <v:shape style="position:absolute;left:6971;top:58;width:119;height:40" coordorigin="6971,58" coordsize="119,40" path="m6971,78l6976,70,6989,64,7007,60,7030,58,7053,60,7072,64,7085,70,7089,78,7085,85,7072,92,7053,96,7030,97,7007,96,6989,92,6976,85,6971,78xe" filled="false" stroked="true" strokeweight=".39421pt" strokecolor="#00afef">
              <v:path arrowok="t"/>
            </v:shape>
            <v:shape style="position:absolute;left:7436;top:389;width:119;height:40" coordorigin="7436,389" coordsize="119,40" path="m7495,389l7472,390,7453,395,7440,401,7436,409,7440,416,7453,423,7472,427,7495,428,7518,427,7536,423,7549,416,7554,409,7549,401,7536,395,7518,390,7495,389xe" filled="true" fillcolor="#205868" stroked="false">
              <v:path arrowok="t"/>
              <v:fill type="solid"/>
            </v:shape>
            <v:shape style="position:absolute;left:7436;top:389;width:119;height:40" coordorigin="7436,389" coordsize="119,40" path="m7436,409l7440,401,7453,395,7472,390,7495,389,7518,390,7536,395,7549,401,7554,409,7549,416,7536,423,7518,427,7495,428,7472,427,7453,423,7440,416,7436,409xe" filled="false" stroked="true" strokeweight=".39421pt" strokecolor="#00afef">
              <v:path arrowok="t"/>
            </v:shape>
            <v:shape style="position:absolute;left:7562;top:216;width:119;height:40" coordorigin="7562,216" coordsize="119,40" path="m7621,216l7598,217,7579,221,7566,228,7562,235,7566,243,7579,249,7598,253,7621,255,7644,253,7662,249,7675,243,7680,235,7675,228,7662,221,7644,217,7621,216xe" filled="true" fillcolor="#205868" stroked="false">
              <v:path arrowok="t"/>
              <v:fill type="solid"/>
            </v:shape>
            <v:shape style="position:absolute;left:7562;top:216;width:119;height:40" coordorigin="7562,216" coordsize="119,40" path="m7562,235l7566,228,7579,221,7598,217,7621,216,7644,217,7662,221,7675,228,7680,235,7675,243,7662,249,7644,253,7621,255,7598,253,7579,249,7566,243,7562,235xe" filled="false" stroked="true" strokeweight=".39421pt" strokecolor="#00afef">
              <v:path arrowok="t"/>
            </v:shape>
            <v:shape style="position:absolute;left:2820;top:1204;width:5210;height:614" type="#_x0000_t75" stroked="false">
              <v:imagedata r:id="rId139" o:title=""/>
            </v:shape>
            <v:shape style="position:absolute;left:3056;top:1031;width:126;height:142" type="#_x0000_t75" stroked="false">
              <v:imagedata r:id="rId140" o:title=""/>
            </v:shape>
            <v:shape style="position:absolute;left:4063;top:1929;width:283;height:181" type="#_x0000_t75" stroked="false">
              <v:imagedata r:id="rId141" o:title=""/>
            </v:shape>
            <v:shape style="position:absolute;left:4378;top:1811;width:338;height:102" type="#_x0000_t75" stroked="false">
              <v:imagedata r:id="rId142" o:title=""/>
            </v:shape>
            <v:shape style="position:absolute;left:4795;top:1905;width:213;height:299" type="#_x0000_t75" stroked="false">
              <v:imagedata r:id="rId143" o:title=""/>
            </v:shape>
            <v:shape style="position:absolute;left:3491;top:2069;width:328;height:294" type="#_x0000_t75" stroked="false">
              <v:imagedata r:id="rId144" o:title=""/>
            </v:shape>
            <v:shape style="position:absolute;left:188;top:7562;width:7426;height:1829" coordorigin="188,7562" coordsize="7426,1829" path="m2855,2101l2867,2105,2878,2113,2891,2113,2953,2113,2992,2111,3020,2108,3046,2101,3083,2089,3091,2082,3100,2076,3109,2070,3118,2065,3130,2059,3144,2060,3154,2053,3169,2039,3187,2020,3206,2002,3226,1993,3269,1986,3310,1983,3350,1981,3389,1981,3430,1981m3634,2941l3640,2932,3645,2922,3651,2913,3659,2906,3670,2902,3682,2899,3695,2897,3707,2895,3729,2889,3742,2884,3749,2882,3752,2880,3755,2880,3761,2880,3774,2881,3795,2882,3829,2883,3878,2883m3430,2839l3439,2833,3448,2827,3457,2821,3466,2815,3478,2803,3489,2790,3501,2777,3514,2766,3524,2759,3538,2758,3550,2754,3562,2742,3573,2730,3585,2718,3598,2706,3610,2697,3622,2689,3634,2680,3646,2670,3653,2662,3658,2652,3664,2643,3670,2634,3682,2622,3694,2610,3707,2598,3718,2586,3744,2551,3757,2531,3762,2521,3764,2516,3768,2512,3779,2505,3802,2490,3808,2480,3813,2471,3819,2462,3826,2453,3834,2447,3844,2441,3853,2436,3862,2429,3871,2422,3878,2413,3886,2405m6106,2127l6123,2130,6141,2133,6159,2136,6177,2138,6210,2141,6243,2144,6276,2147,6309,2150,6428,2161,6449,2159,6471,2158,6492,2156,6512,2150,6520,2143,6525,2134,6529,2123,6536,2115,6547,2108,6559,2103,6572,2098,6584,2092,6610,2077,6618,2071,6620,2069,6629,2066,6655,2058,6664,2052,6673,2045,6682,2040,6691,2035,6702,2029,6715,2028,6727,2023,6735,2020,6743,2015,6751,2012e" filled="false" stroked="true" strokeweight=".394078pt" strokecolor="#497dba">
              <v:path arrowok="t"/>
            </v:shape>
            <v:shape style="position:absolute;left:6739;top:2575;width:110;height:126" type="#_x0000_t75" stroked="false">
              <v:imagedata r:id="rId145" o:title=""/>
            </v:shape>
            <v:shape style="position:absolute;left:7259;top:2104;width:315;height:319" type="#_x0000_t75" stroked="false">
              <v:imagedata r:id="rId146" o:title=""/>
            </v:shape>
            <v:shape style="position:absolute;left:3548;top:7771;width:6199;height:1096" coordorigin="3548,7771" coordsize="6199,1096" path="m6775,2311l6787,2317,6799,2323,6811,2329,6823,2334,6851,2342,6885,2349,6919,2354,6945,2358,6981,2364,6999,2368,7015,2373,7043,2382,7049,2391,7055,2399,7061,2408,7067,2417,7077,2437,7089,2459,7102,2482,7116,2500,7124,2507,7133,2513,7143,2518,7152,2524,7158,2533,7164,2542,7170,2551,7177,2559,7186,2565,7196,2570,7206,2575,7213,2583,7228,2608,7235,2627,7237,2645,7238,2665m7475,2516l7494,2514,7529,2509,7568,2501,7595,2491,7605,2483,7613,2474,7622,2464,7631,2455,7639,2448,7648,2442,7658,2436,7667,2431,7673,2422,7679,2413,7685,2404,7691,2394,7696,2383,7695,2368,7703,2358,7711,2350,7720,2344,7729,2339,7739,2333,7745,2315,7751,2297,7757,2279,7763,2260,7765,2248,7767,2235,7770,2223,7775,2212,7782,2202,7792,2193,7802,2185,7811,2175,7840,2136,7855,2115,7859,2106,7858,2104,7857,2104,7859,2102,7871,2090m4618,2563l4620,2552,4621,2541,4624,2531,4630,2524,4650,2516,4671,2513,4693,2512,4715,2511,4755,2510,4795,2510,4836,2510,4876,2510,4916,2511,4957,2511e" filled="false" stroked="true" strokeweight=".394078pt" strokecolor="#497dba">
              <v:path arrowok="t"/>
            </v:shape>
            <v:shape style="position:absolute;left:5598;top:1984;width:118;height:126" type="#_x0000_t75" stroked="false">
              <v:imagedata r:id="rId147" o:title=""/>
            </v:shape>
            <v:shape style="position:absolute;left:38;top:7327;width:9221;height:250" coordorigin="38,7327" coordsize="9221,250" path="m5350,1933l5383,1930,5416,1928,5449,1926,5482,1923,5497,1920,5512,1917,5527,1914,5542,1913,5599,1909,5647,1906,5687,1904,5722,1903,5756,1903,5792,1903,5831,1903,5877,1903m7026,1988l7050,1950,7063,1928,7072,1916,7085,1910,7107,1903,7146,1890,7182,1878,7218,1866,7281,1868,7334,1869,7379,1869,7417,1868,7447,1867,7472,1865,7491,1864,7506,1862,7516,1860,7524,1858,7528,1857,7531,1857,7533,1857,7534,1858,7536,1860,7538,1863,7542,1868,7549,1874,7559,1882,7572,1891,7590,1903,7598,1907,7606,1911,7614,1915m2776,1948l2813,1936,2834,1929,2847,1925,2862,1924,2885,1925,2926,1925e" filled="false" stroked="true" strokeweight=".394078pt" strokecolor="#497dba">
              <v:path arrowok="t"/>
            </v:shape>
            <v:shape style="position:absolute;left:2993;top:2488;width:323;height:221" type="#_x0000_t75" stroked="false">
              <v:imagedata r:id="rId148" o:title=""/>
            </v:shape>
            <v:shape style="position:absolute;left:353;top:7501;width:6631;height:915" coordorigin="353,7501" coordsize="6631,915" path="m2942,2429l2946,2417,2946,2403,2953,2394,2964,2384,2981,2374,2998,2365,3012,2358m5208,2208l5212,2197,5212,2184,5221,2176,5236,2168,5257,2165,5277,2164,5295,2165m6373,1996l6377,1984,6376,1969,6385,1960,6394,1952,6420,1948,6420,1948e" filled="false" stroked="true" strokeweight=".394078pt" strokecolor="#497dba">
              <v:path arrowok="t"/>
            </v:shape>
            <v:shape style="position:absolute;left:4035;top:2341;width:500;height:456" type="#_x0000_t75" stroked="false">
              <v:imagedata r:id="rId149" o:title=""/>
            </v:shape>
            <v:shape style="position:absolute;left:3368;top:7366;width:6623;height:1545" coordorigin="3368,7366" coordsize="6623,1545" path="m4524,2382l4537,2360,4548,2345,4562,2332,4584,2320,4606,2312,4630,2303,4649,2297,4657,2295m7798,1915l7809,1911,7821,1904,7833,1902,7896,1898,7940,1901,7969,1906,7987,1911,7995,1910,7998,1900,7998,1878m7735,2689l7776,2678,7796,2672,7809,2669,7827,2669,7861,2669e" filled="false" stroked="true" strokeweight=".394078pt" strokecolor="#497dba">
              <v:path arrowok="t"/>
            </v:shape>
            <v:shape style="position:absolute;left:2805;top:343;width:5283;height:1155" type="#_x0000_t75" stroked="false">
              <v:imagedata r:id="rId150" o:title=""/>
            </v:shape>
            <v:shape style="position:absolute;left:3064;top:1039;width:110;height:126" type="#_x0000_t75" stroked="false">
              <v:imagedata r:id="rId151" o:title=""/>
            </v:shape>
            <v:shape style="position:absolute;left:3670;top:1212;width:110;height:134" type="#_x0000_t75" stroked="false">
              <v:imagedata r:id="rId152" o:title=""/>
            </v:shape>
            <v:shape style="position:absolute;left:3190;top:684;width:110;height:126" type="#_x0000_t75" stroked="false">
              <v:imagedata r:id="rId151" o:title=""/>
            </v:shape>
            <v:shape style="position:absolute;left:2946;top:448;width:110;height:126" type="#_x0000_t75" stroked="false">
              <v:imagedata r:id="rId153" o:title=""/>
            </v:shape>
            <v:shape style="position:absolute;left:3827;top:574;width:110;height:126" type="#_x0000_t75" stroked="false">
              <v:imagedata r:id="rId154" o:title=""/>
            </v:shape>
            <v:shape style="position:absolute;left:4378;top:503;width:110;height:126" type="#_x0000_t75" stroked="false">
              <v:imagedata r:id="rId155" o:title=""/>
            </v:shape>
            <v:shape style="position:absolute;left:4315;top:802;width:110;height:126" type="#_x0000_t75" stroked="false">
              <v:imagedata r:id="rId154" o:title=""/>
            </v:shape>
            <v:shape style="position:absolute;left:4299;top:1094;width:110;height:126" type="#_x0000_t75" stroked="false">
              <v:imagedata r:id="rId156" o:title=""/>
            </v:shape>
            <v:shape style="position:absolute;left:4850;top:1039;width:110;height:126" type="#_x0000_t75" stroked="false">
              <v:imagedata r:id="rId155" o:title=""/>
            </v:shape>
            <v:shape style="position:absolute;left:4976;top:739;width:110;height:126" type="#_x0000_t75" stroked="false">
              <v:imagedata r:id="rId154" o:title=""/>
            </v:shape>
            <v:shape style="position:absolute;left:4772;top:448;width:110;height:126" type="#_x0000_t75" stroked="false">
              <v:imagedata r:id="rId156" o:title=""/>
            </v:shape>
            <v:shape style="position:absolute;left:5378;top:574;width:110;height:126" type="#_x0000_t75" stroked="false">
              <v:imagedata r:id="rId154" o:title=""/>
            </v:shape>
            <v:shape style="position:absolute;left:5362;top:921;width:110;height:126" type="#_x0000_t75" stroked="false">
              <v:imagedata r:id="rId156" o:title=""/>
            </v:shape>
            <v:shape style="position:absolute;left:5732;top:1212;width:118;height:134" type="#_x0000_t75" stroked="false">
              <v:imagedata r:id="rId157" o:title=""/>
            </v:shape>
            <v:shape style="position:absolute;left:5779;top:802;width:110;height:126" type="#_x0000_t75" stroked="false">
              <v:imagedata r:id="rId155" o:title=""/>
            </v:shape>
            <v:shape style="position:absolute;left:5779;top:448;width:110;height:126" type="#_x0000_t75" stroked="false">
              <v:imagedata r:id="rId158" o:title=""/>
            </v:shape>
            <v:shape style="position:absolute;left:6094;top:621;width:110;height:126" type="#_x0000_t75" stroked="false">
              <v:imagedata r:id="rId158" o:title=""/>
            </v:shape>
            <v:shape style="position:absolute;left:6078;top:1039;width:110;height:126" type="#_x0000_t75" stroked="false">
              <v:imagedata r:id="rId154" o:title=""/>
            </v:shape>
            <v:shape style="position:absolute;left:6503;top:1212;width:110;height:134" type="#_x0000_t75" stroked="false">
              <v:imagedata r:id="rId159" o:title=""/>
            </v:shape>
            <v:shape style="position:absolute;left:6487;top:921;width:110;height:126" type="#_x0000_t75" stroked="false">
              <v:imagedata r:id="rId156" o:title=""/>
            </v:shape>
            <v:shape style="position:absolute;left:6920;top:1094;width:110;height:126" type="#_x0000_t75" stroked="false">
              <v:imagedata r:id="rId158" o:title=""/>
            </v:shape>
            <v:shape style="position:absolute;left:7023;top:739;width:110;height:126" type="#_x0000_t75" stroked="false">
              <v:imagedata r:id="rId154" o:title=""/>
            </v:shape>
            <v:shape style="position:absolute;left:6503;top:566;width:110;height:126" type="#_x0000_t75" stroked="false">
              <v:imagedata r:id="rId154" o:title=""/>
            </v:shape>
            <v:shape style="position:absolute;left:7566;top:621;width:110;height:126" type="#_x0000_t75" stroked="false">
              <v:imagedata r:id="rId158" o:title=""/>
            </v:shape>
            <v:shape style="position:absolute;left:7865;top:1094;width:110;height:126" type="#_x0000_t75" stroked="false">
              <v:imagedata r:id="rId158" o:title=""/>
            </v:shape>
            <v:shape style="position:absolute;left:7377;top:976;width:110;height:126" type="#_x0000_t75" stroked="false">
              <v:imagedata r:id="rId155" o:title=""/>
            </v:shape>
            <v:shape style="position:absolute;left:3843;top:921;width:110;height:126" type="#_x0000_t75" stroked="false">
              <v:imagedata r:id="rId156" o:title=""/>
            </v:shape>
            <v:shape style="position:absolute;left:7652;top:2157;width:1015;height:465" type="#_x0000_t75" stroked="false">
              <v:imagedata r:id="rId71" o:title=""/>
            </v:shape>
            <v:shape style="position:absolute;left:7786;top:2244;width:827;height:320" coordorigin="7786,2244" coordsize="827,320" path="m7864,2472l7860,2474,7786,2518,7860,2561,7864,2563,7869,2562,7873,2555,7872,2550,7831,2525,7801,2525,7801,2510,7831,2510,7872,2485,7873,2481,7869,2473,7864,2472xm7831,2510l7801,2510,7801,2525,7831,2525,7829,2524,7805,2524,7805,2511,7829,2511,7831,2510xm8191,2510l7831,2510,7817,2518,7831,2525,8203,2525,8207,2522,8207,2518,8191,2518,8191,2510xm7805,2511l7805,2524,7817,2518,7805,2511xm7817,2518l7805,2524,7829,2524,7817,2518xm8612,2244l8195,2244,8191,2247,8191,2518,8199,2510,8207,2510,8207,2260,8199,2260,8207,2252,8612,2252,8612,2244xm8207,2510l8199,2510,8191,2518,8207,2518,8207,2510xm7829,2511l7805,2511,7817,2518,7829,2511xm8207,2252l8199,2260,8207,2260,8207,2252xm8612,2252l8207,2252,8207,2260,8612,2260,8612,2252xe" filled="true" fillcolor="#17375e" stroked="false">
              <v:path arrowok="t"/>
              <v:fill type="solid"/>
            </v:shape>
            <w10:wrap type="none"/>
          </v:group>
        </w:pict>
      </w:r>
      <w:r>
        <w:rPr/>
        <w:pict>
          <v:group style="position:absolute;margin-left:416.053528pt;margin-top:-3.204201pt;width:15pt;height:92.2pt;mso-position-horizontal-relative:page;mso-position-vertical-relative:paragraph;z-index:1480" coordorigin="8321,-64" coordsize="300,1844">
            <v:shape style="position:absolute;left:8321;top:-64;width:299;height:480" type="#_x0000_t75" stroked="false">
              <v:imagedata r:id="rId74" o:title=""/>
            </v:shape>
            <v:shape style="position:absolute;left:8400;top:125;width:110;height:110" type="#_x0000_t75" stroked="false">
              <v:imagedata r:id="rId73" o:title=""/>
            </v:shape>
            <v:shape style="position:absolute;left:8368;top:23;width:197;height:370" type="#_x0000_t75" stroked="false">
              <v:imagedata r:id="rId160" o:title=""/>
            </v:shape>
            <v:shape style="position:absolute;left:8321;top:353;width:299;height:1016" type="#_x0000_t75" stroked="false">
              <v:imagedata r:id="rId76" o:title=""/>
            </v:shape>
            <v:shape style="position:absolute;left:8400;top:802;width:110;height:110" type="#_x0000_t75" stroked="false">
              <v:imagedata r:id="rId73" o:title=""/>
            </v:shape>
            <v:shape style="position:absolute;left:8376;top:448;width:181;height:891" coordorigin="8376,448" coordsize="181,891" path="m8376,448l8483,451,8548,458,8557,463,8557,1323,8548,1328,8522,1332,8483,1335,8433,1337,8376,1338e" filled="false" stroked="true" strokeweight=".787065pt" strokecolor="#17375e">
              <v:path arrowok="t"/>
            </v:shape>
            <v:shape style="position:absolute;left:8321;top:1299;width:299;height:480" type="#_x0000_t75" stroked="false">
              <v:imagedata r:id="rId74" o:title=""/>
            </v:shape>
            <v:shape style="position:absolute;left:8400;top:1488;width:110;height:110" type="#_x0000_t75" stroked="false">
              <v:imagedata r:id="rId73" o:title=""/>
            </v:shape>
            <v:shape style="position:absolute;left:8368;top:1385;width:197;height:370" type="#_x0000_t75" stroked="false">
              <v:imagedata r:id="rId161" o:title=""/>
            </v:shape>
            <w10:wrap type="none"/>
          </v:group>
        </w:pict>
      </w:r>
      <w:r>
        <w:rPr>
          <w:rFonts w:ascii="Calibri"/>
          <w:sz w:val="19"/>
        </w:rPr>
        <w:t>Estrato superficial</w:t>
      </w:r>
    </w:p>
    <w:p>
      <w:pPr>
        <w:pStyle w:val="BodyText"/>
        <w:rPr>
          <w:rFonts w:ascii="Calibri"/>
          <w:sz w:val="18"/>
        </w:rPr>
      </w:pPr>
    </w:p>
    <w:p>
      <w:pPr>
        <w:pStyle w:val="BodyText"/>
        <w:spacing w:before="2"/>
        <w:rPr>
          <w:rFonts w:ascii="Calibri"/>
          <w:sz w:val="21"/>
        </w:rPr>
      </w:pPr>
    </w:p>
    <w:p>
      <w:pPr>
        <w:spacing w:before="0"/>
        <w:ind w:left="8693" w:right="1703" w:firstLine="0"/>
        <w:jc w:val="left"/>
        <w:rPr>
          <w:rFonts w:ascii="Calibri"/>
          <w:sz w:val="19"/>
        </w:rPr>
      </w:pPr>
      <w:r>
        <w:rPr>
          <w:rFonts w:ascii="Calibri"/>
          <w:sz w:val="19"/>
        </w:rPr>
        <w:t>Estrato intermedio</w:t>
      </w:r>
    </w:p>
    <w:p>
      <w:pPr>
        <w:pStyle w:val="BodyText"/>
        <w:rPr>
          <w:rFonts w:ascii="Calibri"/>
          <w:sz w:val="18"/>
        </w:rPr>
      </w:pPr>
    </w:p>
    <w:p>
      <w:pPr>
        <w:pStyle w:val="BodyText"/>
        <w:spacing w:before="2"/>
        <w:rPr>
          <w:rFonts w:ascii="Calibri"/>
          <w:sz w:val="21"/>
        </w:rPr>
      </w:pPr>
    </w:p>
    <w:p>
      <w:pPr>
        <w:spacing w:line="674" w:lineRule="auto" w:before="1"/>
        <w:ind w:left="8693" w:right="2195" w:firstLine="0"/>
        <w:jc w:val="left"/>
        <w:rPr>
          <w:rFonts w:ascii="Calibri"/>
          <w:sz w:val="19"/>
        </w:rPr>
      </w:pPr>
      <w:r>
        <w:rPr/>
        <w:pict>
          <v:group style="position:absolute;margin-left:272.304596pt;margin-top:37.823765pt;width:42.25pt;height:30.15pt;mso-position-horizontal-relative:page;mso-position-vertical-relative:paragraph;z-index:1432" coordorigin="5446,756" coordsize="845,603">
            <v:shape style="position:absolute;left:5450;top:760;width:801;height:476" coordorigin="5450,760" coordsize="801,476" path="m5708,760l5623,767,5554,786,5490,853,5461,926,5450,1007,5453,1047,5479,1114,5527,1152,5589,1176,5669,1197,5760,1215,5856,1228,5949,1235,5993,1236,6033,1236,6101,1230,6161,1207,6211,1153,6240,1080,6250,1003,6249,968,6219,887,6164,847,6090,816,6006,793,5924,778,5844,768,5754,761,5708,760xe" filled="true" fillcolor="#7e7e7e" stroked="false">
              <v:path arrowok="t"/>
              <v:fill type="solid"/>
            </v:shape>
            <v:shape style="position:absolute;left:5450;top:760;width:801;height:476" coordorigin="5450,760" coordsize="801,476" path="m5924,778l5844,768,5754,761,5708,760,5664,762,5585,775,5529,802,5490,853,5461,926,5450,1007,5453,1047,5479,1114,5527,1152,5589,1176,5669,1197,5760,1215,5856,1228,5949,1235,5993,1236,6033,1236,6101,1230,6161,1207,6211,1153,6240,1080,6250,1003,6249,968,6219,887,6164,847,6090,816,6006,793,5924,778xe" filled="false" stroked="true" strokeweight=".394157pt" strokecolor="#375f92">
              <v:path arrowok="t"/>
            </v:shape>
            <v:shape style="position:absolute;left:5590;top:864;width:619;height:296" coordorigin="5590,864" coordsize="619,296" path="m6190,1074l5894,1074,5932,1075,5961,1079,5991,1095,5997,1117,5998,1138,6009,1151,6038,1157,6074,1159,6110,1154,6140,1139,6162,1117,6184,1085,6190,1074xm5667,871l5652,876,5634,892,5615,917,5599,945,5592,972,5590,997,5592,1025,5606,1049,5640,1067,5669,1072,5707,1075,5752,1075,5801,1075,5849,1074,6190,1074,6202,1050,6209,1015,6200,984,6180,963,6149,942,6111,921,6091,912,5759,912,5738,911,5728,904,5721,895,5711,888,5696,881,5681,874,5667,871xm5950,864l5905,864,5862,874,5822,890,5787,904,5759,912,6091,912,6069,902,6026,885,5985,872,5950,864xe" filled="true" fillcolor="#ffffff" stroked="false">
              <v:path arrowok="t"/>
              <v:fill type="solid"/>
            </v:shape>
            <v:shape style="position:absolute;left:5590;top:864;width:619;height:296" coordorigin="5590,864" coordsize="619,296" path="m5652,876l5599,945,5590,997,5592,1025,5640,1067,5707,1075,5752,1075,5801,1075,5849,1074,5894,1074,5961,1079,5998,1138,6009,1151,6038,1157,6074,1159,6110,1154,6162,1117,6202,1050,6209,1015,6200,984,6149,942,6069,902,5985,872,5950,864,5905,864,5862,874,5822,890,5787,904,5759,912,5738,911,5728,904,5721,895,5711,888,5696,881,5681,874,5667,871,5652,876xe" filled="false" stroked="true" strokeweight=".394182pt" strokecolor="#385d89">
              <v:path arrowok="t"/>
            </v:shape>
            <v:shape style="position:absolute;left:5665;top:860;width:181;height:63" coordorigin="5665,860" coordsize="181,63" path="m5755,860l5720,862,5691,869,5672,879,5665,891,5672,904,5691,914,5720,920,5755,923,5791,920,5819,914,5839,904,5846,891,5839,879,5819,869,5791,862,5755,860xe" filled="true" fillcolor="#205868" stroked="false">
              <v:path arrowok="t"/>
              <v:fill type="solid"/>
            </v:shape>
            <v:shape style="position:absolute;left:5665;top:860;width:181;height:63" coordorigin="5665,860" coordsize="181,63" path="m5665,891l5672,879,5691,869,5720,862,5755,860,5791,862,5819,869,5839,879,5846,891,5839,904,5819,914,5791,920,5755,923,5720,920,5691,914,5672,904,5665,891xe" filled="false" stroked="true" strokeweight=".394207pt" strokecolor="#00afef">
              <v:path arrowok="t"/>
            </v:shape>
            <v:shape style="position:absolute;left:5791;top:1041;width:181;height:56" coordorigin="5791,1041" coordsize="181,56" path="m5881,1041l5846,1043,5817,1049,5798,1058,5791,1069,5798,1079,5817,1088,5846,1094,5881,1096,5916,1094,5945,1088,5965,1079,5972,1069,5965,1058,5945,1049,5916,1043,5881,1041xe" filled="true" fillcolor="#205868" stroked="false">
              <v:path arrowok="t"/>
              <v:fill type="solid"/>
            </v:shape>
            <v:shape style="position:absolute;left:5791;top:1041;width:181;height:56" coordorigin="5791,1041" coordsize="181,56" path="m5791,1069l5798,1058,5817,1049,5846,1043,5881,1041,5916,1043,5945,1049,5965,1058,5972,1069,5965,1079,5945,1088,5916,1094,5881,1096,5846,1094,5817,1088,5798,1079,5791,1069xe" filled="false" stroked="true" strokeweight=".394215pt" strokecolor="#00afef">
              <v:path arrowok="t"/>
            </v:shape>
            <v:shape style="position:absolute;left:5696;top:1309;width:591;height:47" coordorigin="5696,1309" coordsize="591,47" path="m5696,1309l5817,1321,5838,1324,5859,1327,5880,1330,5901,1333,5997,1345,6060,1343,6109,1344,6147,1346,6176,1349,6197,1352,6213,1355,6225,1355,6235,1354,6244,1349,6254,1341,6268,1327,6287,1309e" filled="false" stroked="true" strokeweight=".394241pt" strokecolor="#497dba">
              <v:path arrowok="t"/>
            </v:shape>
            <w10:wrap type="none"/>
          </v:group>
        </w:pict>
      </w:r>
      <w:r>
        <w:rPr/>
        <w:drawing>
          <wp:anchor distT="0" distB="0" distL="0" distR="0" allowOverlap="1" layoutInCell="1" locked="0" behindDoc="0" simplePos="0" relativeHeight="1456">
            <wp:simplePos x="0" y="0"/>
            <wp:positionH relativeFrom="page">
              <wp:posOffset>3199869</wp:posOffset>
            </wp:positionH>
            <wp:positionV relativeFrom="paragraph">
              <wp:posOffset>553482</wp:posOffset>
            </wp:positionV>
            <wp:extent cx="209910" cy="250096"/>
            <wp:effectExtent l="0" t="0" r="0" b="0"/>
            <wp:wrapNone/>
            <wp:docPr id="5" name="image148.png" descr=""/>
            <wp:cNvGraphicFramePr>
              <a:graphicFrameLocks noChangeAspect="1"/>
            </wp:cNvGraphicFramePr>
            <a:graphic>
              <a:graphicData uri="http://schemas.openxmlformats.org/drawingml/2006/picture">
                <pic:pic>
                  <pic:nvPicPr>
                    <pic:cNvPr id="6" name="image148.png"/>
                    <pic:cNvPicPr/>
                  </pic:nvPicPr>
                  <pic:blipFill>
                    <a:blip r:embed="rId162" cstate="print"/>
                    <a:stretch>
                      <a:fillRect/>
                    </a:stretch>
                  </pic:blipFill>
                  <pic:spPr>
                    <a:xfrm>
                      <a:off x="0" y="0"/>
                      <a:ext cx="209910" cy="250096"/>
                    </a:xfrm>
                    <a:prstGeom prst="rect">
                      <a:avLst/>
                    </a:prstGeom>
                  </pic:spPr>
                </pic:pic>
              </a:graphicData>
            </a:graphic>
          </wp:anchor>
        </w:drawing>
      </w:r>
      <w:r>
        <w:rPr>
          <w:rFonts w:ascii="Calibri"/>
          <w:sz w:val="19"/>
        </w:rPr>
        <w:t>Estrato basal Tejido conectivo</w:t>
      </w:r>
    </w:p>
    <w:p>
      <w:pPr>
        <w:pStyle w:val="Heading2"/>
        <w:spacing w:before="39"/>
      </w:pPr>
      <w:r>
        <w:rPr/>
        <w:t>B)</w:t>
      </w:r>
    </w:p>
    <w:p>
      <w:pPr>
        <w:pStyle w:val="BodyText"/>
        <w:spacing w:before="3"/>
        <w:rPr>
          <w:rFonts w:ascii="Calibri"/>
          <w:b/>
          <w:sz w:val="15"/>
        </w:rPr>
      </w:pPr>
    </w:p>
    <w:p>
      <w:pPr>
        <w:pStyle w:val="BodyText"/>
        <w:spacing w:before="54"/>
        <w:ind w:left="3439" w:right="1703"/>
        <w:rPr>
          <w:rFonts w:ascii="Calibri"/>
        </w:rPr>
      </w:pPr>
      <w:r>
        <w:rPr>
          <w:rFonts w:ascii="Calibri"/>
        </w:rPr>
        <w:t>Figura 3. A) Epitelio  plano estratificado paraqueratinizado</w:t>
      </w:r>
    </w:p>
    <w:p>
      <w:pPr>
        <w:pStyle w:val="BodyText"/>
        <w:spacing w:before="5"/>
        <w:ind w:left="3960" w:right="1703"/>
        <w:rPr>
          <w:rFonts w:ascii="Calibri"/>
        </w:rPr>
      </w:pPr>
      <w:r>
        <w:rPr>
          <w:rFonts w:ascii="Calibri"/>
        </w:rPr>
        <w:t>B) Epitelio  plano estratificado  no queratinizado</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
        <w:rPr>
          <w:rFonts w:ascii="Calibri"/>
          <w:sz w:val="16"/>
        </w:rPr>
      </w:pPr>
    </w:p>
    <w:p>
      <w:pPr>
        <w:pStyle w:val="BodyText"/>
        <w:spacing w:line="360" w:lineRule="auto" w:before="70"/>
        <w:ind w:left="1418" w:right="1705"/>
        <w:jc w:val="both"/>
      </w:pPr>
      <w:r>
        <w:rPr/>
        <w:t>El conocimiento de las distintas estructuras histológicas que constituyen la mucosa es de suma importancia para establecer, con claridad, el sustrato tisular en el que asientan las principales enfermedades que afectan a dicha región y, de ese modo, comprender su histogénesis y realizar un mejor diagnóstico y</w:t>
      </w:r>
      <w:r>
        <w:rPr>
          <w:spacing w:val="-25"/>
        </w:rPr>
        <w:t> </w:t>
      </w:r>
      <w:r>
        <w:rPr/>
        <w:t>tratamiento.</w:t>
      </w:r>
    </w:p>
    <w:p>
      <w:pPr>
        <w:spacing w:after="0" w:line="360" w:lineRule="auto"/>
        <w:jc w:val="both"/>
        <w:sectPr>
          <w:footerReference w:type="default" r:id="rId78"/>
          <w:pgSz w:w="12240" w:h="15840"/>
          <w:pgMar w:footer="599" w:header="0" w:top="1500" w:bottom="780" w:left="0" w:right="0"/>
          <w:pgNumType w:start="31"/>
        </w:sectPr>
      </w:pPr>
    </w:p>
    <w:p>
      <w:pPr>
        <w:pStyle w:val="BodyText"/>
        <w:spacing w:before="4"/>
        <w:rPr>
          <w:sz w:val="11"/>
        </w:rPr>
      </w:pPr>
    </w:p>
    <w:p>
      <w:pPr>
        <w:pStyle w:val="BodyText"/>
        <w:spacing w:line="360" w:lineRule="auto" w:before="69"/>
        <w:ind w:left="1418" w:right="1704"/>
        <w:jc w:val="both"/>
      </w:pPr>
      <w:r>
        <w:rPr/>
        <w:t>El epitelio de revestimiento y el tejido conectivo del corion y la submucosa, así como las estructuras vasculares y nerviosas de la mucosa y de los órganos de la cavidad bucal se alteran en numerosos procesos patológicos.</w:t>
      </w:r>
    </w:p>
    <w:p>
      <w:pPr>
        <w:pStyle w:val="BodyText"/>
      </w:pPr>
    </w:p>
    <w:p>
      <w:pPr>
        <w:pStyle w:val="BodyText"/>
        <w:spacing w:line="357" w:lineRule="auto" w:before="142"/>
        <w:ind w:left="1418" w:right="1698"/>
        <w:jc w:val="both"/>
      </w:pPr>
      <w:r>
        <w:rPr/>
        <w:t>Los agentes físicos, bacterianos, micóticos y virales que originan las enfermedades de la mucosa bucal alteran la biología celular de los queratinocitos y muchas veces, como ocurre con los virus, provocan la degeneración y la muerte de estos dando origen a la formación de vesículas</w:t>
      </w:r>
      <w:r>
        <w:rPr>
          <w:position w:val="8"/>
          <w:sz w:val="16"/>
        </w:rPr>
        <w:t>66</w:t>
      </w:r>
      <w:r>
        <w:rPr/>
        <w:t>.</w:t>
      </w:r>
    </w:p>
    <w:p>
      <w:pPr>
        <w:pStyle w:val="BodyText"/>
        <w:spacing w:before="3"/>
        <w:rPr>
          <w:sz w:val="36"/>
        </w:rPr>
      </w:pPr>
    </w:p>
    <w:p>
      <w:pPr>
        <w:pStyle w:val="BodyText"/>
        <w:spacing w:line="360" w:lineRule="auto"/>
        <w:ind w:left="1418" w:right="1701"/>
        <w:jc w:val="both"/>
      </w:pPr>
      <w:r>
        <w:rPr/>
        <w:t>La proliferación irreversible y autónoma de las poblaciones celulares del epitelio y del conectivo conduce a neoplasias tumorales benignas y malignas. De hecho, la mucosa oral representa una barrera protectora para potenciales carcinógenos que, al ser metabolizados, generarían múltiples metabolitos reactivos; este tejido protege al resto del organismo de que estos compuestos penetren a otros órganos, sin embargo, al estar expuesta a estos agentes, la mucosa es susceptible de sufrir daño en el ADN, esta particularidad es de vital importancia debido a que el 95% de los cánceres de la cavidad bucal son carcinomas escamosos o</w:t>
      </w:r>
      <w:r>
        <w:rPr>
          <w:spacing w:val="-20"/>
        </w:rPr>
        <w:t> </w:t>
      </w:r>
      <w:r>
        <w:rPr/>
        <w:t>epidermoides</w:t>
      </w:r>
      <w:r>
        <w:rPr>
          <w:position w:val="8"/>
          <w:sz w:val="16"/>
        </w:rPr>
        <w:t>13</w:t>
      </w:r>
      <w:r>
        <w:rPr/>
        <w:t>.</w:t>
      </w:r>
    </w:p>
    <w:p>
      <w:pPr>
        <w:pStyle w:val="BodyText"/>
        <w:spacing w:before="9"/>
        <w:rPr>
          <w:sz w:val="35"/>
        </w:rPr>
      </w:pPr>
    </w:p>
    <w:p>
      <w:pPr>
        <w:pStyle w:val="BodyText"/>
        <w:spacing w:line="360" w:lineRule="auto"/>
        <w:ind w:left="1418" w:right="1697"/>
        <w:jc w:val="both"/>
      </w:pPr>
      <w:r>
        <w:rPr/>
        <w:t>Aprovechando la propiedad descamativa de los epitelios estratificados ha surgido la citología exfoliativa, como un importante método auxiliar en el diagnóstico de ciertas enfermedades, tanto de naturaleza neoplásica, como inflamatoria.</w:t>
      </w:r>
    </w:p>
    <w:p>
      <w:pPr>
        <w:pStyle w:val="BodyText"/>
      </w:pPr>
    </w:p>
    <w:p>
      <w:pPr>
        <w:pStyle w:val="BodyText"/>
        <w:spacing w:line="360" w:lineRule="auto" w:before="142"/>
        <w:ind w:left="1418" w:right="1708"/>
        <w:jc w:val="both"/>
      </w:pPr>
      <w:r>
        <w:rPr/>
        <w:t>El citodiagnóstico se basa en el estudio de células que se descaman espontánea o artificialmente mediante la realización de un extendido.</w:t>
      </w:r>
    </w:p>
    <w:p>
      <w:pPr>
        <w:pStyle w:val="BodyText"/>
      </w:pPr>
    </w:p>
    <w:p>
      <w:pPr>
        <w:pStyle w:val="BodyText"/>
        <w:spacing w:line="357" w:lineRule="auto" w:before="142"/>
        <w:ind w:left="1418" w:right="1706"/>
        <w:jc w:val="both"/>
      </w:pPr>
      <w:r>
        <w:rPr/>
        <w:t>Las células normales exfoliadas de la cavidad bucal provenientes del epitelio que la tapiza, son fáciles de reconocer y presentan escasas variantes condicionales a la zona de donde se descaman</w:t>
      </w:r>
      <w:r>
        <w:rPr>
          <w:position w:val="8"/>
          <w:sz w:val="16"/>
        </w:rPr>
        <w:t>66</w:t>
      </w:r>
      <w:r>
        <w:rPr/>
        <w:t>.</w:t>
      </w:r>
    </w:p>
    <w:p>
      <w:pPr>
        <w:spacing w:after="0" w:line="357" w:lineRule="auto"/>
        <w:jc w:val="both"/>
        <w:sectPr>
          <w:pgSz w:w="12240" w:h="15840"/>
          <w:pgMar w:header="0" w:footer="599" w:top="1500" w:bottom="780" w:left="0" w:right="0"/>
        </w:sectPr>
      </w:pPr>
    </w:p>
    <w:p>
      <w:pPr>
        <w:pStyle w:val="BodyText"/>
        <w:spacing w:before="4"/>
        <w:rPr>
          <w:sz w:val="11"/>
        </w:rPr>
      </w:pPr>
    </w:p>
    <w:p>
      <w:pPr>
        <w:pStyle w:val="Heading4"/>
        <w:numPr>
          <w:ilvl w:val="3"/>
          <w:numId w:val="3"/>
        </w:numPr>
        <w:tabs>
          <w:tab w:pos="2127" w:val="left" w:leader="none"/>
        </w:tabs>
        <w:spacing w:line="240" w:lineRule="auto" w:before="69" w:after="0"/>
        <w:ind w:left="2126" w:right="0" w:hanging="280"/>
        <w:jc w:val="left"/>
      </w:pPr>
      <w:r>
        <w:rPr/>
        <w:t>Evaluación del daño</w:t>
      </w:r>
      <w:r>
        <w:rPr>
          <w:spacing w:val="-8"/>
        </w:rPr>
        <w:t> </w:t>
      </w:r>
      <w:r>
        <w:rPr/>
        <w:t>genotóxico</w:t>
      </w:r>
    </w:p>
    <w:p>
      <w:pPr>
        <w:pStyle w:val="BodyText"/>
        <w:rPr>
          <w:b/>
        </w:rPr>
      </w:pPr>
    </w:p>
    <w:p>
      <w:pPr>
        <w:pStyle w:val="BodyText"/>
        <w:rPr>
          <w:b/>
        </w:rPr>
      </w:pPr>
    </w:p>
    <w:p>
      <w:pPr>
        <w:pStyle w:val="BodyText"/>
        <w:spacing w:line="357" w:lineRule="auto"/>
        <w:ind w:left="1418" w:right="1697"/>
        <w:jc w:val="both"/>
      </w:pPr>
      <w:r>
        <w:rPr/>
        <w:t>El uso del término genotóxico se refiere a aquellos agentes químicos o físicos que tienen afinidad para interaccionar y modificar el ADN, produciendo alteraciones estructurales o funcionales tanto en células germinales como somáticas</w:t>
      </w:r>
      <w:r>
        <w:rPr>
          <w:position w:val="8"/>
          <w:sz w:val="16"/>
        </w:rPr>
        <w:t>34, 67</w:t>
      </w:r>
      <w:r>
        <w:rPr/>
        <w:t>.</w:t>
      </w:r>
    </w:p>
    <w:p>
      <w:pPr>
        <w:pStyle w:val="BodyText"/>
        <w:spacing w:before="2"/>
        <w:rPr>
          <w:sz w:val="36"/>
        </w:rPr>
      </w:pPr>
    </w:p>
    <w:p>
      <w:pPr>
        <w:pStyle w:val="ListParagraph"/>
        <w:numPr>
          <w:ilvl w:val="0"/>
          <w:numId w:val="10"/>
        </w:numPr>
        <w:tabs>
          <w:tab w:pos="2139" w:val="left" w:leader="none"/>
        </w:tabs>
        <w:spacing w:line="357" w:lineRule="auto" w:before="1" w:after="0"/>
        <w:ind w:left="2138" w:right="1704" w:hanging="360"/>
        <w:jc w:val="both"/>
        <w:rPr>
          <w:sz w:val="24"/>
        </w:rPr>
      </w:pPr>
      <w:r>
        <w:rPr>
          <w:sz w:val="24"/>
        </w:rPr>
        <w:t>Si la transformación se origina en las células somáticas pueden existir modificaciones en las funciones metabólicas o fisiológicas celulares, causando un crecimiento celular excesivo y desordenado, también pueden producir un envejecimiento prematuro y/o enfermedades vasculares </w:t>
      </w:r>
      <w:r>
        <w:rPr>
          <w:position w:val="8"/>
          <w:sz w:val="16"/>
        </w:rPr>
        <w:t>33,</w:t>
      </w:r>
      <w:r>
        <w:rPr>
          <w:spacing w:val="-13"/>
          <w:position w:val="8"/>
          <w:sz w:val="16"/>
        </w:rPr>
        <w:t> </w:t>
      </w:r>
      <w:r>
        <w:rPr>
          <w:position w:val="8"/>
          <w:sz w:val="16"/>
        </w:rPr>
        <w:t>68</w:t>
      </w:r>
      <w:r>
        <w:rPr>
          <w:sz w:val="24"/>
        </w:rPr>
        <w:t>.</w:t>
      </w:r>
    </w:p>
    <w:p>
      <w:pPr>
        <w:pStyle w:val="BodyText"/>
        <w:spacing w:before="2"/>
        <w:rPr>
          <w:sz w:val="36"/>
        </w:rPr>
      </w:pPr>
    </w:p>
    <w:p>
      <w:pPr>
        <w:pStyle w:val="ListParagraph"/>
        <w:numPr>
          <w:ilvl w:val="0"/>
          <w:numId w:val="10"/>
        </w:numPr>
        <w:tabs>
          <w:tab w:pos="2139" w:val="left" w:leader="none"/>
        </w:tabs>
        <w:spacing w:line="360" w:lineRule="auto" w:before="1" w:after="0"/>
        <w:ind w:left="2138" w:right="1698" w:hanging="360"/>
        <w:jc w:val="both"/>
        <w:rPr>
          <w:sz w:val="24"/>
        </w:rPr>
      </w:pPr>
      <w:r>
        <w:rPr>
          <w:sz w:val="24"/>
        </w:rPr>
        <w:t>Si la transformación se produce en las células germinales las alteraciones son heredadas a la </w:t>
      </w:r>
      <w:r>
        <w:rPr>
          <w:sz w:val="22"/>
        </w:rPr>
        <w:t>siguiente </w:t>
      </w:r>
      <w:r>
        <w:rPr>
          <w:sz w:val="24"/>
        </w:rPr>
        <w:t>generación y son causa de padecimientos genéticos, así como problemas de fertilidad en las </w:t>
      </w:r>
      <w:r>
        <w:rPr>
          <w:sz w:val="22"/>
        </w:rPr>
        <w:t>personas </w:t>
      </w:r>
      <w:r>
        <w:rPr>
          <w:sz w:val="24"/>
        </w:rPr>
        <w:t>expuestas a agentes tóxicos</w:t>
      </w:r>
      <w:r>
        <w:rPr>
          <w:position w:val="8"/>
          <w:sz w:val="16"/>
        </w:rPr>
        <w:t>69,</w:t>
      </w:r>
      <w:r>
        <w:rPr>
          <w:spacing w:val="-4"/>
          <w:position w:val="8"/>
          <w:sz w:val="16"/>
        </w:rPr>
        <w:t> </w:t>
      </w:r>
      <w:r>
        <w:rPr>
          <w:position w:val="8"/>
          <w:sz w:val="16"/>
        </w:rPr>
        <w:t>15</w:t>
      </w:r>
      <w:r>
        <w:rPr>
          <w:sz w:val="24"/>
        </w:rPr>
        <w:t>.</w:t>
      </w:r>
    </w:p>
    <w:p>
      <w:pPr>
        <w:pStyle w:val="BodyText"/>
        <w:rPr>
          <w:sz w:val="36"/>
        </w:rPr>
      </w:pPr>
    </w:p>
    <w:p>
      <w:pPr>
        <w:pStyle w:val="BodyText"/>
        <w:spacing w:line="360" w:lineRule="auto"/>
        <w:ind w:left="1418" w:right="1694"/>
        <w:jc w:val="both"/>
      </w:pPr>
      <w:r>
        <w:rPr/>
        <w:t>El daño provocado por los agroquímicos no se limita simplemente a evidencias externas, sino que la mayoría de las veces estos productos son cancerígenos y genotóxicos</w:t>
      </w:r>
      <w:r>
        <w:rPr>
          <w:position w:val="8"/>
          <w:sz w:val="16"/>
        </w:rPr>
        <w:t>3</w:t>
      </w:r>
      <w:r>
        <w:rPr/>
        <w:t>, y la probabilidad de que los plaguicidas causen daño genético depende de varios factores, como el nivel de exposición del organismo a la sustancia, el ingrediente activo del compuesto, las impurezas, la distribución y retención de ésta una vez que ha penetrado en el cuerpo, la eficiencia de los sistemas de activación metabólica y/o detoxificación en los tejidos diana y la reactividad de la sustancia o de sus metabolitos</w:t>
      </w:r>
      <w:r>
        <w:rPr>
          <w:position w:val="8"/>
          <w:sz w:val="16"/>
        </w:rPr>
        <w:t>39</w:t>
      </w:r>
      <w:r>
        <w:rPr/>
        <w:t>. Y la posibilidad de que el daño genético produzca una enfermedad depende en última instancia de la naturaleza del daño, la capacidad que posee la célula de reparar o amplificar el daño genético, la oportunidad de expresar cualquier alteración que se haya inducido y la capacidad del cuerpo de reconocer y suprimir la multiplicación de células aberrantes</w:t>
      </w:r>
      <w:r>
        <w:rPr>
          <w:position w:val="8"/>
          <w:sz w:val="16"/>
        </w:rPr>
        <w:t>70</w:t>
      </w:r>
      <w:r>
        <w:rPr/>
        <w:t>.</w:t>
      </w:r>
    </w:p>
    <w:p>
      <w:pPr>
        <w:pStyle w:val="BodyText"/>
        <w:rPr>
          <w:sz w:val="36"/>
        </w:rPr>
      </w:pPr>
    </w:p>
    <w:p>
      <w:pPr>
        <w:pStyle w:val="BodyText"/>
        <w:spacing w:line="360" w:lineRule="auto"/>
        <w:ind w:left="1418" w:right="1703"/>
        <w:jc w:val="both"/>
      </w:pPr>
      <w:r>
        <w:rPr/>
        <w:t>Por lo que, los plaguicidas interaccionan con el material genético y lo perjudican, sin embargo, las células pueden reparar algunos de los daños al ADN de manera natural</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57" w:lineRule="auto" w:before="69"/>
        <w:ind w:left="1418" w:right="1702"/>
        <w:jc w:val="both"/>
      </w:pPr>
      <w:r>
        <w:rPr/>
        <w:t>al disparar los mecanismos de necrosis o apoptosis; si el daño al ADN no se repara y esta célula se sigue reproduciendo la transformación se da en células somáticas, se producen alteraciones en las funciones metabólicas o fisiológicas celulares, o bien el crecimiento celular desmesurado y desordenado</w:t>
      </w:r>
      <w:r>
        <w:rPr>
          <w:position w:val="8"/>
          <w:sz w:val="16"/>
        </w:rPr>
        <w:t>71, 33</w:t>
      </w:r>
      <w:r>
        <w:rPr/>
        <w:t>.</w:t>
      </w:r>
    </w:p>
    <w:p>
      <w:pPr>
        <w:pStyle w:val="BodyText"/>
        <w:spacing w:before="2"/>
        <w:rPr>
          <w:sz w:val="36"/>
        </w:rPr>
      </w:pPr>
    </w:p>
    <w:p>
      <w:pPr>
        <w:pStyle w:val="BodyText"/>
        <w:spacing w:line="357" w:lineRule="auto" w:before="1"/>
        <w:ind w:left="1418" w:right="1696"/>
        <w:jc w:val="both"/>
      </w:pPr>
      <w:r>
        <w:rPr/>
        <w:t>Se ha referido la presencia de aberraciones cromosomales, cambio de cromatidas hermanas, micronúcleos (MN) y células cometa, como resultado de la exposición a plaguicidas</w:t>
      </w:r>
      <w:r>
        <w:rPr>
          <w:position w:val="8"/>
          <w:sz w:val="16"/>
        </w:rPr>
        <w:t>72</w:t>
      </w:r>
      <w:r>
        <w:rPr/>
        <w:t>.</w:t>
      </w:r>
    </w:p>
    <w:p>
      <w:pPr>
        <w:pStyle w:val="BodyText"/>
        <w:spacing w:before="3"/>
        <w:rPr>
          <w:sz w:val="36"/>
        </w:rPr>
      </w:pPr>
    </w:p>
    <w:p>
      <w:pPr>
        <w:pStyle w:val="BodyText"/>
        <w:spacing w:line="357" w:lineRule="auto"/>
        <w:ind w:left="1418" w:right="1696"/>
        <w:jc w:val="both"/>
      </w:pPr>
      <w:r>
        <w:rPr/>
        <w:t>Las técnicas para medir el daño genotóxico son muy diversas, se utilizan desde pruebas bioquímicas, moleculares y espectrofotométricas, hasta las pruebas citogenéticas y las basadas en la sedimentación del ADN dañado</w:t>
      </w:r>
      <w:r>
        <w:rPr>
          <w:position w:val="8"/>
          <w:sz w:val="16"/>
        </w:rPr>
        <w:t>71</w:t>
      </w:r>
      <w:r>
        <w:rPr/>
        <w:t>. Sin embargo, el problema de la exposición ocupacional a los plaguicidas es complejo, ya que la evaluación de los efectos genotóxicos puede verse modificada por las condiciones ambientales y el estilo de vida</w:t>
      </w:r>
      <w:r>
        <w:rPr>
          <w:position w:val="8"/>
          <w:sz w:val="16"/>
        </w:rPr>
        <w:t>39</w:t>
      </w:r>
      <w:r>
        <w:rPr/>
        <w:t>.</w:t>
      </w:r>
    </w:p>
    <w:p>
      <w:pPr>
        <w:pStyle w:val="BodyText"/>
        <w:rPr>
          <w:sz w:val="26"/>
        </w:rPr>
      </w:pPr>
    </w:p>
    <w:p>
      <w:pPr>
        <w:pStyle w:val="BodyText"/>
        <w:rPr>
          <w:sz w:val="26"/>
        </w:rPr>
      </w:pPr>
    </w:p>
    <w:p>
      <w:pPr>
        <w:pStyle w:val="Heading4"/>
        <w:numPr>
          <w:ilvl w:val="4"/>
          <w:numId w:val="3"/>
        </w:numPr>
        <w:tabs>
          <w:tab w:pos="2838" w:val="left" w:leader="none"/>
        </w:tabs>
        <w:spacing w:line="240" w:lineRule="auto" w:before="232" w:after="0"/>
        <w:ind w:left="2837" w:right="0" w:hanging="567"/>
        <w:jc w:val="left"/>
        <w:rPr>
          <w:b w:val="0"/>
        </w:rPr>
      </w:pPr>
      <w:r>
        <w:rPr/>
        <w:t>Biomarcadores de daño</w:t>
      </w:r>
      <w:r>
        <w:rPr>
          <w:spacing w:val="-5"/>
        </w:rPr>
        <w:t> </w:t>
      </w:r>
      <w:r>
        <w:rPr/>
        <w:t>genético</w:t>
      </w:r>
      <w:r>
        <w:rPr>
          <w:b w:val="0"/>
        </w:rPr>
        <w:t>.</w:t>
      </w:r>
    </w:p>
    <w:p>
      <w:pPr>
        <w:pStyle w:val="BodyText"/>
      </w:pPr>
    </w:p>
    <w:p>
      <w:pPr>
        <w:pStyle w:val="BodyText"/>
      </w:pPr>
    </w:p>
    <w:p>
      <w:pPr>
        <w:pStyle w:val="BodyText"/>
        <w:spacing w:line="355" w:lineRule="auto"/>
        <w:ind w:left="1418" w:right="1707"/>
        <w:jc w:val="both"/>
      </w:pPr>
      <w:r>
        <w:rPr/>
        <w:t>El biomonitoreo humano surge de la necesidad de evaluar a la población en riesgo  de exposición a sustancias</w:t>
      </w:r>
      <w:r>
        <w:rPr>
          <w:spacing w:val="-10"/>
        </w:rPr>
        <w:t> </w:t>
      </w:r>
      <w:r>
        <w:rPr/>
        <w:t>tóxicas</w:t>
      </w:r>
      <w:r>
        <w:rPr>
          <w:position w:val="8"/>
          <w:sz w:val="16"/>
        </w:rPr>
        <w:t>16</w:t>
      </w:r>
      <w:r>
        <w:rPr/>
        <w:t>.</w:t>
      </w:r>
    </w:p>
    <w:p>
      <w:pPr>
        <w:pStyle w:val="BodyText"/>
        <w:spacing w:before="5"/>
        <w:rPr>
          <w:sz w:val="36"/>
        </w:rPr>
      </w:pPr>
    </w:p>
    <w:p>
      <w:pPr>
        <w:pStyle w:val="BodyText"/>
        <w:spacing w:line="360" w:lineRule="auto"/>
        <w:ind w:left="1418" w:right="1697"/>
        <w:jc w:val="both"/>
        <w:rPr>
          <w:rFonts w:ascii="Calibri" w:hAnsi="Calibri"/>
          <w:sz w:val="23"/>
        </w:rPr>
      </w:pPr>
      <w:r>
        <w:rPr/>
        <w:t>Con referencia a lo anterior, el biomonitoreo es una medición controlada de sustancias químicas o marcadores biológicos en fluidos, tejidos u otras muestras accesibles de exposiciones a factores de riesgo ya sean químicos, físicos o biológicos en el lugar de trabajo o el medio ambiente. Los biomarcadores se basa en estudios del análisis del aire exhalado, sangre, orina y en muestras de</w:t>
      </w:r>
      <w:r>
        <w:rPr>
          <w:spacing w:val="-27"/>
        </w:rPr>
        <w:t> </w:t>
      </w:r>
      <w:r>
        <w:rPr/>
        <w:t>tejido</w:t>
      </w:r>
      <w:r>
        <w:rPr>
          <w:position w:val="8"/>
          <w:sz w:val="16"/>
        </w:rPr>
        <w:t>73</w:t>
      </w:r>
      <w:r>
        <w:rPr>
          <w:rFonts w:ascii="Calibri" w:hAnsi="Calibri"/>
          <w:sz w:val="23"/>
        </w:rPr>
        <w:t>.</w:t>
      </w:r>
    </w:p>
    <w:p>
      <w:pPr>
        <w:pStyle w:val="BodyText"/>
        <w:spacing w:before="6"/>
        <w:rPr>
          <w:rFonts w:ascii="Calibri"/>
          <w:sz w:val="33"/>
        </w:rPr>
      </w:pPr>
    </w:p>
    <w:p>
      <w:pPr>
        <w:pStyle w:val="BodyText"/>
        <w:spacing w:line="360" w:lineRule="auto" w:before="1"/>
        <w:ind w:left="1418" w:right="1699"/>
        <w:jc w:val="both"/>
      </w:pPr>
      <w:r>
        <w:rPr/>
        <w:t>Para la detección de daño genético se emplean biomarcadores que indican el riesgo de toxicidad, por exposición a un agente tóxico, mediante el control de las cantidades tomadas   que   muestran   los   cambios   bioquímicos,   fisiológicos   o  morfológicos</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57" w:lineRule="auto" w:before="69"/>
        <w:ind w:left="1418" w:right="1707"/>
        <w:jc w:val="both"/>
      </w:pPr>
      <w:r>
        <w:rPr/>
        <w:t>medibles, que se producen en un sistema biológico y se interpretan como un reflejo o indicador que cuantifica la exposición, el efecto biológico temprano y la susceptibilidad</w:t>
      </w:r>
      <w:r>
        <w:rPr>
          <w:position w:val="8"/>
          <w:sz w:val="16"/>
        </w:rPr>
        <w:t>16, 67</w:t>
      </w:r>
      <w:r>
        <w:rPr/>
        <w:t>.</w:t>
      </w:r>
    </w:p>
    <w:p>
      <w:pPr>
        <w:pStyle w:val="BodyText"/>
        <w:spacing w:before="2"/>
        <w:rPr>
          <w:sz w:val="36"/>
        </w:rPr>
      </w:pPr>
    </w:p>
    <w:p>
      <w:pPr>
        <w:pStyle w:val="BodyText"/>
        <w:spacing w:line="355" w:lineRule="auto" w:before="1"/>
        <w:ind w:left="1418" w:right="1704"/>
        <w:jc w:val="both"/>
      </w:pPr>
      <w:r>
        <w:rPr/>
        <w:t>Los marcadores biológicos se clasifican por lo general en tres tipos: biomarcadores de la exposición, biomarcadores del efecto y biomarcadores de la susceptibilidad</w:t>
      </w:r>
      <w:r>
        <w:rPr>
          <w:position w:val="8"/>
          <w:sz w:val="16"/>
        </w:rPr>
        <w:t>67</w:t>
      </w:r>
      <w:r>
        <w:rPr/>
        <w:t>.</w:t>
      </w:r>
    </w:p>
    <w:p>
      <w:pPr>
        <w:pStyle w:val="BodyText"/>
        <w:spacing w:before="2"/>
        <w:rPr>
          <w:sz w:val="36"/>
        </w:rPr>
      </w:pPr>
    </w:p>
    <w:p>
      <w:pPr>
        <w:spacing w:before="1"/>
        <w:ind w:left="1778" w:right="1703" w:firstLine="0"/>
        <w:jc w:val="left"/>
        <w:rPr>
          <w:sz w:val="24"/>
        </w:rPr>
      </w:pPr>
      <w:r>
        <w:rPr>
          <w:rFonts w:ascii="Courier New" w:hAnsi="Courier New"/>
          <w:b/>
          <w:sz w:val="32"/>
        </w:rPr>
        <w:t>ͽ </w:t>
      </w:r>
      <w:r>
        <w:rPr>
          <w:i/>
          <w:sz w:val="24"/>
        </w:rPr>
        <w:t>Biomarcador de exposición</w:t>
      </w:r>
      <w:r>
        <w:rPr>
          <w:sz w:val="24"/>
        </w:rPr>
        <w:t>:</w:t>
      </w:r>
    </w:p>
    <w:p>
      <w:pPr>
        <w:pStyle w:val="BodyText"/>
        <w:spacing w:before="3"/>
        <w:rPr>
          <w:sz w:val="44"/>
        </w:rPr>
      </w:pPr>
    </w:p>
    <w:p>
      <w:pPr>
        <w:pStyle w:val="BodyText"/>
        <w:spacing w:line="357" w:lineRule="auto" w:before="1"/>
        <w:ind w:left="2138" w:right="1697"/>
        <w:jc w:val="both"/>
      </w:pPr>
      <w:r>
        <w:rPr/>
        <w:t>Puede ser un compuesto exógeno o metabolitos que penetran en el cuerpo a diferentes niveles, un producto interactivo entre el compuesto (o metabolito) y un componente endógeno, o cualquier otro hecho relacionado con la exposición</w:t>
      </w:r>
      <w:r>
        <w:rPr>
          <w:position w:val="8"/>
          <w:sz w:val="16"/>
        </w:rPr>
        <w:t>67, 73</w:t>
      </w:r>
      <w:r>
        <w:rPr/>
        <w:t>, la mayoría de estos marcadores indican exposición a contaminantes ambientales que son importantes para la salud pública</w:t>
      </w:r>
      <w:r>
        <w:rPr>
          <w:position w:val="8"/>
          <w:sz w:val="16"/>
        </w:rPr>
        <w:t>16</w:t>
      </w:r>
      <w:r>
        <w:rPr/>
        <w:t>.</w:t>
      </w:r>
    </w:p>
    <w:p>
      <w:pPr>
        <w:pStyle w:val="BodyText"/>
        <w:spacing w:before="2"/>
        <w:rPr>
          <w:sz w:val="36"/>
        </w:rPr>
      </w:pPr>
    </w:p>
    <w:p>
      <w:pPr>
        <w:pStyle w:val="BodyText"/>
        <w:spacing w:line="357" w:lineRule="auto" w:before="1"/>
        <w:ind w:left="2138" w:right="1702"/>
        <w:jc w:val="both"/>
      </w:pPr>
      <w:r>
        <w:rPr/>
        <w:t>Específicamente para detectar la exposición a plaguicidas se  utilizan diferentes biomarcadores como: la depresión de los niveles de colinesterasa y detección de aductos en hemoglobina</w:t>
      </w:r>
      <w:r>
        <w:rPr>
          <w:position w:val="8"/>
          <w:sz w:val="16"/>
        </w:rPr>
        <w:t>33</w:t>
      </w:r>
      <w:r>
        <w:rPr/>
        <w:t>.</w:t>
      </w:r>
    </w:p>
    <w:p>
      <w:pPr>
        <w:pStyle w:val="BodyText"/>
        <w:rPr>
          <w:sz w:val="36"/>
        </w:rPr>
      </w:pPr>
    </w:p>
    <w:p>
      <w:pPr>
        <w:spacing w:before="0"/>
        <w:ind w:left="1778" w:right="1703" w:firstLine="0"/>
        <w:jc w:val="left"/>
        <w:rPr>
          <w:b/>
          <w:sz w:val="24"/>
        </w:rPr>
      </w:pPr>
      <w:r>
        <w:rPr>
          <w:rFonts w:ascii="Courier New" w:hAnsi="Courier New"/>
          <w:b/>
          <w:sz w:val="32"/>
        </w:rPr>
        <w:t>ͽ </w:t>
      </w:r>
      <w:r>
        <w:rPr>
          <w:i/>
          <w:sz w:val="24"/>
        </w:rPr>
        <w:t>Biomarcador del efecto</w:t>
      </w:r>
      <w:r>
        <w:rPr>
          <w:b/>
          <w:sz w:val="24"/>
        </w:rPr>
        <w:t>:</w:t>
      </w:r>
    </w:p>
    <w:p>
      <w:pPr>
        <w:pStyle w:val="BodyText"/>
        <w:spacing w:before="3"/>
        <w:rPr>
          <w:b/>
          <w:sz w:val="44"/>
        </w:rPr>
      </w:pPr>
    </w:p>
    <w:p>
      <w:pPr>
        <w:pStyle w:val="BodyText"/>
        <w:spacing w:line="357" w:lineRule="auto"/>
        <w:ind w:left="2138" w:right="1698"/>
        <w:jc w:val="both"/>
      </w:pPr>
      <w:r>
        <w:rPr/>
        <w:t>Son indicativos de cambios bioquímicos en un organismo como resultado de  la exposición a xenobióticos</w:t>
      </w:r>
      <w:r>
        <w:rPr>
          <w:position w:val="8"/>
          <w:sz w:val="16"/>
        </w:rPr>
        <w:t>67</w:t>
      </w:r>
      <w:r>
        <w:rPr/>
        <w:t>. Incluyen modificaciones en la composición celular sanguínea, alteraciones en actividades enzimáticas, aparición de aductos del ADN, incrementos localizados de ARN-m, aumento de determinadas proteínas, e incluso aparición de anticuerpos específicos (autoanticuerpos) contra un xenobiótico o frente a fracciones celulares  (núcleo,</w:t>
      </w:r>
      <w:r>
        <w:rPr>
          <w:spacing w:val="-4"/>
        </w:rPr>
        <w:t> </w:t>
      </w:r>
      <w:r>
        <w:rPr/>
        <w:t>membrana)</w:t>
      </w:r>
      <w:r>
        <w:rPr>
          <w:position w:val="8"/>
          <w:sz w:val="16"/>
        </w:rPr>
        <w:t>73</w:t>
      </w:r>
      <w:r>
        <w:rPr/>
        <w:t>.</w:t>
      </w:r>
    </w:p>
    <w:p>
      <w:pPr>
        <w:spacing w:after="0" w:line="357" w:lineRule="auto"/>
        <w:jc w:val="both"/>
        <w:sectPr>
          <w:pgSz w:w="12240" w:h="15840"/>
          <w:pgMar w:header="0" w:footer="599" w:top="1500" w:bottom="780" w:left="0" w:right="0"/>
        </w:sectPr>
      </w:pPr>
    </w:p>
    <w:p>
      <w:pPr>
        <w:pStyle w:val="BodyText"/>
        <w:spacing w:before="4"/>
        <w:rPr>
          <w:sz w:val="11"/>
        </w:rPr>
      </w:pPr>
    </w:p>
    <w:p>
      <w:pPr>
        <w:pStyle w:val="BodyText"/>
        <w:spacing w:line="357" w:lineRule="auto" w:before="69"/>
        <w:ind w:left="2138" w:right="1697"/>
        <w:jc w:val="both"/>
      </w:pPr>
      <w:r>
        <w:rPr/>
        <w:t>Las mutaciones genéticas y alteraciones cromosómicas a menudo se consideran biomarcadores de primeros efectos biológicos en los procesos cancerígenos y suelen utilizarse como indicadores preclínicos de anomalías</w:t>
      </w:r>
      <w:r>
        <w:rPr>
          <w:position w:val="8"/>
          <w:sz w:val="16"/>
        </w:rPr>
        <w:t>72</w:t>
      </w:r>
      <w:r>
        <w:rPr/>
        <w:t>.</w:t>
      </w:r>
    </w:p>
    <w:p>
      <w:pPr>
        <w:pStyle w:val="BodyText"/>
        <w:spacing w:before="2"/>
        <w:rPr>
          <w:sz w:val="36"/>
        </w:rPr>
      </w:pPr>
    </w:p>
    <w:p>
      <w:pPr>
        <w:pStyle w:val="BodyText"/>
        <w:spacing w:line="360" w:lineRule="auto" w:before="1"/>
        <w:ind w:left="2138" w:right="1704"/>
        <w:jc w:val="both"/>
      </w:pPr>
      <w:r>
        <w:rPr/>
        <w:t>Los biomarcadores del efecto pueden ser específicos o no específicos. Los específicos son útiles porque indican un efecto biológico de una exposición concreta, aportan datos que pueden ser valiosos de cara a la prevención. Los biomarcadores no específicos no indican una causa individual del efecto, pero pueden reflejar el efecto total integrado debido a una exposición combinada</w:t>
      </w:r>
      <w:r>
        <w:rPr>
          <w:position w:val="8"/>
          <w:sz w:val="16"/>
        </w:rPr>
        <w:t>67</w:t>
      </w:r>
      <w:r>
        <w:rPr/>
        <w:t>.</w:t>
      </w:r>
    </w:p>
    <w:p>
      <w:pPr>
        <w:pStyle w:val="BodyText"/>
        <w:rPr>
          <w:sz w:val="36"/>
        </w:rPr>
      </w:pPr>
    </w:p>
    <w:p>
      <w:pPr>
        <w:pStyle w:val="BodyText"/>
        <w:spacing w:line="357" w:lineRule="auto"/>
        <w:ind w:left="2138" w:right="1697"/>
        <w:jc w:val="both"/>
      </w:pPr>
      <w:r>
        <w:rPr/>
        <w:t>Los dos tipos de biomarcadores pueden ser de considerable utilidad en el ámbito de la salud en el trabajo</w:t>
      </w:r>
      <w:r>
        <w:rPr>
          <w:position w:val="8"/>
          <w:sz w:val="16"/>
        </w:rPr>
        <w:t>67</w:t>
      </w:r>
      <w:r>
        <w:rPr/>
        <w:t>. Entre los biomarcadores para efectos biológicos tempranos de la exposición a agentes mutágenos ambientales, los micronúcleos y aberraciones cromosómicas pueden ser los más relevantes</w:t>
      </w:r>
      <w:r>
        <w:rPr>
          <w:position w:val="8"/>
          <w:sz w:val="16"/>
        </w:rPr>
        <w:t>16</w:t>
      </w:r>
      <w:r>
        <w:rPr/>
        <w:t>.</w:t>
      </w:r>
    </w:p>
    <w:p>
      <w:pPr>
        <w:pStyle w:val="BodyText"/>
        <w:spacing w:before="2"/>
        <w:rPr>
          <w:sz w:val="36"/>
        </w:rPr>
      </w:pPr>
    </w:p>
    <w:p>
      <w:pPr>
        <w:pStyle w:val="BodyText"/>
        <w:spacing w:line="357" w:lineRule="auto" w:before="1"/>
        <w:ind w:left="2138" w:right="1700"/>
        <w:jc w:val="both"/>
      </w:pPr>
      <w:r>
        <w:rPr/>
        <w:t>Otro ejemplo de biomarcador de efecto de relevancia para las mezclas complejas de plaguicidas los que evalúan los cambios en los sistemas biológicos, por ejemplo, inhibición de la acetilcolinesterasa de exposición a plaguicidas organofosforados</w:t>
      </w:r>
      <w:r>
        <w:rPr>
          <w:position w:val="8"/>
          <w:sz w:val="16"/>
        </w:rPr>
        <w:t>72</w:t>
      </w:r>
      <w:r>
        <w:rPr/>
        <w:t>.</w:t>
      </w:r>
    </w:p>
    <w:p>
      <w:pPr>
        <w:pStyle w:val="BodyText"/>
        <w:rPr>
          <w:sz w:val="36"/>
        </w:rPr>
      </w:pPr>
    </w:p>
    <w:p>
      <w:pPr>
        <w:spacing w:before="0"/>
        <w:ind w:left="1778" w:right="1703" w:firstLine="0"/>
        <w:jc w:val="left"/>
        <w:rPr>
          <w:b/>
          <w:sz w:val="24"/>
        </w:rPr>
      </w:pPr>
      <w:r>
        <w:rPr>
          <w:rFonts w:ascii="Courier New" w:hAnsi="Courier New"/>
          <w:b/>
          <w:sz w:val="32"/>
        </w:rPr>
        <w:t>ͽ </w:t>
      </w:r>
      <w:r>
        <w:rPr>
          <w:i/>
          <w:sz w:val="24"/>
        </w:rPr>
        <w:t>Biomarcador de la susceptibilidad</w:t>
      </w:r>
      <w:r>
        <w:rPr>
          <w:b/>
          <w:sz w:val="24"/>
        </w:rPr>
        <w:t>:</w:t>
      </w:r>
    </w:p>
    <w:p>
      <w:pPr>
        <w:pStyle w:val="BodyText"/>
        <w:spacing w:before="5"/>
        <w:rPr>
          <w:b/>
          <w:sz w:val="44"/>
        </w:rPr>
      </w:pPr>
    </w:p>
    <w:p>
      <w:pPr>
        <w:pStyle w:val="BodyText"/>
        <w:spacing w:line="360" w:lineRule="auto"/>
        <w:ind w:left="2138" w:right="1696"/>
        <w:jc w:val="both"/>
      </w:pPr>
      <w:r>
        <w:rPr/>
        <w:t>Un marcador de la susceptibilidad, sea heredado o inducido, es un indicador de que el individuo es especialmente sensible al efecto de un xenobiótico o los efectos de un grupo de xenobióticos, que indican una capacidad a menudo constitutiva de un individuo para responder a riesgos específicos</w:t>
      </w:r>
      <w:r>
        <w:rPr>
          <w:position w:val="8"/>
          <w:sz w:val="16"/>
        </w:rPr>
        <w:t>72</w:t>
      </w:r>
      <w:r>
        <w:rPr/>
        <w:t>. La capacidad de reparación del daño genético también está determinada genéticamente y aquellos individuos deficientes en los mecanismos de reparación sufrirán mayores niveles de daño genético irreversible, incluso frente a exposiciones de baja intensidad. Otros indicadores de </w:t>
      </w:r>
      <w:r>
        <w:rPr>
          <w:spacing w:val="32"/>
        </w:rPr>
        <w:t> </w:t>
      </w:r>
      <w:r>
        <w:rPr/>
        <w:t>susceptibilidad</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57" w:lineRule="auto" w:before="69"/>
        <w:ind w:left="2138" w:right="1700"/>
        <w:jc w:val="both"/>
      </w:pPr>
      <w:r>
        <w:rPr/>
        <w:t>que deben ser considerados son las diferencias inmunológicas y factores nutricionales, como las deficiencias en folato o vitamina C, que pueden incidir en la existencia de mayor daño genético</w:t>
      </w:r>
      <w:r>
        <w:rPr>
          <w:position w:val="8"/>
          <w:sz w:val="16"/>
        </w:rPr>
        <w:t>33</w:t>
      </w:r>
      <w:r>
        <w:rPr/>
        <w:t>. Se ha hecho hincapié en la susceptibilidad genética que puede deberse a un rasgo heredado y a la constitución del individuo a factores ambientales</w:t>
      </w:r>
      <w:r>
        <w:rPr>
          <w:position w:val="8"/>
          <w:sz w:val="16"/>
        </w:rPr>
        <w:t>67</w:t>
      </w:r>
      <w:r>
        <w:rPr/>
        <w:t>.</w:t>
      </w:r>
    </w:p>
    <w:p>
      <w:pPr>
        <w:pStyle w:val="BodyText"/>
        <w:spacing w:before="2"/>
        <w:rPr>
          <w:sz w:val="36"/>
        </w:rPr>
      </w:pPr>
    </w:p>
    <w:p>
      <w:pPr>
        <w:pStyle w:val="BodyText"/>
        <w:spacing w:line="360" w:lineRule="auto" w:before="1"/>
        <w:ind w:left="1418" w:right="1701"/>
        <w:jc w:val="both"/>
      </w:pPr>
      <w:r>
        <w:rPr/>
        <w:t>La utilización de biomarcadores que reflejan los efectos y la exposición a carcinógenos se vislumbra como una herramienta útil en el monitoreo de riesgo laboral, ya que permite tomar medidas para disminuir la exposición al agente tóxico cuando su efecto es reversible lo que disminuye el riesgo de desarrollar enfermedades degenerativas, envejecimiento precoz y cáncer</w:t>
      </w:r>
      <w:r>
        <w:rPr>
          <w:position w:val="8"/>
          <w:sz w:val="16"/>
        </w:rPr>
        <w:t>15, 72</w:t>
      </w:r>
      <w:r>
        <w:rPr/>
        <w:t>.</w:t>
      </w:r>
    </w:p>
    <w:p>
      <w:pPr>
        <w:pStyle w:val="BodyText"/>
        <w:rPr>
          <w:sz w:val="26"/>
        </w:rPr>
      </w:pPr>
    </w:p>
    <w:p>
      <w:pPr>
        <w:pStyle w:val="BodyText"/>
        <w:rPr>
          <w:sz w:val="26"/>
        </w:rPr>
      </w:pPr>
    </w:p>
    <w:p>
      <w:pPr>
        <w:pStyle w:val="Heading4"/>
        <w:spacing w:before="229"/>
        <w:ind w:left="2551" w:right="1703"/>
      </w:pPr>
      <w:r>
        <w:rPr/>
        <w:t>5.1.2.  Biomarcadores de efecto</w:t>
      </w:r>
    </w:p>
    <w:p>
      <w:pPr>
        <w:pStyle w:val="BodyText"/>
        <w:rPr>
          <w:b/>
        </w:rPr>
      </w:pPr>
    </w:p>
    <w:p>
      <w:pPr>
        <w:pStyle w:val="BodyText"/>
        <w:rPr>
          <w:b/>
        </w:rPr>
      </w:pPr>
    </w:p>
    <w:p>
      <w:pPr>
        <w:pStyle w:val="BodyText"/>
        <w:spacing w:line="360" w:lineRule="auto"/>
        <w:ind w:left="1418" w:right="1706"/>
        <w:jc w:val="both"/>
      </w:pPr>
      <w:r>
        <w:rPr/>
        <w:t>Los estudios pueden realizarse a partir de sangre de personas expuestas a genotóxicos y permiten detectar efectos tempranos y pueden agruparse en estudios citogenéticos, moleculares y bioquímicos.</w:t>
      </w:r>
    </w:p>
    <w:p>
      <w:pPr>
        <w:pStyle w:val="BodyText"/>
      </w:pPr>
    </w:p>
    <w:p>
      <w:pPr>
        <w:pStyle w:val="BodyText"/>
        <w:spacing w:line="357" w:lineRule="auto" w:before="142"/>
        <w:ind w:left="1418" w:right="1704"/>
        <w:jc w:val="both"/>
      </w:pPr>
      <w:r>
        <w:rPr/>
        <w:t>Los estudios citogenéticos son: el ensayo de aberraciones cromosómicas (AC), el ensayo de micronúcleos (MN), que también puede realizarse en células epiteliales obtenidas de las mucosas y el ensayo de intercambio de cromátidas hermanas (ICH)</w:t>
      </w:r>
      <w:r>
        <w:rPr>
          <w:position w:val="8"/>
          <w:sz w:val="16"/>
        </w:rPr>
        <w:t>15</w:t>
      </w:r>
      <w:r>
        <w:rPr/>
        <w:t>.</w:t>
      </w:r>
    </w:p>
    <w:p>
      <w:pPr>
        <w:pStyle w:val="BodyText"/>
        <w:spacing w:before="6"/>
        <w:rPr>
          <w:sz w:val="30"/>
        </w:rPr>
      </w:pPr>
    </w:p>
    <w:p>
      <w:pPr>
        <w:pStyle w:val="Heading4"/>
        <w:numPr>
          <w:ilvl w:val="0"/>
          <w:numId w:val="7"/>
        </w:numPr>
        <w:tabs>
          <w:tab w:pos="2138" w:val="left" w:leader="none"/>
          <w:tab w:pos="2139" w:val="left" w:leader="none"/>
        </w:tabs>
        <w:spacing w:line="240" w:lineRule="auto" w:before="0" w:after="0"/>
        <w:ind w:left="2138" w:right="0" w:hanging="360"/>
        <w:jc w:val="left"/>
        <w:rPr>
          <w:b w:val="0"/>
        </w:rPr>
      </w:pPr>
      <w:r>
        <w:rPr/>
        <w:t>Ensayo de aberraciones cromosómicas</w:t>
      </w:r>
      <w:r>
        <w:rPr>
          <w:spacing w:val="-13"/>
        </w:rPr>
        <w:t> </w:t>
      </w:r>
      <w:r>
        <w:rPr/>
        <w:t>(AC)</w:t>
      </w:r>
      <w:r>
        <w:rPr>
          <w:b w:val="0"/>
        </w:rPr>
        <w:t>:</w:t>
      </w:r>
    </w:p>
    <w:p>
      <w:pPr>
        <w:pStyle w:val="BodyText"/>
        <w:spacing w:line="357" w:lineRule="auto" w:before="135"/>
        <w:ind w:left="2126" w:right="1701"/>
        <w:jc w:val="both"/>
      </w:pPr>
      <w:r>
        <w:rPr/>
        <w:t>Permite detectar alteraciones numéricas (efecto aneugénico) o estructurales (efecto clastogénico) a nivel cromosomico</w:t>
      </w:r>
      <w:r>
        <w:rPr>
          <w:position w:val="8"/>
          <w:sz w:val="16"/>
        </w:rPr>
        <w:t>74</w:t>
      </w:r>
      <w:r>
        <w:rPr/>
        <w:t>, la importancia de este ensayo radica en que existen evidencias experimentales y epidemiológicas de que las aberraciones estructurales están involucradas en el proceso de carcinogénesis y por lo tanto el incremento en el número de aberraciones cromosómicas está asociado con padecer mayor riesgo de cáncer en el futuro</w:t>
      </w:r>
      <w:r>
        <w:rPr>
          <w:position w:val="8"/>
          <w:sz w:val="16"/>
        </w:rPr>
        <w:t>7</w:t>
      </w:r>
      <w:r>
        <w:rPr/>
        <w:t>.</w:t>
      </w:r>
    </w:p>
    <w:p>
      <w:pPr>
        <w:spacing w:after="0" w:line="357" w:lineRule="auto"/>
        <w:jc w:val="both"/>
        <w:sectPr>
          <w:pgSz w:w="12240" w:h="15840"/>
          <w:pgMar w:header="0" w:footer="599" w:top="1500" w:bottom="780" w:left="0" w:right="0"/>
        </w:sectPr>
      </w:pPr>
    </w:p>
    <w:p>
      <w:pPr>
        <w:pStyle w:val="BodyText"/>
        <w:rPr>
          <w:sz w:val="20"/>
        </w:rPr>
      </w:pPr>
    </w:p>
    <w:p>
      <w:pPr>
        <w:pStyle w:val="BodyText"/>
        <w:spacing w:before="5"/>
        <w:rPr>
          <w:sz w:val="28"/>
        </w:rPr>
      </w:pPr>
    </w:p>
    <w:p>
      <w:pPr>
        <w:pStyle w:val="Heading4"/>
        <w:numPr>
          <w:ilvl w:val="0"/>
          <w:numId w:val="7"/>
        </w:numPr>
        <w:tabs>
          <w:tab w:pos="2138" w:val="left" w:leader="none"/>
          <w:tab w:pos="2139" w:val="left" w:leader="none"/>
        </w:tabs>
        <w:spacing w:line="240" w:lineRule="auto" w:before="56" w:after="0"/>
        <w:ind w:left="2138" w:right="0" w:hanging="360"/>
        <w:jc w:val="left"/>
        <w:rPr>
          <w:b w:val="0"/>
        </w:rPr>
      </w:pPr>
      <w:r>
        <w:rPr/>
        <w:t>Ensayo de micronúcleos</w:t>
      </w:r>
      <w:r>
        <w:rPr>
          <w:spacing w:val="-6"/>
        </w:rPr>
        <w:t> </w:t>
      </w:r>
      <w:r>
        <w:rPr/>
        <w:t>(MN)</w:t>
      </w:r>
      <w:r>
        <w:rPr>
          <w:b w:val="0"/>
        </w:rPr>
        <w:t>:</w:t>
      </w:r>
    </w:p>
    <w:p>
      <w:pPr>
        <w:pStyle w:val="BodyText"/>
        <w:spacing w:line="360" w:lineRule="auto" w:before="135"/>
        <w:ind w:left="2126" w:right="1698"/>
        <w:jc w:val="both"/>
      </w:pPr>
      <w:r>
        <w:rPr/>
        <w:t>Detecta rupturas a nivel de los cromosomas y alteraciones a nivel del aparato mitótico, por lo que permite también identificar compuestos con efectos aneugénicos y clastogénicos. Se utiliza ampliamente en epidemiología molecular y citogenética para evaluar la presencia y el grado de daño cromosómico en poblaciones humanas expuestas a agentes genotóxicos o teniendo un perfil genético susceptible</w:t>
      </w:r>
      <w:r>
        <w:rPr>
          <w:position w:val="8"/>
          <w:sz w:val="16"/>
        </w:rPr>
        <w:t>78</w:t>
      </w:r>
      <w:r>
        <w:rPr/>
        <w:t>. En comparación con las AC, el marcador de MN es más simple y consume menos tiempo. Los resultados de un análisis prospectivo de una base de datos de 6700 sujetos de 20 laboratorios representando diez países diferentes han confirmado que una frecuencia elevada de MN es predictiva de un riesgo aumentado de cáncer</w:t>
      </w:r>
      <w:r>
        <w:rPr>
          <w:position w:val="8"/>
          <w:sz w:val="16"/>
        </w:rPr>
        <w:t>20</w:t>
      </w:r>
      <w:r>
        <w:rPr/>
        <w:t>.</w:t>
      </w:r>
    </w:p>
    <w:p>
      <w:pPr>
        <w:pStyle w:val="BodyText"/>
        <w:rPr>
          <w:sz w:val="36"/>
        </w:rPr>
      </w:pPr>
    </w:p>
    <w:p>
      <w:pPr>
        <w:pStyle w:val="Heading4"/>
        <w:numPr>
          <w:ilvl w:val="0"/>
          <w:numId w:val="7"/>
        </w:numPr>
        <w:tabs>
          <w:tab w:pos="2138" w:val="left" w:leader="none"/>
          <w:tab w:pos="2139" w:val="left" w:leader="none"/>
        </w:tabs>
        <w:spacing w:line="240" w:lineRule="auto" w:before="1" w:after="0"/>
        <w:ind w:left="2138" w:right="0" w:hanging="360"/>
        <w:jc w:val="left"/>
      </w:pPr>
      <w:r>
        <w:rPr/>
        <w:t>Ensayo de intercambio de cromátidas hermanas</w:t>
      </w:r>
      <w:r>
        <w:rPr>
          <w:spacing w:val="-11"/>
        </w:rPr>
        <w:t> </w:t>
      </w:r>
      <w:r>
        <w:rPr/>
        <w:t>(ICH):</w:t>
      </w:r>
    </w:p>
    <w:p>
      <w:pPr>
        <w:pStyle w:val="BodyText"/>
        <w:spacing w:line="360" w:lineRule="auto" w:before="135"/>
        <w:ind w:left="2126" w:right="1700"/>
        <w:jc w:val="both"/>
      </w:pPr>
      <w:r>
        <w:rPr/>
        <w:t>Es una técnica citogenética que se emplea para evaluar alteraciones a nivel  de los cromosomas. El intercambio entre cromátides hermanas se produce justamente por el intercambio recíproco de ADN entre dos cromátides hermanas de un cromosoma duplicado. La frecuencia de intercambio en células eucariotas se ve incrementada por la exposición a agentes  genotóxicos que inducen daño al ADN interfiriendo con la replicación del mismo. Sin embargo, los mecanismos de formación no están completamente dilucidados y por lo tanto su significado biológico es aún</w:t>
      </w:r>
      <w:r>
        <w:rPr>
          <w:spacing w:val="-13"/>
        </w:rPr>
        <w:t> </w:t>
      </w:r>
      <w:r>
        <w:rPr/>
        <w:t>incierto</w:t>
      </w:r>
      <w:r>
        <w:rPr>
          <w:position w:val="8"/>
          <w:sz w:val="16"/>
        </w:rPr>
        <w:t>7</w:t>
      </w:r>
      <w:r>
        <w:rPr/>
        <w:t>.</w:t>
      </w:r>
    </w:p>
    <w:p>
      <w:pPr>
        <w:pStyle w:val="BodyText"/>
        <w:rPr>
          <w:sz w:val="36"/>
        </w:rPr>
      </w:pPr>
    </w:p>
    <w:p>
      <w:pPr>
        <w:pStyle w:val="BodyText"/>
        <w:ind w:left="1418" w:right="1703"/>
      </w:pPr>
      <w:r>
        <w:rPr/>
        <w:t>En lo que respecta a estudios moleculares:</w:t>
      </w:r>
    </w:p>
    <w:p>
      <w:pPr>
        <w:pStyle w:val="BodyText"/>
      </w:pPr>
    </w:p>
    <w:p>
      <w:pPr>
        <w:pStyle w:val="BodyText"/>
        <w:spacing w:before="1"/>
      </w:pPr>
    </w:p>
    <w:p>
      <w:pPr>
        <w:pStyle w:val="Heading4"/>
        <w:numPr>
          <w:ilvl w:val="0"/>
          <w:numId w:val="7"/>
        </w:numPr>
        <w:tabs>
          <w:tab w:pos="2138" w:val="left" w:leader="none"/>
          <w:tab w:pos="2139" w:val="left" w:leader="none"/>
        </w:tabs>
        <w:spacing w:line="240" w:lineRule="auto" w:before="0" w:after="0"/>
        <w:ind w:left="2138" w:right="0" w:hanging="360"/>
        <w:jc w:val="left"/>
        <w:rPr>
          <w:b w:val="0"/>
        </w:rPr>
      </w:pPr>
      <w:r>
        <w:rPr/>
        <w:t>Ensayo</w:t>
      </w:r>
      <w:r>
        <w:rPr>
          <w:spacing w:val="-3"/>
        </w:rPr>
        <w:t> </w:t>
      </w:r>
      <w:r>
        <w:rPr/>
        <w:t>cometa</w:t>
      </w:r>
      <w:r>
        <w:rPr>
          <w:b w:val="0"/>
        </w:rPr>
        <w:t>:</w:t>
      </w:r>
    </w:p>
    <w:p>
      <w:pPr>
        <w:pStyle w:val="BodyText"/>
        <w:spacing w:line="360" w:lineRule="auto" w:before="137"/>
        <w:ind w:left="2126" w:right="1701"/>
        <w:jc w:val="both"/>
      </w:pPr>
      <w:r>
        <w:rPr/>
        <w:t>Es una técnica de electroforesis en microgeles de agarosa considerada de alta sensibilidad para detectar daño al ADN, a nivel de células individuales.  Permite evidenciar rupturas de simple y doble cadena del ADN, sitios álcali lábiles, y entrecruzamientos ADN/ADN o ADN proteína asociados con sitios</w:t>
      </w:r>
      <w:r>
        <w:rPr>
          <w:spacing w:val="2"/>
        </w:rPr>
        <w:t> </w:t>
      </w:r>
      <w:r>
        <w:rPr/>
        <w:t>de</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57" w:lineRule="auto" w:before="69"/>
        <w:ind w:left="2126" w:right="1698"/>
        <w:jc w:val="both"/>
      </w:pPr>
      <w:r>
        <w:rPr/>
        <w:t>reparación por escisión incompleta en células individuales. Cuando el núcleo es sometido a la electroforesis, los fragmentos rotos de ADN migran fuera del mismo, dándole la apariencia de cometa que dio lugar al nombre de la técnica</w:t>
      </w:r>
      <w:r>
        <w:rPr>
          <w:position w:val="8"/>
          <w:sz w:val="16"/>
        </w:rPr>
        <w:t>75</w:t>
      </w:r>
      <w:r>
        <w:rPr/>
        <w:t>.</w:t>
      </w:r>
    </w:p>
    <w:p>
      <w:pPr>
        <w:pStyle w:val="BodyText"/>
        <w:spacing w:before="2"/>
        <w:rPr>
          <w:sz w:val="36"/>
        </w:rPr>
      </w:pPr>
    </w:p>
    <w:p>
      <w:pPr>
        <w:pStyle w:val="BodyText"/>
        <w:spacing w:line="360" w:lineRule="auto" w:before="1"/>
        <w:ind w:left="1418" w:right="1696"/>
        <w:jc w:val="both"/>
      </w:pPr>
      <w:r>
        <w:rPr/>
        <w:t>Además, la Organización Mundial de la Salud (OMS, 1987) sugiere que por medio de estudios bioquímicos se mida la actividad de la enzima colinesterasa en el plasma como indicador biológico de la exposición de plaguicidas organofosforados y/o carbamatos, porque la toxicidad de sus sustancias afecta principalmente el sistema nervioso, inhibiendo la acetil colinesterasa neuronal, produciendo un incremento de  la acetilcolina en las sinapsis y desencadenando un síndrome colinérgico agudo una neurotransmisión continua, que puede llevar a la muerte si no existe una apropiada y rápida</w:t>
      </w:r>
      <w:r>
        <w:rPr>
          <w:spacing w:val="-4"/>
        </w:rPr>
        <w:t> </w:t>
      </w:r>
      <w:r>
        <w:rPr/>
        <w:t>intervención</w:t>
      </w:r>
      <w:r>
        <w:rPr>
          <w:position w:val="8"/>
          <w:sz w:val="16"/>
        </w:rPr>
        <w:t>60</w:t>
      </w:r>
      <w:r>
        <w:rPr/>
        <w:t>.</w:t>
      </w:r>
    </w:p>
    <w:p>
      <w:pPr>
        <w:pStyle w:val="BodyText"/>
        <w:rPr>
          <w:sz w:val="36"/>
        </w:rPr>
      </w:pPr>
    </w:p>
    <w:p>
      <w:pPr>
        <w:pStyle w:val="BodyText"/>
        <w:spacing w:line="357" w:lineRule="auto"/>
        <w:ind w:left="1418" w:right="1698"/>
        <w:jc w:val="both"/>
      </w:pPr>
      <w:r>
        <w:rPr/>
        <w:t>Con las metodologías citogenéticas, moleculares y bioquímicas que existen, es posible detectar cambios o alteraciones que actúan como señal de alarma, que permiten tomar las medidas oportunas para minimizar el riesgo para la salud</w:t>
      </w:r>
      <w:r>
        <w:rPr>
          <w:position w:val="8"/>
          <w:sz w:val="16"/>
        </w:rPr>
        <w:t>76, 15</w:t>
      </w:r>
      <w:r>
        <w:rPr/>
        <w:t>.</w:t>
      </w:r>
    </w:p>
    <w:p>
      <w:pPr>
        <w:pStyle w:val="BodyText"/>
        <w:rPr>
          <w:sz w:val="26"/>
        </w:rPr>
      </w:pPr>
    </w:p>
    <w:p>
      <w:pPr>
        <w:pStyle w:val="BodyText"/>
        <w:rPr>
          <w:sz w:val="26"/>
        </w:rPr>
      </w:pPr>
    </w:p>
    <w:p>
      <w:pPr>
        <w:pStyle w:val="Heading4"/>
        <w:numPr>
          <w:ilvl w:val="3"/>
          <w:numId w:val="3"/>
        </w:numPr>
        <w:tabs>
          <w:tab w:pos="2127" w:val="left" w:leader="none"/>
        </w:tabs>
        <w:spacing w:line="240" w:lineRule="auto" w:before="231" w:after="0"/>
        <w:ind w:left="2126" w:right="0" w:hanging="280"/>
        <w:jc w:val="left"/>
      </w:pPr>
      <w:r>
        <w:rPr/>
        <w:t>El ensayo de</w:t>
      </w:r>
      <w:r>
        <w:rPr>
          <w:spacing w:val="-6"/>
        </w:rPr>
        <w:t> </w:t>
      </w:r>
      <w:r>
        <w:rPr/>
        <w:t>micronúcleos</w:t>
      </w:r>
    </w:p>
    <w:p>
      <w:pPr>
        <w:pStyle w:val="BodyText"/>
        <w:rPr>
          <w:b/>
        </w:rPr>
      </w:pPr>
    </w:p>
    <w:p>
      <w:pPr>
        <w:pStyle w:val="BodyText"/>
        <w:rPr>
          <w:b/>
        </w:rPr>
      </w:pPr>
    </w:p>
    <w:p>
      <w:pPr>
        <w:pStyle w:val="BodyText"/>
        <w:ind w:left="1418"/>
        <w:jc w:val="both"/>
      </w:pPr>
      <w:r>
        <w:rPr/>
        <w:t>Estudios epidemiológicos y experimentales pusieron en evidencia un aumento de</w:t>
      </w:r>
      <w:r>
        <w:rPr>
          <w:spacing w:val="56"/>
        </w:rPr>
        <w:t> </w:t>
      </w:r>
      <w:r>
        <w:rPr/>
        <w:t>las</w:t>
      </w:r>
    </w:p>
    <w:p>
      <w:pPr>
        <w:pStyle w:val="BodyText"/>
        <w:spacing w:before="132"/>
        <w:ind w:left="1418"/>
        <w:jc w:val="both"/>
        <w:rPr>
          <w:sz w:val="16"/>
        </w:rPr>
      </w:pPr>
      <w:r>
        <w:rPr>
          <w:sz w:val="23"/>
        </w:rPr>
        <w:t>alteraciones </w:t>
      </w:r>
      <w:r>
        <w:rPr/>
        <w:t>cromosómicas como resultado de la exposición a agentes</w:t>
      </w:r>
      <w:r>
        <w:rPr>
          <w:spacing w:val="61"/>
        </w:rPr>
        <w:t> </w:t>
      </w:r>
      <w:r>
        <w:rPr/>
        <w:t>genotóxicos</w:t>
      </w:r>
      <w:r>
        <w:rPr>
          <w:position w:val="8"/>
          <w:sz w:val="16"/>
        </w:rPr>
        <w:t>71,</w:t>
      </w:r>
    </w:p>
    <w:p>
      <w:pPr>
        <w:pStyle w:val="BodyText"/>
        <w:spacing w:line="360" w:lineRule="auto" w:before="134"/>
        <w:ind w:left="1418" w:right="1703"/>
        <w:jc w:val="both"/>
      </w:pPr>
      <w:r>
        <w:rPr>
          <w:position w:val="8"/>
          <w:sz w:val="16"/>
        </w:rPr>
        <w:t>77</w:t>
      </w:r>
      <w:r>
        <w:rPr/>
        <w:t>. Muchas de las alteraciones, espontáneas o inducidas, que se producen en el ADN, se traducen en roturas y pérdidas cromosómicas. Sea cual sea el origen, algunas alteraciones se pueden reparar y volver a su estado inicial, si no se reparan  o se reparan incorrectamente, provocan diferentes anomalías, algunas de ellas detectables mediante diferentes técnicas citogéneticas y/o</w:t>
      </w:r>
      <w:r>
        <w:rPr>
          <w:spacing w:val="-21"/>
        </w:rPr>
        <w:t> </w:t>
      </w:r>
      <w:r>
        <w:rPr/>
        <w:t>moleculares</w:t>
      </w:r>
      <w:r>
        <w:rPr>
          <w:position w:val="8"/>
          <w:sz w:val="16"/>
        </w:rPr>
        <w:t>78</w:t>
      </w:r>
      <w:r>
        <w:rPr/>
        <w:t>.</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57" w:lineRule="auto" w:before="69"/>
        <w:ind w:left="1418" w:right="1699"/>
        <w:jc w:val="both"/>
      </w:pPr>
      <w:r>
        <w:rPr/>
        <w:t>Las técnicas citogenéticas más utilizadas para detectar cambios cromosómicos estructurales y numéricos, para evaluar el riesgo genético de determinadas poblaciones expuestas a mutágenos, es el análisis de MN</w:t>
      </w:r>
      <w:r>
        <w:rPr>
          <w:position w:val="8"/>
          <w:sz w:val="16"/>
        </w:rPr>
        <w:t>13</w:t>
      </w:r>
      <w:r>
        <w:rPr/>
        <w:t>.</w:t>
      </w:r>
    </w:p>
    <w:p>
      <w:pPr>
        <w:pStyle w:val="BodyText"/>
        <w:spacing w:before="2"/>
        <w:rPr>
          <w:sz w:val="36"/>
        </w:rPr>
      </w:pPr>
    </w:p>
    <w:p>
      <w:pPr>
        <w:pStyle w:val="BodyText"/>
        <w:spacing w:line="357" w:lineRule="auto" w:before="1"/>
        <w:ind w:left="1418" w:right="1704"/>
        <w:jc w:val="both"/>
      </w:pPr>
      <w:r>
        <w:rPr/>
        <w:t>Los MN forman parte de los biomarcadores de efecto, se originan espontáneamente, por estrés oxidativo, defectos genéticos, genes de reparación del ADN, así como por deficiencias de nutrientes o como respuesta a la acción de agentes clastogéncios y/o aneugénicos</w:t>
      </w:r>
      <w:r>
        <w:rPr>
          <w:position w:val="8"/>
          <w:sz w:val="16"/>
        </w:rPr>
        <w:t>26, 17</w:t>
      </w:r>
      <w:r>
        <w:rPr/>
        <w:t>.</w:t>
      </w:r>
    </w:p>
    <w:p>
      <w:pPr>
        <w:pStyle w:val="BodyText"/>
        <w:spacing w:before="3"/>
        <w:rPr>
          <w:sz w:val="36"/>
        </w:rPr>
      </w:pPr>
    </w:p>
    <w:p>
      <w:pPr>
        <w:pStyle w:val="BodyText"/>
        <w:spacing w:line="360" w:lineRule="auto"/>
        <w:ind w:left="1418" w:right="1696"/>
        <w:jc w:val="both"/>
      </w:pPr>
      <w:r>
        <w:rPr/>
        <w:t>Los MN son pequeños cuerpos extranucleares de masa de cromatina, que aparecen cerca del núcleo principal en las células interfásicas</w:t>
      </w:r>
      <w:r>
        <w:rPr>
          <w:position w:val="8"/>
          <w:sz w:val="16"/>
        </w:rPr>
        <w:t>20</w:t>
      </w:r>
      <w:r>
        <w:rPr/>
        <w:t>. La formación de los MN en las células divididas es el resultado de la rotura de un cromosoma (fragmentos  acéntricos sin centrómero), debido a una mala reparación de la lesión al ADN (daño clastogénico), los fragmentos al no disponer de centrómero no se incluirán en los núcleos de las células hijas durante la división celular, al no poderse unir al huso mitótico en la anafase. Estos fragmentos se rodean de membrana nuclear y  aparecen en el citoplasma como pequeños</w:t>
      </w:r>
      <w:r>
        <w:rPr>
          <w:spacing w:val="-15"/>
        </w:rPr>
        <w:t> </w:t>
      </w:r>
      <w:r>
        <w:rPr/>
        <w:t>núcleos</w:t>
      </w:r>
      <w:r>
        <w:rPr>
          <w:position w:val="8"/>
          <w:sz w:val="16"/>
        </w:rPr>
        <w:t>79</w:t>
      </w:r>
      <w:r>
        <w:rPr/>
        <w:t>.</w:t>
      </w:r>
    </w:p>
    <w:p>
      <w:pPr>
        <w:pStyle w:val="BodyText"/>
        <w:spacing w:before="9"/>
        <w:rPr>
          <w:sz w:val="35"/>
        </w:rPr>
      </w:pPr>
    </w:p>
    <w:p>
      <w:pPr>
        <w:pStyle w:val="BodyText"/>
        <w:spacing w:line="360" w:lineRule="auto"/>
        <w:ind w:left="1418" w:right="1696"/>
        <w:jc w:val="both"/>
      </w:pPr>
      <w:r>
        <w:rPr/>
        <w:t>Cuando el daño genotóxico se produce en cromosomas completos, donde se ha afectado a proteínas del cinetocoro, al centormero o al huso mitótico, lo más  probable es que se produzca un retraso mitótico y un desequilibrio en la distribución de los cromosomas, provocando que queden rezagados por una malsegregación de los cromosomas en la formación del huso mitótico (efecto aneuploidógeno) durante la anafase y se rodean de membrana nuclear, quedándose excluidos del núcleo principal de las células hijas resultantes</w:t>
      </w:r>
      <w:r>
        <w:rPr>
          <w:position w:val="8"/>
          <w:sz w:val="16"/>
        </w:rPr>
        <w:t>8, 13</w:t>
      </w:r>
      <w:r>
        <w:rPr/>
        <w:t>. En la interfase posterior condensan a pequeños núcleos que se identifican fácilmente</w:t>
      </w:r>
      <w:r>
        <w:rPr>
          <w:position w:val="8"/>
          <w:sz w:val="16"/>
        </w:rPr>
        <w:t>80,</w:t>
      </w:r>
      <w:r>
        <w:rPr>
          <w:spacing w:val="-14"/>
          <w:position w:val="8"/>
          <w:sz w:val="16"/>
        </w:rPr>
        <w:t> </w:t>
      </w:r>
      <w:r>
        <w:rPr>
          <w:position w:val="8"/>
          <w:sz w:val="16"/>
        </w:rPr>
        <w:t>77</w:t>
      </w:r>
      <w:r>
        <w:rPr/>
        <w:t>.</w:t>
      </w:r>
    </w:p>
    <w:p>
      <w:pPr>
        <w:pStyle w:val="BodyText"/>
        <w:rPr>
          <w:sz w:val="22"/>
        </w:rPr>
      </w:pPr>
    </w:p>
    <w:p>
      <w:pPr>
        <w:pStyle w:val="BodyText"/>
        <w:spacing w:line="360" w:lineRule="auto"/>
        <w:ind w:left="1418" w:right="1696"/>
        <w:jc w:val="both"/>
      </w:pPr>
      <w:r>
        <w:rPr/>
        <w:t>El significado biológico de los MN dependerá de la región involucrada en la rotura y del cromosoma(s) que se pierda. Si bien, alguna rotura puede provocar muerte celular,  las  aneuploidías,  tanto  germinales  como  somáticas  se  relacionan    </w:t>
      </w:r>
      <w:r>
        <w:rPr>
          <w:spacing w:val="62"/>
        </w:rPr>
        <w:t> </w:t>
      </w:r>
      <w:r>
        <w:rPr/>
        <w:t>con</w:t>
      </w:r>
    </w:p>
    <w:p>
      <w:pPr>
        <w:spacing w:after="0" w:line="360" w:lineRule="auto"/>
        <w:jc w:val="both"/>
        <w:sectPr>
          <w:footerReference w:type="default" r:id="rId163"/>
          <w:pgSz w:w="12240" w:h="15840"/>
          <w:pgMar w:footer="599" w:header="0" w:top="1500" w:bottom="780" w:left="0" w:right="0"/>
        </w:sectPr>
      </w:pPr>
    </w:p>
    <w:p>
      <w:pPr>
        <w:pStyle w:val="BodyText"/>
        <w:spacing w:before="4"/>
        <w:rPr>
          <w:sz w:val="11"/>
        </w:rPr>
      </w:pPr>
    </w:p>
    <w:p>
      <w:pPr>
        <w:pStyle w:val="BodyText"/>
        <w:spacing w:line="355" w:lineRule="auto" w:before="69"/>
        <w:ind w:left="1418" w:right="1705"/>
        <w:jc w:val="both"/>
      </w:pPr>
      <w:r>
        <w:rPr/>
        <w:t>alteraciones genéticas mucho más graves implicadas en abortos espontáneos, retraso mental y cáncer</w:t>
      </w:r>
      <w:r>
        <w:rPr>
          <w:position w:val="8"/>
          <w:sz w:val="16"/>
        </w:rPr>
        <w:t>33, 15</w:t>
      </w:r>
      <w:r>
        <w:rPr/>
        <w:t>.</w:t>
      </w:r>
    </w:p>
    <w:p>
      <w:pPr>
        <w:pStyle w:val="BodyText"/>
        <w:spacing w:before="3"/>
        <w:rPr>
          <w:sz w:val="36"/>
        </w:rPr>
      </w:pPr>
    </w:p>
    <w:p>
      <w:pPr>
        <w:pStyle w:val="BodyText"/>
        <w:spacing w:line="360" w:lineRule="auto"/>
        <w:ind w:left="1418" w:right="1697"/>
        <w:jc w:val="both"/>
      </w:pPr>
      <w:r>
        <w:rPr/>
        <w:t>El ensayo de MN se puede llevar a cabo en estudios </w:t>
      </w:r>
      <w:r>
        <w:rPr>
          <w:i/>
        </w:rPr>
        <w:t>in vitro </w:t>
      </w:r>
      <w:r>
        <w:rPr/>
        <w:t>e </w:t>
      </w:r>
      <w:r>
        <w:rPr>
          <w:i/>
        </w:rPr>
        <w:t>in vivo, </w:t>
      </w:r>
      <w:r>
        <w:rPr/>
        <w:t>utilizando células de descamación de la vejiga, mucosa bucal, vagina o de sangre periférica entre otros tejidos</w:t>
      </w:r>
      <w:r>
        <w:rPr>
          <w:position w:val="8"/>
          <w:sz w:val="16"/>
        </w:rPr>
        <w:t>19</w:t>
      </w:r>
      <w:r>
        <w:rPr/>
        <w:t>.</w:t>
      </w:r>
    </w:p>
    <w:p>
      <w:pPr>
        <w:pStyle w:val="BodyText"/>
        <w:rPr>
          <w:sz w:val="26"/>
        </w:rPr>
      </w:pPr>
    </w:p>
    <w:p>
      <w:pPr>
        <w:pStyle w:val="BodyText"/>
        <w:rPr>
          <w:sz w:val="26"/>
        </w:rPr>
      </w:pPr>
    </w:p>
    <w:p>
      <w:pPr>
        <w:pStyle w:val="Heading4"/>
        <w:numPr>
          <w:ilvl w:val="4"/>
          <w:numId w:val="3"/>
        </w:numPr>
        <w:tabs>
          <w:tab w:pos="2838" w:val="left" w:leader="none"/>
        </w:tabs>
        <w:spacing w:line="240" w:lineRule="auto" w:before="232" w:after="0"/>
        <w:ind w:left="2837" w:right="0" w:hanging="567"/>
        <w:jc w:val="left"/>
      </w:pPr>
      <w:r>
        <w:rPr/>
        <w:t>Micronúcleos del epitelio</w:t>
      </w:r>
      <w:r>
        <w:rPr>
          <w:spacing w:val="-10"/>
        </w:rPr>
        <w:t> </w:t>
      </w:r>
      <w:r>
        <w:rPr/>
        <w:t>bucal</w:t>
      </w:r>
    </w:p>
    <w:p>
      <w:pPr>
        <w:pStyle w:val="BodyText"/>
        <w:rPr>
          <w:b/>
        </w:rPr>
      </w:pPr>
    </w:p>
    <w:p>
      <w:pPr>
        <w:pStyle w:val="BodyText"/>
        <w:rPr>
          <w:b/>
        </w:rPr>
      </w:pPr>
    </w:p>
    <w:p>
      <w:pPr>
        <w:pStyle w:val="BodyText"/>
        <w:spacing w:line="357" w:lineRule="auto"/>
        <w:ind w:left="1418" w:right="1700"/>
        <w:jc w:val="both"/>
      </w:pPr>
      <w:r>
        <w:rPr/>
        <w:t>El conteo de MN se puede llevar a cabo en cualquier tejido que se divida, como el epitelio de mucosa bucal </w:t>
      </w:r>
      <w:r>
        <w:rPr>
          <w:position w:val="8"/>
          <w:sz w:val="16"/>
        </w:rPr>
        <w:t>11</w:t>
      </w:r>
      <w:r>
        <w:rPr/>
        <w:t>. La mejilla es una de las zonas ideales, debido a que posee un epitelio plano estratificado no queratinizado característico de las superficies epiteliales húmedas. En esta zona, la recolección de las células exfoliadas es mínimamente invasiva en comparación con la obtención de muestras de sangre para linfocitos y ensayos de eritrocitos o biopsias de tejido</w:t>
      </w:r>
      <w:r>
        <w:rPr>
          <w:position w:val="8"/>
          <w:sz w:val="16"/>
        </w:rPr>
        <w:t>79</w:t>
      </w:r>
      <w:r>
        <w:rPr/>
        <w:t>. Por lo que el ensayo de MN, ha demostrado ser un método sensible para la supervisión de daños genéticos de poblaciones expuestas a tóxicos</w:t>
      </w:r>
      <w:r>
        <w:rPr>
          <w:position w:val="8"/>
          <w:sz w:val="16"/>
        </w:rPr>
        <w:t>74</w:t>
      </w:r>
      <w:r>
        <w:rPr/>
        <w:t>.</w:t>
      </w:r>
    </w:p>
    <w:p>
      <w:pPr>
        <w:pStyle w:val="BodyText"/>
        <w:spacing w:before="2"/>
        <w:rPr>
          <w:sz w:val="36"/>
        </w:rPr>
      </w:pPr>
    </w:p>
    <w:p>
      <w:pPr>
        <w:pStyle w:val="BodyText"/>
        <w:spacing w:line="357" w:lineRule="auto" w:before="1"/>
        <w:ind w:left="1418" w:right="1696"/>
        <w:jc w:val="both"/>
      </w:pPr>
      <w:r>
        <w:rPr/>
        <w:t>El ensayo de MN fue propuesto por primera vez en 1983 y continúa ganando popularidad como biomarcador de daño genético, es validado universalmente como práctico y accesible tecnológicamente, útil para evaluar la inestabilidad genética provocada por agentes genotóxicos ya que es fácil, rápido y económico</w:t>
      </w:r>
      <w:r>
        <w:rPr>
          <w:position w:val="8"/>
          <w:sz w:val="16"/>
        </w:rPr>
        <w:t>79, 81</w:t>
      </w:r>
      <w:r>
        <w:rPr/>
        <w:t>. Este  tipo de biomonitoreo puede ser un método adecuado para la detección del incremento de riesgo a cáncer en humanos, ya que el 90% de los cánceres humanos es de origen epitelial</w:t>
      </w:r>
      <w:r>
        <w:rPr>
          <w:position w:val="8"/>
          <w:sz w:val="16"/>
        </w:rPr>
        <w:t>82, 38</w:t>
      </w:r>
      <w:r>
        <w:rPr>
          <w:sz w:val="21"/>
        </w:rPr>
        <w:t>. </w:t>
      </w:r>
      <w:r>
        <w:rPr/>
        <w:t>Debido a que es bien conocido que la cavidad oral refleja la salud de un individuo y en la mucosa que recubre la boca se pueden observar cambios indicativos de</w:t>
      </w:r>
      <w:r>
        <w:rPr>
          <w:spacing w:val="-11"/>
        </w:rPr>
        <w:t> </w:t>
      </w:r>
      <w:r>
        <w:rPr/>
        <w:t>enfermedad</w:t>
      </w:r>
      <w:r>
        <w:rPr>
          <w:position w:val="8"/>
          <w:sz w:val="16"/>
        </w:rPr>
        <w:t>11</w:t>
      </w:r>
      <w:r>
        <w:rPr/>
        <w:t>.</w:t>
      </w:r>
    </w:p>
    <w:p>
      <w:pPr>
        <w:pStyle w:val="BodyText"/>
        <w:spacing w:before="2"/>
        <w:rPr>
          <w:sz w:val="36"/>
        </w:rPr>
      </w:pPr>
    </w:p>
    <w:p>
      <w:pPr>
        <w:pStyle w:val="BodyText"/>
        <w:spacing w:line="360" w:lineRule="auto" w:before="1"/>
        <w:ind w:left="1418" w:right="1705"/>
        <w:jc w:val="both"/>
      </w:pPr>
      <w:r>
        <w:rPr/>
        <w:t>A diferencia de otros tejidos, el epitelio está formado por varias capas de células estructurales,</w:t>
      </w:r>
      <w:r>
        <w:rPr>
          <w:spacing w:val="53"/>
        </w:rPr>
        <w:t> </w:t>
      </w:r>
      <w:r>
        <w:rPr/>
        <w:t>progenitoras</w:t>
      </w:r>
      <w:r>
        <w:rPr>
          <w:spacing w:val="53"/>
        </w:rPr>
        <w:t> </w:t>
      </w:r>
      <w:r>
        <w:rPr/>
        <w:t>y</w:t>
      </w:r>
      <w:r>
        <w:rPr>
          <w:spacing w:val="50"/>
        </w:rPr>
        <w:t> </w:t>
      </w:r>
      <w:r>
        <w:rPr/>
        <w:t>de</w:t>
      </w:r>
      <w:r>
        <w:rPr>
          <w:spacing w:val="53"/>
        </w:rPr>
        <w:t> </w:t>
      </w:r>
      <w:r>
        <w:rPr/>
        <w:t>maduración,</w:t>
      </w:r>
      <w:r>
        <w:rPr>
          <w:spacing w:val="53"/>
        </w:rPr>
        <w:t> </w:t>
      </w:r>
      <w:r>
        <w:rPr/>
        <w:t>incluyendo</w:t>
      </w:r>
      <w:r>
        <w:rPr>
          <w:spacing w:val="51"/>
        </w:rPr>
        <w:t> </w:t>
      </w:r>
      <w:r>
        <w:rPr/>
        <w:t>la</w:t>
      </w:r>
      <w:r>
        <w:rPr>
          <w:spacing w:val="53"/>
        </w:rPr>
        <w:t> </w:t>
      </w:r>
      <w:r>
        <w:rPr/>
        <w:t>lámina</w:t>
      </w:r>
      <w:r>
        <w:rPr>
          <w:spacing w:val="54"/>
        </w:rPr>
        <w:t> </w:t>
      </w:r>
      <w:r>
        <w:rPr/>
        <w:t>propia</w:t>
      </w:r>
      <w:r>
        <w:rPr>
          <w:spacing w:val="53"/>
        </w:rPr>
        <w:t> </w:t>
      </w:r>
      <w:r>
        <w:rPr/>
        <w:t>o</w:t>
      </w:r>
      <w:r>
        <w:rPr>
          <w:spacing w:val="53"/>
        </w:rPr>
        <w:t> </w:t>
      </w:r>
      <w:r>
        <w:rPr/>
        <w:t>tejido</w:t>
      </w:r>
    </w:p>
    <w:p>
      <w:pPr>
        <w:spacing w:after="0" w:line="360" w:lineRule="auto"/>
        <w:jc w:val="both"/>
        <w:sectPr>
          <w:footerReference w:type="default" r:id="rId164"/>
          <w:pgSz w:w="12240" w:h="15840"/>
          <w:pgMar w:footer="599" w:header="0" w:top="1500" w:bottom="780" w:left="0" w:right="0"/>
          <w:pgNumType w:start="41"/>
        </w:sectPr>
      </w:pPr>
    </w:p>
    <w:p>
      <w:pPr>
        <w:pStyle w:val="BodyText"/>
        <w:spacing w:before="4"/>
        <w:rPr>
          <w:sz w:val="11"/>
        </w:rPr>
      </w:pPr>
    </w:p>
    <w:p>
      <w:pPr>
        <w:pStyle w:val="BodyText"/>
        <w:spacing w:line="357" w:lineRule="auto" w:before="69"/>
        <w:ind w:left="1418" w:right="1697"/>
        <w:jc w:val="both"/>
      </w:pPr>
      <w:r>
        <w:rPr/>
        <w:t>conectivo, las células basales o lámina basal, capa o estrato espinoso y </w:t>
      </w:r>
      <w:r>
        <w:rPr>
          <w:spacing w:val="3"/>
        </w:rPr>
        <w:t>una </w:t>
      </w:r>
      <w:r>
        <w:rPr/>
        <w:t>capa superficial de queratina, que se van exfoliando a medida que alcanzan al superficie, por lo que el daño genético que se detecta es el que ha ocurrido en las capas basales, el lugar en donde las células se han dividido</w:t>
      </w:r>
      <w:r>
        <w:rPr>
          <w:position w:val="8"/>
          <w:sz w:val="16"/>
        </w:rPr>
        <w:t>79</w:t>
      </w:r>
      <w:r>
        <w:rPr/>
        <w:t>. Es en la capa basal donde  se encuentran las células madre capaces de expresar alteraciones genéticas durante la división celular tales como MN. Las células hijas, que pueden o no incluir MN se diferencian en la capa espinosa y la queratinizada para luego exfoliar en la cavidad bucal</w:t>
      </w:r>
      <w:r>
        <w:rPr>
          <w:position w:val="8"/>
          <w:sz w:val="16"/>
        </w:rPr>
        <w:t>33</w:t>
      </w:r>
      <w:r>
        <w:rPr/>
        <w:t>.</w:t>
      </w:r>
    </w:p>
    <w:p>
      <w:pPr>
        <w:pStyle w:val="BodyText"/>
        <w:spacing w:before="3"/>
        <w:rPr>
          <w:sz w:val="36"/>
        </w:rPr>
      </w:pPr>
    </w:p>
    <w:p>
      <w:pPr>
        <w:pStyle w:val="BodyText"/>
        <w:spacing w:line="360" w:lineRule="auto"/>
        <w:ind w:left="1418" w:right="1694"/>
        <w:jc w:val="both"/>
      </w:pPr>
      <w:r>
        <w:rPr/>
        <w:t>Las células de la mucosa bucal están expuestas a la superficie y su alta sensibilidad a diversas sustancias contribuye a que se vean ampliamente afectadas por agentes potencialmente peligrosos, además, las células epiteliales son no queratinizadas, </w:t>
      </w:r>
      <w:r>
        <w:rPr>
          <w:spacing w:val="2"/>
        </w:rPr>
        <w:t>por </w:t>
      </w:r>
      <w:r>
        <w:rPr/>
        <w:t>lo que son más vulnerables a los cambios, esto las hace muy buenas candidatas  para detectar daños, además, de que presentan abundante citoplasma, conservando el núcleo al momento de ser exfoliadas</w:t>
      </w:r>
      <w:r>
        <w:rPr>
          <w:position w:val="8"/>
          <w:sz w:val="16"/>
        </w:rPr>
        <w:t>83,</w:t>
      </w:r>
      <w:r>
        <w:rPr>
          <w:spacing w:val="-15"/>
          <w:position w:val="8"/>
          <w:sz w:val="16"/>
        </w:rPr>
        <w:t> </w:t>
      </w:r>
      <w:r>
        <w:rPr>
          <w:position w:val="8"/>
          <w:sz w:val="16"/>
        </w:rPr>
        <w:t>69</w:t>
      </w:r>
      <w:r>
        <w:rPr/>
        <w:t>.</w:t>
      </w:r>
    </w:p>
    <w:p>
      <w:pPr>
        <w:pStyle w:val="BodyText"/>
        <w:rPr>
          <w:sz w:val="36"/>
        </w:rPr>
      </w:pPr>
    </w:p>
    <w:p>
      <w:pPr>
        <w:pStyle w:val="BodyText"/>
        <w:spacing w:line="360" w:lineRule="auto"/>
        <w:ind w:left="1418" w:right="1698"/>
        <w:jc w:val="both"/>
      </w:pPr>
      <w:r>
        <w:rPr/>
        <w:t>La capacidad proliferativa del epitelio oral, permite que la población celular mantenga constante su rápida renovación de tejidos epiteliales y hace que el máximo índice de formación de MN aparezca entre 1-3 semanas después de la exposición al agente genótoxico, que será el tiempo necesario para que las células migren desde las capas basales del epitelio hasta la superficie, después del cese del tratamiento o de la exposición, posteriormente los valores de MN descienden (Figura</w:t>
      </w:r>
      <w:r>
        <w:rPr>
          <w:spacing w:val="-42"/>
        </w:rPr>
        <w:t> </w:t>
      </w:r>
      <w:r>
        <w:rPr/>
        <w:t>4)</w:t>
      </w:r>
      <w:r>
        <w:rPr>
          <w:position w:val="8"/>
          <w:sz w:val="16"/>
        </w:rPr>
        <w:t>11, 33</w:t>
      </w:r>
      <w:r>
        <w:rPr/>
        <w:t>.</w:t>
      </w:r>
    </w:p>
    <w:p>
      <w:pPr>
        <w:spacing w:after="0" w:line="360" w:lineRule="auto"/>
        <w:jc w:val="both"/>
        <w:sectPr>
          <w:pgSz w:w="12240" w:h="15840"/>
          <w:pgMar w:header="0" w:footer="599" w:top="1500" w:bottom="780" w:left="0" w:right="0"/>
        </w:sectPr>
      </w:pPr>
    </w:p>
    <w:p>
      <w:pPr>
        <w:pStyle w:val="BodyText"/>
        <w:spacing w:before="1"/>
        <w:rPr>
          <w:sz w:val="29"/>
        </w:rPr>
      </w:pPr>
      <w:r>
        <w:rPr/>
        <w:drawing>
          <wp:anchor distT="0" distB="0" distL="0" distR="0" allowOverlap="1" layoutInCell="1" locked="0" behindDoc="1" simplePos="0" relativeHeight="268096175">
            <wp:simplePos x="0" y="0"/>
            <wp:positionH relativeFrom="page">
              <wp:posOffset>959579</wp:posOffset>
            </wp:positionH>
            <wp:positionV relativeFrom="page">
              <wp:posOffset>1348737</wp:posOffset>
            </wp:positionV>
            <wp:extent cx="115252" cy="98012"/>
            <wp:effectExtent l="0" t="0" r="0" b="0"/>
            <wp:wrapNone/>
            <wp:docPr id="7" name="image149.png" descr=""/>
            <wp:cNvGraphicFramePr>
              <a:graphicFrameLocks noChangeAspect="1"/>
            </wp:cNvGraphicFramePr>
            <a:graphic>
              <a:graphicData uri="http://schemas.openxmlformats.org/drawingml/2006/picture">
                <pic:pic>
                  <pic:nvPicPr>
                    <pic:cNvPr id="8" name="image149.png"/>
                    <pic:cNvPicPr/>
                  </pic:nvPicPr>
                  <pic:blipFill>
                    <a:blip r:embed="rId165" cstate="print"/>
                    <a:stretch>
                      <a:fillRect/>
                    </a:stretch>
                  </pic:blipFill>
                  <pic:spPr>
                    <a:xfrm>
                      <a:off x="0" y="0"/>
                      <a:ext cx="115252" cy="98012"/>
                    </a:xfrm>
                    <a:prstGeom prst="rect">
                      <a:avLst/>
                    </a:prstGeom>
                  </pic:spPr>
                </pic:pic>
              </a:graphicData>
            </a:graphic>
          </wp:anchor>
        </w:drawing>
      </w:r>
    </w:p>
    <w:p>
      <w:pPr>
        <w:pStyle w:val="BodyText"/>
        <w:spacing w:line="145" w:lineRule="exact"/>
        <w:ind w:left="7570"/>
        <w:rPr>
          <w:sz w:val="14"/>
        </w:rPr>
      </w:pPr>
      <w:r>
        <w:rPr>
          <w:position w:val="-2"/>
          <w:sz w:val="14"/>
        </w:rPr>
        <w:drawing>
          <wp:inline distT="0" distB="0" distL="0" distR="0">
            <wp:extent cx="182119" cy="92297"/>
            <wp:effectExtent l="0" t="0" r="0" b="0"/>
            <wp:docPr id="9" name="image150.png" descr=""/>
            <wp:cNvGraphicFramePr>
              <a:graphicFrameLocks noChangeAspect="1"/>
            </wp:cNvGraphicFramePr>
            <a:graphic>
              <a:graphicData uri="http://schemas.openxmlformats.org/drawingml/2006/picture">
                <pic:pic>
                  <pic:nvPicPr>
                    <pic:cNvPr id="10" name="image150.png"/>
                    <pic:cNvPicPr/>
                  </pic:nvPicPr>
                  <pic:blipFill>
                    <a:blip r:embed="rId166" cstate="print"/>
                    <a:stretch>
                      <a:fillRect/>
                    </a:stretch>
                  </pic:blipFill>
                  <pic:spPr>
                    <a:xfrm>
                      <a:off x="0" y="0"/>
                      <a:ext cx="182119" cy="92297"/>
                    </a:xfrm>
                    <a:prstGeom prst="rect">
                      <a:avLst/>
                    </a:prstGeom>
                  </pic:spPr>
                </pic:pic>
              </a:graphicData>
            </a:graphic>
          </wp:inline>
        </w:drawing>
      </w:r>
      <w:r>
        <w:rPr>
          <w:position w:val="-2"/>
          <w:sz w:val="14"/>
        </w:rPr>
      </w:r>
    </w:p>
    <w:p>
      <w:pPr>
        <w:pStyle w:val="BodyText"/>
        <w:spacing w:before="1"/>
        <w:rPr>
          <w:sz w:val="5"/>
        </w:rPr>
      </w:pPr>
    </w:p>
    <w:p>
      <w:pPr>
        <w:pStyle w:val="BodyText"/>
        <w:ind w:left="1477"/>
        <w:rPr>
          <w:sz w:val="20"/>
        </w:rPr>
      </w:pPr>
      <w:r>
        <w:rPr>
          <w:sz w:val="20"/>
        </w:rPr>
        <w:pict>
          <v:group style="width:481.5pt;height:189.7pt;mso-position-horizontal-relative:char;mso-position-vertical-relative:line" coordorigin="0,0" coordsize="9630,3794">
            <v:shape style="position:absolute;left:4376;top:138;width:3089;height:3656" type="#_x0000_t75" stroked="false">
              <v:imagedata r:id="rId167" o:title=""/>
            </v:shape>
            <v:shape style="position:absolute;left:5924;top:68;width:197;height:338" type="#_x0000_t75" stroked="false">
              <v:imagedata r:id="rId168" o:title=""/>
            </v:shape>
            <v:shape style="position:absolute;left:7318;top:120;width:352;height:3602" type="#_x0000_t75" stroked="false">
              <v:imagedata r:id="rId169" o:title=""/>
            </v:shape>
            <v:shape style="position:absolute;left:7410;top:276;width:120;height:3361" coordorigin="7410,276" coordsize="120,3361" path="m7470,330l7457,353,7457,399,7456,3636,7481,3636,7483,353,7470,330xm7485,303l7483,303,7483,353,7504,390,7507,397,7515,399,7521,395,7528,391,7530,383,7526,377,7485,303xm7470,276l7414,377,7410,383,7412,391,7418,395,7424,399,7432,397,7436,390,7457,353,7457,303,7485,303,7470,276xm7483,303l7457,303,7457,353,7470,330,7459,310,7483,310,7483,303xm7483,310l7481,310,7470,330,7483,353,7483,310xm7481,310l7459,310,7470,330,7481,310xe" filled="true" fillcolor="#001f5f" stroked="false">
              <v:path arrowok="t"/>
              <v:fill type="solid"/>
            </v:shape>
            <v:shape style="position:absolute;left:4358;top:120;width:352;height:3602" type="#_x0000_t75" stroked="false">
              <v:imagedata r:id="rId169" o:title=""/>
            </v:shape>
            <v:shape style="position:absolute;left:4450;top:276;width:120;height:3361" coordorigin="4450,276" coordsize="120,3361" path="m4510,330l4497,353,4497,399,4496,3636,4521,3636,4523,353,4510,330xm4525,303l4523,303,4523,353,4544,390,4547,397,4555,399,4562,395,4568,391,4570,383,4566,377,4525,303xm4510,276l4454,377,4450,383,4452,391,4458,395,4465,399,4472,397,4476,390,4497,353,4497,303,4525,303,4510,276xm4523,303l4497,303,4497,353,4510,330,4499,310,4523,310,4523,303xm4523,310l4521,310,4510,330,4523,353,4523,310xm4521,310l4499,310,4510,330,4521,310xe" filled="true" fillcolor="#001f5f" stroked="false">
              <v:path arrowok="t"/>
              <v:fill type="solid"/>
            </v:shape>
            <v:shape style="position:absolute;left:2307;top:326;width:2086;height:1308" type="#_x0000_t75" stroked="false">
              <v:imagedata r:id="rId170" o:title=""/>
            </v:shape>
            <v:shape style="position:absolute;left:3690;top:1015;width:194;height:100" type="#_x0000_t75" stroked="false">
              <v:imagedata r:id="rId171" o:title=""/>
            </v:shape>
            <v:shape style="position:absolute;left:3348;top:1017;width:14;height:14" coordorigin="3348,1017" coordsize="14,14" path="m3355,1017l3358,1017,3359,1018,3360,1019,3362,1024,3362,1027,3361,1029,3360,1030,3359,1031,3358,1031,3355,1031,3352,1031,3351,1031,3350,1030,3349,1029,3348,1027,3348,1024,3348,1022,3349,1020,3350,1019,3351,1018,3352,1017,3355,1017xe" filled="false" stroked="true" strokeweight=".438837pt" strokecolor="#000000">
              <v:path arrowok="t"/>
            </v:shape>
            <v:shape style="position:absolute;left:2248;top:2324;width:2205;height:1425" type="#_x0000_t75" stroked="false">
              <v:imagedata r:id="rId172" o:title=""/>
            </v:shape>
            <v:shape style="position:absolute;left:2574;top:2709;width:1879;height:582" type="#_x0000_t75" stroked="false">
              <v:imagedata r:id="rId173" o:title=""/>
            </v:shape>
            <v:shape style="position:absolute;left:2321;top:2364;width:2060;height:1273" coordorigin="2321,2364" coordsize="2060,1273" path="m2321,3000l2930,2364,2930,2682,4380,2682,4380,3318,2930,3318,2930,3636,2321,3000xe" filled="false" stroked="true" strokeweight="1.328231pt" strokecolor="#001f5f">
              <v:path arrowok="t"/>
            </v:shape>
            <v:shape style="position:absolute;left:2051;top:863;width:583;height:2124" type="#_x0000_t75" stroked="false">
              <v:imagedata r:id="rId174" o:title=""/>
            </v:shape>
            <v:shape style="position:absolute;left:2202;top:1141;width:232;height:1757" coordorigin="2202,1141" coordsize="232,1757" path="m2317,1248l2292,1294,2299,2897,2351,2897,2343,1294,2317,1248xm2317,1141l2205,1343,2202,1353,2203,1363,2207,1372,2215,1379,2224,1383,2234,1382,2243,1377,2250,1369,2292,1294,2291,1194,2347,1194,2317,1141xm2347,1194l2342,1194,2343,1294,2385,1369,2392,1377,2401,1381,2411,1382,2421,1378,2428,1371,2433,1362,2433,1351,2430,1341,2347,1194xm2342,1194l2291,1194,2292,1294,2317,1248,2295,1208,2343,1208,2342,1194xm2343,1208l2339,1208,2317,1248,2343,1294,2343,1208xm2339,1208l2295,1208,2317,1248,2339,1208xe" filled="true" fillcolor="#001f5f" stroked="false">
              <v:path arrowok="t"/>
              <v:fill type="solid"/>
            </v:shape>
            <v:shape style="position:absolute;left:7610;top:335;width:1827;height:385" type="#_x0000_t75" stroked="false">
              <v:imagedata r:id="rId175" o:title=""/>
            </v:shape>
            <v:shape style="position:absolute;left:7610;top:594;width:2019;height:385" type="#_x0000_t75" stroked="false">
              <v:imagedata r:id="rId176" o:title=""/>
            </v:shape>
            <v:shape style="position:absolute;left:7610;top:1670;width:1707;height:385" type="#_x0000_t75" stroked="false">
              <v:imagedata r:id="rId177" o:title=""/>
            </v:shape>
            <v:shape style="position:absolute;left:7610;top:2754;width:1218;height:385" type="#_x0000_t75" stroked="false">
              <v:imagedata r:id="rId178" o:title=""/>
            </v:shape>
            <v:shape style="position:absolute;left:7610;top:3274;width:1673;height:376" type="#_x0000_t75" stroked="false">
              <v:imagedata r:id="rId179" o:title=""/>
            </v:shape>
            <v:shape style="position:absolute;left:4418;top:0;width:174;height:155" type="#_x0000_t75" stroked="false">
              <v:imagedata r:id="rId180" o:title=""/>
            </v:shape>
            <v:shape style="position:absolute;left:0;top:335;width:2248;height:3235" type="#_x0000_t75" stroked="false">
              <v:imagedata r:id="rId181" o:title=""/>
            </v:shape>
            <v:shape style="position:absolute;left:7747;top:454;width:1852;height:476" type="#_x0000_t202" filled="false" stroked="false">
              <v:textbox inset="0,0,0,0">
                <w:txbxContent>
                  <w:p>
                    <w:pPr>
                      <w:spacing w:line="218" w:lineRule="exact" w:before="0"/>
                      <w:ind w:left="0" w:right="-5" w:firstLine="0"/>
                      <w:jc w:val="left"/>
                      <w:rPr>
                        <w:rFonts w:ascii="Calibri" w:hAnsi="Calibri"/>
                        <w:b/>
                        <w:sz w:val="21"/>
                      </w:rPr>
                    </w:pPr>
                    <w:r>
                      <w:rPr>
                        <w:rFonts w:ascii="Calibri" w:hAnsi="Calibri"/>
                        <w:b/>
                        <w:w w:val="95"/>
                        <w:sz w:val="21"/>
                      </w:rPr>
                      <w:t>Células exfoliadas</w:t>
                    </w:r>
                  </w:p>
                  <w:p>
                    <w:pPr>
                      <w:spacing w:line="254" w:lineRule="exact" w:before="4"/>
                      <w:ind w:left="0" w:right="-5" w:firstLine="0"/>
                      <w:jc w:val="left"/>
                      <w:rPr>
                        <w:rFonts w:ascii="Calibri"/>
                        <w:b/>
                        <w:sz w:val="21"/>
                      </w:rPr>
                    </w:pPr>
                    <w:r>
                      <w:rPr>
                        <w:rFonts w:ascii="Calibri"/>
                        <w:b/>
                        <w:sz w:val="21"/>
                      </w:rPr>
                      <w:t>Capas</w:t>
                    </w:r>
                    <w:r>
                      <w:rPr>
                        <w:rFonts w:ascii="Calibri"/>
                        <w:b/>
                        <w:spacing w:val="-25"/>
                        <w:sz w:val="21"/>
                      </w:rPr>
                      <w:t> </w:t>
                    </w:r>
                    <w:r>
                      <w:rPr>
                        <w:rFonts w:ascii="Calibri"/>
                        <w:b/>
                        <w:sz w:val="21"/>
                      </w:rPr>
                      <w:t>de</w:t>
                    </w:r>
                    <w:r>
                      <w:rPr>
                        <w:rFonts w:ascii="Calibri"/>
                        <w:b/>
                        <w:spacing w:val="-15"/>
                        <w:sz w:val="21"/>
                      </w:rPr>
                      <w:t> </w:t>
                    </w:r>
                    <w:r>
                      <w:rPr>
                        <w:rFonts w:ascii="Calibri"/>
                        <w:b/>
                        <w:sz w:val="21"/>
                      </w:rPr>
                      <w:t>la</w:t>
                    </w:r>
                    <w:r>
                      <w:rPr>
                        <w:rFonts w:ascii="Calibri"/>
                        <w:b/>
                        <w:spacing w:val="-7"/>
                        <w:sz w:val="21"/>
                      </w:rPr>
                      <w:t> </w:t>
                    </w:r>
                    <w:r>
                      <w:rPr>
                        <w:rFonts w:ascii="Calibri"/>
                        <w:b/>
                        <w:sz w:val="21"/>
                      </w:rPr>
                      <w:t>superficie</w:t>
                    </w:r>
                  </w:p>
                </w:txbxContent>
              </v:textbox>
              <w10:wrap type="none"/>
            </v:shape>
            <v:shape style="position:absolute;left:3016;top:1545;width:1316;height:979" type="#_x0000_t202" filled="false" stroked="false">
              <v:textbox inset="0,0,0,0">
                <w:txbxContent>
                  <w:p>
                    <w:pPr>
                      <w:spacing w:line="173" w:lineRule="exact" w:before="0"/>
                      <w:ind w:left="0" w:right="13" w:firstLine="0"/>
                      <w:jc w:val="center"/>
                      <w:rPr>
                        <w:rFonts w:ascii="Calibri" w:hAnsi="Calibri"/>
                        <w:b/>
                        <w:sz w:val="17"/>
                      </w:rPr>
                    </w:pPr>
                    <w:r>
                      <w:rPr>
                        <w:rFonts w:ascii="Calibri" w:hAnsi="Calibri"/>
                        <w:b/>
                        <w:sz w:val="17"/>
                      </w:rPr>
                      <w:t>7-10 días para que</w:t>
                    </w:r>
                  </w:p>
                  <w:p>
                    <w:pPr>
                      <w:spacing w:line="232" w:lineRule="auto" w:before="4"/>
                      <w:ind w:left="0" w:right="0" w:hanging="2"/>
                      <w:jc w:val="center"/>
                      <w:rPr>
                        <w:rFonts w:ascii="Calibri" w:hAnsi="Calibri"/>
                        <w:b/>
                        <w:sz w:val="17"/>
                      </w:rPr>
                    </w:pPr>
                    <w:r>
                      <w:rPr>
                        <w:rFonts w:ascii="Calibri" w:hAnsi="Calibri"/>
                        <w:b/>
                        <w:sz w:val="17"/>
                      </w:rPr>
                      <w:t>las células migren de</w:t>
                    </w:r>
                    <w:r>
                      <w:rPr>
                        <w:rFonts w:ascii="Calibri" w:hAnsi="Calibri"/>
                        <w:b/>
                        <w:spacing w:val="-21"/>
                        <w:sz w:val="17"/>
                      </w:rPr>
                      <w:t> </w:t>
                    </w:r>
                    <w:r>
                      <w:rPr>
                        <w:rFonts w:ascii="Calibri" w:hAnsi="Calibri"/>
                        <w:b/>
                        <w:sz w:val="17"/>
                      </w:rPr>
                      <w:t>la</w:t>
                    </w:r>
                    <w:r>
                      <w:rPr>
                        <w:rFonts w:ascii="Calibri" w:hAnsi="Calibri"/>
                        <w:b/>
                        <w:spacing w:val="-25"/>
                        <w:sz w:val="17"/>
                      </w:rPr>
                      <w:t> </w:t>
                    </w:r>
                    <w:r>
                      <w:rPr>
                        <w:rFonts w:ascii="Calibri" w:hAnsi="Calibri"/>
                        <w:b/>
                        <w:sz w:val="17"/>
                      </w:rPr>
                      <w:t>capa</w:t>
                    </w:r>
                    <w:r>
                      <w:rPr>
                        <w:rFonts w:ascii="Calibri" w:hAnsi="Calibri"/>
                        <w:b/>
                        <w:spacing w:val="-15"/>
                        <w:sz w:val="17"/>
                      </w:rPr>
                      <w:t> </w:t>
                    </w:r>
                    <w:r>
                      <w:rPr>
                        <w:rFonts w:ascii="Calibri" w:hAnsi="Calibri"/>
                        <w:b/>
                        <w:sz w:val="17"/>
                      </w:rPr>
                      <w:t>basal</w:t>
                    </w:r>
                    <w:r>
                      <w:rPr>
                        <w:rFonts w:ascii="Calibri" w:hAnsi="Calibri"/>
                        <w:b/>
                        <w:spacing w:val="-21"/>
                        <w:sz w:val="17"/>
                      </w:rPr>
                      <w:t> </w:t>
                    </w:r>
                    <w:r>
                      <w:rPr>
                        <w:rFonts w:ascii="Calibri" w:hAnsi="Calibri"/>
                        <w:b/>
                        <w:sz w:val="17"/>
                      </w:rPr>
                      <w:t>a</w:t>
                    </w:r>
                    <w:r>
                      <w:rPr>
                        <w:rFonts w:ascii="Calibri" w:hAnsi="Calibri"/>
                        <w:b/>
                        <w:spacing w:val="-15"/>
                        <w:sz w:val="17"/>
                      </w:rPr>
                      <w:t> </w:t>
                    </w:r>
                    <w:r>
                      <w:rPr>
                        <w:rFonts w:ascii="Calibri" w:hAnsi="Calibri"/>
                        <w:b/>
                        <w:sz w:val="17"/>
                      </w:rPr>
                      <w:t>la </w:t>
                    </w:r>
                    <w:r>
                      <w:rPr>
                        <w:rFonts w:ascii="Calibri" w:hAnsi="Calibri"/>
                        <w:b/>
                        <w:w w:val="95"/>
                        <w:sz w:val="17"/>
                      </w:rPr>
                      <w:t>capa queratinizada </w:t>
                    </w:r>
                    <w:r>
                      <w:rPr>
                        <w:rFonts w:ascii="Calibri" w:hAnsi="Calibri"/>
                        <w:b/>
                        <w:sz w:val="17"/>
                      </w:rPr>
                      <w:t>en</w:t>
                    </w:r>
                    <w:r>
                      <w:rPr>
                        <w:rFonts w:ascii="Calibri" w:hAnsi="Calibri"/>
                        <w:b/>
                        <w:spacing w:val="-30"/>
                        <w:sz w:val="17"/>
                      </w:rPr>
                      <w:t> </w:t>
                    </w:r>
                    <w:r>
                      <w:rPr>
                        <w:rFonts w:ascii="Calibri" w:hAnsi="Calibri"/>
                        <w:b/>
                        <w:sz w:val="17"/>
                      </w:rPr>
                      <w:t>la</w:t>
                    </w:r>
                    <w:r>
                      <w:rPr>
                        <w:rFonts w:ascii="Calibri" w:hAnsi="Calibri"/>
                        <w:b/>
                        <w:spacing w:val="-30"/>
                        <w:sz w:val="17"/>
                      </w:rPr>
                      <w:t> </w:t>
                    </w:r>
                    <w:r>
                      <w:rPr>
                        <w:rFonts w:ascii="Calibri" w:hAnsi="Calibri"/>
                        <w:b/>
                        <w:sz w:val="17"/>
                      </w:rPr>
                      <w:t>superficie</w:t>
                    </w:r>
                  </w:p>
                </w:txbxContent>
              </v:textbox>
              <w10:wrap type="none"/>
            </v:shape>
            <v:shape style="position:absolute;left:7747;top:1795;width:1406;height:216" type="#_x0000_t202" filled="false" stroked="false">
              <v:textbox inset="0,0,0,0">
                <w:txbxContent>
                  <w:p>
                    <w:pPr>
                      <w:spacing w:line="215" w:lineRule="exact" w:before="0"/>
                      <w:ind w:left="0" w:right="0" w:firstLine="0"/>
                      <w:jc w:val="left"/>
                      <w:rPr>
                        <w:rFonts w:ascii="Calibri"/>
                        <w:b/>
                        <w:sz w:val="21"/>
                      </w:rPr>
                    </w:pPr>
                    <w:r>
                      <w:rPr>
                        <w:rFonts w:ascii="Calibri"/>
                        <w:b/>
                        <w:w w:val="95"/>
                        <w:sz w:val="21"/>
                      </w:rPr>
                      <w:t>Estrato espinoso</w:t>
                    </w:r>
                  </w:p>
                </w:txbxContent>
              </v:textbox>
              <w10:wrap type="none"/>
            </v:shape>
            <v:shape style="position:absolute;left:2733;top:2823;width:1541;height:377" type="#_x0000_t202" filled="false" stroked="false">
              <v:textbox inset="0,0,0,0">
                <w:txbxContent>
                  <w:p>
                    <w:pPr>
                      <w:spacing w:line="173" w:lineRule="exact" w:before="0"/>
                      <w:ind w:left="0" w:right="0" w:firstLine="0"/>
                      <w:jc w:val="center"/>
                      <w:rPr>
                        <w:rFonts w:ascii="Calibri"/>
                        <w:b/>
                        <w:sz w:val="17"/>
                      </w:rPr>
                    </w:pPr>
                    <w:r>
                      <w:rPr>
                        <w:rFonts w:ascii="Calibri"/>
                        <w:b/>
                        <w:sz w:val="17"/>
                      </w:rPr>
                      <w:t>Los</w:t>
                    </w:r>
                    <w:r>
                      <w:rPr>
                        <w:rFonts w:ascii="Calibri"/>
                        <w:b/>
                        <w:spacing w:val="-22"/>
                        <w:sz w:val="17"/>
                      </w:rPr>
                      <w:t> </w:t>
                    </w:r>
                    <w:r>
                      <w:rPr>
                        <w:rFonts w:ascii="Calibri"/>
                        <w:b/>
                        <w:sz w:val="17"/>
                      </w:rPr>
                      <w:t>MN</w:t>
                    </w:r>
                    <w:r>
                      <w:rPr>
                        <w:rFonts w:ascii="Calibri"/>
                        <w:b/>
                        <w:spacing w:val="-21"/>
                        <w:sz w:val="17"/>
                      </w:rPr>
                      <w:t> </w:t>
                    </w:r>
                    <w:r>
                      <w:rPr>
                        <w:rFonts w:ascii="Calibri"/>
                        <w:b/>
                        <w:sz w:val="17"/>
                      </w:rPr>
                      <w:t>se</w:t>
                    </w:r>
                    <w:r>
                      <w:rPr>
                        <w:rFonts w:ascii="Calibri"/>
                        <w:b/>
                        <w:spacing w:val="-21"/>
                        <w:sz w:val="17"/>
                      </w:rPr>
                      <w:t> </w:t>
                    </w:r>
                    <w:r>
                      <w:rPr>
                        <w:rFonts w:ascii="Calibri"/>
                        <w:b/>
                        <w:sz w:val="17"/>
                      </w:rPr>
                      <w:t>expresan</w:t>
                    </w:r>
                    <w:r>
                      <w:rPr>
                        <w:rFonts w:ascii="Calibri"/>
                        <w:b/>
                        <w:spacing w:val="-25"/>
                        <w:sz w:val="17"/>
                      </w:rPr>
                      <w:t> </w:t>
                    </w:r>
                    <w:r>
                      <w:rPr>
                        <w:rFonts w:ascii="Calibri"/>
                        <w:b/>
                        <w:sz w:val="17"/>
                      </w:rPr>
                      <w:t>en</w:t>
                    </w:r>
                  </w:p>
                  <w:p>
                    <w:pPr>
                      <w:spacing w:line="204" w:lineRule="exact" w:before="0"/>
                      <w:ind w:left="0" w:right="12" w:firstLine="0"/>
                      <w:jc w:val="center"/>
                      <w:rPr>
                        <w:rFonts w:ascii="Calibri" w:hAnsi="Calibri"/>
                        <w:b/>
                        <w:sz w:val="17"/>
                      </w:rPr>
                    </w:pPr>
                    <w:r>
                      <w:rPr>
                        <w:rFonts w:ascii="Calibri" w:hAnsi="Calibri"/>
                        <w:b/>
                        <w:w w:val="95"/>
                        <w:sz w:val="17"/>
                      </w:rPr>
                      <w:t>las células basales</w:t>
                    </w:r>
                  </w:p>
                </w:txbxContent>
              </v:textbox>
              <w10:wrap type="none"/>
            </v:shape>
            <v:shape style="position:absolute;left:7747;top:2883;width:916;height:216" type="#_x0000_t202" filled="false" stroked="false">
              <v:textbox inset="0,0,0,0">
                <w:txbxContent>
                  <w:p>
                    <w:pPr>
                      <w:spacing w:line="215" w:lineRule="exact" w:before="0"/>
                      <w:ind w:left="0" w:right="-14" w:firstLine="0"/>
                      <w:jc w:val="left"/>
                      <w:rPr>
                        <w:rFonts w:ascii="Calibri"/>
                        <w:b/>
                        <w:sz w:val="21"/>
                      </w:rPr>
                    </w:pPr>
                    <w:r>
                      <w:rPr>
                        <w:rFonts w:ascii="Calibri"/>
                        <w:b/>
                        <w:sz w:val="21"/>
                      </w:rPr>
                      <w:t>Capa</w:t>
                    </w:r>
                    <w:r>
                      <w:rPr>
                        <w:rFonts w:ascii="Calibri"/>
                        <w:b/>
                        <w:spacing w:val="-25"/>
                        <w:sz w:val="21"/>
                      </w:rPr>
                      <w:t> </w:t>
                    </w:r>
                    <w:r>
                      <w:rPr>
                        <w:rFonts w:ascii="Calibri"/>
                        <w:b/>
                        <w:sz w:val="21"/>
                      </w:rPr>
                      <w:t>basal</w:t>
                    </w:r>
                  </w:p>
                </w:txbxContent>
              </v:textbox>
              <w10:wrap type="none"/>
            </v:shape>
            <v:shape style="position:absolute;left:7747;top:3403;width:1373;height:216" type="#_x0000_t202" filled="false" stroked="false">
              <v:textbox inset="0,0,0,0">
                <w:txbxContent>
                  <w:p>
                    <w:pPr>
                      <w:spacing w:line="215" w:lineRule="exact" w:before="0"/>
                      <w:ind w:left="0" w:right="-8" w:firstLine="0"/>
                      <w:jc w:val="left"/>
                      <w:rPr>
                        <w:rFonts w:ascii="Calibri"/>
                        <w:b/>
                        <w:sz w:val="21"/>
                      </w:rPr>
                    </w:pPr>
                    <w:r>
                      <w:rPr>
                        <w:rFonts w:ascii="Calibri"/>
                        <w:b/>
                        <w:w w:val="95"/>
                        <w:sz w:val="21"/>
                      </w:rPr>
                      <w:t>Tejido conectivo</w:t>
                    </w:r>
                  </w:p>
                </w:txbxContent>
              </v:textbox>
              <w10:wrap type="none"/>
            </v:shape>
          </v:group>
        </w:pict>
      </w:r>
      <w:r>
        <w:rPr>
          <w:sz w:val="20"/>
        </w:rPr>
      </w:r>
    </w:p>
    <w:p>
      <w:pPr>
        <w:spacing w:before="78"/>
        <w:ind w:left="1560" w:right="1703" w:firstLine="0"/>
        <w:jc w:val="left"/>
        <w:rPr>
          <w:sz w:val="12"/>
        </w:rPr>
      </w:pPr>
      <w:r>
        <w:rPr>
          <w:sz w:val="12"/>
        </w:rPr>
        <w:t>Fuente: Holland, </w:t>
      </w:r>
      <w:r>
        <w:rPr>
          <w:i/>
          <w:sz w:val="12"/>
        </w:rPr>
        <w:t>et al</w:t>
      </w:r>
      <w:r>
        <w:rPr>
          <w:sz w:val="12"/>
        </w:rPr>
        <w:t>., 2008, Torres-Bugarín </w:t>
      </w:r>
      <w:r>
        <w:rPr>
          <w:i/>
          <w:sz w:val="12"/>
        </w:rPr>
        <w:t>et al</w:t>
      </w:r>
      <w:r>
        <w:rPr>
          <w:sz w:val="12"/>
        </w:rPr>
        <w:t>., 2013</w:t>
      </w:r>
    </w:p>
    <w:p>
      <w:pPr>
        <w:pStyle w:val="BodyText"/>
        <w:spacing w:before="1"/>
        <w:rPr>
          <w:sz w:val="15"/>
        </w:rPr>
      </w:pPr>
    </w:p>
    <w:p>
      <w:pPr>
        <w:spacing w:line="247" w:lineRule="auto" w:before="0"/>
        <w:ind w:left="1560" w:right="1304" w:firstLine="0"/>
        <w:jc w:val="both"/>
        <w:rPr>
          <w:sz w:val="17"/>
        </w:rPr>
      </w:pPr>
      <w:r>
        <w:rPr>
          <w:sz w:val="17"/>
        </w:rPr>
        <w:t>Figura</w:t>
      </w:r>
      <w:r>
        <w:rPr>
          <w:spacing w:val="-29"/>
          <w:sz w:val="17"/>
        </w:rPr>
        <w:t> </w:t>
      </w:r>
      <w:r>
        <w:rPr>
          <w:sz w:val="17"/>
        </w:rPr>
        <w:t>4.</w:t>
      </w:r>
      <w:r>
        <w:rPr>
          <w:spacing w:val="-28"/>
          <w:sz w:val="17"/>
        </w:rPr>
        <w:t> </w:t>
      </w:r>
      <w:r>
        <w:rPr>
          <w:sz w:val="17"/>
        </w:rPr>
        <w:t>Estructura</w:t>
      </w:r>
      <w:r>
        <w:rPr>
          <w:spacing w:val="-29"/>
          <w:sz w:val="17"/>
        </w:rPr>
        <w:t> </w:t>
      </w:r>
      <w:r>
        <w:rPr>
          <w:sz w:val="17"/>
        </w:rPr>
        <w:t>y</w:t>
      </w:r>
      <w:r>
        <w:rPr>
          <w:spacing w:val="-25"/>
          <w:sz w:val="17"/>
        </w:rPr>
        <w:t> </w:t>
      </w:r>
      <w:r>
        <w:rPr>
          <w:spacing w:val="-3"/>
          <w:sz w:val="17"/>
        </w:rPr>
        <w:t>diferenciación</w:t>
      </w:r>
      <w:r>
        <w:rPr>
          <w:spacing w:val="-24"/>
          <w:sz w:val="17"/>
        </w:rPr>
        <w:t> </w:t>
      </w:r>
      <w:r>
        <w:rPr>
          <w:sz w:val="17"/>
        </w:rPr>
        <w:t>del</w:t>
      </w:r>
      <w:r>
        <w:rPr>
          <w:spacing w:val="-28"/>
          <w:sz w:val="17"/>
        </w:rPr>
        <w:t> </w:t>
      </w:r>
      <w:r>
        <w:rPr>
          <w:sz w:val="17"/>
        </w:rPr>
        <w:t>epitelio</w:t>
      </w:r>
      <w:r>
        <w:rPr>
          <w:spacing w:val="-29"/>
          <w:sz w:val="17"/>
        </w:rPr>
        <w:t> </w:t>
      </w:r>
      <w:r>
        <w:rPr>
          <w:sz w:val="17"/>
        </w:rPr>
        <w:t>bucal.</w:t>
      </w:r>
      <w:r>
        <w:rPr>
          <w:spacing w:val="-28"/>
          <w:sz w:val="17"/>
        </w:rPr>
        <w:t> </w:t>
      </w:r>
      <w:r>
        <w:rPr>
          <w:sz w:val="17"/>
        </w:rPr>
        <w:t>(A)</w:t>
      </w:r>
      <w:r>
        <w:rPr>
          <w:spacing w:val="-29"/>
          <w:sz w:val="17"/>
        </w:rPr>
        <w:t> </w:t>
      </w:r>
      <w:r>
        <w:rPr>
          <w:sz w:val="17"/>
        </w:rPr>
        <w:t>fotomicrografía</w:t>
      </w:r>
      <w:r>
        <w:rPr>
          <w:spacing w:val="-29"/>
          <w:sz w:val="17"/>
        </w:rPr>
        <w:t> </w:t>
      </w:r>
      <w:r>
        <w:rPr>
          <w:sz w:val="17"/>
        </w:rPr>
        <w:t>de</w:t>
      </w:r>
      <w:r>
        <w:rPr>
          <w:spacing w:val="-30"/>
          <w:sz w:val="17"/>
        </w:rPr>
        <w:t> </w:t>
      </w:r>
      <w:r>
        <w:rPr>
          <w:sz w:val="17"/>
        </w:rPr>
        <w:t>una</w:t>
      </w:r>
      <w:r>
        <w:rPr>
          <w:spacing w:val="-25"/>
          <w:sz w:val="17"/>
        </w:rPr>
        <w:t> </w:t>
      </w:r>
      <w:r>
        <w:rPr>
          <w:spacing w:val="-4"/>
          <w:sz w:val="17"/>
        </w:rPr>
        <w:t>sección</w:t>
      </w:r>
      <w:r>
        <w:rPr>
          <w:spacing w:val="-25"/>
          <w:sz w:val="17"/>
        </w:rPr>
        <w:t> </w:t>
      </w:r>
      <w:r>
        <w:rPr>
          <w:spacing w:val="-3"/>
          <w:sz w:val="17"/>
        </w:rPr>
        <w:t>de</w:t>
      </w:r>
      <w:r>
        <w:rPr>
          <w:spacing w:val="-25"/>
          <w:sz w:val="17"/>
        </w:rPr>
        <w:t> </w:t>
      </w:r>
      <w:r>
        <w:rPr>
          <w:sz w:val="17"/>
        </w:rPr>
        <w:t>la</w:t>
      </w:r>
      <w:r>
        <w:rPr>
          <w:spacing w:val="-25"/>
          <w:sz w:val="17"/>
        </w:rPr>
        <w:t> </w:t>
      </w:r>
      <w:r>
        <w:rPr>
          <w:spacing w:val="-4"/>
          <w:sz w:val="17"/>
        </w:rPr>
        <w:t>mucosa</w:t>
      </w:r>
      <w:r>
        <w:rPr>
          <w:spacing w:val="-25"/>
          <w:sz w:val="17"/>
        </w:rPr>
        <w:t> </w:t>
      </w:r>
      <w:r>
        <w:rPr>
          <w:sz w:val="17"/>
        </w:rPr>
        <w:t>bucal,</w:t>
      </w:r>
      <w:r>
        <w:rPr>
          <w:spacing w:val="-28"/>
          <w:sz w:val="17"/>
        </w:rPr>
        <w:t> </w:t>
      </w:r>
      <w:r>
        <w:rPr>
          <w:sz w:val="17"/>
        </w:rPr>
        <w:t>muestra</w:t>
      </w:r>
      <w:r>
        <w:rPr>
          <w:spacing w:val="-29"/>
          <w:sz w:val="17"/>
        </w:rPr>
        <w:t> </w:t>
      </w:r>
      <w:r>
        <w:rPr>
          <w:sz w:val="17"/>
        </w:rPr>
        <w:t>varias</w:t>
      </w:r>
      <w:r>
        <w:rPr>
          <w:spacing w:val="-29"/>
          <w:sz w:val="17"/>
        </w:rPr>
        <w:t> </w:t>
      </w:r>
      <w:r>
        <w:rPr>
          <w:sz w:val="17"/>
        </w:rPr>
        <w:t>capas de</w:t>
      </w:r>
      <w:r>
        <w:rPr>
          <w:spacing w:val="-19"/>
          <w:sz w:val="17"/>
        </w:rPr>
        <w:t> </w:t>
      </w:r>
      <w:r>
        <w:rPr>
          <w:sz w:val="17"/>
        </w:rPr>
        <w:t>células</w:t>
      </w:r>
      <w:r>
        <w:rPr>
          <w:spacing w:val="-18"/>
          <w:sz w:val="17"/>
        </w:rPr>
        <w:t> </w:t>
      </w:r>
      <w:r>
        <w:rPr>
          <w:spacing w:val="-3"/>
          <w:sz w:val="17"/>
        </w:rPr>
        <w:t>en</w:t>
      </w:r>
      <w:r>
        <w:rPr>
          <w:spacing w:val="-13"/>
          <w:sz w:val="17"/>
        </w:rPr>
        <w:t> </w:t>
      </w:r>
      <w:r>
        <w:rPr>
          <w:sz w:val="17"/>
        </w:rPr>
        <w:t>el</w:t>
      </w:r>
      <w:r>
        <w:rPr>
          <w:spacing w:val="-23"/>
          <w:sz w:val="17"/>
        </w:rPr>
        <w:t> </w:t>
      </w:r>
      <w:r>
        <w:rPr>
          <w:sz w:val="17"/>
        </w:rPr>
        <w:t>epitelio</w:t>
      </w:r>
      <w:r>
        <w:rPr>
          <w:spacing w:val="-18"/>
          <w:sz w:val="17"/>
        </w:rPr>
        <w:t> </w:t>
      </w:r>
      <w:r>
        <w:rPr>
          <w:sz w:val="17"/>
        </w:rPr>
        <w:t>bucal.</w:t>
      </w:r>
      <w:r>
        <w:rPr>
          <w:spacing w:val="-18"/>
          <w:sz w:val="17"/>
        </w:rPr>
        <w:t> </w:t>
      </w:r>
      <w:r>
        <w:rPr>
          <w:spacing w:val="-3"/>
          <w:sz w:val="17"/>
        </w:rPr>
        <w:t>Epitelio</w:t>
      </w:r>
      <w:r>
        <w:rPr>
          <w:spacing w:val="-13"/>
          <w:sz w:val="17"/>
        </w:rPr>
        <w:t> </w:t>
      </w:r>
      <w:r>
        <w:rPr>
          <w:sz w:val="17"/>
        </w:rPr>
        <w:t>oral</w:t>
      </w:r>
      <w:r>
        <w:rPr>
          <w:spacing w:val="-17"/>
          <w:sz w:val="17"/>
        </w:rPr>
        <w:t> </w:t>
      </w:r>
      <w:r>
        <w:rPr>
          <w:sz w:val="17"/>
        </w:rPr>
        <w:t>estratificado</w:t>
      </w:r>
      <w:r>
        <w:rPr>
          <w:spacing w:val="-18"/>
          <w:sz w:val="17"/>
        </w:rPr>
        <w:t> </w:t>
      </w:r>
      <w:r>
        <w:rPr>
          <w:spacing w:val="-3"/>
          <w:sz w:val="17"/>
        </w:rPr>
        <w:t>plano</w:t>
      </w:r>
      <w:r>
        <w:rPr>
          <w:spacing w:val="-13"/>
          <w:sz w:val="17"/>
        </w:rPr>
        <w:t> </w:t>
      </w:r>
      <w:r>
        <w:rPr>
          <w:spacing w:val="-3"/>
          <w:sz w:val="17"/>
        </w:rPr>
        <w:t>no</w:t>
      </w:r>
      <w:r>
        <w:rPr>
          <w:spacing w:val="-19"/>
          <w:sz w:val="17"/>
        </w:rPr>
        <w:t> </w:t>
      </w:r>
      <w:r>
        <w:rPr>
          <w:sz w:val="17"/>
        </w:rPr>
        <w:t>queratinizado;</w:t>
      </w:r>
      <w:r>
        <w:rPr>
          <w:spacing w:val="-18"/>
          <w:sz w:val="17"/>
        </w:rPr>
        <w:t> </w:t>
      </w:r>
      <w:r>
        <w:rPr>
          <w:spacing w:val="-3"/>
          <w:sz w:val="17"/>
        </w:rPr>
        <w:t>En</w:t>
      </w:r>
      <w:r>
        <w:rPr>
          <w:spacing w:val="-13"/>
          <w:sz w:val="17"/>
        </w:rPr>
        <w:t> </w:t>
      </w:r>
      <w:r>
        <w:rPr>
          <w:sz w:val="17"/>
        </w:rPr>
        <w:t>capa</w:t>
      </w:r>
      <w:r>
        <w:rPr>
          <w:spacing w:val="-19"/>
          <w:sz w:val="17"/>
        </w:rPr>
        <w:t> </w:t>
      </w:r>
      <w:r>
        <w:rPr>
          <w:sz w:val="17"/>
        </w:rPr>
        <w:t>basal</w:t>
      </w:r>
      <w:r>
        <w:rPr>
          <w:spacing w:val="-17"/>
          <w:sz w:val="17"/>
        </w:rPr>
        <w:t> </w:t>
      </w:r>
      <w:r>
        <w:rPr>
          <w:spacing w:val="-3"/>
          <w:sz w:val="17"/>
        </w:rPr>
        <w:t>se</w:t>
      </w:r>
      <w:r>
        <w:rPr>
          <w:spacing w:val="-13"/>
          <w:sz w:val="17"/>
        </w:rPr>
        <w:t> </w:t>
      </w:r>
      <w:r>
        <w:rPr>
          <w:spacing w:val="-3"/>
          <w:sz w:val="17"/>
        </w:rPr>
        <w:t>lleva</w:t>
      </w:r>
      <w:r>
        <w:rPr>
          <w:spacing w:val="-19"/>
          <w:sz w:val="17"/>
        </w:rPr>
        <w:t> </w:t>
      </w:r>
      <w:r>
        <w:rPr>
          <w:sz w:val="17"/>
        </w:rPr>
        <w:t>a</w:t>
      </w:r>
      <w:r>
        <w:rPr>
          <w:spacing w:val="-13"/>
          <w:sz w:val="17"/>
        </w:rPr>
        <w:t> </w:t>
      </w:r>
      <w:r>
        <w:rPr>
          <w:sz w:val="17"/>
        </w:rPr>
        <w:t>cabo</w:t>
      </w:r>
      <w:r>
        <w:rPr>
          <w:spacing w:val="-13"/>
          <w:sz w:val="17"/>
        </w:rPr>
        <w:t> </w:t>
      </w:r>
      <w:r>
        <w:rPr>
          <w:spacing w:val="-6"/>
          <w:sz w:val="17"/>
        </w:rPr>
        <w:t>la</w:t>
      </w:r>
      <w:r>
        <w:rPr>
          <w:spacing w:val="-14"/>
          <w:sz w:val="17"/>
        </w:rPr>
        <w:t> </w:t>
      </w:r>
      <w:r>
        <w:rPr>
          <w:spacing w:val="-3"/>
          <w:sz w:val="17"/>
        </w:rPr>
        <w:t>división</w:t>
      </w:r>
      <w:r>
        <w:rPr>
          <w:spacing w:val="-18"/>
          <w:sz w:val="17"/>
        </w:rPr>
        <w:t> </w:t>
      </w:r>
      <w:r>
        <w:rPr>
          <w:sz w:val="17"/>
        </w:rPr>
        <w:t>celular,</w:t>
      </w:r>
      <w:r>
        <w:rPr>
          <w:spacing w:val="-22"/>
          <w:sz w:val="17"/>
        </w:rPr>
        <w:t> </w:t>
      </w:r>
      <w:r>
        <w:rPr>
          <w:sz w:val="17"/>
        </w:rPr>
        <w:t>y es</w:t>
      </w:r>
      <w:r>
        <w:rPr>
          <w:spacing w:val="-17"/>
          <w:sz w:val="17"/>
        </w:rPr>
        <w:t> </w:t>
      </w:r>
      <w:r>
        <w:rPr>
          <w:sz w:val="17"/>
        </w:rPr>
        <w:t>donde</w:t>
      </w:r>
      <w:r>
        <w:rPr>
          <w:spacing w:val="-11"/>
          <w:sz w:val="17"/>
        </w:rPr>
        <w:t> </w:t>
      </w:r>
      <w:r>
        <w:rPr>
          <w:spacing w:val="-3"/>
          <w:sz w:val="17"/>
        </w:rPr>
        <w:t>se</w:t>
      </w:r>
      <w:r>
        <w:rPr>
          <w:spacing w:val="-11"/>
          <w:sz w:val="17"/>
        </w:rPr>
        <w:t> </w:t>
      </w:r>
      <w:r>
        <w:rPr>
          <w:sz w:val="17"/>
        </w:rPr>
        <w:t>originan</w:t>
      </w:r>
      <w:r>
        <w:rPr>
          <w:spacing w:val="-11"/>
          <w:sz w:val="17"/>
        </w:rPr>
        <w:t> </w:t>
      </w:r>
      <w:r>
        <w:rPr>
          <w:spacing w:val="-3"/>
          <w:sz w:val="17"/>
        </w:rPr>
        <w:t>los</w:t>
      </w:r>
      <w:r>
        <w:rPr>
          <w:spacing w:val="-11"/>
          <w:sz w:val="17"/>
        </w:rPr>
        <w:t> </w:t>
      </w:r>
      <w:r>
        <w:rPr>
          <w:spacing w:val="-4"/>
          <w:sz w:val="17"/>
        </w:rPr>
        <w:t>MN</w:t>
      </w:r>
      <w:r>
        <w:rPr>
          <w:spacing w:val="-13"/>
          <w:sz w:val="17"/>
        </w:rPr>
        <w:t> </w:t>
      </w:r>
      <w:r>
        <w:rPr>
          <w:sz w:val="17"/>
        </w:rPr>
        <w:t>y</w:t>
      </w:r>
      <w:r>
        <w:rPr>
          <w:spacing w:val="-11"/>
          <w:sz w:val="17"/>
        </w:rPr>
        <w:t> </w:t>
      </w:r>
      <w:r>
        <w:rPr>
          <w:spacing w:val="-3"/>
          <w:sz w:val="17"/>
        </w:rPr>
        <w:t>anormalidades</w:t>
      </w:r>
      <w:r>
        <w:rPr>
          <w:spacing w:val="-16"/>
          <w:sz w:val="17"/>
        </w:rPr>
        <w:t> </w:t>
      </w:r>
      <w:r>
        <w:rPr>
          <w:sz w:val="17"/>
        </w:rPr>
        <w:t>nucleares</w:t>
      </w:r>
      <w:r>
        <w:rPr>
          <w:spacing w:val="-11"/>
          <w:sz w:val="17"/>
        </w:rPr>
        <w:t> </w:t>
      </w:r>
      <w:r>
        <w:rPr>
          <w:spacing w:val="-4"/>
          <w:sz w:val="17"/>
        </w:rPr>
        <w:t>para</w:t>
      </w:r>
      <w:r>
        <w:rPr>
          <w:spacing w:val="-11"/>
          <w:sz w:val="17"/>
        </w:rPr>
        <w:t> </w:t>
      </w:r>
      <w:r>
        <w:rPr>
          <w:spacing w:val="-3"/>
          <w:sz w:val="17"/>
        </w:rPr>
        <w:t>luego</w:t>
      </w:r>
      <w:r>
        <w:rPr>
          <w:spacing w:val="-11"/>
          <w:sz w:val="17"/>
        </w:rPr>
        <w:t> </w:t>
      </w:r>
      <w:r>
        <w:rPr>
          <w:sz w:val="17"/>
        </w:rPr>
        <w:t>migrar</w:t>
      </w:r>
      <w:r>
        <w:rPr>
          <w:spacing w:val="-15"/>
          <w:sz w:val="17"/>
        </w:rPr>
        <w:t> </w:t>
      </w:r>
      <w:r>
        <w:rPr>
          <w:sz w:val="17"/>
        </w:rPr>
        <w:t>a</w:t>
      </w:r>
      <w:r>
        <w:rPr>
          <w:spacing w:val="-11"/>
          <w:sz w:val="17"/>
        </w:rPr>
        <w:t> </w:t>
      </w:r>
      <w:r>
        <w:rPr>
          <w:sz w:val="17"/>
        </w:rPr>
        <w:t>la</w:t>
      </w:r>
      <w:r>
        <w:rPr>
          <w:spacing w:val="-12"/>
          <w:sz w:val="17"/>
        </w:rPr>
        <w:t> </w:t>
      </w:r>
      <w:r>
        <w:rPr>
          <w:sz w:val="17"/>
        </w:rPr>
        <w:t>superficie.</w:t>
      </w:r>
      <w:r>
        <w:rPr>
          <w:spacing w:val="-16"/>
          <w:sz w:val="17"/>
        </w:rPr>
        <w:t> </w:t>
      </w:r>
      <w:r>
        <w:rPr>
          <w:sz w:val="17"/>
        </w:rPr>
        <w:t>(B)</w:t>
      </w:r>
      <w:r>
        <w:rPr>
          <w:spacing w:val="-16"/>
          <w:sz w:val="17"/>
        </w:rPr>
        <w:t> </w:t>
      </w:r>
      <w:r>
        <w:rPr>
          <w:sz w:val="17"/>
        </w:rPr>
        <w:t>Esquema</w:t>
      </w:r>
      <w:r>
        <w:rPr>
          <w:spacing w:val="-11"/>
          <w:sz w:val="17"/>
        </w:rPr>
        <w:t> </w:t>
      </w:r>
      <w:r>
        <w:rPr>
          <w:spacing w:val="-3"/>
          <w:sz w:val="17"/>
        </w:rPr>
        <w:t>de</w:t>
      </w:r>
      <w:r>
        <w:rPr>
          <w:spacing w:val="-12"/>
          <w:sz w:val="17"/>
        </w:rPr>
        <w:t> </w:t>
      </w:r>
      <w:r>
        <w:rPr>
          <w:sz w:val="17"/>
        </w:rPr>
        <w:t>mucosa</w:t>
      </w:r>
      <w:r>
        <w:rPr>
          <w:spacing w:val="-11"/>
          <w:sz w:val="17"/>
        </w:rPr>
        <w:t> </w:t>
      </w:r>
      <w:r>
        <w:rPr>
          <w:spacing w:val="-3"/>
          <w:sz w:val="17"/>
        </w:rPr>
        <w:t>bucal</w:t>
      </w:r>
      <w:r>
        <w:rPr>
          <w:spacing w:val="-15"/>
          <w:sz w:val="17"/>
        </w:rPr>
        <w:t> </w:t>
      </w:r>
      <w:r>
        <w:rPr>
          <w:sz w:val="17"/>
        </w:rPr>
        <w:t>con</w:t>
      </w:r>
      <w:r>
        <w:rPr>
          <w:spacing w:val="-11"/>
          <w:sz w:val="17"/>
        </w:rPr>
        <w:t> </w:t>
      </w:r>
      <w:r>
        <w:rPr>
          <w:spacing w:val="-3"/>
          <w:sz w:val="17"/>
        </w:rPr>
        <w:t>las </w:t>
      </w:r>
      <w:r>
        <w:rPr>
          <w:spacing w:val="2"/>
          <w:sz w:val="17"/>
        </w:rPr>
        <w:t>capas</w:t>
      </w:r>
      <w:r>
        <w:rPr>
          <w:spacing w:val="-32"/>
          <w:sz w:val="17"/>
        </w:rPr>
        <w:t> </w:t>
      </w:r>
      <w:r>
        <w:rPr>
          <w:sz w:val="17"/>
        </w:rPr>
        <w:t>de</w:t>
      </w:r>
      <w:r>
        <w:rPr>
          <w:spacing w:val="-33"/>
          <w:sz w:val="17"/>
        </w:rPr>
        <w:t> </w:t>
      </w:r>
      <w:r>
        <w:rPr>
          <w:sz w:val="17"/>
        </w:rPr>
        <w:t>la</w:t>
      </w:r>
      <w:r>
        <w:rPr>
          <w:spacing w:val="-33"/>
          <w:sz w:val="17"/>
        </w:rPr>
        <w:t> </w:t>
      </w:r>
      <w:r>
        <w:rPr>
          <w:sz w:val="17"/>
        </w:rPr>
        <w:t>célulares.</w:t>
      </w:r>
    </w:p>
    <w:p>
      <w:pPr>
        <w:pStyle w:val="BodyText"/>
        <w:rPr>
          <w:sz w:val="20"/>
        </w:rPr>
      </w:pPr>
    </w:p>
    <w:p>
      <w:pPr>
        <w:pStyle w:val="BodyText"/>
        <w:rPr>
          <w:sz w:val="20"/>
        </w:rPr>
      </w:pPr>
    </w:p>
    <w:p>
      <w:pPr>
        <w:pStyle w:val="BodyText"/>
        <w:rPr>
          <w:sz w:val="20"/>
        </w:rPr>
      </w:pPr>
    </w:p>
    <w:p>
      <w:pPr>
        <w:pStyle w:val="BodyText"/>
        <w:spacing w:before="9"/>
        <w:rPr>
          <w:sz w:val="17"/>
        </w:rPr>
      </w:pPr>
    </w:p>
    <w:p>
      <w:pPr>
        <w:pStyle w:val="Heading4"/>
        <w:numPr>
          <w:ilvl w:val="4"/>
          <w:numId w:val="3"/>
        </w:numPr>
        <w:tabs>
          <w:tab w:pos="2838" w:val="left" w:leader="none"/>
        </w:tabs>
        <w:spacing w:line="240" w:lineRule="auto" w:before="69" w:after="0"/>
        <w:ind w:left="2837" w:right="0" w:hanging="567"/>
        <w:jc w:val="left"/>
      </w:pPr>
      <w:r>
        <w:rPr/>
        <w:t>Otras anormalidades</w:t>
      </w:r>
      <w:r>
        <w:rPr>
          <w:spacing w:val="-11"/>
        </w:rPr>
        <w:t> </w:t>
      </w:r>
      <w:r>
        <w:rPr/>
        <w:t>nucleares</w:t>
      </w:r>
    </w:p>
    <w:p>
      <w:pPr>
        <w:pStyle w:val="BodyText"/>
        <w:rPr>
          <w:b/>
        </w:rPr>
      </w:pPr>
    </w:p>
    <w:p>
      <w:pPr>
        <w:pStyle w:val="BodyText"/>
        <w:rPr>
          <w:b/>
        </w:rPr>
      </w:pPr>
    </w:p>
    <w:p>
      <w:pPr>
        <w:pStyle w:val="BodyText"/>
        <w:spacing w:line="360" w:lineRule="auto"/>
        <w:ind w:left="1418" w:right="1697"/>
        <w:jc w:val="both"/>
      </w:pPr>
      <w:r>
        <w:rPr/>
        <w:t>Durante el análisis de MN también se observan otras anormalidades nucleares que ocurren en procesos normales de diferenciación celular, sin embargo, también son indicadores de daño al ADN, citotoxicidad y muerte celular</w:t>
      </w:r>
      <w:r>
        <w:rPr>
          <w:position w:val="8"/>
          <w:sz w:val="16"/>
        </w:rPr>
        <w:t>38</w:t>
      </w:r>
      <w:r>
        <w:rPr/>
        <w:t>. Las alteraciones más sugestivas en la morfología como tamaño, densidad y distribución de la cromatina se producen en el núcleo, la presencia de células binucleadas son biomarcadores de toxicidad, cariolisis y cariorrexis son biomarcadores de apoptosis; núcleos lobulados son un marcador de genotoxicidad y muerte celular bajo la forma de necrosis o apoptosis (ambas se manifiestan como picnosis, cromatina condensada, cariorrexis o cariolisis) (Figura 5)</w:t>
      </w:r>
      <w:r>
        <w:rPr>
          <w:position w:val="8"/>
          <w:sz w:val="16"/>
        </w:rPr>
        <w:t>25, 11</w:t>
      </w:r>
      <w:r>
        <w:rPr/>
        <w:t>.</w:t>
      </w:r>
    </w:p>
    <w:p>
      <w:pPr>
        <w:pStyle w:val="BodyText"/>
        <w:spacing w:line="357" w:lineRule="auto" w:before="1"/>
        <w:ind w:left="1418" w:right="1694"/>
        <w:jc w:val="both"/>
      </w:pPr>
      <w:r>
        <w:rPr/>
        <w:t>El mecanismo de formación de cada anormalidad aún no está bien esclarecido y  para su identificación, se usan los criterios establecidos por Tolbert </w:t>
      </w:r>
      <w:r>
        <w:rPr>
          <w:i/>
        </w:rPr>
        <w:t>et al</w:t>
      </w:r>
      <w:r>
        <w:rPr/>
        <w:t>. (1991) (Figura</w:t>
      </w:r>
      <w:r>
        <w:rPr>
          <w:spacing w:val="-5"/>
        </w:rPr>
        <w:t> </w:t>
      </w:r>
      <w:r>
        <w:rPr/>
        <w:t>5)</w:t>
      </w:r>
      <w:r>
        <w:rPr>
          <w:position w:val="8"/>
          <w:sz w:val="16"/>
        </w:rPr>
        <w:t>29</w:t>
      </w:r>
      <w:r>
        <w:rPr/>
        <w:t>.</w:t>
      </w:r>
    </w:p>
    <w:p>
      <w:pPr>
        <w:spacing w:after="0" w:line="357" w:lineRule="auto"/>
        <w:jc w:val="both"/>
        <w:sectPr>
          <w:pgSz w:w="12240" w:h="15840"/>
          <w:pgMar w:header="0" w:footer="599" w:top="1500" w:bottom="780" w:left="0" w:right="0"/>
        </w:sectPr>
      </w:pPr>
    </w:p>
    <w:p>
      <w:pPr>
        <w:pStyle w:val="BodyText"/>
        <w:rPr>
          <w:sz w:val="20"/>
        </w:rPr>
      </w:pPr>
    </w:p>
    <w:p>
      <w:pPr>
        <w:pStyle w:val="BodyText"/>
        <w:spacing w:before="8"/>
        <w:rPr>
          <w:sz w:val="21"/>
        </w:rPr>
      </w:pPr>
    </w:p>
    <w:p>
      <w:pPr>
        <w:pStyle w:val="BodyText"/>
        <w:ind w:left="1841"/>
        <w:rPr>
          <w:sz w:val="20"/>
        </w:rPr>
      </w:pPr>
      <w:r>
        <w:rPr>
          <w:sz w:val="20"/>
        </w:rPr>
        <w:pict>
          <v:group style="width:456.95pt;height:109.95pt;mso-position-horizontal-relative:char;mso-position-vertical-relative:line" coordorigin="0,0" coordsize="9139,2199">
            <v:shape style="position:absolute;left:3875;top:884;width:1419;height:1315" type="#_x0000_t75" stroked="false">
              <v:imagedata r:id="rId182" o:title=""/>
            </v:shape>
            <v:shape style="position:absolute;left:4384;top:1439;width:235;height:257" type="#_x0000_t75" stroked="false">
              <v:imagedata r:id="rId183" o:title=""/>
            </v:shape>
            <v:shape style="position:absolute;left:4388;top:1444;width:216;height:237" coordorigin="4388,1444" coordsize="216,237" path="m4388,1562l4397,1516,4420,1478,4454,1453,4496,1444,4538,1453,4572,1478,4595,1516,4604,1562,4595,1608,4572,1646,4538,1671,4496,1680,4454,1671,4420,1646,4397,1608,4388,1562xe" filled="false" stroked="true" strokeweight="1.501094pt" strokecolor="#25b8b0">
              <v:path arrowok="t"/>
            </v:shape>
            <v:shape style="position:absolute;left:3659;top:0;width:1888;height:894" type="#_x0000_t75" stroked="false">
              <v:imagedata r:id="rId184" o:title=""/>
            </v:shape>
            <v:shape style="position:absolute;left:1683;top:0;width:1879;height:894" type="#_x0000_t75" stroked="false">
              <v:imagedata r:id="rId185" o:title=""/>
            </v:shape>
            <v:shape style="position:absolute;left:0;top:82;width:988;height:658" type="#_x0000_t75" stroked="false">
              <v:imagedata r:id="rId186" o:title=""/>
            </v:shape>
            <v:shape style="position:absolute;left:934;top:376;width:881;height:144" coordorigin="934,376" coordsize="881,144" path="m1757,447l1691,488,1683,492,1681,501,1685,509,1689,516,1698,519,1790,462,1786,462,1786,460,1779,460,1757,447xm1732,432l935,432,934,462,1732,462,1757,447,1732,432xm1790,432l1786,432,1786,462,1790,462,1815,447,1790,432xm1779,434l1757,447,1779,460,1779,434xm1786,434l1779,434,1779,460,1786,460,1786,434xm1698,376l1689,378,1685,385,1681,393,1683,402,1757,447,1779,434,1786,434,1786,432,1790,432,1698,376xe" filled="true" fillcolor="#497dba" stroked="false">
              <v:path arrowok="t"/>
              <v:fill type="solid"/>
            </v:shape>
            <v:shape style="position:absolute;left:3478;top:376;width:313;height:143" type="#_x0000_t75" stroked="false">
              <v:imagedata r:id="rId187" o:title=""/>
            </v:shape>
            <v:shape style="position:absolute;left:5646;top:0;width:1732;height:894" type="#_x0000_t75" stroked="false">
              <v:imagedata r:id="rId188" o:title=""/>
            </v:shape>
            <v:shape style="position:absolute;left:5474;top:376;width:303;height:143" type="#_x0000_t75" stroked="false">
              <v:imagedata r:id="rId189" o:title=""/>
            </v:shape>
            <v:shape style="position:absolute;left:7926;top:82;width:1213;height:658" type="#_x0000_t75" stroked="false">
              <v:imagedata r:id="rId190" o:title=""/>
            </v:shape>
            <v:shape style="position:absolute;left:7324;top:377;width:661;height:144" coordorigin="7324,377" coordsize="661,144" path="m7901,464l7860,489,7853,493,7850,503,7858,517,7867,520,7959,464,7901,464xm7926,449l7901,464,7955,464,7955,462,7948,462,7926,449xm7868,377l7859,379,7855,387,7851,394,7853,403,7901,433,7955,433,7955,464,7959,464,7984,449,7868,377xm7324,432l7324,462,7901,464,7926,449,7901,433,7324,432xm7948,435l7926,449,7948,462,7948,435xm7955,435l7948,435,7948,462,7955,462,7955,435xm7901,433l7926,449,7948,435,7955,435,7955,433,7901,433xe" filled="true" fillcolor="#497dba" stroked="false">
              <v:path arrowok="t"/>
              <v:fill type="solid"/>
            </v:shape>
            <v:shape style="position:absolute;left:511;top:949;width:1412;height:556" type="#_x0000_t202" filled="false" stroked="false">
              <v:textbox inset="0,0,0,0">
                <w:txbxContent>
                  <w:p>
                    <w:pPr>
                      <w:spacing w:line="167" w:lineRule="exact" w:before="0"/>
                      <w:ind w:left="0" w:right="-7" w:firstLine="0"/>
                      <w:jc w:val="left"/>
                      <w:rPr>
                        <w:rFonts w:ascii="Calibri" w:hAnsi="Calibri"/>
                        <w:b/>
                        <w:sz w:val="16"/>
                      </w:rPr>
                    </w:pPr>
                    <w:r>
                      <w:rPr>
                        <w:rFonts w:ascii="Calibri" w:hAnsi="Calibri"/>
                        <w:b/>
                        <w:sz w:val="16"/>
                      </w:rPr>
                      <w:t>Ningún daño del</w:t>
                    </w:r>
                  </w:p>
                  <w:p>
                    <w:pPr>
                      <w:spacing w:before="0"/>
                      <w:ind w:left="0" w:right="-7" w:firstLine="0"/>
                      <w:jc w:val="left"/>
                      <w:rPr>
                        <w:rFonts w:ascii="Calibri"/>
                        <w:b/>
                        <w:sz w:val="16"/>
                      </w:rPr>
                    </w:pPr>
                    <w:r>
                      <w:rPr>
                        <w:rFonts w:ascii="Calibri"/>
                        <w:b/>
                        <w:sz w:val="16"/>
                      </w:rPr>
                      <w:t>cromosoma o</w:t>
                    </w:r>
                    <w:r>
                      <w:rPr>
                        <w:rFonts w:ascii="Calibri"/>
                        <w:b/>
                        <w:spacing w:val="-26"/>
                        <w:sz w:val="16"/>
                      </w:rPr>
                      <w:t> </w:t>
                    </w:r>
                    <w:r>
                      <w:rPr>
                        <w:rFonts w:ascii="Calibri"/>
                        <w:b/>
                        <w:sz w:val="16"/>
                      </w:rPr>
                      <w:t>errores</w:t>
                    </w:r>
                  </w:p>
                  <w:p>
                    <w:pPr>
                      <w:spacing w:line="194" w:lineRule="exact" w:before="0"/>
                      <w:ind w:left="0" w:right="-7" w:firstLine="0"/>
                      <w:jc w:val="left"/>
                      <w:rPr>
                        <w:rFonts w:ascii="Calibri" w:hAnsi="Calibri"/>
                        <w:b/>
                        <w:sz w:val="16"/>
                      </w:rPr>
                    </w:pPr>
                    <w:r>
                      <w:rPr>
                        <w:rFonts w:ascii="Calibri" w:hAnsi="Calibri"/>
                        <w:b/>
                        <w:sz w:val="16"/>
                      </w:rPr>
                      <w:t>mitóticos</w:t>
                    </w:r>
                  </w:p>
                </w:txbxContent>
              </v:textbox>
              <w10:wrap type="none"/>
            </v:shape>
            <v:shape style="position:absolute;left:1815;top:139;width:1615;height:617" type="#_x0000_t202" filled="true" fillcolor="#001f5f" stroked="true" strokeweight=".511427pt" strokecolor="#000000">
              <v:textbox inset="0,0,0,0">
                <w:txbxContent>
                  <w:p>
                    <w:pPr>
                      <w:spacing w:line="244" w:lineRule="auto" w:before="0"/>
                      <w:ind w:left="224" w:right="0" w:hanging="138"/>
                      <w:jc w:val="left"/>
                      <w:rPr>
                        <w:rFonts w:ascii="Calibri" w:hAnsi="Calibri"/>
                        <w:b/>
                        <w:sz w:val="24"/>
                      </w:rPr>
                    </w:pPr>
                    <w:r>
                      <w:rPr>
                        <w:rFonts w:ascii="Calibri" w:hAnsi="Calibri"/>
                        <w:b/>
                        <w:color w:val="FFFFFF"/>
                        <w:w w:val="95"/>
                        <w:sz w:val="24"/>
                      </w:rPr>
                      <w:t>Diferenciación </w:t>
                    </w:r>
                    <w:r>
                      <w:rPr>
                        <w:rFonts w:ascii="Calibri" w:hAnsi="Calibri"/>
                        <w:b/>
                        <w:color w:val="FFFFFF"/>
                        <w:sz w:val="24"/>
                      </w:rPr>
                      <w:t>transicional</w:t>
                    </w:r>
                  </w:p>
                </w:txbxContent>
              </v:textbox>
              <v:fill type="solid"/>
              <w10:wrap type="none"/>
            </v:shape>
            <v:shape style="position:absolute;left:3792;top:139;width:1625;height:617" type="#_x0000_t202" filled="true" fillcolor="#001f5f" stroked="true" strokeweight=".511457pt" strokecolor="#000000">
              <v:textbox inset="0,0,0,0">
                <w:txbxContent>
                  <w:p>
                    <w:pPr>
                      <w:spacing w:line="244" w:lineRule="auto" w:before="0"/>
                      <w:ind w:left="387" w:right="0" w:hanging="294"/>
                      <w:jc w:val="left"/>
                      <w:rPr>
                        <w:rFonts w:ascii="Calibri" w:hAnsi="Calibri"/>
                        <w:b/>
                        <w:sz w:val="24"/>
                      </w:rPr>
                    </w:pPr>
                    <w:r>
                      <w:rPr>
                        <w:rFonts w:ascii="Calibri" w:hAnsi="Calibri"/>
                        <w:b/>
                        <w:color w:val="FFFFFF"/>
                        <w:w w:val="95"/>
                        <w:sz w:val="24"/>
                      </w:rPr>
                      <w:t>Diferenciación </w:t>
                    </w:r>
                    <w:r>
                      <w:rPr>
                        <w:rFonts w:ascii="Calibri" w:hAnsi="Calibri"/>
                        <w:b/>
                        <w:color w:val="FFFFFF"/>
                        <w:sz w:val="24"/>
                      </w:rPr>
                      <w:t>terminal</w:t>
                    </w:r>
                  </w:p>
                </w:txbxContent>
              </v:textbox>
              <v:fill type="solid"/>
              <w10:wrap type="none"/>
            </v:shape>
            <v:shape style="position:absolute;left:5778;top:139;width:1468;height:617" type="#_x0000_t202" filled="true" fillcolor="#001f5f" stroked="true" strokeweight=".510907pt" strokecolor="#000000">
              <v:textbox inset="0,0,0,0">
                <w:txbxContent>
                  <w:p>
                    <w:pPr>
                      <w:spacing w:line="244" w:lineRule="auto" w:before="0"/>
                      <w:ind w:left="365" w:right="0" w:hanging="167"/>
                      <w:jc w:val="left"/>
                      <w:rPr>
                        <w:rFonts w:ascii="Calibri"/>
                        <w:b/>
                        <w:sz w:val="24"/>
                      </w:rPr>
                    </w:pPr>
                    <w:r>
                      <w:rPr>
                        <w:rFonts w:ascii="Calibri"/>
                        <w:b/>
                        <w:color w:val="FFFFFF"/>
                        <w:sz w:val="24"/>
                      </w:rPr>
                      <w:t>Proceso de muerte</w:t>
                    </w:r>
                  </w:p>
                </w:txbxContent>
              </v:textbox>
              <v:fill type="solid"/>
              <w10:wrap type="none"/>
            </v:shape>
            <v:shape style="position:absolute;left:132;top:221;width:725;height:381" type="#_x0000_t202" filled="true" fillcolor="#001f5f" stroked="true" strokeweight=".509382pt" strokecolor="#000000">
              <v:textbox inset="0,0,0,0">
                <w:txbxContent>
                  <w:p>
                    <w:pPr>
                      <w:spacing w:before="27"/>
                      <w:ind w:left="90" w:right="0" w:firstLine="0"/>
                      <w:jc w:val="left"/>
                      <w:rPr>
                        <w:rFonts w:ascii="Calibri"/>
                        <w:b/>
                        <w:sz w:val="24"/>
                      </w:rPr>
                    </w:pPr>
                    <w:r>
                      <w:rPr>
                        <w:rFonts w:ascii="Calibri"/>
                        <w:b/>
                        <w:color w:val="FFFFFF"/>
                        <w:sz w:val="24"/>
                      </w:rPr>
                      <w:t>Basal</w:t>
                    </w:r>
                  </w:p>
                </w:txbxContent>
              </v:textbox>
              <v:fill type="solid"/>
              <w10:wrap type="none"/>
            </v:shape>
            <v:shape style="position:absolute;left:8058;top:221;width:950;height:381" type="#_x0000_t202" filled="true" fillcolor="#001f5f" stroked="true" strokeweight=".511175pt" strokecolor="#000000">
              <v:textbox inset="0,0,0,0">
                <w:txbxContent>
                  <w:p>
                    <w:pPr>
                      <w:spacing w:before="27"/>
                      <w:ind w:left="98" w:right="0" w:firstLine="0"/>
                      <w:jc w:val="left"/>
                      <w:rPr>
                        <w:rFonts w:ascii="Calibri"/>
                        <w:b/>
                        <w:sz w:val="24"/>
                      </w:rPr>
                    </w:pPr>
                    <w:r>
                      <w:rPr>
                        <w:rFonts w:ascii="Calibri"/>
                        <w:b/>
                        <w:color w:val="FFFFFF"/>
                        <w:sz w:val="24"/>
                      </w:rPr>
                      <w:t>Muerte</w:t>
                    </w:r>
                  </w:p>
                </w:txbxContent>
              </v:textbox>
              <v:fill type="solid"/>
              <w10:wrap type="none"/>
            </v:shape>
          </v:group>
        </w:pict>
      </w:r>
      <w:r>
        <w:rPr>
          <w:sz w:val="20"/>
        </w:rPr>
      </w:r>
    </w:p>
    <w:p>
      <w:pPr>
        <w:spacing w:after="0"/>
        <w:rPr>
          <w:sz w:val="20"/>
        </w:rPr>
        <w:sectPr>
          <w:pgSz w:w="12240" w:h="15840"/>
          <w:pgMar w:header="0" w:footer="599" w:top="1500" w:bottom="780" w:left="0" w:right="0"/>
        </w:sectPr>
      </w:pPr>
    </w:p>
    <w:p>
      <w:pPr>
        <w:pStyle w:val="BodyText"/>
        <w:spacing w:before="5"/>
        <w:rPr>
          <w:sz w:val="14"/>
        </w:rPr>
      </w:pPr>
    </w:p>
    <w:p>
      <w:pPr>
        <w:spacing w:before="0"/>
        <w:ind w:left="2351" w:right="0" w:firstLine="0"/>
        <w:jc w:val="left"/>
        <w:rPr>
          <w:rFonts w:ascii="Calibri"/>
          <w:b/>
          <w:sz w:val="16"/>
        </w:rPr>
      </w:pPr>
      <w:r>
        <w:rPr>
          <w:rFonts w:ascii="Calibri"/>
          <w:b/>
          <w:w w:val="95"/>
          <w:sz w:val="16"/>
        </w:rPr>
        <w:t>Cromosoma </w:t>
      </w:r>
      <w:r>
        <w:rPr>
          <w:rFonts w:ascii="Calibri"/>
          <w:b/>
          <w:sz w:val="16"/>
        </w:rPr>
        <w:t>roto o perdido</w:t>
      </w:r>
    </w:p>
    <w:p>
      <w:pPr>
        <w:spacing w:line="186" w:lineRule="exact" w:before="0"/>
        <w:ind w:left="0" w:right="0" w:firstLine="0"/>
        <w:jc w:val="right"/>
        <w:rPr>
          <w:rFonts w:ascii="Calibri"/>
          <w:b/>
          <w:sz w:val="19"/>
        </w:rPr>
      </w:pPr>
      <w:r>
        <w:rPr/>
        <w:br w:type="column"/>
      </w:r>
      <w:r>
        <w:rPr>
          <w:rFonts w:ascii="Calibri"/>
          <w:b/>
          <w:w w:val="95"/>
          <w:sz w:val="19"/>
        </w:rPr>
        <w:t>Normal</w:t>
      </w:r>
    </w:p>
    <w:p>
      <w:pPr>
        <w:pStyle w:val="BodyText"/>
        <w:rPr>
          <w:rFonts w:ascii="Calibri"/>
          <w:b/>
          <w:sz w:val="20"/>
        </w:rPr>
      </w:pPr>
      <w:r>
        <w:rPr/>
        <w:br w:type="column"/>
      </w:r>
      <w:r>
        <w:rPr>
          <w:rFonts w:ascii="Calibri"/>
          <w:b/>
          <w:sz w:val="20"/>
        </w:rPr>
      </w:r>
    </w:p>
    <w:p>
      <w:pPr>
        <w:pStyle w:val="BodyText"/>
        <w:rPr>
          <w:rFonts w:ascii="Calibri"/>
          <w:b/>
          <w:sz w:val="20"/>
        </w:rPr>
      </w:pPr>
    </w:p>
    <w:p>
      <w:pPr>
        <w:pStyle w:val="BodyText"/>
        <w:spacing w:before="5"/>
        <w:rPr>
          <w:rFonts w:ascii="Calibri"/>
          <w:b/>
          <w:sz w:val="19"/>
        </w:rPr>
      </w:pPr>
    </w:p>
    <w:p>
      <w:pPr>
        <w:spacing w:before="0"/>
        <w:ind w:left="2328" w:right="3510" w:firstLine="0"/>
        <w:jc w:val="center"/>
        <w:rPr>
          <w:rFonts w:ascii="Calibri"/>
          <w:b/>
          <w:sz w:val="19"/>
        </w:rPr>
      </w:pPr>
      <w:r>
        <w:rPr/>
        <w:pict>
          <v:group style="position:absolute;margin-left:285.794861pt;margin-top:-27.556467pt;width:70.95pt;height:65.25pt;mso-position-horizontal-relative:page;mso-position-vertical-relative:paragraph;z-index:-339040" coordorigin="5716,-551" coordsize="1419,1305">
            <v:shape style="position:absolute;left:5716;top:-551;width:1419;height:1305" type="#_x0000_t75" stroked="false">
              <v:imagedata r:id="rId191" o:title=""/>
            </v:shape>
            <v:shape style="position:absolute;left:6225;top:117;width:235;height:247" type="#_x0000_t75" stroked="false">
              <v:imagedata r:id="rId192" o:title=""/>
            </v:shape>
            <v:shape style="position:absolute;left:6230;top:122;width:216;height:227" coordorigin="6230,122" coordsize="216,227" path="m6230,235l6238,191,6261,155,6295,131,6337,122,6379,131,6413,155,6436,191,6445,235,6436,279,6413,315,6379,339,6337,348,6295,339,6261,315,6238,279,6230,235xe" filled="false" stroked="true" strokeweight="1.502722pt" strokecolor="#25b8b0">
              <v:path arrowok="t"/>
            </v:shape>
            <v:shape style="position:absolute;left:6156;top:-120;width:88;height:103" type="#_x0000_t75" stroked="false">
              <v:imagedata r:id="rId193" o:title=""/>
            </v:shape>
            <v:shape style="position:absolute;left:6161;top:-114;width:69;height:83" coordorigin="6161,-114" coordsize="69,83" path="m6161,-73l6164,-89,6171,-102,6182,-111,6195,-114,6209,-111,6220,-102,6227,-89,6230,-73,6227,-57,6220,-44,6209,-35,6195,-32,6182,-35,6171,-44,6164,-57,6161,-73xe" filled="false" stroked="true" strokeweight="1.497877pt" strokecolor="#25b8b0">
              <v:path arrowok="t"/>
            </v:shape>
            <w10:wrap type="none"/>
          </v:group>
        </w:pict>
      </w:r>
      <w:r>
        <w:rPr/>
        <w:pict>
          <v:group style="position:absolute;margin-left:385.109161pt;margin-top:-65.576401pt;width:70.95pt;height:65.8pt;mso-position-horizontal-relative:page;mso-position-vertical-relative:paragraph;z-index:-338944" coordorigin="7702,-1312" coordsize="1419,1316">
            <v:shape style="position:absolute;left:7702;top:-1312;width:1419;height:1315" type="#_x0000_t75" stroked="false">
              <v:imagedata r:id="rId194" o:title=""/>
            </v:shape>
            <v:shape style="position:absolute;left:8279;top:-808;width:166;height:175" type="#_x0000_t75" stroked="false">
              <v:imagedata r:id="rId195" o:title=""/>
            </v:shape>
            <v:shape style="position:absolute;left:8284;top:-803;width:147;height:155" coordorigin="8284,-803" coordsize="147,155" path="m8284,-726l8290,-756,8306,-780,8329,-797,8358,-803,8386,-797,8410,-780,8425,-756,8431,-726,8425,-696,8410,-671,8386,-655,8358,-649,8329,-655,8306,-671,8290,-696,8284,-726xe" filled="false" stroked="true" strokeweight="1.502722pt" strokecolor="#25b8b0">
              <v:path arrowok="t"/>
            </v:shape>
            <w10:wrap type="none"/>
          </v:group>
        </w:pict>
      </w:r>
      <w:r>
        <w:rPr>
          <w:rFonts w:ascii="Calibri"/>
          <w:b/>
          <w:sz w:val="19"/>
        </w:rPr>
        <w:t>Picnosis</w:t>
      </w:r>
    </w:p>
    <w:p>
      <w:pPr>
        <w:spacing w:after="0"/>
        <w:jc w:val="center"/>
        <w:rPr>
          <w:rFonts w:ascii="Calibri"/>
          <w:sz w:val="19"/>
        </w:rPr>
        <w:sectPr>
          <w:type w:val="continuous"/>
          <w:pgSz w:w="12240" w:h="15840"/>
          <w:pgMar w:top="1420" w:bottom="280" w:left="0" w:right="0"/>
          <w:cols w:num="3" w:equalWidth="0">
            <w:col w:w="3153" w:space="40"/>
            <w:col w:w="2472" w:space="66"/>
            <w:col w:w="6509"/>
          </w:cols>
        </w:sectPr>
      </w:pPr>
    </w:p>
    <w:p>
      <w:pPr>
        <w:pStyle w:val="BodyText"/>
        <w:rPr>
          <w:rFonts w:ascii="Calibri"/>
          <w:b/>
          <w:sz w:val="20"/>
        </w:rPr>
      </w:pPr>
    </w:p>
    <w:p>
      <w:pPr>
        <w:pStyle w:val="BodyText"/>
        <w:spacing w:before="11"/>
        <w:rPr>
          <w:rFonts w:ascii="Calibri"/>
          <w:b/>
          <w:sz w:val="17"/>
        </w:rPr>
      </w:pPr>
    </w:p>
    <w:p>
      <w:pPr>
        <w:spacing w:before="0"/>
        <w:ind w:left="1589" w:right="3079" w:firstLine="0"/>
        <w:jc w:val="center"/>
        <w:rPr>
          <w:rFonts w:ascii="Calibri" w:hAnsi="Calibri"/>
          <w:b/>
          <w:sz w:val="19"/>
        </w:rPr>
      </w:pPr>
      <w:r>
        <w:rPr/>
        <w:pict>
          <v:group style="position:absolute;margin-left:385.109161pt;margin-top:-23.24069pt;width:70.95pt;height:65.8pt;mso-position-horizontal-relative:page;mso-position-vertical-relative:paragraph;z-index:-338968" coordorigin="7702,-465" coordsize="1419,1316">
            <v:shape style="position:absolute;left:7702;top:-465;width:1419;height:1315" type="#_x0000_t75" stroked="false">
              <v:imagedata r:id="rId196" o:title=""/>
            </v:shape>
            <v:shape style="position:absolute;left:8279;top:39;width:225;height:257" type="#_x0000_t75" stroked="false">
              <v:imagedata r:id="rId197" o:title=""/>
            </v:shape>
            <v:line style="position:absolute" from="8284,156" to="8472,75" stroked="true" strokeweight=".510392pt" strokecolor="#497dba"/>
            <w10:wrap type="none"/>
          </v:group>
        </w:pict>
      </w:r>
      <w:r>
        <w:rPr/>
        <w:pict>
          <v:group style="position:absolute;margin-left:477.084991pt;margin-top:-23.24069pt;width:70.45pt;height:65.8pt;mso-position-horizontal-relative:page;mso-position-vertical-relative:paragraph;z-index:-338920" coordorigin="9542,-465" coordsize="1409,1316">
            <v:shape style="position:absolute;left:9542;top:-465;width:1409;height:1315" type="#_x0000_t75" stroked="false">
              <v:imagedata r:id="rId198" o:title=""/>
            </v:shape>
            <v:shape style="position:absolute;left:9962;top:111;width:235;height:246" type="#_x0000_t75" stroked="false">
              <v:imagedata r:id="rId199" o:title=""/>
            </v:shape>
            <w10:wrap type="none"/>
          </v:group>
        </w:pict>
      </w:r>
      <w:r>
        <w:rPr>
          <w:rFonts w:ascii="Calibri" w:hAnsi="Calibri"/>
          <w:b/>
          <w:sz w:val="19"/>
        </w:rPr>
        <w:t>Micronúcleo</w:t>
      </w:r>
    </w:p>
    <w:p>
      <w:pPr>
        <w:pStyle w:val="BodyText"/>
        <w:rPr>
          <w:rFonts w:ascii="Calibri"/>
          <w:b/>
          <w:sz w:val="20"/>
        </w:rPr>
      </w:pPr>
    </w:p>
    <w:p>
      <w:pPr>
        <w:pStyle w:val="BodyText"/>
        <w:spacing w:before="2"/>
        <w:rPr>
          <w:rFonts w:ascii="Calibri"/>
          <w:b/>
          <w:sz w:val="25"/>
        </w:rPr>
      </w:pPr>
    </w:p>
    <w:p>
      <w:pPr>
        <w:spacing w:after="0"/>
        <w:rPr>
          <w:rFonts w:ascii="Calibri"/>
          <w:sz w:val="25"/>
        </w:rPr>
        <w:sectPr>
          <w:type w:val="continuous"/>
          <w:pgSz w:w="12240" w:h="15840"/>
          <w:pgMar w:top="1420" w:bottom="280" w:left="0" w:right="0"/>
        </w:sectPr>
      </w:pPr>
    </w:p>
    <w:p>
      <w:pPr>
        <w:pStyle w:val="BodyText"/>
        <w:spacing w:before="8"/>
        <w:rPr>
          <w:rFonts w:ascii="Calibri"/>
          <w:b/>
          <w:sz w:val="14"/>
        </w:rPr>
      </w:pPr>
    </w:p>
    <w:p>
      <w:pPr>
        <w:spacing w:line="244" w:lineRule="auto" w:before="1"/>
        <w:ind w:left="2351" w:right="-14" w:firstLine="0"/>
        <w:jc w:val="left"/>
        <w:rPr>
          <w:rFonts w:ascii="Calibri" w:hAnsi="Calibri"/>
          <w:b/>
          <w:sz w:val="16"/>
        </w:rPr>
      </w:pPr>
      <w:r>
        <w:rPr>
          <w:rFonts w:ascii="Calibri" w:hAnsi="Calibri"/>
          <w:b/>
          <w:w w:val="95"/>
          <w:sz w:val="16"/>
        </w:rPr>
        <w:t>Amplificación </w:t>
      </w:r>
      <w:r>
        <w:rPr>
          <w:rFonts w:ascii="Calibri" w:hAnsi="Calibri"/>
          <w:b/>
          <w:sz w:val="16"/>
        </w:rPr>
        <w:t>del gen y/o inestabilidad cromosomal</w:t>
      </w:r>
    </w:p>
    <w:p>
      <w:pPr>
        <w:pStyle w:val="BodyText"/>
        <w:rPr>
          <w:rFonts w:ascii="Calibri"/>
          <w:b/>
          <w:sz w:val="16"/>
        </w:rPr>
      </w:pPr>
    </w:p>
    <w:p>
      <w:pPr>
        <w:pStyle w:val="BodyText"/>
        <w:rPr>
          <w:rFonts w:ascii="Calibri"/>
          <w:b/>
          <w:sz w:val="16"/>
        </w:rPr>
      </w:pPr>
    </w:p>
    <w:p>
      <w:pPr>
        <w:pStyle w:val="BodyText"/>
        <w:rPr>
          <w:rFonts w:ascii="Calibri"/>
          <w:b/>
          <w:sz w:val="16"/>
        </w:rPr>
      </w:pPr>
    </w:p>
    <w:p>
      <w:pPr>
        <w:pStyle w:val="BodyText"/>
        <w:spacing w:before="3"/>
        <w:rPr>
          <w:rFonts w:ascii="Calibri"/>
          <w:b/>
          <w:sz w:val="21"/>
        </w:rPr>
      </w:pPr>
    </w:p>
    <w:p>
      <w:pPr>
        <w:spacing w:before="1"/>
        <w:ind w:left="2351" w:right="-14" w:firstLine="0"/>
        <w:jc w:val="left"/>
        <w:rPr>
          <w:rFonts w:ascii="Calibri" w:hAnsi="Calibri"/>
          <w:b/>
          <w:sz w:val="16"/>
        </w:rPr>
      </w:pPr>
      <w:r>
        <w:rPr>
          <w:rFonts w:ascii="Calibri" w:hAnsi="Calibri"/>
          <w:b/>
          <w:sz w:val="16"/>
        </w:rPr>
        <w:t>Defecto de citoquinesis</w:t>
      </w:r>
      <w:r>
        <w:rPr>
          <w:rFonts w:ascii="Calibri" w:hAnsi="Calibri"/>
          <w:b/>
          <w:spacing w:val="-13"/>
          <w:sz w:val="16"/>
        </w:rPr>
        <w:t> </w:t>
      </w:r>
      <w:r>
        <w:rPr>
          <w:rFonts w:ascii="Calibri" w:hAnsi="Calibri"/>
          <w:b/>
          <w:sz w:val="16"/>
        </w:rPr>
        <w:t>o detención</w:t>
      </w:r>
    </w:p>
    <w:p>
      <w:pPr>
        <w:pStyle w:val="BodyText"/>
        <w:rPr>
          <w:rFonts w:ascii="Calibri"/>
          <w:b/>
          <w:sz w:val="20"/>
        </w:rPr>
      </w:pPr>
      <w:r>
        <w:rPr/>
        <w:br w:type="column"/>
      </w:r>
      <w:r>
        <w:rPr>
          <w:rFonts w:ascii="Calibri"/>
          <w:b/>
          <w:sz w:val="20"/>
        </w:rPr>
      </w:r>
    </w:p>
    <w:p>
      <w:pPr>
        <w:pStyle w:val="BodyText"/>
        <w:rPr>
          <w:rFonts w:ascii="Calibri"/>
          <w:b/>
          <w:sz w:val="20"/>
        </w:rPr>
      </w:pPr>
    </w:p>
    <w:p>
      <w:pPr>
        <w:pStyle w:val="BodyText"/>
        <w:spacing w:before="3"/>
        <w:rPr>
          <w:rFonts w:ascii="Calibri"/>
          <w:b/>
          <w:sz w:val="22"/>
        </w:rPr>
      </w:pPr>
    </w:p>
    <w:p>
      <w:pPr>
        <w:spacing w:before="0"/>
        <w:ind w:left="1453" w:right="0" w:firstLine="0"/>
        <w:jc w:val="left"/>
        <w:rPr>
          <w:rFonts w:ascii="Calibri" w:hAnsi="Calibri"/>
          <w:b/>
          <w:sz w:val="19"/>
        </w:rPr>
      </w:pPr>
      <w:r>
        <w:rPr>
          <w:rFonts w:ascii="Calibri" w:hAnsi="Calibri"/>
          <w:b/>
          <w:w w:val="95"/>
          <w:sz w:val="19"/>
        </w:rPr>
        <w:t>Núcleo lobulado</w:t>
      </w: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spacing w:before="5"/>
        <w:rPr>
          <w:rFonts w:ascii="Calibri"/>
          <w:b/>
          <w:sz w:val="27"/>
        </w:rPr>
      </w:pPr>
    </w:p>
    <w:p>
      <w:pPr>
        <w:spacing w:before="0"/>
        <w:ind w:left="1727" w:right="0" w:firstLine="0"/>
        <w:jc w:val="left"/>
        <w:rPr>
          <w:rFonts w:ascii="Calibri"/>
          <w:b/>
          <w:sz w:val="19"/>
        </w:rPr>
      </w:pPr>
      <w:r>
        <w:rPr>
          <w:rFonts w:ascii="Calibri"/>
          <w:b/>
          <w:sz w:val="19"/>
        </w:rPr>
        <w:t>Binucleada</w:t>
      </w:r>
    </w:p>
    <w:p>
      <w:pPr>
        <w:spacing w:before="65"/>
        <w:ind w:left="1502" w:right="0" w:firstLine="0"/>
        <w:jc w:val="center"/>
        <w:rPr>
          <w:rFonts w:ascii="Calibri"/>
          <w:b/>
          <w:sz w:val="19"/>
        </w:rPr>
      </w:pPr>
      <w:r>
        <w:rPr/>
        <w:br w:type="column"/>
      </w:r>
      <w:r>
        <w:rPr>
          <w:rFonts w:ascii="Calibri"/>
          <w:b/>
          <w:w w:val="95"/>
          <w:sz w:val="19"/>
        </w:rPr>
        <w:t>Cromatina condensada</w:t>
      </w:r>
    </w:p>
    <w:p>
      <w:pPr>
        <w:pStyle w:val="BodyText"/>
        <w:spacing w:before="4"/>
        <w:rPr>
          <w:rFonts w:ascii="Calibri"/>
          <w:b/>
          <w:sz w:val="6"/>
        </w:rPr>
      </w:pPr>
    </w:p>
    <w:p>
      <w:pPr>
        <w:pStyle w:val="BodyText"/>
        <w:ind w:left="1656"/>
        <w:rPr>
          <w:rFonts w:ascii="Calibri"/>
          <w:sz w:val="20"/>
        </w:rPr>
      </w:pPr>
      <w:r>
        <w:rPr>
          <w:rFonts w:ascii="Calibri"/>
          <w:sz w:val="20"/>
        </w:rPr>
        <w:pict>
          <v:group style="width:70.95pt;height:65.8pt;mso-position-horizontal-relative:char;mso-position-vertical-relative:line" coordorigin="0,0" coordsize="1419,1316">
            <v:shape style="position:absolute;left:0;top:0;width:1419;height:1315" type="#_x0000_t75" stroked="false">
              <v:imagedata r:id="rId200" o:title=""/>
            </v:shape>
            <v:shape style="position:absolute;left:568;top:493;width:235;height:247" type="#_x0000_t75" stroked="false">
              <v:imagedata r:id="rId201" o:title=""/>
            </v:shape>
          </v:group>
        </w:pict>
      </w:r>
      <w:r>
        <w:rPr>
          <w:rFonts w:ascii="Calibri"/>
          <w:sz w:val="20"/>
        </w:rPr>
      </w:r>
    </w:p>
    <w:p>
      <w:pPr>
        <w:spacing w:before="0"/>
        <w:ind w:left="1436" w:right="0" w:firstLine="0"/>
        <w:jc w:val="center"/>
        <w:rPr>
          <w:rFonts w:ascii="Calibri"/>
          <w:b/>
          <w:sz w:val="19"/>
        </w:rPr>
      </w:pPr>
      <w:r>
        <w:rPr/>
        <w:pict>
          <v:group style="position:absolute;margin-left:285.794861pt;margin-top:-110.770119pt;width:70.95pt;height:65.8pt;mso-position-horizontal-relative:page;mso-position-vertical-relative:paragraph;z-index:-339016" coordorigin="5716,-2215" coordsize="1419,1316">
            <v:shape style="position:absolute;left:5716;top:-2215;width:1419;height:1315" type="#_x0000_t75" stroked="false">
              <v:imagedata r:id="rId202" o:title=""/>
            </v:shape>
            <v:shape style="position:absolute;left:6225;top:-1578;width:235;height:247" type="#_x0000_t75" stroked="false">
              <v:imagedata r:id="rId192" o:title=""/>
            </v:shape>
            <v:shape style="position:absolute;left:6230;top:-1573;width:216;height:227" coordorigin="6230,-1573" coordsize="216,227" path="m6230,-1460l6238,-1504,6261,-1540,6295,-1564,6337,-1573,6379,-1564,6413,-1540,6436,-1504,6445,-1460,6436,-1416,6413,-1380,6379,-1356,6337,-1347,6295,-1356,6261,-1380,6238,-1416,6230,-1460xe" filled="false" stroked="true" strokeweight="1.502722pt" strokecolor="#25b8b0">
              <v:path arrowok="t"/>
            </v:shape>
            <v:shape style="position:absolute;left:6518;top:-1661;width:166;height:175" type="#_x0000_t75" stroked="false">
              <v:imagedata r:id="rId203" o:title=""/>
            </v:shape>
            <v:shape style="position:absolute;left:7673;top:3918;width:345;height:225" coordorigin="7673,3918" coordsize="345,225" path="m6523,-1578l6529,-1608,6545,-1633,6568,-1649,6597,-1655,6597,-1655,6597,-1655,6597,-1655,6597,-1655,6625,-1649,6648,-1633,6664,-1608,6670,-1578,6670,-1578,6670,-1578,6670,-1578,6670,-1578,6664,-1548,6648,-1524,6625,-1507,6597,-1501,6597,-1501,6597,-1501,6597,-1501,6597,-1501,6568,-1507,6545,-1524,6529,-1548,6523,-1578,6523,-1578,6523,-1578,6523,-1578xm6445,-1504l6518,-1542e" filled="false" stroked="true" strokeweight="1.504524pt" strokecolor="#25b8b0">
              <v:path arrowok="t"/>
            </v:shape>
            <w10:wrap type="none"/>
          </v:group>
        </w:pict>
      </w:r>
      <w:r>
        <w:rPr/>
        <w:pict>
          <v:group style="position:absolute;margin-left:285.794861pt;margin-top:-34.728889pt;width:70.95pt;height:65.8pt;mso-position-horizontal-relative:page;mso-position-vertical-relative:paragraph;z-index:-338992" coordorigin="5716,-695" coordsize="1419,1316">
            <v:shape style="position:absolute;left:5716;top:-695;width:1419;height:1315" type="#_x0000_t75" stroked="false">
              <v:imagedata r:id="rId204" o:title=""/>
            </v:shape>
            <v:shape style="position:absolute;left:6225;top:-345;width:235;height:247" type="#_x0000_t75" stroked="false">
              <v:imagedata r:id="rId205" o:title=""/>
            </v:shape>
            <v:shape style="position:absolute;left:6230;top:-340;width:216;height:227" coordorigin="6230,-340" coordsize="216,227" path="m6230,-227l6238,-271,6261,-307,6295,-331,6337,-340,6379,-331,6413,-307,6436,-271,6445,-227,6436,-183,6413,-147,6379,-123,6337,-114,6295,-123,6261,-147,6238,-183,6230,-227xe" filled="false" stroked="true" strokeweight="1.502722pt" strokecolor="#25b8b0">
              <v:path arrowok="t"/>
            </v:shape>
            <v:shape style="position:absolute;left:6518;top:-37;width:235;height:247" type="#_x0000_t75" stroked="false">
              <v:imagedata r:id="rId205" o:title=""/>
            </v:shape>
            <v:shape style="position:absolute;left:6523;top:-32;width:216;height:227" coordorigin="6523,-32" coordsize="216,227" path="m6523,81l6532,37,6555,1,6589,-23,6631,-32,6673,-23,6707,1,6730,37,6738,81,6730,125,6707,161,6673,185,6631,194,6589,185,6555,161,6532,125,6523,81xe" filled="false" stroked="true" strokeweight="1.502722pt" strokecolor="#25b8b0">
              <v:path arrowok="t"/>
            </v:shape>
            <w10:wrap type="none"/>
          </v:group>
        </w:pict>
      </w:r>
      <w:r>
        <w:rPr>
          <w:rFonts w:ascii="Calibri"/>
          <w:b/>
          <w:sz w:val="19"/>
        </w:rPr>
        <w:t>Cariorrexis</w:t>
      </w:r>
    </w:p>
    <w:p>
      <w:pPr>
        <w:spacing w:before="65"/>
        <w:ind w:left="571" w:right="0" w:firstLine="0"/>
        <w:jc w:val="left"/>
        <w:rPr>
          <w:rFonts w:ascii="Calibri"/>
          <w:b/>
          <w:sz w:val="19"/>
        </w:rPr>
      </w:pPr>
      <w:r>
        <w:rPr/>
        <w:br w:type="column"/>
      </w:r>
      <w:r>
        <w:rPr>
          <w:rFonts w:ascii="Calibri"/>
          <w:b/>
          <w:sz w:val="19"/>
        </w:rPr>
        <w:t>Cariolisis</w:t>
      </w:r>
    </w:p>
    <w:p>
      <w:pPr>
        <w:spacing w:after="0"/>
        <w:jc w:val="left"/>
        <w:rPr>
          <w:rFonts w:ascii="Calibri"/>
          <w:sz w:val="19"/>
        </w:rPr>
        <w:sectPr>
          <w:type w:val="continuous"/>
          <w:pgSz w:w="12240" w:h="15840"/>
          <w:pgMar w:top="1420" w:bottom="280" w:left="0" w:right="0"/>
          <w:cols w:num="4" w:equalWidth="0">
            <w:col w:w="3259" w:space="40"/>
            <w:col w:w="2707" w:space="40"/>
            <w:col w:w="3258" w:space="40"/>
            <w:col w:w="2896"/>
          </w:cols>
        </w:sectPr>
      </w:pPr>
    </w:p>
    <w:p>
      <w:pPr>
        <w:pStyle w:val="BodyText"/>
        <w:spacing w:before="11"/>
        <w:rPr>
          <w:rFonts w:ascii="Calibri"/>
          <w:b/>
          <w:sz w:val="28"/>
        </w:rPr>
      </w:pPr>
    </w:p>
    <w:p>
      <w:pPr>
        <w:spacing w:before="82"/>
        <w:ind w:left="2174" w:right="1703" w:firstLine="0"/>
        <w:jc w:val="left"/>
        <w:rPr>
          <w:sz w:val="14"/>
        </w:rPr>
      </w:pPr>
      <w:r>
        <w:rPr/>
        <w:pict>
          <v:group style="position:absolute;margin-left:72.411957pt;margin-top:-314.735962pt;width:181.6pt;height:274.9pt;mso-position-horizontal-relative:page;mso-position-vertical-relative:paragraph;z-index:-339064" coordorigin="1448,-6295" coordsize="3632,5498">
            <v:shape style="position:absolute;left:3935;top:-6295;width:1106;height:1069" type="#_x0000_t75" stroked="false">
              <v:imagedata r:id="rId206" o:title=""/>
            </v:shape>
            <v:shape style="position:absolute;left:4385;top:-5945;width:235;height:247" type="#_x0000_t75" stroked="false">
              <v:imagedata r:id="rId207" o:title=""/>
            </v:shape>
            <v:shape style="position:absolute;left:4390;top:-5940;width:216;height:227" coordorigin="4390,-5940" coordsize="216,227" path="m4390,-5827l4399,-5871,4422,-5907,4456,-5931,4498,-5940,4540,-5931,4574,-5907,4597,-5871,4605,-5827,4597,-5783,4574,-5747,4540,-5723,4498,-5714,4456,-5723,4422,-5747,4399,-5783,4390,-5827xe" filled="false" stroked="true" strokeweight="1.502722pt" strokecolor="#25b8b0">
              <v:path arrowok="t"/>
            </v:shape>
            <v:shape style="position:absolute;left:1636;top:-4209;width:939;height:915" type="#_x0000_t75" stroked="false">
              <v:imagedata r:id="rId208" o:title=""/>
            </v:shape>
            <v:shape style="position:absolute;left:1811;top:-4023;width:392;height:410" type="#_x0000_t75" stroked="false">
              <v:imagedata r:id="rId209" o:title=""/>
            </v:shape>
            <v:shape style="position:absolute;left:1148;top:-1559;width:3;height:6525" coordorigin="1148,-1559" coordsize="3,6525" path="m2190,-5786l2189,-4168m2190,-3320l2189,-1316e" filled="false" stroked="true" strokeweight="1.504524pt" strokecolor="#497dba">
              <v:path arrowok="t"/>
            </v:shape>
            <v:shape style="position:absolute;left:2189;top:-5856;width:1762;height:144" coordorigin="2189,-5856" coordsize="1762,144" path="m3833,-5856l3824,-5854,3820,-5846,3816,-5839,3818,-5829,3825,-5825,3866,-5800,3921,-5800,3921,-5769,3866,-5769,3818,-5740,3816,-5730,3820,-5723,3824,-5715,3833,-5713,3840,-5717,3925,-5769,3921,-5769,3925,-5769,3950,-5784,3840,-5852,3833,-5856xm3892,-5784l3867,-5769,3921,-5769,3921,-5771,3913,-5771,3892,-5784xm2189,-5801l2189,-5771,3867,-5769,3892,-5784,3866,-5800,2189,-5801xm3913,-5798l3892,-5784,3913,-5771,3913,-5798xm3921,-5798l3913,-5798,3913,-5771,3921,-5771,3921,-5798xm3866,-5800l3892,-5784,3913,-5798,3921,-5798,3921,-5800,3866,-5800xe" filled="true" fillcolor="#497dba" stroked="false">
              <v:path arrowok="t"/>
              <v:fill type="solid"/>
            </v:shape>
            <v:shape style="position:absolute;left:3935;top:-4794;width:1106;height:1069" type="#_x0000_t75" stroked="false">
              <v:imagedata r:id="rId210" o:title=""/>
            </v:shape>
            <v:shape style="position:absolute;left:4238;top:-4486;width:235;height:257" type="#_x0000_t75" stroked="false">
              <v:imagedata r:id="rId211" o:title=""/>
            </v:shape>
            <v:shape style="position:absolute;left:4243;top:-4481;width:216;height:237" coordorigin="4243,-4481" coordsize="216,237" path="m4243,-4363l4252,-4409,4275,-4446,4309,-4472,4351,-4481,4393,-4472,4427,-4446,4450,-4409,4459,-4363,4450,-4317,4427,-4279,4393,-4254,4351,-4245,4309,-4254,4275,-4279,4252,-4317,4243,-4363xe" filled="false" stroked="true" strokeweight="1.501094pt" strokecolor="#25b8b0">
              <v:path arrowok="t"/>
            </v:shape>
            <v:shape style="position:absolute;left:4610;top:-4178;width:88;height:103" type="#_x0000_t75" stroked="false">
              <v:imagedata r:id="rId212" o:title=""/>
            </v:shape>
            <v:shape style="position:absolute;left:4615;top:-4173;width:69;height:83" coordorigin="4615,-4173" coordsize="69,83" path="m4615,-4132l4618,-4148,4625,-4161,4636,-4170,4649,-4173,4663,-4170,4674,-4161,4681,-4148,4684,-4132,4681,-4116,4674,-4103,4663,-4094,4649,-4091,4636,-4094,4625,-4103,4618,-4116,4615,-4132xe" filled="false" stroked="true" strokeweight="1.497877pt" strokecolor="#25b8b0">
              <v:path arrowok="t"/>
            </v:shape>
            <v:shape style="position:absolute;left:2189;top:-4315;width:1762;height:144" coordorigin="2189,-4315" coordsize="1762,144" path="m3833,-4315l3824,-4312,3820,-4305,3816,-4298,3818,-4288,3825,-4284,3866,-4259,3921,-4258,3921,-4228,3866,-4228,3818,-4198,3816,-4189,3820,-4181,3824,-4174,3833,-4171,3840,-4176,3925,-4228,3921,-4228,3925,-4228,3950,-4243,3840,-4310,3833,-4315xm3892,-4243l3867,-4228,3921,-4228,3921,-4230,3913,-4230,3892,-4243xm2189,-4260l2189,-4229,3867,-4228,3892,-4243,3866,-4259,2189,-4260xm3913,-4256l3892,-4243,3913,-4230,3913,-4256xm3921,-4256l3913,-4256,3913,-4230,3921,-4230,3921,-4256xm3866,-4259l3892,-4243,3913,-4256,3921,-4256,3921,-4258,3866,-4259xe" filled="true" fillcolor="#497dba" stroked="false">
              <v:path arrowok="t"/>
              <v:fill type="solid"/>
            </v:shape>
            <v:shape style="position:absolute;left:3935;top:-3356;width:1106;height:1058" type="#_x0000_t75" stroked="false">
              <v:imagedata r:id="rId213" o:title=""/>
            </v:shape>
            <v:shape style="position:absolute;left:4238;top:-2863;width:235;height:257" type="#_x0000_t75" stroked="false">
              <v:imagedata r:id="rId214" o:title=""/>
            </v:shape>
            <v:shape style="position:absolute;left:4243;top:-2857;width:216;height:237" coordorigin="4243,-2857" coordsize="216,237" path="m4243,-2739l4252,-2785,4275,-2823,4309,-2848,4351,-2857,4393,-2848,4427,-2823,4450,-2785,4459,-2739,4450,-2693,4427,-2656,4393,-2630,4351,-2621,4309,-2630,4275,-2656,4252,-2693,4243,-2739xe" filled="false" stroked="true" strokeweight="1.501094pt" strokecolor="#25b8b0">
              <v:path arrowok="t"/>
            </v:shape>
            <v:shape style="position:absolute;left:4532;top:-2863;width:166;height:175" type="#_x0000_t75" stroked="false">
              <v:imagedata r:id="rId203" o:title=""/>
            </v:shape>
            <v:shape style="position:absolute;left:4628;top:2716;width:345;height:225" coordorigin="4628,2716" coordsize="345,225" path="m4537,-2780l4543,-2810,4558,-2835,4582,-2851,4610,-2857,4610,-2857,4610,-2857,4610,-2857,4610,-2857,4639,-2851,4662,-2835,4678,-2810,4684,-2780,4684,-2780,4684,-2780,4684,-2780,4684,-2780,4678,-2750,4662,-2726,4639,-2709,4610,-2703,4610,-2703,4610,-2703,4610,-2703,4610,-2703,4582,-2709,4558,-2726,4543,-2750,4537,-2780,4537,-2780,4537,-2780,4537,-2780xm4459,-2737l4532,-2775e" filled="false" stroked="true" strokeweight="1.504524pt" strokecolor="#25b8b0">
              <v:path arrowok="t"/>
            </v:shape>
            <v:shape style="position:absolute;left:2189;top:-2856;width:1762;height:144" coordorigin="2189,-2856" coordsize="1762,144" path="m3833,-2856l3824,-2853,3820,-2846,3816,-2838,3818,-2829,3825,-2825,3866,-2799,3921,-2799,3921,-2769,3866,-2769,3818,-2739,3816,-2730,3820,-2722,3824,-2715,3833,-2712,3840,-2717,3925,-2769,3921,-2769,3925,-2769,3950,-2784,3840,-2851,3833,-2856xm3892,-2784l3867,-2769,3921,-2769,3921,-2771,3913,-2771,3892,-2784xm2189,-2801l2189,-2770,3867,-2769,3892,-2784,3866,-2799,2189,-2801xm3913,-2797l3892,-2784,3913,-2771,3913,-2797xm3921,-2797l3913,-2797,3913,-2771,3921,-2771,3921,-2797xm3866,-2799l3892,-2784,3913,-2797,3921,-2797,3921,-2799,3866,-2799xe" filled="true" fillcolor="#497dba" stroked="false">
              <v:path arrowok="t"/>
              <v:fill type="solid"/>
            </v:shape>
            <v:shape style="position:absolute;left:3974;top:-1866;width:1106;height:1069" type="#_x0000_t75" stroked="false">
              <v:imagedata r:id="rId215" o:title=""/>
            </v:shape>
            <v:shape style="position:absolute;left:4600;top:-1393;width:245;height:247" type="#_x0000_t75" stroked="false">
              <v:imagedata r:id="rId216" o:title=""/>
            </v:shape>
            <v:shape style="position:absolute;left:4605;top:-1388;width:226;height:227" coordorigin="4605,-1388" coordsize="226,227" path="m4605,-1275l4614,-1319,4638,-1355,4674,-1379,4718,-1388,4762,-1379,4797,-1355,4822,-1319,4830,-1275,4822,-1231,4797,-1195,4762,-1171,4718,-1162,4674,-1171,4638,-1195,4614,-1231,4605,-1275xe" filled="false" stroked="true" strokeweight="1.504358pt" strokecolor="#25b8b0">
              <v:path arrowok="t"/>
            </v:shape>
            <v:shape style="position:absolute;left:4238;top:-1393;width:235;height:247" type="#_x0000_t75" stroked="false">
              <v:imagedata r:id="rId217" o:title=""/>
            </v:shape>
            <v:shape style="position:absolute;left:4243;top:-1388;width:216;height:227" coordorigin="4243,-1388" coordsize="216,227" path="m4243,-1275l4252,-1319,4275,-1355,4309,-1379,4351,-1388,4393,-1379,4427,-1355,4450,-1319,4459,-1275,4450,-1231,4427,-1195,4393,-1171,4351,-1162,4309,-1171,4275,-1195,4252,-1231,4243,-1275xe" filled="false" stroked="true" strokeweight="1.502722pt" strokecolor="#25b8b0">
              <v:path arrowok="t"/>
            </v:shape>
            <v:shape style="position:absolute;left:2189;top:-1386;width:1762;height:144" coordorigin="2189,-1386" coordsize="1762,144" path="m3833,-1386l3824,-1384,3816,-1369,3818,-1359,3866,-1330,3921,-1330,3921,-1299,3866,-1299,3818,-1270,3816,-1260,3824,-1245,3833,-1243,3925,-1299,3921,-1299,3925,-1299,3950,-1314,3833,-1386xm3892,-1314l3866,-1299,3921,-1299,3921,-1301,3913,-1301,3892,-1314xm2189,-1332l2189,-1301,3866,-1299,3892,-1314,3866,-1330,2189,-1332xm3913,-1328l3892,-1314,3913,-1301,3913,-1328xm3921,-1328l3913,-1328,3913,-1301,3921,-1301,3921,-1328xm3866,-1330l3892,-1314,3913,-1328,3921,-1328,3921,-1330,3866,-1330xe" filled="true" fillcolor="#497dba" stroked="false">
              <v:path arrowok="t"/>
              <v:fill type="solid"/>
            </v:shape>
            <v:shape style="position:absolute;left:1448;top:-4318;width:348;height:971" type="#_x0000_t75" stroked="false">
              <v:imagedata r:id="rId218" o:title=""/>
            </v:shape>
            <w10:wrap type="none"/>
          </v:group>
        </w:pict>
      </w:r>
      <w:r>
        <w:rPr>
          <w:sz w:val="14"/>
        </w:rPr>
        <w:t>Fuente: Bolognesi et al., 2013</w:t>
      </w:r>
    </w:p>
    <w:p>
      <w:pPr>
        <w:pStyle w:val="BodyText"/>
        <w:spacing w:before="3"/>
        <w:rPr>
          <w:sz w:val="16"/>
        </w:rPr>
      </w:pPr>
    </w:p>
    <w:p>
      <w:pPr>
        <w:spacing w:line="362" w:lineRule="auto" w:before="1"/>
        <w:ind w:left="2174" w:right="2195" w:firstLine="0"/>
        <w:jc w:val="left"/>
        <w:rPr>
          <w:sz w:val="18"/>
        </w:rPr>
      </w:pPr>
      <w:r>
        <w:rPr>
          <w:sz w:val="18"/>
        </w:rPr>
        <w:t>Figura 5. Modelo citológico de MN bucal. Representación esquemática de varios tipos de células bucales y el mecanismo de su origen.</w:t>
      </w:r>
    </w:p>
    <w:p>
      <w:pPr>
        <w:pStyle w:val="BodyText"/>
        <w:spacing w:before="2"/>
        <w:rPr>
          <w:sz w:val="25"/>
        </w:rPr>
      </w:pPr>
    </w:p>
    <w:p>
      <w:pPr>
        <w:pStyle w:val="BodyText"/>
        <w:spacing w:before="69"/>
        <w:ind w:left="1418" w:right="1703"/>
      </w:pPr>
      <w:r>
        <w:rPr/>
        <w:t>Características de las anormalidades nucleares</w:t>
      </w:r>
    </w:p>
    <w:p>
      <w:pPr>
        <w:pStyle w:val="BodyText"/>
      </w:pPr>
    </w:p>
    <w:p>
      <w:pPr>
        <w:pStyle w:val="BodyText"/>
        <w:spacing w:before="10"/>
        <w:rPr>
          <w:sz w:val="23"/>
        </w:rPr>
      </w:pPr>
    </w:p>
    <w:p>
      <w:pPr>
        <w:pStyle w:val="ListParagraph"/>
        <w:numPr>
          <w:ilvl w:val="0"/>
          <w:numId w:val="11"/>
        </w:numPr>
        <w:tabs>
          <w:tab w:pos="2062" w:val="left" w:leader="none"/>
        </w:tabs>
        <w:spacing w:line="357" w:lineRule="auto" w:before="0" w:after="0"/>
        <w:ind w:left="2062" w:right="1698" w:hanging="152"/>
        <w:jc w:val="both"/>
        <w:rPr>
          <w:sz w:val="24"/>
        </w:rPr>
      </w:pPr>
      <w:r>
        <w:rPr>
          <w:i/>
          <w:sz w:val="24"/>
        </w:rPr>
        <w:t>Células binucleadas (CB): </w:t>
      </w:r>
      <w:r>
        <w:rPr>
          <w:sz w:val="24"/>
        </w:rPr>
        <w:t>La célula tiene dos núcleos del mismo tamaño, morfología y textura similares. A menudo los núcleos están cercanos y casi en contacto. El mecanismo más probable de formación de estas células es el fallo en la citocinesis debido a defectos en la formación </w:t>
      </w:r>
      <w:r>
        <w:rPr>
          <w:spacing w:val="2"/>
          <w:sz w:val="24"/>
        </w:rPr>
        <w:t>del </w:t>
      </w:r>
      <w:r>
        <w:rPr>
          <w:sz w:val="24"/>
        </w:rPr>
        <w:t>anillo de microfilamentos o detención del ciclo celular debido a una malsegregación de cromosomas o disfunción de los telómeros (Figura</w:t>
      </w:r>
      <w:r>
        <w:rPr>
          <w:spacing w:val="-9"/>
          <w:sz w:val="24"/>
        </w:rPr>
        <w:t> </w:t>
      </w:r>
      <w:r>
        <w:rPr>
          <w:sz w:val="24"/>
        </w:rPr>
        <w:t>6).</w:t>
      </w:r>
    </w:p>
    <w:p>
      <w:pPr>
        <w:spacing w:after="0" w:line="357" w:lineRule="auto"/>
        <w:jc w:val="both"/>
        <w:rPr>
          <w:sz w:val="24"/>
        </w:rPr>
        <w:sectPr>
          <w:type w:val="continuous"/>
          <w:pgSz w:w="12240" w:h="15840"/>
          <w:pgMar w:top="1420" w:bottom="280" w:left="0" w:right="0"/>
        </w:sectPr>
      </w:pPr>
    </w:p>
    <w:p>
      <w:pPr>
        <w:pStyle w:val="BodyText"/>
        <w:spacing w:before="4"/>
        <w:rPr>
          <w:sz w:val="12"/>
        </w:rPr>
      </w:pPr>
    </w:p>
    <w:p>
      <w:pPr>
        <w:pStyle w:val="ListParagraph"/>
        <w:numPr>
          <w:ilvl w:val="0"/>
          <w:numId w:val="11"/>
        </w:numPr>
        <w:tabs>
          <w:tab w:pos="2062" w:val="left" w:leader="none"/>
        </w:tabs>
        <w:spacing w:line="357" w:lineRule="auto" w:before="56" w:after="0"/>
        <w:ind w:left="2062" w:right="1696" w:hanging="152"/>
        <w:jc w:val="both"/>
        <w:rPr>
          <w:sz w:val="24"/>
        </w:rPr>
      </w:pPr>
      <w:r>
        <w:rPr>
          <w:i/>
          <w:sz w:val="24"/>
        </w:rPr>
        <w:t>Células con núcleo lobulado (NL): </w:t>
      </w:r>
      <w:r>
        <w:rPr>
          <w:sz w:val="24"/>
        </w:rPr>
        <w:t>contienen cuerpos que están conectados al núcleo principal por un puente nucleoplásmico. El núcleo lobulado tiene la misma textura y se tiñe intensamente que el núcleo principal y su diámetro es de un rango entre 1/3 y 1/16 parte del núcleo principal. Su estructura sugiere  un proceso de eliminación de un excedente de material nuclear, como reparación o amplificación del ADN tras una segregación en la periferia del núcleo. En algunos casos raros el NL puede llegar a ser mayor que el núcleo principal (Figura</w:t>
      </w:r>
      <w:r>
        <w:rPr>
          <w:spacing w:val="-4"/>
          <w:sz w:val="24"/>
        </w:rPr>
        <w:t> </w:t>
      </w:r>
      <w:r>
        <w:rPr>
          <w:sz w:val="24"/>
        </w:rPr>
        <w:t>6).</w:t>
      </w:r>
    </w:p>
    <w:p>
      <w:pPr>
        <w:pStyle w:val="BodyText"/>
        <w:rPr>
          <w:sz w:val="20"/>
        </w:rPr>
      </w:pPr>
    </w:p>
    <w:p>
      <w:pPr>
        <w:pStyle w:val="BodyText"/>
        <w:spacing w:before="2"/>
        <w:rPr>
          <w:sz w:val="11"/>
        </w:rPr>
      </w:pPr>
      <w:r>
        <w:rPr/>
        <w:pict>
          <v:group style="position:absolute;margin-left:96.720001pt;margin-top:8.414433pt;width:188.1pt;height:152.6pt;mso-position-horizontal-relative:page;mso-position-vertical-relative:paragraph;z-index:2080;mso-wrap-distance-left:0;mso-wrap-distance-right:0" coordorigin="1934,168" coordsize="3762,3052">
            <v:shape style="position:absolute;left:1934;top:168;width:3761;height:3051" type="#_x0000_t75" stroked="false">
              <v:imagedata r:id="rId219" o:title=""/>
            </v:shape>
            <v:shape style="position:absolute;left:1980;top:255;width:3533;height:2769" type="#_x0000_t75" stroked="false">
              <v:imagedata r:id="rId220" o:title=""/>
            </v:shape>
            <v:shape style="position:absolute;left:1934;top:168;width:3762;height:3052" type="#_x0000_t202" filled="false" stroked="false">
              <v:textbox inset="0,0,0,0">
                <w:txbxContent>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0"/>
                      <w:rPr>
                        <w:sz w:val="20"/>
                      </w:rPr>
                    </w:pPr>
                  </w:p>
                  <w:p>
                    <w:pPr>
                      <w:spacing w:line="240" w:lineRule="auto" w:before="4"/>
                      <w:rPr>
                        <w:sz w:val="24"/>
                      </w:rPr>
                    </w:pPr>
                  </w:p>
                  <w:p>
                    <w:pPr>
                      <w:spacing w:before="1"/>
                      <w:ind w:left="78" w:right="0" w:firstLine="0"/>
                      <w:jc w:val="left"/>
                      <w:rPr>
                        <w:b/>
                        <w:sz w:val="20"/>
                      </w:rPr>
                    </w:pPr>
                    <w:r>
                      <w:rPr>
                        <w:b/>
                        <w:color w:val="F1F1F1"/>
                        <w:sz w:val="20"/>
                      </w:rPr>
                      <w:t>a)</w:t>
                    </w:r>
                  </w:p>
                  <w:p>
                    <w:pPr>
                      <w:spacing w:line="132" w:lineRule="exact" w:before="108"/>
                      <w:ind w:left="2" w:right="0" w:firstLine="0"/>
                      <w:jc w:val="left"/>
                      <w:rPr>
                        <w:sz w:val="16"/>
                      </w:rPr>
                    </w:pPr>
                    <w:r>
                      <w:rPr>
                        <w:sz w:val="16"/>
                      </w:rPr>
                      <w:t>Fuente: Torres-Bugarín, et al., 2014</w:t>
                    </w:r>
                  </w:p>
                </w:txbxContent>
              </v:textbox>
              <w10:wrap type="none"/>
            </v:shape>
            <w10:wrap type="topAndBottom"/>
          </v:group>
        </w:pict>
      </w:r>
      <w:r>
        <w:rPr/>
        <w:pict>
          <v:group style="position:absolute;margin-left:360.723083pt;margin-top:8.414433pt;width:183.85pt;height:152.6pt;mso-position-horizontal-relative:page;mso-position-vertical-relative:paragraph;z-index:2128;mso-wrap-distance-left:0;mso-wrap-distance-right:0" coordorigin="7214,168" coordsize="3677,3052">
            <v:shape style="position:absolute;left:7214;top:168;width:3677;height:3051" type="#_x0000_t75" stroked="false">
              <v:imagedata r:id="rId221" o:title=""/>
            </v:shape>
            <v:shape style="position:absolute;left:7282;top:241;width:3560;height:2797" type="#_x0000_t75" stroked="false">
              <v:imagedata r:id="rId222" o:title=""/>
            </v:shape>
            <v:shape style="position:absolute;left:7320;top:2683;width:185;height:201" type="#_x0000_t202" filled="false" stroked="false">
              <v:textbox inset="0,0,0,0">
                <w:txbxContent>
                  <w:p>
                    <w:pPr>
                      <w:spacing w:line="200" w:lineRule="exact" w:before="0"/>
                      <w:ind w:left="0" w:right="-5" w:firstLine="0"/>
                      <w:jc w:val="left"/>
                      <w:rPr>
                        <w:b/>
                        <w:sz w:val="20"/>
                      </w:rPr>
                    </w:pPr>
                    <w:r>
                      <w:rPr>
                        <w:b/>
                        <w:color w:val="F1F1F1"/>
                        <w:w w:val="90"/>
                        <w:sz w:val="20"/>
                      </w:rPr>
                      <w:t>b)</w:t>
                    </w:r>
                  </w:p>
                </w:txbxContent>
              </v:textbox>
              <w10:wrap type="none"/>
            </v:shape>
            <w10:wrap type="topAndBottom"/>
          </v:group>
        </w:pict>
      </w:r>
    </w:p>
    <w:p>
      <w:pPr>
        <w:pStyle w:val="BodyText"/>
        <w:spacing w:before="8"/>
        <w:rPr>
          <w:sz w:val="17"/>
        </w:rPr>
      </w:pPr>
    </w:p>
    <w:p>
      <w:pPr>
        <w:spacing w:line="252" w:lineRule="auto" w:before="71"/>
        <w:ind w:left="1936" w:right="1531" w:firstLine="0"/>
        <w:jc w:val="both"/>
        <w:rPr>
          <w:sz w:val="22"/>
        </w:rPr>
      </w:pPr>
      <w:r>
        <w:rPr>
          <w:w w:val="95"/>
          <w:sz w:val="22"/>
        </w:rPr>
        <w:t>Figura</w:t>
      </w:r>
      <w:r>
        <w:rPr>
          <w:spacing w:val="-16"/>
          <w:w w:val="95"/>
          <w:sz w:val="22"/>
        </w:rPr>
        <w:t> </w:t>
      </w:r>
      <w:r>
        <w:rPr>
          <w:spacing w:val="2"/>
          <w:w w:val="95"/>
          <w:sz w:val="22"/>
        </w:rPr>
        <w:t>6.</w:t>
      </w:r>
      <w:r>
        <w:rPr>
          <w:spacing w:val="-25"/>
          <w:w w:val="95"/>
          <w:sz w:val="22"/>
        </w:rPr>
        <w:t> </w:t>
      </w:r>
      <w:r>
        <w:rPr>
          <w:spacing w:val="2"/>
          <w:w w:val="95"/>
          <w:sz w:val="22"/>
        </w:rPr>
        <w:t>a)</w:t>
      </w:r>
      <w:r>
        <w:rPr>
          <w:spacing w:val="-20"/>
          <w:w w:val="95"/>
          <w:sz w:val="22"/>
        </w:rPr>
        <w:t> </w:t>
      </w:r>
      <w:r>
        <w:rPr>
          <w:w w:val="95"/>
          <w:sz w:val="22"/>
        </w:rPr>
        <w:t>Célula</w:t>
      </w:r>
      <w:r>
        <w:rPr>
          <w:spacing w:val="-16"/>
          <w:w w:val="95"/>
          <w:sz w:val="22"/>
        </w:rPr>
        <w:t> </w:t>
      </w:r>
      <w:r>
        <w:rPr>
          <w:w w:val="95"/>
          <w:sz w:val="22"/>
        </w:rPr>
        <w:t>binucleada</w:t>
      </w:r>
      <w:r>
        <w:rPr>
          <w:spacing w:val="-17"/>
          <w:w w:val="95"/>
          <w:sz w:val="22"/>
        </w:rPr>
        <w:t> </w:t>
      </w:r>
      <w:r>
        <w:rPr>
          <w:w w:val="95"/>
          <w:sz w:val="22"/>
        </w:rPr>
        <w:t>(BN);</w:t>
      </w:r>
      <w:r>
        <w:rPr>
          <w:spacing w:val="-24"/>
          <w:w w:val="95"/>
          <w:sz w:val="22"/>
        </w:rPr>
        <w:t> </w:t>
      </w:r>
      <w:r>
        <w:rPr>
          <w:spacing w:val="2"/>
          <w:w w:val="95"/>
          <w:sz w:val="22"/>
        </w:rPr>
        <w:t>b)</w:t>
      </w:r>
      <w:r>
        <w:rPr>
          <w:spacing w:val="-21"/>
          <w:w w:val="95"/>
          <w:sz w:val="22"/>
        </w:rPr>
        <w:t> </w:t>
      </w:r>
      <w:r>
        <w:rPr>
          <w:w w:val="95"/>
          <w:sz w:val="22"/>
        </w:rPr>
        <w:t>Núcleo</w:t>
      </w:r>
      <w:r>
        <w:rPr>
          <w:spacing w:val="-16"/>
          <w:w w:val="95"/>
          <w:sz w:val="22"/>
        </w:rPr>
        <w:t> </w:t>
      </w:r>
      <w:r>
        <w:rPr>
          <w:w w:val="95"/>
          <w:sz w:val="22"/>
        </w:rPr>
        <w:t>lobulado</w:t>
      </w:r>
      <w:r>
        <w:rPr>
          <w:spacing w:val="-17"/>
          <w:w w:val="95"/>
          <w:sz w:val="22"/>
        </w:rPr>
        <w:t> </w:t>
      </w:r>
      <w:r>
        <w:rPr>
          <w:w w:val="95"/>
          <w:sz w:val="22"/>
        </w:rPr>
        <w:t>(NL).</w:t>
      </w:r>
      <w:r>
        <w:rPr>
          <w:spacing w:val="-24"/>
          <w:w w:val="95"/>
          <w:sz w:val="22"/>
        </w:rPr>
        <w:t> </w:t>
      </w:r>
      <w:r>
        <w:rPr>
          <w:w w:val="95"/>
          <w:sz w:val="22"/>
        </w:rPr>
        <w:t>Microfotografía,</w:t>
      </w:r>
      <w:r>
        <w:rPr>
          <w:spacing w:val="-27"/>
          <w:w w:val="95"/>
          <w:sz w:val="22"/>
        </w:rPr>
        <w:t> </w:t>
      </w:r>
      <w:r>
        <w:rPr>
          <w:w w:val="95"/>
          <w:sz w:val="22"/>
        </w:rPr>
        <w:t>tinción</w:t>
      </w:r>
      <w:r>
        <w:rPr>
          <w:spacing w:val="-17"/>
          <w:w w:val="95"/>
          <w:sz w:val="22"/>
        </w:rPr>
        <w:t> </w:t>
      </w:r>
      <w:r>
        <w:rPr>
          <w:w w:val="95"/>
          <w:sz w:val="22"/>
        </w:rPr>
        <w:t>con</w:t>
      </w:r>
      <w:r>
        <w:rPr>
          <w:spacing w:val="-16"/>
          <w:w w:val="95"/>
          <w:sz w:val="22"/>
        </w:rPr>
        <w:t> </w:t>
      </w:r>
      <w:r>
        <w:rPr>
          <w:w w:val="95"/>
          <w:sz w:val="22"/>
        </w:rPr>
        <w:t>naranja </w:t>
      </w:r>
      <w:r>
        <w:rPr>
          <w:spacing w:val="2"/>
          <w:w w:val="95"/>
          <w:sz w:val="22"/>
        </w:rPr>
        <w:t>de</w:t>
      </w:r>
      <w:r>
        <w:rPr>
          <w:spacing w:val="-19"/>
          <w:w w:val="95"/>
          <w:sz w:val="22"/>
        </w:rPr>
        <w:t> </w:t>
      </w:r>
      <w:r>
        <w:rPr>
          <w:w w:val="95"/>
          <w:sz w:val="22"/>
        </w:rPr>
        <w:t>acridina</w:t>
      </w:r>
      <w:r>
        <w:rPr>
          <w:spacing w:val="-20"/>
          <w:w w:val="95"/>
          <w:sz w:val="22"/>
        </w:rPr>
        <w:t> </w:t>
      </w:r>
      <w:r>
        <w:rPr>
          <w:w w:val="95"/>
          <w:sz w:val="22"/>
        </w:rPr>
        <w:t>vista</w:t>
      </w:r>
      <w:r>
        <w:rPr>
          <w:spacing w:val="-20"/>
          <w:w w:val="95"/>
          <w:sz w:val="22"/>
        </w:rPr>
        <w:t> </w:t>
      </w:r>
      <w:r>
        <w:rPr>
          <w:w w:val="95"/>
          <w:sz w:val="22"/>
        </w:rPr>
        <w:t>a</w:t>
      </w:r>
      <w:r>
        <w:rPr>
          <w:spacing w:val="-18"/>
          <w:w w:val="95"/>
          <w:sz w:val="22"/>
        </w:rPr>
        <w:t> </w:t>
      </w:r>
      <w:r>
        <w:rPr>
          <w:spacing w:val="3"/>
          <w:w w:val="95"/>
          <w:sz w:val="22"/>
        </w:rPr>
        <w:t>1000</w:t>
      </w:r>
      <w:r>
        <w:rPr>
          <w:spacing w:val="-19"/>
          <w:w w:val="95"/>
          <w:sz w:val="22"/>
        </w:rPr>
        <w:t> </w:t>
      </w:r>
      <w:r>
        <w:rPr>
          <w:w w:val="95"/>
          <w:sz w:val="22"/>
        </w:rPr>
        <w:t>magnificaciones</w:t>
      </w:r>
      <w:r>
        <w:rPr>
          <w:spacing w:val="-25"/>
          <w:w w:val="95"/>
          <w:sz w:val="22"/>
        </w:rPr>
        <w:t> </w:t>
      </w:r>
      <w:r>
        <w:rPr>
          <w:w w:val="95"/>
          <w:sz w:val="22"/>
        </w:rPr>
        <w:t>con</w:t>
      </w:r>
      <w:r>
        <w:rPr>
          <w:spacing w:val="-19"/>
          <w:w w:val="95"/>
          <w:sz w:val="22"/>
        </w:rPr>
        <w:t> </w:t>
      </w:r>
      <w:r>
        <w:rPr>
          <w:w w:val="95"/>
          <w:sz w:val="22"/>
        </w:rPr>
        <w:t>fluorescencia</w:t>
      </w:r>
      <w:r>
        <w:rPr>
          <w:spacing w:val="-21"/>
          <w:w w:val="95"/>
          <w:sz w:val="22"/>
        </w:rPr>
        <w:t> </w:t>
      </w:r>
      <w:r>
        <w:rPr>
          <w:spacing w:val="-3"/>
          <w:w w:val="95"/>
          <w:sz w:val="22"/>
        </w:rPr>
        <w:t>IVFL</w:t>
      </w:r>
      <w:r>
        <w:rPr>
          <w:spacing w:val="-20"/>
          <w:w w:val="95"/>
          <w:sz w:val="22"/>
        </w:rPr>
        <w:t> </w:t>
      </w:r>
      <w:r>
        <w:rPr>
          <w:spacing w:val="2"/>
          <w:w w:val="95"/>
          <w:sz w:val="22"/>
        </w:rPr>
        <w:t>filtro</w:t>
      </w:r>
      <w:r>
        <w:rPr>
          <w:spacing w:val="-19"/>
          <w:w w:val="95"/>
          <w:sz w:val="22"/>
        </w:rPr>
        <w:t> </w:t>
      </w:r>
      <w:r>
        <w:rPr>
          <w:w w:val="95"/>
          <w:sz w:val="22"/>
        </w:rPr>
        <w:t>(450-490</w:t>
      </w:r>
      <w:r>
        <w:rPr>
          <w:spacing w:val="-19"/>
          <w:w w:val="95"/>
          <w:sz w:val="22"/>
        </w:rPr>
        <w:t> </w:t>
      </w:r>
      <w:r>
        <w:rPr>
          <w:spacing w:val="5"/>
          <w:w w:val="95"/>
          <w:sz w:val="22"/>
        </w:rPr>
        <w:t>nm).</w:t>
      </w:r>
      <w:r>
        <w:rPr>
          <w:spacing w:val="-27"/>
          <w:w w:val="95"/>
          <w:sz w:val="22"/>
        </w:rPr>
        <w:t> </w:t>
      </w:r>
      <w:r>
        <w:rPr>
          <w:w w:val="95"/>
          <w:sz w:val="22"/>
        </w:rPr>
        <w:t>Microscopio </w:t>
      </w:r>
      <w:r>
        <w:rPr>
          <w:spacing w:val="3"/>
          <w:w w:val="95"/>
          <w:sz w:val="22"/>
        </w:rPr>
        <w:t>Binocular</w:t>
      </w:r>
      <w:r>
        <w:rPr>
          <w:spacing w:val="-40"/>
          <w:w w:val="95"/>
          <w:sz w:val="22"/>
        </w:rPr>
        <w:t> </w:t>
      </w:r>
      <w:r>
        <w:rPr>
          <w:spacing w:val="2"/>
          <w:w w:val="95"/>
          <w:sz w:val="22"/>
        </w:rPr>
        <w:t>Carl</w:t>
      </w:r>
      <w:r>
        <w:rPr>
          <w:spacing w:val="-35"/>
          <w:w w:val="95"/>
          <w:sz w:val="22"/>
        </w:rPr>
        <w:t> </w:t>
      </w:r>
      <w:r>
        <w:rPr>
          <w:w w:val="95"/>
          <w:sz w:val="22"/>
        </w:rPr>
        <w:t>Zeiss</w:t>
      </w:r>
      <w:r>
        <w:rPr>
          <w:spacing w:val="-40"/>
          <w:w w:val="95"/>
          <w:sz w:val="22"/>
        </w:rPr>
        <w:t> </w:t>
      </w:r>
      <w:r>
        <w:rPr>
          <w:w w:val="95"/>
          <w:sz w:val="22"/>
        </w:rPr>
        <w:t>(Axiostar</w:t>
      </w:r>
      <w:r>
        <w:rPr>
          <w:spacing w:val="-40"/>
          <w:w w:val="95"/>
          <w:sz w:val="22"/>
        </w:rPr>
        <w:t> </w:t>
      </w:r>
      <w:r>
        <w:rPr>
          <w:w w:val="95"/>
          <w:sz w:val="22"/>
        </w:rPr>
        <w:t>Plus)</w:t>
      </w:r>
    </w:p>
    <w:p>
      <w:pPr>
        <w:pStyle w:val="BodyText"/>
        <w:rPr>
          <w:sz w:val="20"/>
        </w:rPr>
      </w:pPr>
    </w:p>
    <w:p>
      <w:pPr>
        <w:pStyle w:val="BodyText"/>
        <w:rPr>
          <w:sz w:val="20"/>
        </w:rPr>
      </w:pPr>
    </w:p>
    <w:p>
      <w:pPr>
        <w:pStyle w:val="BodyText"/>
        <w:spacing w:before="1"/>
        <w:rPr>
          <w:sz w:val="17"/>
        </w:rPr>
      </w:pPr>
    </w:p>
    <w:p>
      <w:pPr>
        <w:pStyle w:val="ListParagraph"/>
        <w:numPr>
          <w:ilvl w:val="0"/>
          <w:numId w:val="11"/>
        </w:numPr>
        <w:tabs>
          <w:tab w:pos="2062" w:val="left" w:leader="none"/>
        </w:tabs>
        <w:spacing w:line="357" w:lineRule="auto" w:before="56" w:after="0"/>
        <w:ind w:left="2062" w:right="1696" w:hanging="152"/>
        <w:jc w:val="both"/>
        <w:rPr>
          <w:sz w:val="24"/>
        </w:rPr>
      </w:pPr>
      <w:r>
        <w:rPr>
          <w:i/>
          <w:sz w:val="24"/>
        </w:rPr>
        <w:t>Células con picnosis (PC): </w:t>
      </w:r>
      <w:r>
        <w:rPr>
          <w:sz w:val="24"/>
        </w:rPr>
        <w:t>Son células terminalmente diferenciadas que tienen un núcleo pequeño de forma angular y plano, intensamente teñido. El diámetro del núcleo es usualmente </w:t>
      </w:r>
      <w:r>
        <w:rPr>
          <w:rFonts w:ascii="Cambria Math" w:hAnsi="Cambria Math"/>
          <w:sz w:val="24"/>
        </w:rPr>
        <w:t>1</w:t>
      </w:r>
      <w:r>
        <w:rPr>
          <w:rFonts w:ascii="Cambria Math" w:hAnsi="Cambria Math"/>
          <w:position w:val="1"/>
          <w:sz w:val="24"/>
        </w:rPr>
        <w:t>⁄</w:t>
      </w:r>
      <w:r>
        <w:rPr>
          <w:rFonts w:ascii="Cambria Math" w:hAnsi="Cambria Math"/>
          <w:sz w:val="24"/>
        </w:rPr>
        <w:t>3 </w:t>
      </w:r>
      <w:r>
        <w:rPr>
          <w:sz w:val="24"/>
        </w:rPr>
        <w:t>o </w:t>
      </w:r>
      <w:r>
        <w:rPr>
          <w:rFonts w:ascii="Cambria Math" w:hAnsi="Cambria Math"/>
          <w:sz w:val="24"/>
        </w:rPr>
        <w:t>2</w:t>
      </w:r>
      <w:r>
        <w:rPr>
          <w:rFonts w:ascii="Cambria Math" w:hAnsi="Cambria Math"/>
          <w:position w:val="1"/>
          <w:sz w:val="24"/>
        </w:rPr>
        <w:t>⁄</w:t>
      </w:r>
      <w:r>
        <w:rPr>
          <w:rFonts w:ascii="Cambria Math" w:hAnsi="Cambria Math"/>
          <w:sz w:val="24"/>
        </w:rPr>
        <w:t>3 </w:t>
      </w:r>
      <w:r>
        <w:rPr>
          <w:sz w:val="24"/>
        </w:rPr>
        <w:t>partes de un núcleo normal de una célula terminalmente diferenciada. La picnosis representa una condensación irreversible de la cromatina del núcleo de las células en proceso de apoptosis, se cree que precede a la cariorrexis. El significado biológico de las células con picnosis y el mecanismo de formación en células bucales no es del todo claro. Sin embargo, su frecuencia se ha demostrado que se correlaciona positivamente con la frecuencia de cromatina condensada y cariorrexis, lo que sugiere que las células están en proceso de muerte (Figura</w:t>
      </w:r>
      <w:r>
        <w:rPr>
          <w:spacing w:val="-19"/>
          <w:sz w:val="24"/>
        </w:rPr>
        <w:t> </w:t>
      </w:r>
      <w:r>
        <w:rPr>
          <w:sz w:val="24"/>
        </w:rPr>
        <w:t>7).</w:t>
      </w:r>
    </w:p>
    <w:p>
      <w:pPr>
        <w:spacing w:after="0" w:line="357" w:lineRule="auto"/>
        <w:jc w:val="both"/>
        <w:rPr>
          <w:sz w:val="24"/>
        </w:rPr>
        <w:sectPr>
          <w:pgSz w:w="12240" w:h="15840"/>
          <w:pgMar w:header="0" w:footer="599" w:top="1500" w:bottom="780" w:left="0" w:right="0"/>
        </w:sectPr>
      </w:pPr>
    </w:p>
    <w:p>
      <w:pPr>
        <w:pStyle w:val="BodyText"/>
        <w:rPr>
          <w:sz w:val="20"/>
        </w:rPr>
      </w:pPr>
    </w:p>
    <w:p>
      <w:pPr>
        <w:pStyle w:val="BodyText"/>
        <w:spacing w:before="3"/>
        <w:rPr>
          <w:sz w:val="28"/>
        </w:rPr>
      </w:pPr>
    </w:p>
    <w:p>
      <w:pPr>
        <w:pStyle w:val="ListParagraph"/>
        <w:numPr>
          <w:ilvl w:val="0"/>
          <w:numId w:val="11"/>
        </w:numPr>
        <w:tabs>
          <w:tab w:pos="2062" w:val="left" w:leader="none"/>
        </w:tabs>
        <w:spacing w:line="360" w:lineRule="auto" w:before="56" w:after="0"/>
        <w:ind w:left="2062" w:right="1696" w:hanging="152"/>
        <w:jc w:val="both"/>
        <w:rPr>
          <w:sz w:val="24"/>
        </w:rPr>
      </w:pPr>
      <w:r>
        <w:rPr>
          <w:i/>
          <w:sz w:val="24"/>
        </w:rPr>
        <w:t>Células con cromatina condensada (CC): </w:t>
      </w:r>
      <w:r>
        <w:rPr>
          <w:sz w:val="24"/>
        </w:rPr>
        <w:t>Se caracterizan por un núcleo  angular y plano con un patrón estriado de extensiones paralelas de CC, las áreas distintas de cromatina condensada en el núcleo están intensamente teñidas que el resto del núcleo. La estructura de la cromatina se ha asociado con el proceso de apoptosis. Estas células no deberían ser confundidas como MN o NL porque la apoptosis puede causar fragmentación nuclear y generación de cuerpos nucleares similar a MNs o NLs (Figura</w:t>
      </w:r>
      <w:r>
        <w:rPr>
          <w:spacing w:val="-17"/>
          <w:sz w:val="24"/>
        </w:rPr>
        <w:t> </w:t>
      </w:r>
      <w:r>
        <w:rPr>
          <w:sz w:val="24"/>
        </w:rPr>
        <w:t>7).</w:t>
      </w:r>
    </w:p>
    <w:p>
      <w:pPr>
        <w:pStyle w:val="BodyText"/>
        <w:spacing w:before="7"/>
        <w:rPr>
          <w:sz w:val="27"/>
        </w:rPr>
      </w:pPr>
    </w:p>
    <w:p>
      <w:pPr>
        <w:pStyle w:val="Heading4"/>
        <w:spacing w:before="1"/>
        <w:ind w:left="1910"/>
        <w:rPr>
          <w:rFonts w:ascii="Symbol" w:hAnsi="Symbol"/>
        </w:rPr>
      </w:pPr>
      <w:r>
        <w:rPr>
          <w:rFonts w:ascii="Symbol" w:hAnsi="Symbol"/>
          <w:w w:val="99"/>
        </w:rPr>
        <w:t></w:t>
      </w:r>
    </w:p>
    <w:p>
      <w:pPr>
        <w:tabs>
          <w:tab w:pos="7273" w:val="left" w:leader="none"/>
        </w:tabs>
        <w:spacing w:line="240" w:lineRule="auto"/>
        <w:ind w:left="2011" w:right="0" w:firstLine="0"/>
        <w:rPr>
          <w:rFonts w:ascii="Symbol" w:hAnsi="Symbol"/>
          <w:sz w:val="20"/>
        </w:rPr>
      </w:pPr>
      <w:r>
        <w:rPr>
          <w:rFonts w:ascii="Symbol" w:hAnsi="Symbol"/>
          <w:sz w:val="20"/>
        </w:rPr>
        <w:pict>
          <v:group style="width:190pt;height:150.050pt;mso-position-horizontal-relative:char;mso-position-vertical-relative:line" coordorigin="0,0" coordsize="3800,3001">
            <v:shape style="position:absolute;left:0;top:0;width:3799;height:3001" type="#_x0000_t75" stroked="false">
              <v:imagedata r:id="rId223" o:title=""/>
            </v:shape>
            <v:shape style="position:absolute;left:46;top:86;width:3571;height:2721" type="#_x0000_t75" stroked="false">
              <v:imagedata r:id="rId224" o:title=""/>
            </v:shape>
            <v:shape style="position:absolute;left:0;top:0;width:3800;height:3001" type="#_x0000_t202" filled="false" stroked="false">
              <v:textbox inset="0,0,0,0">
                <w:txbxContent>
                  <w:p>
                    <w:pPr>
                      <w:spacing w:line="240" w:lineRule="auto" w:before="0"/>
                      <w:rPr>
                        <w:rFonts w:ascii="Symbol" w:hAnsi="Symbol"/>
                        <w:b/>
                        <w:sz w:val="20"/>
                      </w:rPr>
                    </w:pPr>
                  </w:p>
                  <w:p>
                    <w:pPr>
                      <w:spacing w:line="240" w:lineRule="auto" w:before="0"/>
                      <w:rPr>
                        <w:rFonts w:ascii="Symbol" w:hAnsi="Symbol"/>
                        <w:b/>
                        <w:sz w:val="20"/>
                      </w:rPr>
                    </w:pPr>
                  </w:p>
                  <w:p>
                    <w:pPr>
                      <w:spacing w:line="240" w:lineRule="auto" w:before="0"/>
                      <w:rPr>
                        <w:rFonts w:ascii="Symbol" w:hAnsi="Symbol"/>
                        <w:b/>
                        <w:sz w:val="20"/>
                      </w:rPr>
                    </w:pPr>
                  </w:p>
                  <w:p>
                    <w:pPr>
                      <w:spacing w:line="240" w:lineRule="auto" w:before="0"/>
                      <w:rPr>
                        <w:rFonts w:ascii="Symbol" w:hAnsi="Symbol"/>
                        <w:b/>
                        <w:sz w:val="20"/>
                      </w:rPr>
                    </w:pPr>
                  </w:p>
                  <w:p>
                    <w:pPr>
                      <w:spacing w:line="240" w:lineRule="auto" w:before="0"/>
                      <w:rPr>
                        <w:rFonts w:ascii="Symbol" w:hAnsi="Symbol"/>
                        <w:b/>
                        <w:sz w:val="20"/>
                      </w:rPr>
                    </w:pPr>
                  </w:p>
                  <w:p>
                    <w:pPr>
                      <w:spacing w:line="240" w:lineRule="auto" w:before="0"/>
                      <w:rPr>
                        <w:rFonts w:ascii="Symbol" w:hAnsi="Symbol"/>
                        <w:b/>
                        <w:sz w:val="20"/>
                      </w:rPr>
                    </w:pPr>
                  </w:p>
                  <w:p>
                    <w:pPr>
                      <w:spacing w:line="240" w:lineRule="auto" w:before="0"/>
                      <w:rPr>
                        <w:rFonts w:ascii="Symbol" w:hAnsi="Symbol"/>
                        <w:b/>
                        <w:sz w:val="20"/>
                      </w:rPr>
                    </w:pPr>
                  </w:p>
                  <w:p>
                    <w:pPr>
                      <w:spacing w:line="240" w:lineRule="auto" w:before="0"/>
                      <w:rPr>
                        <w:rFonts w:ascii="Symbol" w:hAnsi="Symbol"/>
                        <w:b/>
                        <w:sz w:val="20"/>
                      </w:rPr>
                    </w:pPr>
                  </w:p>
                  <w:p>
                    <w:pPr>
                      <w:spacing w:line="240" w:lineRule="auto" w:before="0"/>
                      <w:rPr>
                        <w:rFonts w:ascii="Symbol" w:hAnsi="Symbol"/>
                        <w:b/>
                        <w:sz w:val="20"/>
                      </w:rPr>
                    </w:pPr>
                  </w:p>
                  <w:p>
                    <w:pPr>
                      <w:spacing w:line="240" w:lineRule="auto" w:before="3"/>
                      <w:rPr>
                        <w:rFonts w:ascii="Symbol" w:hAnsi="Symbol"/>
                        <w:b/>
                        <w:sz w:val="28"/>
                      </w:rPr>
                    </w:pPr>
                  </w:p>
                  <w:p>
                    <w:pPr>
                      <w:spacing w:before="0"/>
                      <w:ind w:left="77" w:right="0" w:firstLine="0"/>
                      <w:jc w:val="left"/>
                      <w:rPr>
                        <w:b/>
                        <w:sz w:val="20"/>
                      </w:rPr>
                    </w:pPr>
                    <w:r>
                      <w:rPr>
                        <w:b/>
                        <w:color w:val="F1F1F1"/>
                        <w:sz w:val="20"/>
                      </w:rPr>
                      <w:t>a)</w:t>
                    </w:r>
                  </w:p>
                  <w:p>
                    <w:pPr>
                      <w:spacing w:line="114" w:lineRule="exact" w:before="105"/>
                      <w:ind w:left="-7" w:right="0" w:firstLine="0"/>
                      <w:jc w:val="left"/>
                      <w:rPr>
                        <w:sz w:val="16"/>
                      </w:rPr>
                    </w:pPr>
                    <w:r>
                      <w:rPr>
                        <w:sz w:val="16"/>
                      </w:rPr>
                      <w:t>Fuente: Torres-Bugarín, et al., 2014</w:t>
                    </w:r>
                  </w:p>
                </w:txbxContent>
              </v:textbox>
              <w10:wrap type="none"/>
            </v:shape>
          </v:group>
        </w:pict>
      </w:r>
      <w:r>
        <w:rPr>
          <w:rFonts w:ascii="Symbol" w:hAnsi="Symbol"/>
          <w:sz w:val="20"/>
        </w:rPr>
      </w:r>
      <w:r>
        <w:rPr>
          <w:rFonts w:ascii="Symbol" w:hAnsi="Symbol"/>
          <w:sz w:val="20"/>
        </w:rPr>
        <w:t></w:t>
      </w:r>
      <w:r>
        <w:rPr>
          <w:rFonts w:ascii="Symbol" w:hAnsi="Symbol"/>
          <w:position w:val="7"/>
          <w:sz w:val="20"/>
        </w:rPr>
        <w:pict>
          <v:group style="width:181.65pt;height:146.450pt;mso-position-horizontal-relative:char;mso-position-vertical-relative:line" coordorigin="0,0" coordsize="3633,2929">
            <v:shape style="position:absolute;left:0;top:0;width:3632;height:2929" type="#_x0000_t75" stroked="false">
              <v:imagedata r:id="rId225" o:title=""/>
            </v:shape>
            <v:shape style="position:absolute;left:81;top:86;width:3505;height:2649" type="#_x0000_t75" stroked="false">
              <v:imagedata r:id="rId226" o:title=""/>
            </v:shape>
            <v:shape style="position:absolute;left:105;top:2488;width:184;height:199" type="#_x0000_t202" filled="false" stroked="false">
              <v:textbox inset="0,0,0,0">
                <w:txbxContent>
                  <w:p>
                    <w:pPr>
                      <w:spacing w:line="199" w:lineRule="exact" w:before="0"/>
                      <w:ind w:left="0" w:right="-6" w:firstLine="0"/>
                      <w:jc w:val="left"/>
                      <w:rPr>
                        <w:b/>
                        <w:sz w:val="20"/>
                      </w:rPr>
                    </w:pPr>
                    <w:r>
                      <w:rPr>
                        <w:b/>
                        <w:color w:val="F1F1F1"/>
                        <w:w w:val="90"/>
                        <w:sz w:val="20"/>
                      </w:rPr>
                      <w:t>b)</w:t>
                    </w:r>
                  </w:p>
                </w:txbxContent>
              </v:textbox>
              <w10:wrap type="none"/>
            </v:shape>
          </v:group>
        </w:pict>
      </w:r>
      <w:r>
        <w:rPr>
          <w:rFonts w:ascii="Symbol" w:hAnsi="Symbol"/>
          <w:position w:val="7"/>
          <w:sz w:val="20"/>
        </w:rPr>
      </w:r>
    </w:p>
    <w:p>
      <w:pPr>
        <w:pStyle w:val="BodyText"/>
        <w:spacing w:before="2"/>
        <w:rPr>
          <w:rFonts w:ascii="Symbol" w:hAnsi="Symbol"/>
          <w:b/>
          <w:sz w:val="19"/>
        </w:rPr>
      </w:pPr>
    </w:p>
    <w:p>
      <w:pPr>
        <w:spacing w:line="259" w:lineRule="auto" w:before="78"/>
        <w:ind w:left="2004" w:right="1497" w:firstLine="0"/>
        <w:jc w:val="both"/>
        <w:rPr>
          <w:sz w:val="21"/>
        </w:rPr>
      </w:pPr>
      <w:r>
        <w:rPr>
          <w:sz w:val="21"/>
        </w:rPr>
        <w:t>Figura</w:t>
      </w:r>
      <w:r>
        <w:rPr>
          <w:spacing w:val="-11"/>
          <w:sz w:val="21"/>
        </w:rPr>
        <w:t> </w:t>
      </w:r>
      <w:r>
        <w:rPr>
          <w:sz w:val="21"/>
        </w:rPr>
        <w:t>7.</w:t>
      </w:r>
      <w:r>
        <w:rPr>
          <w:spacing w:val="-19"/>
          <w:sz w:val="21"/>
        </w:rPr>
        <w:t> </w:t>
      </w:r>
      <w:r>
        <w:rPr>
          <w:sz w:val="21"/>
        </w:rPr>
        <w:t>a)</w:t>
      </w:r>
      <w:r>
        <w:rPr>
          <w:spacing w:val="-16"/>
          <w:sz w:val="21"/>
        </w:rPr>
        <w:t> </w:t>
      </w:r>
      <w:r>
        <w:rPr>
          <w:sz w:val="21"/>
        </w:rPr>
        <w:t>Picnosis</w:t>
      </w:r>
      <w:r>
        <w:rPr>
          <w:spacing w:val="-14"/>
          <w:sz w:val="21"/>
        </w:rPr>
        <w:t> </w:t>
      </w:r>
      <w:r>
        <w:rPr>
          <w:sz w:val="21"/>
        </w:rPr>
        <w:t>(PC);</w:t>
      </w:r>
      <w:r>
        <w:rPr>
          <w:spacing w:val="-19"/>
          <w:sz w:val="21"/>
        </w:rPr>
        <w:t> </w:t>
      </w:r>
      <w:r>
        <w:rPr>
          <w:sz w:val="21"/>
        </w:rPr>
        <w:t>b)</w:t>
      </w:r>
      <w:r>
        <w:rPr>
          <w:spacing w:val="-16"/>
          <w:sz w:val="21"/>
        </w:rPr>
        <w:t> </w:t>
      </w:r>
      <w:r>
        <w:rPr>
          <w:sz w:val="21"/>
        </w:rPr>
        <w:t>Cromatina</w:t>
      </w:r>
      <w:r>
        <w:rPr>
          <w:spacing w:val="-10"/>
          <w:sz w:val="21"/>
        </w:rPr>
        <w:t> </w:t>
      </w:r>
      <w:r>
        <w:rPr>
          <w:sz w:val="21"/>
        </w:rPr>
        <w:t>Condensada</w:t>
      </w:r>
      <w:r>
        <w:rPr>
          <w:spacing w:val="-10"/>
          <w:sz w:val="21"/>
        </w:rPr>
        <w:t> </w:t>
      </w:r>
      <w:r>
        <w:rPr>
          <w:sz w:val="21"/>
        </w:rPr>
        <w:t>(CC).</w:t>
      </w:r>
      <w:r>
        <w:rPr>
          <w:spacing w:val="-19"/>
          <w:sz w:val="21"/>
        </w:rPr>
        <w:t> </w:t>
      </w:r>
      <w:r>
        <w:rPr>
          <w:sz w:val="21"/>
        </w:rPr>
        <w:t>Microfotografía,</w:t>
      </w:r>
      <w:r>
        <w:rPr>
          <w:spacing w:val="-17"/>
          <w:sz w:val="21"/>
        </w:rPr>
        <w:t> </w:t>
      </w:r>
      <w:r>
        <w:rPr>
          <w:sz w:val="21"/>
        </w:rPr>
        <w:t>tinción</w:t>
      </w:r>
      <w:r>
        <w:rPr>
          <w:spacing w:val="-11"/>
          <w:sz w:val="21"/>
        </w:rPr>
        <w:t> </w:t>
      </w:r>
      <w:r>
        <w:rPr>
          <w:sz w:val="21"/>
        </w:rPr>
        <w:t>con</w:t>
      </w:r>
      <w:r>
        <w:rPr>
          <w:spacing w:val="-12"/>
          <w:sz w:val="21"/>
        </w:rPr>
        <w:t> </w:t>
      </w:r>
      <w:r>
        <w:rPr>
          <w:sz w:val="21"/>
        </w:rPr>
        <w:t>naranja de</w:t>
      </w:r>
      <w:r>
        <w:rPr>
          <w:spacing w:val="-25"/>
          <w:sz w:val="21"/>
        </w:rPr>
        <w:t> </w:t>
      </w:r>
      <w:r>
        <w:rPr>
          <w:sz w:val="21"/>
        </w:rPr>
        <w:t>acridina</w:t>
      </w:r>
      <w:r>
        <w:rPr>
          <w:spacing w:val="-24"/>
          <w:sz w:val="21"/>
        </w:rPr>
        <w:t> </w:t>
      </w:r>
      <w:r>
        <w:rPr>
          <w:sz w:val="21"/>
        </w:rPr>
        <w:t>vista</w:t>
      </w:r>
      <w:r>
        <w:rPr>
          <w:spacing w:val="-24"/>
          <w:sz w:val="21"/>
        </w:rPr>
        <w:t> </w:t>
      </w:r>
      <w:r>
        <w:rPr>
          <w:sz w:val="21"/>
        </w:rPr>
        <w:t>a</w:t>
      </w:r>
      <w:r>
        <w:rPr>
          <w:spacing w:val="-25"/>
          <w:sz w:val="21"/>
        </w:rPr>
        <w:t> </w:t>
      </w:r>
      <w:r>
        <w:rPr>
          <w:spacing w:val="3"/>
          <w:sz w:val="21"/>
        </w:rPr>
        <w:t>1000</w:t>
      </w:r>
      <w:r>
        <w:rPr>
          <w:spacing w:val="-24"/>
          <w:sz w:val="21"/>
        </w:rPr>
        <w:t> </w:t>
      </w:r>
      <w:r>
        <w:rPr>
          <w:sz w:val="21"/>
        </w:rPr>
        <w:t>magnificaciones</w:t>
      </w:r>
      <w:r>
        <w:rPr>
          <w:spacing w:val="-26"/>
          <w:sz w:val="21"/>
        </w:rPr>
        <w:t> </w:t>
      </w:r>
      <w:r>
        <w:rPr>
          <w:sz w:val="21"/>
        </w:rPr>
        <w:t>con</w:t>
      </w:r>
      <w:r>
        <w:rPr>
          <w:spacing w:val="-25"/>
          <w:sz w:val="21"/>
        </w:rPr>
        <w:t> </w:t>
      </w:r>
      <w:r>
        <w:rPr>
          <w:sz w:val="21"/>
        </w:rPr>
        <w:t>fluorescencia</w:t>
      </w:r>
      <w:r>
        <w:rPr>
          <w:spacing w:val="-23"/>
          <w:sz w:val="21"/>
        </w:rPr>
        <w:t> </w:t>
      </w:r>
      <w:r>
        <w:rPr>
          <w:spacing w:val="-4"/>
          <w:sz w:val="21"/>
        </w:rPr>
        <w:t>IVFL</w:t>
      </w:r>
      <w:r>
        <w:rPr>
          <w:spacing w:val="-25"/>
          <w:sz w:val="21"/>
        </w:rPr>
        <w:t> </w:t>
      </w:r>
      <w:r>
        <w:rPr>
          <w:spacing w:val="2"/>
          <w:sz w:val="21"/>
        </w:rPr>
        <w:t>filtro</w:t>
      </w:r>
      <w:r>
        <w:rPr>
          <w:spacing w:val="-24"/>
          <w:sz w:val="21"/>
        </w:rPr>
        <w:t> </w:t>
      </w:r>
      <w:r>
        <w:rPr>
          <w:spacing w:val="2"/>
          <w:sz w:val="21"/>
        </w:rPr>
        <w:t>(450-490</w:t>
      </w:r>
      <w:r>
        <w:rPr>
          <w:spacing w:val="-25"/>
          <w:sz w:val="21"/>
        </w:rPr>
        <w:t> </w:t>
      </w:r>
      <w:r>
        <w:rPr>
          <w:sz w:val="21"/>
        </w:rPr>
        <w:t>nm).</w:t>
      </w:r>
      <w:r>
        <w:rPr>
          <w:spacing w:val="-32"/>
          <w:sz w:val="21"/>
        </w:rPr>
        <w:t> </w:t>
      </w:r>
      <w:r>
        <w:rPr>
          <w:sz w:val="21"/>
        </w:rPr>
        <w:t>Microscopio </w:t>
      </w:r>
      <w:r>
        <w:rPr>
          <w:spacing w:val="2"/>
          <w:sz w:val="21"/>
        </w:rPr>
        <w:t>Binocular</w:t>
      </w:r>
      <w:r>
        <w:rPr>
          <w:spacing w:val="-42"/>
          <w:sz w:val="21"/>
        </w:rPr>
        <w:t> </w:t>
      </w:r>
      <w:r>
        <w:rPr>
          <w:sz w:val="21"/>
        </w:rPr>
        <w:t>Carl</w:t>
      </w:r>
      <w:r>
        <w:rPr>
          <w:spacing w:val="-40"/>
          <w:sz w:val="21"/>
        </w:rPr>
        <w:t> </w:t>
      </w:r>
      <w:r>
        <w:rPr>
          <w:sz w:val="21"/>
        </w:rPr>
        <w:t>Zeiss</w:t>
      </w:r>
      <w:r>
        <w:rPr>
          <w:spacing w:val="-43"/>
          <w:sz w:val="21"/>
        </w:rPr>
        <w:t> </w:t>
      </w:r>
      <w:r>
        <w:rPr>
          <w:sz w:val="21"/>
        </w:rPr>
        <w:t>(Axiostar</w:t>
      </w:r>
      <w:r>
        <w:rPr>
          <w:spacing w:val="-43"/>
          <w:sz w:val="21"/>
        </w:rPr>
        <w:t> </w:t>
      </w:r>
      <w:r>
        <w:rPr>
          <w:sz w:val="21"/>
        </w:rPr>
        <w:t>Plus)</w:t>
      </w:r>
    </w:p>
    <w:p>
      <w:pPr>
        <w:pStyle w:val="BodyText"/>
        <w:rPr>
          <w:sz w:val="20"/>
        </w:rPr>
      </w:pPr>
    </w:p>
    <w:p>
      <w:pPr>
        <w:pStyle w:val="BodyText"/>
        <w:spacing w:before="7"/>
        <w:rPr>
          <w:sz w:val="20"/>
        </w:rPr>
      </w:pPr>
    </w:p>
    <w:p>
      <w:pPr>
        <w:pStyle w:val="ListParagraph"/>
        <w:numPr>
          <w:ilvl w:val="0"/>
          <w:numId w:val="11"/>
        </w:numPr>
        <w:tabs>
          <w:tab w:pos="2062" w:val="left" w:leader="none"/>
        </w:tabs>
        <w:spacing w:line="360" w:lineRule="auto" w:before="56" w:after="0"/>
        <w:ind w:left="2062" w:right="1697" w:hanging="152"/>
        <w:jc w:val="both"/>
        <w:rPr>
          <w:sz w:val="24"/>
        </w:rPr>
      </w:pPr>
      <w:r>
        <w:rPr>
          <w:i/>
          <w:sz w:val="24"/>
        </w:rPr>
        <w:t>Células con cariorrexis (CR): </w:t>
      </w:r>
      <w:r>
        <w:rPr>
          <w:sz w:val="24"/>
        </w:rPr>
        <w:t>su forma es generalmente angular y plana con el tamaño de una célula diferenciada Se caracterizan por la agregación de cromatina nuclear más extensa con respecto a las células con cromatina condensada. Su patrón densamente moteado es indicativo de una típica desintegración nuclear de las etapas posteriores de la apoptosis. Estas células no deben ser confundidas con MN o NL porque la apoptosis puede causar fragmentación nuclear y generación de cuerpos nucleares similares a estos (Figura</w:t>
      </w:r>
      <w:r>
        <w:rPr>
          <w:spacing w:val="-4"/>
          <w:sz w:val="24"/>
        </w:rPr>
        <w:t> </w:t>
      </w:r>
      <w:r>
        <w:rPr>
          <w:sz w:val="24"/>
        </w:rPr>
        <w:t>8).</w:t>
      </w:r>
    </w:p>
    <w:p>
      <w:pPr>
        <w:spacing w:after="0" w:line="360" w:lineRule="auto"/>
        <w:jc w:val="both"/>
        <w:rPr>
          <w:sz w:val="24"/>
        </w:rPr>
        <w:sectPr>
          <w:pgSz w:w="12240" w:h="15840"/>
          <w:pgMar w:header="0" w:footer="599" w:top="1500" w:bottom="780" w:left="0" w:right="0"/>
        </w:sectPr>
      </w:pPr>
    </w:p>
    <w:p>
      <w:pPr>
        <w:pStyle w:val="BodyText"/>
        <w:spacing w:before="4"/>
        <w:rPr>
          <w:sz w:val="12"/>
        </w:rPr>
      </w:pPr>
    </w:p>
    <w:p>
      <w:pPr>
        <w:pStyle w:val="ListParagraph"/>
        <w:numPr>
          <w:ilvl w:val="0"/>
          <w:numId w:val="11"/>
        </w:numPr>
        <w:tabs>
          <w:tab w:pos="2062" w:val="left" w:leader="none"/>
        </w:tabs>
        <w:spacing w:line="357" w:lineRule="auto" w:before="56" w:after="0"/>
        <w:ind w:left="2062" w:right="1699" w:hanging="152"/>
        <w:jc w:val="both"/>
        <w:rPr>
          <w:sz w:val="24"/>
        </w:rPr>
      </w:pPr>
      <w:r>
        <w:rPr>
          <w:i/>
          <w:sz w:val="24"/>
        </w:rPr>
        <w:t>Células con cariolisis (CL)</w:t>
      </w:r>
      <w:r>
        <w:rPr>
          <w:sz w:val="24"/>
        </w:rPr>
        <w:t>: su forma es generalmente angular y plana son células terminalmente diferenciadas que parecen estar ausentes de núcleo. Su núcleo está completamente vacío de ADN, se observa como una imagen fantasma del núcleo. La cariolisis es el estado de desintegración completa del núcleo, ocurre en estados posteriores de necrosis y apoptosis. Estas células muestran las siguientes características (Figura</w:t>
      </w:r>
      <w:r>
        <w:rPr>
          <w:spacing w:val="-8"/>
          <w:sz w:val="24"/>
        </w:rPr>
        <w:t> </w:t>
      </w:r>
      <w:r>
        <w:rPr>
          <w:sz w:val="24"/>
        </w:rPr>
        <w:t>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0"/>
        </w:rPr>
      </w:pPr>
    </w:p>
    <w:p>
      <w:pPr>
        <w:tabs>
          <w:tab w:pos="7270" w:val="left" w:leader="none"/>
        </w:tabs>
        <w:spacing w:before="75"/>
        <w:ind w:left="1938" w:right="1703" w:firstLine="0"/>
        <w:jc w:val="left"/>
        <w:rPr>
          <w:b/>
          <w:sz w:val="19"/>
        </w:rPr>
      </w:pPr>
      <w:r>
        <w:rPr/>
        <w:pict>
          <v:group style="position:absolute;margin-left:93pt;margin-top:-110.835266pt;width:457pt;height:182.35pt;mso-position-horizontal-relative:page;mso-position-vertical-relative:paragraph;z-index:-338704" coordorigin="1860,-2217" coordsize="9140,3647">
            <v:shape style="position:absolute;left:1860;top:-2217;width:3860;height:2778" type="#_x0000_t75" stroked="false">
              <v:imagedata r:id="rId227" o:title=""/>
            </v:shape>
            <v:shape style="position:absolute;left:1906;top:-2136;width:3629;height:2514" type="#_x0000_t75" stroked="false">
              <v:imagedata r:id="rId228" o:title=""/>
            </v:shape>
            <v:shape style="position:absolute;left:7155;top:-2217;width:3844;height:2795" type="#_x0000_t75" stroked="false">
              <v:imagedata r:id="rId229" o:title=""/>
            </v:shape>
            <v:shape style="position:absolute;left:7237;top:-2136;width:3629;height:2530" type="#_x0000_t75" stroked="false">
              <v:imagedata r:id="rId230" o:title=""/>
            </v:shape>
            <v:rect style="position:absolute;left:1860;top:408;width:9140;height:1023" filled="true" fillcolor="#ffffff" stroked="false">
              <v:fill type="solid"/>
            </v:rect>
            <w10:wrap type="none"/>
          </v:group>
        </w:pict>
      </w:r>
      <w:r>
        <w:rPr>
          <w:b/>
          <w:color w:val="F1F1F1"/>
          <w:sz w:val="19"/>
        </w:rPr>
        <w:t>a)</w:t>
        <w:tab/>
      </w:r>
      <w:r>
        <w:rPr>
          <w:b/>
          <w:color w:val="F1F1F1"/>
          <w:spacing w:val="4"/>
          <w:sz w:val="19"/>
        </w:rPr>
        <w:t>b)</w:t>
      </w:r>
    </w:p>
    <w:p>
      <w:pPr>
        <w:pStyle w:val="BodyText"/>
        <w:spacing w:before="7"/>
        <w:rPr>
          <w:b/>
          <w:sz w:val="12"/>
        </w:rPr>
      </w:pPr>
    </w:p>
    <w:p>
      <w:pPr>
        <w:spacing w:before="84"/>
        <w:ind w:left="1861" w:right="0" w:firstLine="0"/>
        <w:jc w:val="both"/>
        <w:rPr>
          <w:sz w:val="15"/>
        </w:rPr>
      </w:pPr>
      <w:r>
        <w:rPr>
          <w:w w:val="105"/>
          <w:sz w:val="15"/>
        </w:rPr>
        <w:t>Fuente: Torres-Bugarín, et al., 2014</w:t>
      </w:r>
    </w:p>
    <w:p>
      <w:pPr>
        <w:pStyle w:val="BodyText"/>
        <w:rPr>
          <w:sz w:val="14"/>
        </w:rPr>
      </w:pPr>
    </w:p>
    <w:p>
      <w:pPr>
        <w:spacing w:line="259" w:lineRule="auto" w:before="82"/>
        <w:ind w:left="1861" w:right="1240" w:firstLine="0"/>
        <w:jc w:val="both"/>
        <w:rPr>
          <w:sz w:val="20"/>
        </w:rPr>
      </w:pPr>
      <w:r>
        <w:rPr>
          <w:w w:val="105"/>
          <w:sz w:val="20"/>
        </w:rPr>
        <w:t>Figura</w:t>
      </w:r>
      <w:r>
        <w:rPr>
          <w:spacing w:val="-11"/>
          <w:w w:val="105"/>
          <w:sz w:val="20"/>
        </w:rPr>
        <w:t> </w:t>
      </w:r>
      <w:r>
        <w:rPr>
          <w:w w:val="105"/>
          <w:sz w:val="20"/>
        </w:rPr>
        <w:t>8.</w:t>
      </w:r>
      <w:r>
        <w:rPr>
          <w:spacing w:val="-20"/>
          <w:w w:val="105"/>
          <w:sz w:val="20"/>
        </w:rPr>
        <w:t> </w:t>
      </w:r>
      <w:r>
        <w:rPr>
          <w:spacing w:val="2"/>
          <w:w w:val="105"/>
          <w:sz w:val="20"/>
        </w:rPr>
        <w:t>a)</w:t>
      </w:r>
      <w:r>
        <w:rPr>
          <w:spacing w:val="-15"/>
          <w:w w:val="105"/>
          <w:sz w:val="20"/>
        </w:rPr>
        <w:t> </w:t>
      </w:r>
      <w:r>
        <w:rPr>
          <w:w w:val="105"/>
          <w:sz w:val="20"/>
        </w:rPr>
        <w:t>Cariorrexis</w:t>
      </w:r>
      <w:r>
        <w:rPr>
          <w:spacing w:val="-17"/>
          <w:w w:val="105"/>
          <w:sz w:val="20"/>
        </w:rPr>
        <w:t> </w:t>
      </w:r>
      <w:r>
        <w:rPr>
          <w:w w:val="105"/>
          <w:sz w:val="20"/>
        </w:rPr>
        <w:t>(CR);</w:t>
      </w:r>
      <w:r>
        <w:rPr>
          <w:spacing w:val="-19"/>
          <w:w w:val="105"/>
          <w:sz w:val="20"/>
        </w:rPr>
        <w:t> </w:t>
      </w:r>
      <w:r>
        <w:rPr>
          <w:spacing w:val="2"/>
          <w:w w:val="105"/>
          <w:sz w:val="20"/>
        </w:rPr>
        <w:t>b)</w:t>
      </w:r>
      <w:r>
        <w:rPr>
          <w:spacing w:val="-16"/>
          <w:w w:val="105"/>
          <w:sz w:val="20"/>
        </w:rPr>
        <w:t> </w:t>
      </w:r>
      <w:r>
        <w:rPr>
          <w:w w:val="105"/>
          <w:sz w:val="20"/>
        </w:rPr>
        <w:t>Cariolisis</w:t>
      </w:r>
      <w:r>
        <w:rPr>
          <w:spacing w:val="-16"/>
          <w:w w:val="105"/>
          <w:sz w:val="20"/>
        </w:rPr>
        <w:t> </w:t>
      </w:r>
      <w:r>
        <w:rPr>
          <w:w w:val="105"/>
          <w:sz w:val="20"/>
        </w:rPr>
        <w:t>(CL).</w:t>
      </w:r>
      <w:r>
        <w:rPr>
          <w:spacing w:val="-20"/>
          <w:w w:val="105"/>
          <w:sz w:val="20"/>
        </w:rPr>
        <w:t> </w:t>
      </w:r>
      <w:r>
        <w:rPr>
          <w:w w:val="105"/>
          <w:sz w:val="20"/>
        </w:rPr>
        <w:t>Microfotografía,</w:t>
      </w:r>
      <w:r>
        <w:rPr>
          <w:spacing w:val="-23"/>
          <w:w w:val="105"/>
          <w:sz w:val="20"/>
        </w:rPr>
        <w:t> </w:t>
      </w:r>
      <w:r>
        <w:rPr>
          <w:w w:val="105"/>
          <w:sz w:val="20"/>
        </w:rPr>
        <w:t>tinción</w:t>
      </w:r>
      <w:r>
        <w:rPr>
          <w:spacing w:val="-11"/>
          <w:w w:val="105"/>
          <w:sz w:val="20"/>
        </w:rPr>
        <w:t> </w:t>
      </w:r>
      <w:r>
        <w:rPr>
          <w:w w:val="105"/>
          <w:sz w:val="20"/>
        </w:rPr>
        <w:t>con</w:t>
      </w:r>
      <w:r>
        <w:rPr>
          <w:spacing w:val="-10"/>
          <w:w w:val="105"/>
          <w:sz w:val="20"/>
        </w:rPr>
        <w:t> </w:t>
      </w:r>
      <w:r>
        <w:rPr>
          <w:w w:val="105"/>
          <w:sz w:val="20"/>
        </w:rPr>
        <w:t>naranja</w:t>
      </w:r>
      <w:r>
        <w:rPr>
          <w:spacing w:val="-11"/>
          <w:w w:val="105"/>
          <w:sz w:val="20"/>
        </w:rPr>
        <w:t> </w:t>
      </w:r>
      <w:r>
        <w:rPr>
          <w:spacing w:val="2"/>
          <w:w w:val="105"/>
          <w:sz w:val="20"/>
        </w:rPr>
        <w:t>de</w:t>
      </w:r>
      <w:r>
        <w:rPr>
          <w:spacing w:val="-10"/>
          <w:w w:val="105"/>
          <w:sz w:val="20"/>
        </w:rPr>
        <w:t> </w:t>
      </w:r>
      <w:r>
        <w:rPr>
          <w:w w:val="105"/>
          <w:sz w:val="20"/>
        </w:rPr>
        <w:t>acridina</w:t>
      </w:r>
      <w:r>
        <w:rPr>
          <w:spacing w:val="-12"/>
          <w:w w:val="105"/>
          <w:sz w:val="20"/>
        </w:rPr>
        <w:t> </w:t>
      </w:r>
      <w:r>
        <w:rPr>
          <w:w w:val="105"/>
          <w:sz w:val="20"/>
        </w:rPr>
        <w:t>vista a 1000 magnificaciones </w:t>
      </w:r>
      <w:r>
        <w:rPr>
          <w:spacing w:val="-5"/>
          <w:w w:val="105"/>
          <w:sz w:val="20"/>
        </w:rPr>
        <w:t>con </w:t>
      </w:r>
      <w:r>
        <w:rPr>
          <w:w w:val="105"/>
          <w:sz w:val="20"/>
        </w:rPr>
        <w:t>fluorescencia </w:t>
      </w:r>
      <w:r>
        <w:rPr>
          <w:spacing w:val="-3"/>
          <w:w w:val="105"/>
          <w:sz w:val="20"/>
        </w:rPr>
        <w:t>IVFL </w:t>
      </w:r>
      <w:r>
        <w:rPr>
          <w:w w:val="105"/>
          <w:sz w:val="20"/>
        </w:rPr>
        <w:t>filtro (450-490 nm). Microscopio Binocular </w:t>
      </w:r>
      <w:r>
        <w:rPr>
          <w:spacing w:val="2"/>
          <w:w w:val="105"/>
          <w:sz w:val="20"/>
        </w:rPr>
        <w:t>Carl </w:t>
      </w:r>
      <w:r>
        <w:rPr>
          <w:w w:val="105"/>
          <w:sz w:val="20"/>
        </w:rPr>
        <w:t>Zeiss</w:t>
      </w:r>
      <w:r>
        <w:rPr>
          <w:spacing w:val="-47"/>
          <w:w w:val="105"/>
          <w:sz w:val="20"/>
        </w:rPr>
        <w:t> </w:t>
      </w:r>
      <w:r>
        <w:rPr>
          <w:w w:val="105"/>
          <w:sz w:val="20"/>
        </w:rPr>
        <w:t>(Axiostar Plus)</w:t>
      </w:r>
    </w:p>
    <w:p>
      <w:pPr>
        <w:pStyle w:val="BodyText"/>
        <w:rPr>
          <w:sz w:val="20"/>
        </w:rPr>
      </w:pPr>
    </w:p>
    <w:p>
      <w:pPr>
        <w:pStyle w:val="BodyText"/>
        <w:rPr>
          <w:sz w:val="20"/>
        </w:rPr>
      </w:pPr>
    </w:p>
    <w:p>
      <w:pPr>
        <w:pStyle w:val="BodyText"/>
        <w:spacing w:before="7"/>
      </w:pPr>
    </w:p>
    <w:p>
      <w:pPr>
        <w:pStyle w:val="BodyText"/>
        <w:spacing w:line="360" w:lineRule="auto" w:before="70"/>
        <w:ind w:left="1418" w:right="1703"/>
        <w:jc w:val="both"/>
      </w:pPr>
      <w:r>
        <w:rPr/>
        <w:t>El monitoreo citogenético debe ser considerado como parte integral de una buena vigilancia médica en las personas en contacto con plaguicidas, ya que permite evaluar el riesgo potencial de las exposiciones ocupacionales, de este modo es posible la planeación de medidas necesarias para la identificación temprana  de riesgo genético</w:t>
      </w:r>
      <w:r>
        <w:rPr>
          <w:position w:val="8"/>
          <w:sz w:val="16"/>
        </w:rPr>
        <w:t>15</w:t>
      </w:r>
      <w:r>
        <w:rPr/>
        <w:t>.</w:t>
      </w:r>
    </w:p>
    <w:p>
      <w:pPr>
        <w:spacing w:after="0" w:line="360" w:lineRule="auto"/>
        <w:jc w:val="both"/>
        <w:sectPr>
          <w:pgSz w:w="12240" w:h="15840"/>
          <w:pgMar w:header="0" w:footer="599" w:top="1500" w:bottom="780" w:left="0" w:right="0"/>
        </w:sectPr>
      </w:pPr>
    </w:p>
    <w:p>
      <w:pPr>
        <w:pStyle w:val="BodyText"/>
        <w:spacing w:before="4"/>
        <w:rPr>
          <w:rFonts w:ascii="Times New Roman"/>
          <w:sz w:val="17"/>
        </w:rPr>
      </w:pPr>
      <w:r>
        <w:rPr/>
        <w:pict>
          <v:group style="position:absolute;margin-left:1.56pt;margin-top:174.100006pt;width:610.450pt;height:380.7pt;mso-position-horizontal-relative:page;mso-position-vertical-relative:page;z-index:2296" coordorigin="31,3482" coordsize="12209,7614">
            <v:shape style="position:absolute;left:31;top:3641;width:12209;height:7454" type="#_x0000_t75" stroked="false">
              <v:imagedata r:id="rId232" o:title=""/>
            </v:shape>
            <v:shape style="position:absolute;left:2315;top:3482;width:9678;height:2827" coordorigin="2315,3482" coordsize="9678,2827" path="m11993,3482l2315,3482,2315,4362,7510,4362,7510,6309,11949,6309,11949,4362,11993,4362,11993,3482e" filled="true" fillcolor="#ffffff" stroked="false">
              <v:path arrowok="t"/>
              <v:fill type="solid"/>
            </v:shape>
            <v:shape style="position:absolute;left:31;top:3482;width:12209;height:7614" type="#_x0000_t202" filled="false" stroked="false">
              <v:textbox inset="0,0,0,0">
                <w:txbxContent>
                  <w:p>
                    <w:pPr>
                      <w:spacing w:before="63"/>
                      <w:ind w:left="3853" w:right="0" w:firstLine="0"/>
                      <w:jc w:val="left"/>
                      <w:rPr>
                        <w:sz w:val="44"/>
                      </w:rPr>
                    </w:pPr>
                    <w:r>
                      <w:rPr>
                        <w:color w:val="0EA09E"/>
                        <w:w w:val="110"/>
                        <w:sz w:val="44"/>
                      </w:rPr>
                      <w:t>PLANTEAMIENTO DEL PROBLEMA</w:t>
                    </w:r>
                  </w:p>
                  <w:p>
                    <w:pPr>
                      <w:spacing w:line="369" w:lineRule="auto" w:before="231"/>
                      <w:ind w:left="9069" w:right="431" w:hanging="1064"/>
                      <w:jc w:val="both"/>
                      <w:rPr>
                        <w:sz w:val="44"/>
                      </w:rPr>
                    </w:pPr>
                    <w:r>
                      <w:rPr>
                        <w:color w:val="0EA09E"/>
                        <w:w w:val="110"/>
                        <w:sz w:val="44"/>
                      </w:rPr>
                      <w:t>JUSTIFICACIÓN </w:t>
                    </w:r>
                    <w:r>
                      <w:rPr>
                        <w:color w:val="0EA09E"/>
                        <w:spacing w:val="-5"/>
                        <w:w w:val="110"/>
                        <w:sz w:val="44"/>
                      </w:rPr>
                      <w:t>OBJETIVOS </w:t>
                    </w:r>
                    <w:r>
                      <w:rPr>
                        <w:color w:val="0EA09E"/>
                        <w:w w:val="110"/>
                        <w:sz w:val="44"/>
                      </w:rPr>
                      <w:t>HIPÓTESIS</w:t>
                    </w:r>
                  </w:p>
                </w:txbxContent>
              </v:textbox>
              <w10:wrap type="none"/>
            </v:shape>
            <w10:wrap type="none"/>
          </v:group>
        </w:pict>
      </w:r>
    </w:p>
    <w:p>
      <w:pPr>
        <w:spacing w:after="0"/>
        <w:rPr>
          <w:rFonts w:ascii="Times New Roman"/>
          <w:sz w:val="17"/>
        </w:rPr>
        <w:sectPr>
          <w:footerReference w:type="default" r:id="rId231"/>
          <w:pgSz w:w="12240" w:h="15840"/>
          <w:pgMar w:footer="0" w:header="0" w:top="1500" w:bottom="280" w:left="0" w:right="0"/>
        </w:sectPr>
      </w:pPr>
    </w:p>
    <w:p>
      <w:pPr>
        <w:pStyle w:val="BodyText"/>
        <w:spacing w:before="4"/>
        <w:rPr>
          <w:rFonts w:ascii="Times New Roman"/>
          <w:sz w:val="11"/>
        </w:rPr>
      </w:pPr>
    </w:p>
    <w:p>
      <w:pPr>
        <w:pStyle w:val="Heading4"/>
        <w:numPr>
          <w:ilvl w:val="2"/>
          <w:numId w:val="3"/>
        </w:numPr>
        <w:tabs>
          <w:tab w:pos="2126" w:val="left" w:leader="none"/>
          <w:tab w:pos="2127" w:val="left" w:leader="none"/>
        </w:tabs>
        <w:spacing w:line="240" w:lineRule="auto" w:before="69" w:after="0"/>
        <w:ind w:left="2126" w:right="0" w:hanging="566"/>
        <w:jc w:val="left"/>
      </w:pPr>
      <w:r>
        <w:rPr/>
        <w:t>PLANTEAMIENTO DEL</w:t>
      </w:r>
      <w:r>
        <w:rPr>
          <w:spacing w:val="-8"/>
        </w:rPr>
        <w:t> </w:t>
      </w:r>
      <w:r>
        <w:rPr/>
        <w:t>PROBLEMA</w:t>
      </w:r>
    </w:p>
    <w:p>
      <w:pPr>
        <w:pStyle w:val="BodyText"/>
        <w:rPr>
          <w:b/>
        </w:rPr>
      </w:pPr>
    </w:p>
    <w:p>
      <w:pPr>
        <w:pStyle w:val="BodyText"/>
        <w:rPr>
          <w:b/>
        </w:rPr>
      </w:pPr>
    </w:p>
    <w:p>
      <w:pPr>
        <w:pStyle w:val="BodyText"/>
        <w:spacing w:before="3"/>
        <w:rPr>
          <w:b/>
          <w:sz w:val="26"/>
        </w:rPr>
      </w:pPr>
    </w:p>
    <w:p>
      <w:pPr>
        <w:pStyle w:val="BodyText"/>
        <w:spacing w:line="360" w:lineRule="auto"/>
        <w:ind w:left="1418" w:right="1701"/>
        <w:jc w:val="both"/>
      </w:pPr>
      <w:r>
        <w:rPr/>
        <w:t>En las comunidades del municipio de Villa Guerrero, Estado de México el aumento  de la superficie floricultora ha originado el uso excesivo de plaguicidas, los cuales se les atribuye como uno de los principales determinantes en el deterioro de la salud de los pobladores colindantes con los cultivos. En este sentido, particularmente los  niños se vuelven los más vulnerables debido a su constante crecimiento y alta demanda energética, a su falta de madurez física, cognitiva y</w:t>
      </w:r>
      <w:r>
        <w:rPr>
          <w:spacing w:val="-32"/>
        </w:rPr>
        <w:t> </w:t>
      </w:r>
      <w:r>
        <w:rPr/>
        <w:t>fisiológica.</w:t>
      </w:r>
    </w:p>
    <w:p>
      <w:pPr>
        <w:pStyle w:val="BodyText"/>
        <w:spacing w:line="360" w:lineRule="auto" w:before="202"/>
        <w:ind w:left="1418" w:right="1703"/>
        <w:jc w:val="both"/>
      </w:pPr>
      <w:r>
        <w:rPr/>
        <w:t>La importancia de detectar el daño genético de los plaguicidas es su acción mutagénica, así como su acción carcinogénica y teratogénica</w:t>
      </w:r>
    </w:p>
    <w:p>
      <w:pPr>
        <w:pStyle w:val="BodyText"/>
        <w:spacing w:line="360" w:lineRule="auto" w:before="204"/>
        <w:ind w:left="1418" w:right="1696"/>
        <w:jc w:val="both"/>
      </w:pPr>
      <w:r>
        <w:rPr/>
        <w:t>Es por esto que es ineludible contar con programas encaminados identifican el daño genético que pueden producir los plaguicidas en los niños con la finalidad de reducir los efectos de los plaguicidas sobre su salud. La técnica de micronúcleos y alteraciones nucleares, brinda una gran oportunidad ya que ha sido mundialmente validada, no es invasiva, se puede aplicar en células de mucosa bucal y facilita conocer los efectos temprano de estos agentes tóxicos a nivel genético.</w:t>
      </w:r>
    </w:p>
    <w:p>
      <w:pPr>
        <w:pStyle w:val="BodyText"/>
        <w:spacing w:before="204"/>
        <w:ind w:left="1486"/>
        <w:jc w:val="both"/>
      </w:pPr>
      <w:r>
        <w:rPr/>
        <w:t>Motivo por el cual surge la pregunta de investigación;</w:t>
      </w:r>
    </w:p>
    <w:p>
      <w:pPr>
        <w:pStyle w:val="BodyText"/>
        <w:spacing w:before="4"/>
        <w:rPr>
          <w:sz w:val="29"/>
        </w:rPr>
      </w:pPr>
    </w:p>
    <w:p>
      <w:pPr>
        <w:pStyle w:val="BodyText"/>
        <w:spacing w:line="360" w:lineRule="auto" w:before="1"/>
        <w:ind w:left="1418" w:right="1700"/>
        <w:jc w:val="both"/>
      </w:pPr>
      <w:r>
        <w:rPr/>
        <w:t>¿Los niños expuestos a plaguicidas presentan mayor frecuencia de células micronucleadas y anormalidades nucleares en mucosa bucal en comparación con niños no expuestos?</w:t>
      </w:r>
    </w:p>
    <w:p>
      <w:pPr>
        <w:spacing w:after="0" w:line="360" w:lineRule="auto"/>
        <w:jc w:val="both"/>
        <w:sectPr>
          <w:footerReference w:type="default" r:id="rId233"/>
          <w:pgSz w:w="12240" w:h="15840"/>
          <w:pgMar w:footer="599" w:header="0" w:top="1500" w:bottom="780" w:left="0" w:right="0"/>
          <w:pgNumType w:start="48"/>
        </w:sectPr>
      </w:pPr>
    </w:p>
    <w:p>
      <w:pPr>
        <w:pStyle w:val="BodyText"/>
        <w:spacing w:before="4"/>
        <w:rPr>
          <w:sz w:val="11"/>
        </w:rPr>
      </w:pPr>
    </w:p>
    <w:p>
      <w:pPr>
        <w:pStyle w:val="Heading4"/>
        <w:numPr>
          <w:ilvl w:val="2"/>
          <w:numId w:val="3"/>
        </w:numPr>
        <w:tabs>
          <w:tab w:pos="1913" w:val="left" w:leader="none"/>
        </w:tabs>
        <w:spacing w:line="240" w:lineRule="auto" w:before="69" w:after="0"/>
        <w:ind w:left="1912" w:right="0" w:hanging="494"/>
        <w:jc w:val="both"/>
      </w:pPr>
      <w:r>
        <w:rPr/>
        <w:t>JUSTIFICACIÓN</w:t>
      </w:r>
    </w:p>
    <w:p>
      <w:pPr>
        <w:pStyle w:val="BodyText"/>
        <w:rPr>
          <w:b/>
        </w:rPr>
      </w:pPr>
    </w:p>
    <w:p>
      <w:pPr>
        <w:pStyle w:val="BodyText"/>
        <w:rPr>
          <w:b/>
        </w:rPr>
      </w:pPr>
    </w:p>
    <w:p>
      <w:pPr>
        <w:pStyle w:val="BodyText"/>
        <w:spacing w:before="7"/>
        <w:rPr>
          <w:b/>
          <w:sz w:val="34"/>
        </w:rPr>
      </w:pPr>
    </w:p>
    <w:p>
      <w:pPr>
        <w:pStyle w:val="BodyText"/>
        <w:spacing w:line="360" w:lineRule="auto"/>
        <w:ind w:left="1418" w:right="1703"/>
        <w:jc w:val="both"/>
      </w:pPr>
      <w:r>
        <w:rPr/>
        <w:t>En las comunidades de Villa Guerrero la principal actividad económica es la floricultura, esta actividad favorece el incremento del uso de  plaguicidas  en  la zona</w:t>
      </w:r>
      <w:r>
        <w:rPr>
          <w:position w:val="8"/>
          <w:sz w:val="16"/>
        </w:rPr>
        <w:t>15</w:t>
      </w:r>
      <w:r>
        <w:rPr/>
        <w:t>. La utilización inadecuada e indiscriminada de los plaguicidas, la falta de conciencia en cuanto a las barreras de protección, las múltiples vías de absorción y  el bajo conocimiento de la población en torno a sus consecuencias en la salud los expone a los efectos tóxicos de los mismos, solo un 0,1 % de los plaguicidas llega a la plaga, el resto queda circulando por el ambiente, contaminando el suelo, agua y ecosistema, debido a estas deficiencias en las prácticas del cultivo se generan efectos colaterales negativos que dañan la salud humana</w:t>
      </w:r>
      <w:r>
        <w:rPr>
          <w:position w:val="8"/>
          <w:sz w:val="16"/>
        </w:rPr>
        <w:t>44,</w:t>
      </w:r>
      <w:r>
        <w:rPr>
          <w:spacing w:val="-18"/>
          <w:position w:val="8"/>
          <w:sz w:val="16"/>
        </w:rPr>
        <w:t> </w:t>
      </w:r>
      <w:r>
        <w:rPr>
          <w:position w:val="8"/>
          <w:sz w:val="16"/>
        </w:rPr>
        <w:t>33</w:t>
      </w:r>
      <w:r>
        <w:rPr/>
        <w:t>.</w:t>
      </w:r>
    </w:p>
    <w:p>
      <w:pPr>
        <w:pStyle w:val="BodyText"/>
        <w:spacing w:line="360" w:lineRule="auto" w:before="200"/>
        <w:ind w:left="1418" w:right="1698"/>
        <w:jc w:val="both"/>
      </w:pPr>
      <w:r>
        <w:rPr/>
        <w:t>Los plaguicidas si bien aportan el beneficio del control de plagas, pueden causar graves daños a la salud de los niños son particularmente más susceptibles a los peligros ambientales que los adultos debido a las diferencias en la fisiología y su comportamiento, el sistema nervioso del los niños se encuentra en etapas criticas de desarrollo, están continuo crecimiento y su sistema de defensa es más susceptible</w:t>
      </w:r>
      <w:r>
        <w:rPr>
          <w:position w:val="8"/>
          <w:sz w:val="16"/>
        </w:rPr>
        <w:t>84</w:t>
      </w:r>
      <w:r>
        <w:rPr/>
        <w:t>.</w:t>
      </w:r>
    </w:p>
    <w:p>
      <w:pPr>
        <w:pStyle w:val="BodyText"/>
        <w:spacing w:line="357" w:lineRule="auto" w:before="200"/>
        <w:ind w:left="1418" w:right="1696"/>
        <w:jc w:val="both"/>
      </w:pPr>
      <w:r>
        <w:rPr/>
        <w:t>Está demostrado la asociación de la exposición de estas sustancias con la aparición de malformaciones congénitas, alteraciones sistémicas, problemas cognitivos, y que pueden ocurrir a corto y largo plazo</w:t>
      </w:r>
      <w:r>
        <w:rPr>
          <w:position w:val="8"/>
          <w:sz w:val="16"/>
        </w:rPr>
        <w:t>5, 28</w:t>
      </w:r>
      <w:r>
        <w:rPr/>
        <w:t>. Por lo que los niños son un subgrupo específico en salud pública, que está aún en fase de desarrollo, y esta condición puede tener influencia sobre una respuesta diferente a la que tiene los adultos al daño ambiental, y los efectos en su salud podrían manifestarse muchos años  después de la</w:t>
      </w:r>
      <w:r>
        <w:rPr>
          <w:spacing w:val="-8"/>
        </w:rPr>
        <w:t> </w:t>
      </w:r>
      <w:r>
        <w:rPr/>
        <w:t>exposición</w:t>
      </w:r>
      <w:r>
        <w:rPr>
          <w:position w:val="8"/>
          <w:sz w:val="16"/>
        </w:rPr>
        <w:t>15</w:t>
      </w:r>
      <w:r>
        <w:rPr/>
        <w:t>.</w:t>
      </w:r>
    </w:p>
    <w:p>
      <w:pPr>
        <w:pStyle w:val="BodyText"/>
        <w:spacing w:line="360" w:lineRule="auto" w:before="203"/>
        <w:ind w:left="1418" w:right="1697"/>
        <w:jc w:val="both"/>
      </w:pPr>
      <w:r>
        <w:rPr/>
        <w:t>Por lo tanto, el biomonitoreo en poblaciones humanas es considerado una herramienta útil para estimar el riesgo genético frente a la exposición de mezclas complejas de químicos</w:t>
      </w:r>
      <w:r>
        <w:rPr>
          <w:position w:val="8"/>
          <w:sz w:val="16"/>
        </w:rPr>
        <w:t>17</w:t>
      </w:r>
      <w:r>
        <w:rPr/>
        <w:t>. Las pruebas de genotoxicidad permiten evaluar tanto la exposición a sustancias genotóxicas como el riesgo de carcinogénesis. Un sistema que  puede  ser utilizado  para el estudio  de  efectos genotóxicos  es el ensayo     de</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57" w:lineRule="auto" w:before="69"/>
        <w:ind w:left="1418" w:right="1705"/>
        <w:jc w:val="both"/>
      </w:pPr>
      <w:r>
        <w:rPr/>
        <w:t>micronúcleos (MN) y alteraciones nucleares (AN), es uno de los biomarcadores más usados debido a que es un método no invasivo ya que estas alteraciones se pueden observar en células descamadas del epitelio bucal; es fácil de realizar además de su bajo costo</w:t>
      </w:r>
      <w:r>
        <w:rPr>
          <w:position w:val="8"/>
          <w:sz w:val="16"/>
        </w:rPr>
        <w:t>13</w:t>
      </w:r>
      <w:r>
        <w:rPr/>
        <w:t>.</w:t>
      </w:r>
    </w:p>
    <w:p>
      <w:pPr>
        <w:pStyle w:val="BodyText"/>
        <w:spacing w:line="360" w:lineRule="auto" w:before="203"/>
        <w:ind w:left="1418" w:right="1696"/>
        <w:jc w:val="both"/>
      </w:pPr>
      <w:r>
        <w:rPr/>
        <w:t>La importancia que tiene el localizar y cuantificar las alteraciones cromosómicas, es muy útil para descubrir efectos tempranos de daño genotóxico que pueden ser precursores de una enfermedad grave, y así, convertirse en una herramienta efectiva no sólo para la evaluación del riesgo, sino también para su predicción provenientes de la exposición ocupacional y</w:t>
      </w:r>
      <w:r>
        <w:rPr>
          <w:spacing w:val="-15"/>
        </w:rPr>
        <w:t> </w:t>
      </w:r>
      <w:r>
        <w:rPr/>
        <w:t>ambiental</w:t>
      </w:r>
      <w:r>
        <w:rPr>
          <w:position w:val="8"/>
          <w:sz w:val="16"/>
        </w:rPr>
        <w:t>29</w:t>
      </w:r>
      <w:r>
        <w:rPr/>
        <w:t>.</w:t>
      </w:r>
    </w:p>
    <w:p>
      <w:pPr>
        <w:spacing w:after="0" w:line="360" w:lineRule="auto"/>
        <w:jc w:val="both"/>
        <w:sectPr>
          <w:footerReference w:type="default" r:id="rId234"/>
          <w:pgSz w:w="12240" w:h="15840"/>
          <w:pgMar w:footer="599" w:header="0" w:top="1500" w:bottom="780" w:left="0" w:right="0"/>
        </w:sectPr>
      </w:pPr>
    </w:p>
    <w:p>
      <w:pPr>
        <w:pStyle w:val="BodyText"/>
        <w:spacing w:before="4"/>
        <w:rPr>
          <w:sz w:val="11"/>
        </w:rPr>
      </w:pPr>
    </w:p>
    <w:p>
      <w:pPr>
        <w:pStyle w:val="Heading4"/>
        <w:numPr>
          <w:ilvl w:val="2"/>
          <w:numId w:val="3"/>
        </w:numPr>
        <w:tabs>
          <w:tab w:pos="1913" w:val="left" w:leader="none"/>
        </w:tabs>
        <w:spacing w:line="240" w:lineRule="auto" w:before="69" w:after="0"/>
        <w:ind w:left="1912" w:right="0" w:hanging="426"/>
        <w:jc w:val="left"/>
      </w:pPr>
      <w:r>
        <w:rPr/>
        <w:t>OBJETIVOS</w:t>
      </w:r>
    </w:p>
    <w:p>
      <w:pPr>
        <w:pStyle w:val="BodyText"/>
        <w:rPr>
          <w:b/>
        </w:rPr>
      </w:pPr>
    </w:p>
    <w:p>
      <w:pPr>
        <w:pStyle w:val="BodyText"/>
        <w:rPr>
          <w:b/>
        </w:rPr>
      </w:pPr>
    </w:p>
    <w:p>
      <w:pPr>
        <w:spacing w:before="206"/>
        <w:ind w:left="1418" w:right="1703" w:firstLine="0"/>
        <w:jc w:val="left"/>
        <w:rPr>
          <w:b/>
          <w:sz w:val="24"/>
        </w:rPr>
      </w:pPr>
      <w:r>
        <w:rPr>
          <w:b/>
          <w:sz w:val="24"/>
        </w:rPr>
        <w:t>Objetivo general</w:t>
      </w:r>
    </w:p>
    <w:p>
      <w:pPr>
        <w:pStyle w:val="BodyText"/>
        <w:spacing w:before="10"/>
        <w:rPr>
          <w:b/>
          <w:sz w:val="20"/>
        </w:rPr>
      </w:pPr>
    </w:p>
    <w:p>
      <w:pPr>
        <w:pStyle w:val="BodyText"/>
        <w:spacing w:line="360" w:lineRule="auto"/>
        <w:ind w:left="1418" w:right="1703"/>
      </w:pPr>
      <w:r>
        <w:rPr/>
        <w:t>Comparar la presencia de micronúcleos y anormalidades nucleares en células exfoliadas de la mucosa bucal entre niños expuestos y no expuestos a plaguicidas.</w:t>
      </w:r>
    </w:p>
    <w:p>
      <w:pPr>
        <w:pStyle w:val="BodyText"/>
      </w:pPr>
    </w:p>
    <w:p>
      <w:pPr>
        <w:pStyle w:val="BodyText"/>
      </w:pPr>
    </w:p>
    <w:p>
      <w:pPr>
        <w:pStyle w:val="BodyText"/>
        <w:spacing w:before="2"/>
        <w:rPr>
          <w:sz w:val="23"/>
        </w:rPr>
      </w:pPr>
    </w:p>
    <w:p>
      <w:pPr>
        <w:pStyle w:val="Heading4"/>
        <w:spacing w:before="1"/>
        <w:ind w:left="1418" w:right="1703"/>
      </w:pPr>
      <w:r>
        <w:rPr/>
        <w:t>Objetivos específicos</w:t>
      </w:r>
    </w:p>
    <w:p>
      <w:pPr>
        <w:pStyle w:val="BodyText"/>
        <w:rPr>
          <w:b/>
          <w:sz w:val="29"/>
        </w:rPr>
      </w:pPr>
    </w:p>
    <w:p>
      <w:pPr>
        <w:pStyle w:val="ListParagraph"/>
        <w:numPr>
          <w:ilvl w:val="3"/>
          <w:numId w:val="3"/>
        </w:numPr>
        <w:tabs>
          <w:tab w:pos="2139" w:val="left" w:leader="none"/>
        </w:tabs>
        <w:spacing w:line="482" w:lineRule="auto" w:before="0" w:after="0"/>
        <w:ind w:left="2138" w:right="1706" w:hanging="360"/>
        <w:jc w:val="both"/>
        <w:rPr>
          <w:sz w:val="24"/>
        </w:rPr>
      </w:pPr>
      <w:r>
        <w:rPr>
          <w:sz w:val="24"/>
        </w:rPr>
        <w:t>Determinar la frecuencia de micronúcleos en células exfoliadas de la mucosa oral en niños expuestos y no expuestos a</w:t>
      </w:r>
      <w:r>
        <w:rPr>
          <w:spacing w:val="-22"/>
          <w:sz w:val="24"/>
        </w:rPr>
        <w:t> </w:t>
      </w:r>
      <w:r>
        <w:rPr>
          <w:sz w:val="24"/>
        </w:rPr>
        <w:t>plaguicidas.</w:t>
      </w:r>
    </w:p>
    <w:p>
      <w:pPr>
        <w:pStyle w:val="ListParagraph"/>
        <w:numPr>
          <w:ilvl w:val="3"/>
          <w:numId w:val="3"/>
        </w:numPr>
        <w:tabs>
          <w:tab w:pos="2139" w:val="left" w:leader="none"/>
        </w:tabs>
        <w:spacing w:line="482" w:lineRule="auto" w:before="204" w:after="0"/>
        <w:ind w:left="2138" w:right="1706" w:hanging="360"/>
        <w:jc w:val="both"/>
        <w:rPr>
          <w:sz w:val="24"/>
        </w:rPr>
      </w:pPr>
      <w:r>
        <w:rPr>
          <w:sz w:val="24"/>
        </w:rPr>
        <w:t>Determinar la frecuencia de alteraciones nucleares en células exfoliadas de la mucosa oral en niños expuestos y no expuestos a</w:t>
      </w:r>
      <w:r>
        <w:rPr>
          <w:spacing w:val="-24"/>
          <w:sz w:val="24"/>
        </w:rPr>
        <w:t> </w:t>
      </w:r>
      <w:r>
        <w:rPr>
          <w:sz w:val="24"/>
        </w:rPr>
        <w:t>plaguicidas.</w:t>
      </w:r>
    </w:p>
    <w:p>
      <w:pPr>
        <w:pStyle w:val="ListParagraph"/>
        <w:numPr>
          <w:ilvl w:val="3"/>
          <w:numId w:val="3"/>
        </w:numPr>
        <w:tabs>
          <w:tab w:pos="2139" w:val="left" w:leader="none"/>
        </w:tabs>
        <w:spacing w:line="456" w:lineRule="auto" w:before="203" w:after="0"/>
        <w:ind w:left="2138" w:right="1697" w:hanging="360"/>
        <w:jc w:val="both"/>
        <w:rPr>
          <w:rFonts w:ascii="Calibri" w:hAnsi="Calibri"/>
          <w:sz w:val="24"/>
        </w:rPr>
      </w:pPr>
      <w:r>
        <w:rPr>
          <w:sz w:val="24"/>
        </w:rPr>
        <w:t>Comparar la frecuencia de alteraciones nucleares en células exfoliadas de la mucosa oral en niños expuestos  con  la de no</w:t>
      </w:r>
      <w:r>
        <w:rPr>
          <w:spacing w:val="-23"/>
          <w:sz w:val="24"/>
        </w:rPr>
        <w:t> </w:t>
      </w:r>
      <w:r>
        <w:rPr>
          <w:sz w:val="24"/>
        </w:rPr>
        <w:t>expuestos.</w:t>
      </w:r>
    </w:p>
    <w:p>
      <w:pPr>
        <w:pStyle w:val="BodyText"/>
        <w:spacing w:before="3"/>
        <w:rPr>
          <w:sz w:val="20"/>
        </w:rPr>
      </w:pPr>
    </w:p>
    <w:p>
      <w:pPr>
        <w:pStyle w:val="ListParagraph"/>
        <w:numPr>
          <w:ilvl w:val="3"/>
          <w:numId w:val="3"/>
        </w:numPr>
        <w:tabs>
          <w:tab w:pos="2139" w:val="left" w:leader="none"/>
        </w:tabs>
        <w:spacing w:line="480" w:lineRule="auto" w:before="1" w:after="0"/>
        <w:ind w:left="2138" w:right="1701" w:hanging="360"/>
        <w:jc w:val="both"/>
        <w:rPr>
          <w:sz w:val="24"/>
        </w:rPr>
      </w:pPr>
      <w:r>
        <w:rPr>
          <w:sz w:val="24"/>
        </w:rPr>
        <w:t>Asociar la frecuencia de alteraciones nucleares en células exfoliadas de la mucosa oral en niños expuestos y no expuestos a plaguicidas con  los  factores de variabilidad como: actividad laboral de los padres, medidas de protección, edad, sexo y hábitos</w:t>
      </w:r>
      <w:r>
        <w:rPr>
          <w:spacing w:val="-16"/>
          <w:sz w:val="24"/>
        </w:rPr>
        <w:t> </w:t>
      </w:r>
      <w:r>
        <w:rPr>
          <w:sz w:val="24"/>
        </w:rPr>
        <w:t>alimenticios.</w:t>
      </w:r>
    </w:p>
    <w:p>
      <w:pPr>
        <w:spacing w:after="0" w:line="480" w:lineRule="auto"/>
        <w:jc w:val="both"/>
        <w:rPr>
          <w:sz w:val="24"/>
        </w:rPr>
        <w:sectPr>
          <w:footerReference w:type="default" r:id="rId235"/>
          <w:pgSz w:w="12240" w:h="15840"/>
          <w:pgMar w:footer="599" w:header="0" w:top="1500" w:bottom="780" w:left="0" w:right="0"/>
          <w:pgNumType w:start="51"/>
        </w:sectPr>
      </w:pPr>
    </w:p>
    <w:p>
      <w:pPr>
        <w:pStyle w:val="BodyText"/>
        <w:spacing w:before="4"/>
        <w:rPr>
          <w:sz w:val="11"/>
        </w:rPr>
      </w:pPr>
    </w:p>
    <w:p>
      <w:pPr>
        <w:pStyle w:val="Heading4"/>
        <w:numPr>
          <w:ilvl w:val="2"/>
          <w:numId w:val="3"/>
        </w:numPr>
        <w:tabs>
          <w:tab w:pos="1915" w:val="left" w:leader="none"/>
        </w:tabs>
        <w:spacing w:line="240" w:lineRule="auto" w:before="69" w:after="0"/>
        <w:ind w:left="1914" w:right="0" w:hanging="496"/>
        <w:jc w:val="both"/>
      </w:pPr>
      <w:r>
        <w:rPr/>
        <w:t>HIPÓTESIS</w:t>
      </w:r>
    </w:p>
    <w:p>
      <w:pPr>
        <w:pStyle w:val="BodyText"/>
        <w:rPr>
          <w:b/>
        </w:rPr>
      </w:pPr>
    </w:p>
    <w:p>
      <w:pPr>
        <w:pStyle w:val="BodyText"/>
        <w:rPr>
          <w:b/>
        </w:rPr>
      </w:pPr>
    </w:p>
    <w:p>
      <w:pPr>
        <w:pStyle w:val="BodyText"/>
        <w:spacing w:before="7"/>
        <w:rPr>
          <w:b/>
          <w:sz w:val="34"/>
        </w:rPr>
      </w:pPr>
    </w:p>
    <w:p>
      <w:pPr>
        <w:spacing w:before="0"/>
        <w:ind w:left="1418" w:right="0" w:firstLine="0"/>
        <w:jc w:val="both"/>
        <w:rPr>
          <w:b/>
          <w:sz w:val="24"/>
        </w:rPr>
      </w:pPr>
      <w:r>
        <w:rPr>
          <w:b/>
          <w:sz w:val="24"/>
        </w:rPr>
        <w:t>Hipótesis de trabajo</w:t>
      </w:r>
    </w:p>
    <w:p>
      <w:pPr>
        <w:pStyle w:val="BodyText"/>
        <w:spacing w:before="4"/>
        <w:rPr>
          <w:b/>
          <w:sz w:val="29"/>
        </w:rPr>
      </w:pPr>
    </w:p>
    <w:p>
      <w:pPr>
        <w:pStyle w:val="BodyText"/>
        <w:spacing w:line="360" w:lineRule="auto" w:before="1"/>
        <w:ind w:left="1418" w:right="1699"/>
        <w:jc w:val="both"/>
      </w:pPr>
      <w:r>
        <w:rPr/>
        <w:t>Los niños expuestos a plaguicidas de la comunidad de San José, Villa Guerrero presentan mayor frecuencia de micronúcleos y alteraciones nucleares de mucosa bucal en comparación con los niños no expuestos.</w:t>
      </w:r>
    </w:p>
    <w:p>
      <w:pPr>
        <w:pStyle w:val="BodyText"/>
      </w:pPr>
    </w:p>
    <w:p>
      <w:pPr>
        <w:pStyle w:val="BodyText"/>
      </w:pPr>
    </w:p>
    <w:p>
      <w:pPr>
        <w:pStyle w:val="BodyText"/>
        <w:spacing w:before="2"/>
        <w:rPr>
          <w:sz w:val="23"/>
        </w:rPr>
      </w:pPr>
    </w:p>
    <w:p>
      <w:pPr>
        <w:pStyle w:val="Heading4"/>
        <w:spacing w:before="1"/>
        <w:ind w:left="1418"/>
        <w:jc w:val="both"/>
      </w:pPr>
      <w:r>
        <w:rPr/>
        <w:t>Hipótesis nula</w:t>
      </w:r>
    </w:p>
    <w:p>
      <w:pPr>
        <w:pStyle w:val="BodyText"/>
        <w:spacing w:before="4"/>
        <w:rPr>
          <w:b/>
          <w:sz w:val="29"/>
        </w:rPr>
      </w:pPr>
    </w:p>
    <w:p>
      <w:pPr>
        <w:pStyle w:val="BodyText"/>
        <w:spacing w:line="360" w:lineRule="auto" w:before="1"/>
        <w:ind w:left="1418" w:right="1703"/>
      </w:pPr>
      <w:r>
        <w:rPr/>
        <w:t>La frecuencia de micronúcleos y alteraciones nucleares de mucosa bucal de niños de la comunidad de San José, Villa Guerreo es similar a la de los niños no expuestos.</w:t>
      </w:r>
    </w:p>
    <w:p>
      <w:pPr>
        <w:spacing w:after="0" w:line="360" w:lineRule="auto"/>
        <w:sectPr>
          <w:pgSz w:w="12240" w:h="15840"/>
          <w:pgMar w:header="0" w:footer="599" w:top="1500" w:bottom="780" w:left="0" w:right="0"/>
        </w:sectPr>
      </w:pPr>
    </w:p>
    <w:p>
      <w:pPr>
        <w:pStyle w:val="BodyText"/>
        <w:spacing w:before="4"/>
        <w:rPr>
          <w:rFonts w:ascii="Times New Roman"/>
          <w:sz w:val="17"/>
        </w:rPr>
      </w:pPr>
      <w:r>
        <w:rPr/>
        <w:pict>
          <v:group style="position:absolute;margin-left:1.56pt;margin-top:177.839996pt;width:610.450pt;height:372.75pt;mso-position-horizontal-relative:page;mso-position-vertical-relative:page;z-index:2344" coordorigin="31,3557" coordsize="12209,7455">
            <v:shape style="position:absolute;left:31;top:3557;width:12209;height:7454" type="#_x0000_t75" stroked="false">
              <v:imagedata r:id="rId237" o:title=""/>
            </v:shape>
            <v:rect style="position:absolute;left:6976;top:4384;width:4885;height:1784" filled="true" fillcolor="#ffffff" stroked="false">
              <v:fill type="solid"/>
            </v:rect>
            <v:shape style="position:absolute;left:31;top:3557;width:12209;height:7455" type="#_x0000_t202" filled="false" stroked="false">
              <v:textbox inset="0,0,0,0">
                <w:txbxContent>
                  <w:p>
                    <w:pPr>
                      <w:spacing w:line="240" w:lineRule="auto" w:before="1"/>
                      <w:rPr>
                        <w:rFonts w:ascii="Times New Roman"/>
                        <w:sz w:val="77"/>
                      </w:rPr>
                    </w:pPr>
                  </w:p>
                  <w:p>
                    <w:pPr>
                      <w:spacing w:line="276" w:lineRule="auto" w:before="0"/>
                      <w:ind w:left="7434" w:right="501" w:firstLine="852"/>
                      <w:jc w:val="left"/>
                      <w:rPr>
                        <w:sz w:val="60"/>
                      </w:rPr>
                    </w:pPr>
                    <w:r>
                      <w:rPr>
                        <w:color w:val="0EA09E"/>
                        <w:w w:val="110"/>
                        <w:sz w:val="60"/>
                      </w:rPr>
                      <w:t>MÉTODO</w:t>
                    </w:r>
                    <w:r>
                      <w:rPr>
                        <w:color w:val="0EA09E"/>
                        <w:spacing w:val="-119"/>
                        <w:w w:val="110"/>
                        <w:sz w:val="60"/>
                      </w:rPr>
                      <w:t> </w:t>
                    </w:r>
                    <w:r>
                      <w:rPr>
                        <w:color w:val="0EA09E"/>
                        <w:w w:val="110"/>
                        <w:sz w:val="60"/>
                      </w:rPr>
                      <w:t>Y MATERIALES</w:t>
                    </w:r>
                  </w:p>
                </w:txbxContent>
              </v:textbox>
              <w10:wrap type="none"/>
            </v:shape>
            <w10:wrap type="none"/>
          </v:group>
        </w:pict>
      </w:r>
    </w:p>
    <w:p>
      <w:pPr>
        <w:spacing w:after="0"/>
        <w:rPr>
          <w:rFonts w:ascii="Times New Roman"/>
          <w:sz w:val="17"/>
        </w:rPr>
        <w:sectPr>
          <w:footerReference w:type="default" r:id="rId236"/>
          <w:pgSz w:w="12240" w:h="15840"/>
          <w:pgMar w:footer="0" w:header="0" w:top="1500" w:bottom="280" w:left="0" w:right="0"/>
        </w:sectPr>
      </w:pPr>
    </w:p>
    <w:p>
      <w:pPr>
        <w:pStyle w:val="BodyText"/>
        <w:spacing w:before="4"/>
        <w:rPr>
          <w:rFonts w:ascii="Times New Roman"/>
          <w:sz w:val="11"/>
        </w:rPr>
      </w:pPr>
    </w:p>
    <w:p>
      <w:pPr>
        <w:pStyle w:val="Heading4"/>
        <w:numPr>
          <w:ilvl w:val="2"/>
          <w:numId w:val="3"/>
        </w:numPr>
        <w:tabs>
          <w:tab w:pos="1980" w:val="left" w:leader="none"/>
        </w:tabs>
        <w:spacing w:line="240" w:lineRule="auto" w:before="69" w:after="0"/>
        <w:ind w:left="1979" w:right="0" w:hanging="561"/>
        <w:jc w:val="left"/>
      </w:pPr>
      <w:r>
        <w:rPr/>
        <w:t>MÉTODO Y</w:t>
      </w:r>
      <w:r>
        <w:rPr>
          <w:spacing w:val="60"/>
        </w:rPr>
        <w:t> </w:t>
      </w:r>
      <w:r>
        <w:rPr/>
        <w:t>MATERIALES</w:t>
      </w:r>
    </w:p>
    <w:p>
      <w:pPr>
        <w:pStyle w:val="BodyText"/>
        <w:rPr>
          <w:b/>
        </w:rPr>
      </w:pPr>
    </w:p>
    <w:p>
      <w:pPr>
        <w:pStyle w:val="BodyText"/>
        <w:rPr>
          <w:b/>
        </w:rPr>
      </w:pPr>
    </w:p>
    <w:p>
      <w:pPr>
        <w:pStyle w:val="BodyText"/>
        <w:spacing w:before="3"/>
        <w:rPr>
          <w:b/>
          <w:sz w:val="26"/>
        </w:rPr>
      </w:pPr>
    </w:p>
    <w:p>
      <w:pPr>
        <w:spacing w:before="0"/>
        <w:ind w:left="1418" w:right="1703" w:firstLine="0"/>
        <w:jc w:val="left"/>
        <w:rPr>
          <w:b/>
          <w:sz w:val="24"/>
        </w:rPr>
      </w:pPr>
      <w:r>
        <w:rPr>
          <w:b/>
          <w:sz w:val="24"/>
        </w:rPr>
        <w:t>Diseño del estudio</w:t>
      </w:r>
    </w:p>
    <w:p>
      <w:pPr>
        <w:pStyle w:val="BodyText"/>
        <w:spacing w:before="4"/>
        <w:rPr>
          <w:b/>
          <w:sz w:val="29"/>
        </w:rPr>
      </w:pPr>
    </w:p>
    <w:p>
      <w:pPr>
        <w:pStyle w:val="BodyText"/>
        <w:spacing w:before="1"/>
        <w:ind w:left="1486" w:right="1703"/>
      </w:pPr>
      <w:r>
        <w:rPr/>
        <w:t>Transversal – analítico – comparativo.</w:t>
      </w:r>
    </w:p>
    <w:p>
      <w:pPr>
        <w:pStyle w:val="BodyText"/>
        <w:spacing w:before="4"/>
        <w:rPr>
          <w:sz w:val="29"/>
        </w:rPr>
      </w:pPr>
    </w:p>
    <w:p>
      <w:pPr>
        <w:pStyle w:val="Heading4"/>
        <w:spacing w:before="1"/>
        <w:ind w:left="1418" w:right="1703"/>
      </w:pPr>
      <w:r>
        <w:rPr/>
        <w:t>Universo y muestra</w:t>
      </w:r>
    </w:p>
    <w:p>
      <w:pPr>
        <w:pStyle w:val="BodyText"/>
        <w:spacing w:before="4"/>
        <w:rPr>
          <w:b/>
          <w:sz w:val="29"/>
        </w:rPr>
      </w:pPr>
    </w:p>
    <w:p>
      <w:pPr>
        <w:pStyle w:val="BodyText"/>
        <w:spacing w:before="1"/>
        <w:ind w:left="1819" w:right="1703"/>
      </w:pPr>
      <w:r>
        <w:rPr/>
        <w:t>126 niños en edad escolar.</w:t>
      </w:r>
    </w:p>
    <w:p>
      <w:pPr>
        <w:pStyle w:val="BodyText"/>
        <w:rPr>
          <w:sz w:val="29"/>
        </w:rPr>
      </w:pPr>
    </w:p>
    <w:p>
      <w:pPr>
        <w:pStyle w:val="BodyText"/>
        <w:spacing w:line="304" w:lineRule="auto"/>
        <w:ind w:left="2198" w:right="1703" w:hanging="360"/>
      </w:pPr>
      <w:r>
        <w:rPr>
          <w:rFonts w:ascii="Courier New" w:hAnsi="Courier New"/>
          <w:b/>
          <w:sz w:val="32"/>
        </w:rPr>
        <w:t>ͽ </w:t>
      </w:r>
      <w:r>
        <w:rPr>
          <w:i/>
        </w:rPr>
        <w:t>Población expuesta</w:t>
      </w:r>
      <w:r>
        <w:rPr/>
        <w:t>: 63 niños/as sanos de la escuela primaria “Ciencia y Trabajo” de San José, Villa Guerrero.</w:t>
      </w:r>
    </w:p>
    <w:p>
      <w:pPr>
        <w:spacing w:line="302" w:lineRule="auto" w:before="64"/>
        <w:ind w:left="2198" w:right="1703" w:hanging="360"/>
        <w:jc w:val="left"/>
        <w:rPr>
          <w:sz w:val="24"/>
        </w:rPr>
      </w:pPr>
      <w:r>
        <w:rPr>
          <w:rFonts w:ascii="Courier New" w:hAnsi="Courier New"/>
          <w:b/>
          <w:sz w:val="32"/>
        </w:rPr>
        <w:t>ͽ </w:t>
      </w:r>
      <w:r>
        <w:rPr>
          <w:i/>
          <w:sz w:val="24"/>
        </w:rPr>
        <w:t>Población no expuesta</w:t>
      </w:r>
      <w:r>
        <w:rPr>
          <w:sz w:val="24"/>
        </w:rPr>
        <w:t>: 63 niños/as sanos de la escuela primaria “Axayácatl” del municipio de Mexicaltzingo.</w:t>
      </w:r>
    </w:p>
    <w:p>
      <w:pPr>
        <w:pStyle w:val="BodyText"/>
        <w:spacing w:before="4"/>
        <w:rPr>
          <w:sz w:val="23"/>
        </w:rPr>
      </w:pPr>
    </w:p>
    <w:p>
      <w:pPr>
        <w:pStyle w:val="BodyText"/>
        <w:spacing w:line="360" w:lineRule="auto"/>
        <w:ind w:left="1418" w:right="1703"/>
      </w:pPr>
      <w:r>
        <w:rPr/>
        <w:t>La distancia entre ambas comunidades es de 40.5 km, ambas ubicadas en el Estado de México.</w:t>
      </w:r>
    </w:p>
    <w:p>
      <w:pPr>
        <w:spacing w:before="202"/>
        <w:ind w:left="1822" w:right="1703" w:firstLine="0"/>
        <w:jc w:val="left"/>
        <w:rPr>
          <w:sz w:val="24"/>
        </w:rPr>
      </w:pPr>
      <w:r>
        <w:rPr>
          <w:b/>
          <w:sz w:val="24"/>
        </w:rPr>
        <w:t>Muestra</w:t>
      </w:r>
      <w:r>
        <w:rPr>
          <w:sz w:val="24"/>
        </w:rPr>
        <w:t>: por cuota y conveniencia.</w:t>
      </w:r>
    </w:p>
    <w:p>
      <w:pPr>
        <w:pStyle w:val="BodyText"/>
        <w:spacing w:before="4"/>
        <w:rPr>
          <w:sz w:val="29"/>
        </w:rPr>
      </w:pPr>
    </w:p>
    <w:p>
      <w:pPr>
        <w:spacing w:before="1"/>
        <w:ind w:left="1822" w:right="1703" w:firstLine="0"/>
        <w:jc w:val="left"/>
        <w:rPr>
          <w:sz w:val="24"/>
        </w:rPr>
      </w:pPr>
      <w:r>
        <w:rPr>
          <w:b/>
          <w:sz w:val="24"/>
        </w:rPr>
        <w:t>Unidades de observación</w:t>
      </w:r>
      <w:r>
        <w:rPr>
          <w:sz w:val="24"/>
        </w:rPr>
        <w:t>: laminillas con extendidos celulares y cuestionarios.</w:t>
      </w:r>
    </w:p>
    <w:p>
      <w:pPr>
        <w:pStyle w:val="BodyText"/>
      </w:pPr>
    </w:p>
    <w:p>
      <w:pPr>
        <w:pStyle w:val="BodyText"/>
      </w:pPr>
    </w:p>
    <w:p>
      <w:pPr>
        <w:pStyle w:val="BodyText"/>
        <w:spacing w:before="9"/>
        <w:rPr>
          <w:sz w:val="34"/>
        </w:rPr>
      </w:pPr>
    </w:p>
    <w:p>
      <w:pPr>
        <w:pStyle w:val="Heading4"/>
        <w:spacing w:before="1"/>
        <w:ind w:left="1418" w:right="1703"/>
      </w:pPr>
      <w:r>
        <w:rPr/>
        <w:t>Criterios de inclusión</w:t>
      </w:r>
    </w:p>
    <w:p>
      <w:pPr>
        <w:pStyle w:val="BodyText"/>
        <w:spacing w:before="5"/>
        <w:rPr>
          <w:b/>
          <w:sz w:val="29"/>
        </w:rPr>
      </w:pPr>
    </w:p>
    <w:p>
      <w:pPr>
        <w:pStyle w:val="ListParagraph"/>
        <w:numPr>
          <w:ilvl w:val="0"/>
          <w:numId w:val="12"/>
        </w:numPr>
        <w:tabs>
          <w:tab w:pos="2858" w:val="left" w:leader="none"/>
          <w:tab w:pos="2859" w:val="left" w:leader="none"/>
        </w:tabs>
        <w:spacing w:line="240" w:lineRule="auto" w:before="0" w:after="0"/>
        <w:ind w:left="2858" w:right="0" w:hanging="360"/>
        <w:jc w:val="left"/>
        <w:rPr>
          <w:sz w:val="24"/>
        </w:rPr>
      </w:pPr>
      <w:r>
        <w:rPr>
          <w:sz w:val="24"/>
        </w:rPr>
        <w:t>Niños expuestos a</w:t>
      </w:r>
      <w:r>
        <w:rPr>
          <w:spacing w:val="-12"/>
          <w:sz w:val="24"/>
        </w:rPr>
        <w:t> </w:t>
      </w:r>
      <w:r>
        <w:rPr>
          <w:sz w:val="24"/>
        </w:rPr>
        <w:t>plaguicidas.</w:t>
      </w:r>
    </w:p>
    <w:p>
      <w:pPr>
        <w:pStyle w:val="ListParagraph"/>
        <w:numPr>
          <w:ilvl w:val="0"/>
          <w:numId w:val="12"/>
        </w:numPr>
        <w:tabs>
          <w:tab w:pos="2858" w:val="left" w:leader="none"/>
          <w:tab w:pos="2859" w:val="left" w:leader="none"/>
        </w:tabs>
        <w:spacing w:line="240" w:lineRule="auto" w:before="135" w:after="0"/>
        <w:ind w:left="2858" w:right="0" w:hanging="360"/>
        <w:jc w:val="left"/>
        <w:rPr>
          <w:sz w:val="24"/>
        </w:rPr>
      </w:pPr>
      <w:r>
        <w:rPr>
          <w:sz w:val="24"/>
        </w:rPr>
        <w:t>Niños que hayan radicado en la comunidad por un mínimo de 2</w:t>
      </w:r>
      <w:r>
        <w:rPr>
          <w:spacing w:val="-23"/>
          <w:sz w:val="24"/>
        </w:rPr>
        <w:t> </w:t>
      </w:r>
      <w:r>
        <w:rPr>
          <w:sz w:val="24"/>
        </w:rPr>
        <w:t>años.</w:t>
      </w:r>
    </w:p>
    <w:p>
      <w:pPr>
        <w:pStyle w:val="ListParagraph"/>
        <w:numPr>
          <w:ilvl w:val="0"/>
          <w:numId w:val="12"/>
        </w:numPr>
        <w:tabs>
          <w:tab w:pos="2858" w:val="left" w:leader="none"/>
          <w:tab w:pos="2859" w:val="left" w:leader="none"/>
        </w:tabs>
        <w:spacing w:line="240" w:lineRule="auto" w:before="136" w:after="0"/>
        <w:ind w:left="2858" w:right="0" w:hanging="360"/>
        <w:jc w:val="left"/>
        <w:rPr>
          <w:sz w:val="24"/>
        </w:rPr>
      </w:pPr>
      <w:r>
        <w:rPr>
          <w:sz w:val="24"/>
        </w:rPr>
        <w:t>Niños no expuestos a</w:t>
      </w:r>
      <w:r>
        <w:rPr>
          <w:spacing w:val="-10"/>
          <w:sz w:val="24"/>
        </w:rPr>
        <w:t> </w:t>
      </w:r>
      <w:r>
        <w:rPr>
          <w:sz w:val="24"/>
        </w:rPr>
        <w:t>plaguicidas.</w:t>
      </w:r>
    </w:p>
    <w:p>
      <w:pPr>
        <w:pStyle w:val="ListParagraph"/>
        <w:numPr>
          <w:ilvl w:val="0"/>
          <w:numId w:val="12"/>
        </w:numPr>
        <w:tabs>
          <w:tab w:pos="2858" w:val="left" w:leader="none"/>
          <w:tab w:pos="2859" w:val="left" w:leader="none"/>
        </w:tabs>
        <w:spacing w:line="352" w:lineRule="auto" w:before="135" w:after="0"/>
        <w:ind w:left="2858" w:right="1704" w:hanging="360"/>
        <w:jc w:val="left"/>
        <w:rPr>
          <w:sz w:val="24"/>
        </w:rPr>
      </w:pPr>
      <w:r>
        <w:rPr>
          <w:sz w:val="24"/>
        </w:rPr>
        <w:t>Asentimiento de los niños y consentimiento informado de los padres para que sus hijos participen en el</w:t>
      </w:r>
      <w:r>
        <w:rPr>
          <w:spacing w:val="-14"/>
          <w:sz w:val="24"/>
        </w:rPr>
        <w:t> </w:t>
      </w:r>
      <w:r>
        <w:rPr>
          <w:sz w:val="24"/>
        </w:rPr>
        <w:t>estudio.</w:t>
      </w:r>
    </w:p>
    <w:p>
      <w:pPr>
        <w:spacing w:after="0" w:line="352" w:lineRule="auto"/>
        <w:jc w:val="left"/>
        <w:rPr>
          <w:sz w:val="24"/>
        </w:rPr>
        <w:sectPr>
          <w:pgSz w:w="12240" w:h="15840"/>
          <w:pgMar w:header="0" w:footer="0" w:top="1500" w:bottom="780" w:left="0" w:right="0"/>
        </w:sectPr>
      </w:pPr>
    </w:p>
    <w:p>
      <w:pPr>
        <w:pStyle w:val="BodyText"/>
        <w:spacing w:before="4"/>
        <w:rPr>
          <w:sz w:val="11"/>
        </w:rPr>
      </w:pPr>
    </w:p>
    <w:p>
      <w:pPr>
        <w:pStyle w:val="Heading4"/>
        <w:ind w:left="1418" w:right="1703"/>
      </w:pPr>
      <w:r>
        <w:rPr/>
        <w:t>Criterios de eliminación</w:t>
      </w:r>
    </w:p>
    <w:p>
      <w:pPr>
        <w:pStyle w:val="BodyText"/>
        <w:spacing w:before="5"/>
        <w:rPr>
          <w:b/>
          <w:sz w:val="29"/>
        </w:rPr>
      </w:pPr>
    </w:p>
    <w:p>
      <w:pPr>
        <w:pStyle w:val="ListParagraph"/>
        <w:numPr>
          <w:ilvl w:val="0"/>
          <w:numId w:val="12"/>
        </w:numPr>
        <w:tabs>
          <w:tab w:pos="2858" w:val="left" w:leader="none"/>
          <w:tab w:pos="2859" w:val="left" w:leader="none"/>
        </w:tabs>
        <w:spacing w:line="350" w:lineRule="auto" w:before="0" w:after="0"/>
        <w:ind w:left="2858" w:right="1696" w:hanging="360"/>
        <w:jc w:val="left"/>
        <w:rPr>
          <w:sz w:val="24"/>
        </w:rPr>
      </w:pPr>
      <w:r>
        <w:rPr>
          <w:sz w:val="24"/>
        </w:rPr>
        <w:t>Niños con antecedentes de consumo de medicamentos en el mes de la toma de la</w:t>
      </w:r>
      <w:r>
        <w:rPr>
          <w:spacing w:val="-5"/>
          <w:sz w:val="24"/>
        </w:rPr>
        <w:t> </w:t>
      </w:r>
      <w:r>
        <w:rPr>
          <w:sz w:val="24"/>
        </w:rPr>
        <w:t>muestra.</w:t>
      </w:r>
    </w:p>
    <w:p>
      <w:pPr>
        <w:pStyle w:val="ListParagraph"/>
        <w:numPr>
          <w:ilvl w:val="0"/>
          <w:numId w:val="12"/>
        </w:numPr>
        <w:tabs>
          <w:tab w:pos="2858" w:val="left" w:leader="none"/>
          <w:tab w:pos="2859" w:val="left" w:leader="none"/>
        </w:tabs>
        <w:spacing w:line="352" w:lineRule="auto" w:before="14" w:after="0"/>
        <w:ind w:left="2858" w:right="1706" w:hanging="360"/>
        <w:jc w:val="left"/>
        <w:rPr>
          <w:sz w:val="24"/>
        </w:rPr>
      </w:pPr>
      <w:r>
        <w:rPr>
          <w:sz w:val="24"/>
        </w:rPr>
        <w:t>Niños que accedan participar en el estudio, pero que sus padres no firmen el consentimiento</w:t>
      </w:r>
      <w:r>
        <w:rPr>
          <w:spacing w:val="-12"/>
          <w:sz w:val="24"/>
        </w:rPr>
        <w:t> </w:t>
      </w:r>
      <w:r>
        <w:rPr>
          <w:sz w:val="24"/>
        </w:rPr>
        <w:t>informado.</w:t>
      </w:r>
    </w:p>
    <w:p>
      <w:pPr>
        <w:pStyle w:val="ListParagraph"/>
        <w:numPr>
          <w:ilvl w:val="0"/>
          <w:numId w:val="12"/>
        </w:numPr>
        <w:tabs>
          <w:tab w:pos="2858" w:val="left" w:leader="none"/>
          <w:tab w:pos="2859" w:val="left" w:leader="none"/>
        </w:tabs>
        <w:spacing w:line="240" w:lineRule="auto" w:before="11" w:after="0"/>
        <w:ind w:left="2858" w:right="0" w:hanging="360"/>
        <w:jc w:val="left"/>
        <w:rPr>
          <w:sz w:val="24"/>
        </w:rPr>
      </w:pPr>
      <w:r>
        <w:rPr>
          <w:sz w:val="24"/>
        </w:rPr>
        <w:t>Extendidos celulares con menos de 1000</w:t>
      </w:r>
      <w:r>
        <w:rPr>
          <w:spacing w:val="-16"/>
          <w:sz w:val="24"/>
        </w:rPr>
        <w:t> </w:t>
      </w:r>
      <w:r>
        <w:rPr>
          <w:sz w:val="24"/>
        </w:rPr>
        <w:t>células.</w:t>
      </w:r>
    </w:p>
    <w:p>
      <w:pPr>
        <w:pStyle w:val="BodyText"/>
      </w:pPr>
    </w:p>
    <w:p>
      <w:pPr>
        <w:pStyle w:val="BodyText"/>
      </w:pPr>
    </w:p>
    <w:p>
      <w:pPr>
        <w:pStyle w:val="BodyText"/>
        <w:spacing w:before="6"/>
        <w:rPr>
          <w:sz w:val="34"/>
        </w:rPr>
      </w:pPr>
    </w:p>
    <w:p>
      <w:pPr>
        <w:pStyle w:val="Heading4"/>
        <w:spacing w:before="0"/>
        <w:ind w:left="1418" w:right="1703"/>
      </w:pPr>
      <w:r>
        <w:rPr/>
        <w:t>Variables</w:t>
      </w:r>
    </w:p>
    <w:p>
      <w:pPr>
        <w:pStyle w:val="BodyText"/>
        <w:spacing w:before="4"/>
        <w:rPr>
          <w:b/>
          <w:sz w:val="29"/>
        </w:rPr>
      </w:pPr>
    </w:p>
    <w:p>
      <w:pPr>
        <w:spacing w:before="1"/>
        <w:ind w:left="1819" w:right="1703" w:firstLine="0"/>
        <w:jc w:val="left"/>
        <w:rPr>
          <w:b/>
          <w:sz w:val="24"/>
        </w:rPr>
      </w:pPr>
      <w:r>
        <w:rPr>
          <w:b/>
          <w:sz w:val="24"/>
        </w:rPr>
        <w:t>Variable dependiente</w:t>
      </w:r>
    </w:p>
    <w:p>
      <w:pPr>
        <w:pStyle w:val="BodyText"/>
        <w:spacing w:before="6"/>
        <w:rPr>
          <w:b/>
          <w:sz w:val="29"/>
        </w:rPr>
      </w:pPr>
    </w:p>
    <w:p>
      <w:pPr>
        <w:pStyle w:val="BodyText"/>
        <w:spacing w:before="1"/>
        <w:ind w:left="1846" w:right="1703"/>
      </w:pPr>
      <w:r>
        <w:rPr>
          <w:rFonts w:ascii="Courier New" w:hAnsi="Courier New"/>
          <w:b/>
          <w:sz w:val="32"/>
        </w:rPr>
        <w:t>ͽ</w:t>
      </w:r>
      <w:r>
        <w:rPr>
          <w:rFonts w:ascii="Courier New" w:hAnsi="Courier New"/>
          <w:b/>
          <w:spacing w:val="-119"/>
          <w:sz w:val="32"/>
        </w:rPr>
        <w:t> </w:t>
      </w:r>
      <w:r>
        <w:rPr/>
        <w:t>Micronúcleos y anormalidades nucleares</w:t>
      </w:r>
    </w:p>
    <w:p>
      <w:pPr>
        <w:pStyle w:val="BodyText"/>
        <w:spacing w:before="3"/>
        <w:rPr>
          <w:sz w:val="25"/>
        </w:rPr>
      </w:pPr>
    </w:p>
    <w:p>
      <w:pPr>
        <w:pStyle w:val="Heading4"/>
        <w:spacing w:before="0"/>
        <w:ind w:left="1819" w:right="1703"/>
      </w:pPr>
      <w:r>
        <w:rPr/>
        <w:t>Variable independiente</w:t>
      </w:r>
    </w:p>
    <w:p>
      <w:pPr>
        <w:pStyle w:val="BodyText"/>
        <w:spacing w:before="6"/>
        <w:rPr>
          <w:b/>
          <w:sz w:val="29"/>
        </w:rPr>
      </w:pPr>
    </w:p>
    <w:p>
      <w:pPr>
        <w:pStyle w:val="BodyText"/>
        <w:spacing w:before="1"/>
        <w:ind w:left="1846" w:right="1703"/>
      </w:pPr>
      <w:r>
        <w:rPr>
          <w:rFonts w:ascii="Courier New" w:hAnsi="Courier New"/>
          <w:b/>
          <w:sz w:val="32"/>
        </w:rPr>
        <w:t>ͽ</w:t>
      </w:r>
      <w:r>
        <w:rPr>
          <w:rFonts w:ascii="Courier New" w:hAnsi="Courier New"/>
          <w:b/>
          <w:spacing w:val="-112"/>
          <w:sz w:val="32"/>
        </w:rPr>
        <w:t> </w:t>
      </w:r>
      <w:r>
        <w:rPr/>
        <w:t>Exposición a plaguicidas</w:t>
      </w:r>
    </w:p>
    <w:p>
      <w:pPr>
        <w:pStyle w:val="BodyText"/>
        <w:spacing w:before="3"/>
        <w:rPr>
          <w:sz w:val="25"/>
        </w:rPr>
      </w:pPr>
    </w:p>
    <w:p>
      <w:pPr>
        <w:pStyle w:val="Heading4"/>
        <w:spacing w:before="0"/>
        <w:ind w:left="1822" w:right="1703"/>
      </w:pPr>
      <w:r>
        <w:rPr/>
        <w:t>Factores de variabilidad</w:t>
      </w:r>
    </w:p>
    <w:p>
      <w:pPr>
        <w:pStyle w:val="BodyText"/>
        <w:spacing w:before="5"/>
        <w:rPr>
          <w:b/>
          <w:sz w:val="29"/>
        </w:rPr>
      </w:pPr>
    </w:p>
    <w:p>
      <w:pPr>
        <w:pStyle w:val="ListParagraph"/>
        <w:numPr>
          <w:ilvl w:val="0"/>
          <w:numId w:val="13"/>
        </w:numPr>
        <w:tabs>
          <w:tab w:pos="2565" w:val="left" w:leader="none"/>
          <w:tab w:pos="2566" w:val="left" w:leader="none"/>
        </w:tabs>
        <w:spacing w:line="240" w:lineRule="auto" w:before="0" w:after="0"/>
        <w:ind w:left="2566" w:right="0" w:hanging="360"/>
        <w:jc w:val="left"/>
        <w:rPr>
          <w:sz w:val="24"/>
        </w:rPr>
      </w:pPr>
      <w:r>
        <w:rPr>
          <w:sz w:val="24"/>
        </w:rPr>
        <w:t>Edad</w:t>
      </w:r>
    </w:p>
    <w:p>
      <w:pPr>
        <w:pStyle w:val="ListParagraph"/>
        <w:numPr>
          <w:ilvl w:val="0"/>
          <w:numId w:val="13"/>
        </w:numPr>
        <w:tabs>
          <w:tab w:pos="2565" w:val="left" w:leader="none"/>
          <w:tab w:pos="2566" w:val="left" w:leader="none"/>
        </w:tabs>
        <w:spacing w:line="240" w:lineRule="auto" w:before="135" w:after="0"/>
        <w:ind w:left="2566" w:right="0" w:hanging="360"/>
        <w:jc w:val="left"/>
        <w:rPr>
          <w:sz w:val="24"/>
        </w:rPr>
      </w:pPr>
      <w:r>
        <w:rPr>
          <w:sz w:val="24"/>
        </w:rPr>
        <w:t>Sexo</w:t>
      </w:r>
    </w:p>
    <w:p>
      <w:pPr>
        <w:pStyle w:val="ListParagraph"/>
        <w:numPr>
          <w:ilvl w:val="0"/>
          <w:numId w:val="13"/>
        </w:numPr>
        <w:tabs>
          <w:tab w:pos="2565" w:val="left" w:leader="none"/>
          <w:tab w:pos="2566" w:val="left" w:leader="none"/>
        </w:tabs>
        <w:spacing w:line="240" w:lineRule="auto" w:before="135" w:after="0"/>
        <w:ind w:left="2566" w:right="0" w:hanging="360"/>
        <w:jc w:val="left"/>
        <w:rPr>
          <w:sz w:val="24"/>
        </w:rPr>
      </w:pPr>
      <w:r>
        <w:rPr>
          <w:sz w:val="24"/>
        </w:rPr>
        <w:t>Índice de masa corporal</w:t>
      </w:r>
      <w:r>
        <w:rPr>
          <w:spacing w:val="-13"/>
          <w:sz w:val="24"/>
        </w:rPr>
        <w:t> </w:t>
      </w:r>
      <w:r>
        <w:rPr>
          <w:sz w:val="24"/>
        </w:rPr>
        <w:t>(IMC)</w:t>
      </w:r>
    </w:p>
    <w:p>
      <w:pPr>
        <w:pStyle w:val="ListParagraph"/>
        <w:numPr>
          <w:ilvl w:val="0"/>
          <w:numId w:val="13"/>
        </w:numPr>
        <w:tabs>
          <w:tab w:pos="2565" w:val="left" w:leader="none"/>
          <w:tab w:pos="2566" w:val="left" w:leader="none"/>
        </w:tabs>
        <w:spacing w:line="240" w:lineRule="auto" w:before="135" w:after="0"/>
        <w:ind w:left="2566" w:right="0" w:hanging="360"/>
        <w:jc w:val="left"/>
        <w:rPr>
          <w:sz w:val="24"/>
        </w:rPr>
      </w:pPr>
      <w:r>
        <w:rPr>
          <w:sz w:val="24"/>
        </w:rPr>
        <w:t>Hábitos</w:t>
      </w:r>
      <w:r>
        <w:rPr>
          <w:spacing w:val="-4"/>
          <w:sz w:val="24"/>
        </w:rPr>
        <w:t> </w:t>
      </w:r>
      <w:r>
        <w:rPr>
          <w:sz w:val="24"/>
        </w:rPr>
        <w:t>higiénico-dentales</w:t>
      </w:r>
    </w:p>
    <w:p>
      <w:pPr>
        <w:pStyle w:val="ListParagraph"/>
        <w:numPr>
          <w:ilvl w:val="0"/>
          <w:numId w:val="13"/>
        </w:numPr>
        <w:tabs>
          <w:tab w:pos="2565" w:val="left" w:leader="none"/>
          <w:tab w:pos="2566" w:val="left" w:leader="none"/>
        </w:tabs>
        <w:spacing w:line="240" w:lineRule="auto" w:before="138" w:after="0"/>
        <w:ind w:left="2566" w:right="0" w:hanging="360"/>
        <w:jc w:val="left"/>
        <w:rPr>
          <w:sz w:val="24"/>
        </w:rPr>
      </w:pPr>
      <w:r>
        <w:rPr>
          <w:sz w:val="24"/>
        </w:rPr>
        <w:t>Hábitos</w:t>
      </w:r>
      <w:r>
        <w:rPr>
          <w:spacing w:val="-4"/>
          <w:sz w:val="24"/>
        </w:rPr>
        <w:t> </w:t>
      </w:r>
      <w:r>
        <w:rPr>
          <w:sz w:val="24"/>
        </w:rPr>
        <w:t>alimenticios</w:t>
      </w:r>
    </w:p>
    <w:p>
      <w:pPr>
        <w:pStyle w:val="ListParagraph"/>
        <w:numPr>
          <w:ilvl w:val="0"/>
          <w:numId w:val="13"/>
        </w:numPr>
        <w:tabs>
          <w:tab w:pos="2565" w:val="left" w:leader="none"/>
          <w:tab w:pos="2566" w:val="left" w:leader="none"/>
        </w:tabs>
        <w:spacing w:line="240" w:lineRule="auto" w:before="135" w:after="0"/>
        <w:ind w:left="2566" w:right="0" w:hanging="360"/>
        <w:jc w:val="left"/>
        <w:rPr>
          <w:sz w:val="24"/>
        </w:rPr>
      </w:pPr>
      <w:r>
        <w:rPr>
          <w:sz w:val="24"/>
        </w:rPr>
        <w:t>Antecedentes</w:t>
      </w:r>
      <w:r>
        <w:rPr>
          <w:spacing w:val="-8"/>
          <w:sz w:val="24"/>
        </w:rPr>
        <w:t> </w:t>
      </w:r>
      <w:r>
        <w:rPr>
          <w:sz w:val="24"/>
        </w:rPr>
        <w:t>patológicos</w:t>
      </w:r>
    </w:p>
    <w:p>
      <w:pPr>
        <w:pStyle w:val="ListParagraph"/>
        <w:numPr>
          <w:ilvl w:val="0"/>
          <w:numId w:val="13"/>
        </w:numPr>
        <w:tabs>
          <w:tab w:pos="2565" w:val="left" w:leader="none"/>
          <w:tab w:pos="2566" w:val="left" w:leader="none"/>
        </w:tabs>
        <w:spacing w:line="240" w:lineRule="auto" w:before="136" w:after="0"/>
        <w:ind w:left="2566" w:right="0" w:hanging="360"/>
        <w:jc w:val="left"/>
        <w:rPr>
          <w:sz w:val="24"/>
        </w:rPr>
      </w:pPr>
      <w:r>
        <w:rPr>
          <w:sz w:val="24"/>
        </w:rPr>
        <w:t>Antecedentes</w:t>
      </w:r>
      <w:r>
        <w:rPr>
          <w:spacing w:val="-14"/>
          <w:sz w:val="24"/>
        </w:rPr>
        <w:t> </w:t>
      </w:r>
      <w:r>
        <w:rPr>
          <w:sz w:val="24"/>
        </w:rPr>
        <w:t>toxicológicos</w:t>
      </w:r>
    </w:p>
    <w:p>
      <w:pPr>
        <w:spacing w:after="0" w:line="240" w:lineRule="auto"/>
        <w:jc w:val="left"/>
        <w:rPr>
          <w:sz w:val="24"/>
        </w:rPr>
        <w:sectPr>
          <w:pgSz w:w="12240" w:h="15840"/>
          <w:pgMar w:header="0" w:footer="0" w:top="1500" w:bottom="780" w:left="0" w:right="0"/>
        </w:sectPr>
      </w:pPr>
    </w:p>
    <w:p>
      <w:pPr>
        <w:pStyle w:val="BodyText"/>
        <w:rPr>
          <w:sz w:val="18"/>
        </w:rPr>
      </w:pPr>
    </w:p>
    <w:p>
      <w:pPr>
        <w:pStyle w:val="Heading4"/>
        <w:spacing w:before="70"/>
        <w:ind w:left="1701"/>
      </w:pPr>
      <w:r>
        <w:rPr/>
        <w:t>Operacionalización de variables</w:t>
      </w:r>
    </w:p>
    <w:p>
      <w:pPr>
        <w:pStyle w:val="BodyText"/>
        <w:spacing w:before="6"/>
        <w:rPr>
          <w:b/>
          <w:sz w:val="29"/>
        </w:rPr>
      </w:pPr>
    </w:p>
    <w:p>
      <w:pPr>
        <w:spacing w:before="1"/>
        <w:ind w:left="2770" w:right="0" w:firstLine="0"/>
        <w:jc w:val="left"/>
        <w:rPr>
          <w:b/>
          <w:sz w:val="24"/>
        </w:rPr>
      </w:pPr>
      <w:r>
        <w:rPr>
          <w:rFonts w:ascii="Courier New" w:hAnsi="Courier New"/>
          <w:b/>
          <w:sz w:val="32"/>
        </w:rPr>
        <w:t>ͽ </w:t>
      </w:r>
      <w:r>
        <w:rPr>
          <w:b/>
          <w:sz w:val="24"/>
        </w:rPr>
        <w:t>Variables dependientes</w:t>
      </w:r>
    </w:p>
    <w:p>
      <w:pPr>
        <w:pStyle w:val="BodyText"/>
        <w:spacing w:before="5"/>
        <w:rPr>
          <w:b/>
          <w:sz w:val="25"/>
        </w:rPr>
      </w:pPr>
    </w:p>
    <w:tbl>
      <w:tblPr>
        <w:tblW w:w="0" w:type="auto"/>
        <w:jc w:val="left"/>
        <w:tblInd w:w="99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88"/>
        <w:gridCol w:w="5500"/>
        <w:gridCol w:w="1965"/>
        <w:gridCol w:w="1869"/>
        <w:gridCol w:w="1836"/>
        <w:gridCol w:w="1521"/>
      </w:tblGrid>
      <w:tr>
        <w:trPr>
          <w:trHeight w:val="1193" w:hRule="exact"/>
        </w:trPr>
        <w:tc>
          <w:tcPr>
            <w:tcW w:w="1488" w:type="dxa"/>
            <w:shd w:val="clear" w:color="auto" w:fill="3DDECA"/>
          </w:tcPr>
          <w:p>
            <w:pPr>
              <w:pStyle w:val="TableParagraph"/>
              <w:spacing w:before="0"/>
              <w:jc w:val="left"/>
              <w:rPr>
                <w:b/>
                <w:sz w:val="20"/>
              </w:rPr>
            </w:pPr>
          </w:p>
          <w:p>
            <w:pPr>
              <w:pStyle w:val="TableParagraph"/>
              <w:spacing w:before="139"/>
              <w:ind w:right="319"/>
              <w:jc w:val="right"/>
              <w:rPr>
                <w:b/>
                <w:sz w:val="20"/>
              </w:rPr>
            </w:pPr>
            <w:r>
              <w:rPr>
                <w:b/>
                <w:w w:val="95"/>
                <w:sz w:val="20"/>
              </w:rPr>
              <w:t>Variable</w:t>
            </w:r>
          </w:p>
        </w:tc>
        <w:tc>
          <w:tcPr>
            <w:tcW w:w="5500" w:type="dxa"/>
            <w:shd w:val="clear" w:color="auto" w:fill="3DDECA"/>
          </w:tcPr>
          <w:p>
            <w:pPr>
              <w:pStyle w:val="TableParagraph"/>
              <w:spacing w:before="0"/>
              <w:jc w:val="left"/>
              <w:rPr>
                <w:b/>
                <w:sz w:val="26"/>
              </w:rPr>
            </w:pPr>
          </w:p>
          <w:p>
            <w:pPr>
              <w:pStyle w:val="TableParagraph"/>
              <w:spacing w:line="448" w:lineRule="auto" w:before="0"/>
              <w:ind w:left="2164" w:right="2280" w:firstLine="1"/>
              <w:rPr>
                <w:b/>
                <w:sz w:val="20"/>
              </w:rPr>
            </w:pPr>
            <w:r>
              <w:rPr>
                <w:b/>
                <w:sz w:val="20"/>
              </w:rPr>
              <w:t>Definición </w:t>
            </w:r>
            <w:r>
              <w:rPr>
                <w:b/>
                <w:w w:val="95"/>
                <w:sz w:val="20"/>
              </w:rPr>
              <w:t>conceptual</w:t>
            </w:r>
          </w:p>
        </w:tc>
        <w:tc>
          <w:tcPr>
            <w:tcW w:w="1965" w:type="dxa"/>
            <w:shd w:val="clear" w:color="auto" w:fill="3DDECA"/>
          </w:tcPr>
          <w:p>
            <w:pPr>
              <w:pStyle w:val="TableParagraph"/>
              <w:spacing w:before="0"/>
              <w:jc w:val="left"/>
              <w:rPr>
                <w:b/>
                <w:sz w:val="26"/>
              </w:rPr>
            </w:pPr>
          </w:p>
          <w:p>
            <w:pPr>
              <w:pStyle w:val="TableParagraph"/>
              <w:spacing w:line="448" w:lineRule="auto" w:before="0"/>
              <w:ind w:left="318" w:right="535" w:firstLine="79"/>
              <w:jc w:val="left"/>
              <w:rPr>
                <w:b/>
                <w:sz w:val="20"/>
              </w:rPr>
            </w:pPr>
            <w:r>
              <w:rPr>
                <w:b/>
                <w:sz w:val="20"/>
              </w:rPr>
              <w:t>Definición </w:t>
            </w:r>
            <w:r>
              <w:rPr>
                <w:b/>
                <w:w w:val="95"/>
                <w:sz w:val="20"/>
              </w:rPr>
              <w:t>operacional</w:t>
            </w:r>
          </w:p>
        </w:tc>
        <w:tc>
          <w:tcPr>
            <w:tcW w:w="1869" w:type="dxa"/>
            <w:shd w:val="clear" w:color="auto" w:fill="3DDECA"/>
          </w:tcPr>
          <w:p>
            <w:pPr>
              <w:pStyle w:val="TableParagraph"/>
              <w:spacing w:before="0"/>
              <w:jc w:val="left"/>
              <w:rPr>
                <w:b/>
                <w:sz w:val="26"/>
              </w:rPr>
            </w:pPr>
          </w:p>
          <w:p>
            <w:pPr>
              <w:pStyle w:val="TableParagraph"/>
              <w:spacing w:line="448" w:lineRule="auto" w:before="0"/>
              <w:ind w:left="590" w:right="404" w:firstLine="24"/>
              <w:jc w:val="left"/>
              <w:rPr>
                <w:b/>
                <w:sz w:val="20"/>
              </w:rPr>
            </w:pPr>
            <w:r>
              <w:rPr>
                <w:b/>
                <w:sz w:val="20"/>
              </w:rPr>
              <w:t>Tipo de </w:t>
            </w:r>
            <w:r>
              <w:rPr>
                <w:b/>
                <w:w w:val="95"/>
                <w:sz w:val="20"/>
              </w:rPr>
              <w:t>variable</w:t>
            </w:r>
          </w:p>
        </w:tc>
        <w:tc>
          <w:tcPr>
            <w:tcW w:w="1836" w:type="dxa"/>
            <w:shd w:val="clear" w:color="auto" w:fill="3DDECA"/>
          </w:tcPr>
          <w:p>
            <w:pPr>
              <w:pStyle w:val="TableParagraph"/>
              <w:spacing w:before="0"/>
              <w:jc w:val="left"/>
              <w:rPr>
                <w:b/>
                <w:sz w:val="26"/>
              </w:rPr>
            </w:pPr>
          </w:p>
          <w:p>
            <w:pPr>
              <w:pStyle w:val="TableParagraph"/>
              <w:spacing w:line="448" w:lineRule="auto" w:before="0"/>
              <w:ind w:left="574" w:right="340" w:hanging="22"/>
              <w:jc w:val="left"/>
              <w:rPr>
                <w:b/>
                <w:sz w:val="20"/>
              </w:rPr>
            </w:pPr>
            <w:r>
              <w:rPr>
                <w:b/>
                <w:sz w:val="20"/>
              </w:rPr>
              <w:t>Escala de medición</w:t>
            </w:r>
          </w:p>
        </w:tc>
        <w:tc>
          <w:tcPr>
            <w:tcW w:w="1521" w:type="dxa"/>
            <w:shd w:val="clear" w:color="auto" w:fill="3DDECA"/>
          </w:tcPr>
          <w:p>
            <w:pPr>
              <w:pStyle w:val="TableParagraph"/>
              <w:spacing w:before="9"/>
              <w:jc w:val="left"/>
              <w:rPr>
                <w:b/>
                <w:sz w:val="25"/>
              </w:rPr>
            </w:pPr>
          </w:p>
          <w:p>
            <w:pPr>
              <w:pStyle w:val="TableParagraph"/>
              <w:spacing w:line="362" w:lineRule="auto" w:before="0"/>
              <w:ind w:left="231" w:firstLine="196"/>
              <w:jc w:val="left"/>
              <w:rPr>
                <w:b/>
                <w:sz w:val="20"/>
              </w:rPr>
            </w:pPr>
            <w:r>
              <w:rPr>
                <w:b/>
                <w:sz w:val="20"/>
              </w:rPr>
              <w:t>Análisis </w:t>
            </w:r>
            <w:r>
              <w:rPr>
                <w:b/>
                <w:w w:val="95"/>
                <w:sz w:val="20"/>
              </w:rPr>
              <w:t>estadísticos</w:t>
            </w:r>
          </w:p>
        </w:tc>
      </w:tr>
      <w:tr>
        <w:trPr>
          <w:trHeight w:val="1358" w:hRule="exact"/>
        </w:trPr>
        <w:tc>
          <w:tcPr>
            <w:tcW w:w="1488" w:type="dxa"/>
            <w:shd w:val="clear" w:color="auto" w:fill="B4F1EB"/>
          </w:tcPr>
          <w:p>
            <w:pPr>
              <w:pStyle w:val="TableParagraph"/>
              <w:spacing w:before="0"/>
              <w:jc w:val="left"/>
              <w:rPr>
                <w:b/>
                <w:sz w:val="18"/>
              </w:rPr>
            </w:pPr>
          </w:p>
          <w:p>
            <w:pPr>
              <w:pStyle w:val="TableParagraph"/>
              <w:spacing w:before="130"/>
              <w:ind w:right="317"/>
              <w:jc w:val="right"/>
              <w:rPr>
                <w:sz w:val="18"/>
              </w:rPr>
            </w:pPr>
            <w:r>
              <w:rPr>
                <w:sz w:val="18"/>
              </w:rPr>
              <w:t>Micronúcleos</w:t>
            </w:r>
          </w:p>
        </w:tc>
        <w:tc>
          <w:tcPr>
            <w:tcW w:w="5500" w:type="dxa"/>
            <w:shd w:val="clear" w:color="auto" w:fill="B4F1EB"/>
          </w:tcPr>
          <w:p>
            <w:pPr>
              <w:pStyle w:val="TableParagraph"/>
              <w:spacing w:before="0"/>
              <w:jc w:val="left"/>
              <w:rPr>
                <w:b/>
                <w:sz w:val="18"/>
              </w:rPr>
            </w:pPr>
          </w:p>
          <w:p>
            <w:pPr>
              <w:pStyle w:val="TableParagraph"/>
              <w:spacing w:before="130"/>
              <w:ind w:left="180" w:right="294"/>
              <w:jc w:val="left"/>
              <w:rPr>
                <w:sz w:val="18"/>
              </w:rPr>
            </w:pPr>
            <w:r>
              <w:rPr>
                <w:sz w:val="18"/>
              </w:rPr>
              <w:t>Daño genético en los núcleos de las células.</w:t>
            </w:r>
          </w:p>
        </w:tc>
        <w:tc>
          <w:tcPr>
            <w:tcW w:w="1965" w:type="dxa"/>
            <w:shd w:val="clear" w:color="auto" w:fill="B4F1EB"/>
          </w:tcPr>
          <w:p>
            <w:pPr>
              <w:pStyle w:val="TableParagraph"/>
              <w:spacing w:before="0"/>
              <w:jc w:val="left"/>
              <w:rPr>
                <w:b/>
                <w:sz w:val="18"/>
              </w:rPr>
            </w:pPr>
          </w:p>
          <w:p>
            <w:pPr>
              <w:pStyle w:val="TableParagraph"/>
              <w:spacing w:line="360" w:lineRule="auto" w:before="130"/>
              <w:ind w:left="349" w:right="535" w:firstLine="115"/>
              <w:jc w:val="left"/>
              <w:rPr>
                <w:sz w:val="18"/>
              </w:rPr>
            </w:pPr>
            <w:r>
              <w:rPr>
                <w:sz w:val="18"/>
              </w:rPr>
              <w:t>Conteo de micronúcleos</w:t>
            </w:r>
          </w:p>
        </w:tc>
        <w:tc>
          <w:tcPr>
            <w:tcW w:w="1869" w:type="dxa"/>
            <w:shd w:val="clear" w:color="auto" w:fill="B4F1EB"/>
          </w:tcPr>
          <w:p>
            <w:pPr>
              <w:pStyle w:val="TableParagraph"/>
              <w:spacing w:before="0"/>
              <w:jc w:val="left"/>
              <w:rPr>
                <w:b/>
                <w:sz w:val="18"/>
              </w:rPr>
            </w:pPr>
          </w:p>
          <w:p>
            <w:pPr>
              <w:pStyle w:val="TableParagraph"/>
              <w:spacing w:line="590" w:lineRule="auto" w:before="130"/>
              <w:ind w:left="638" w:right="404" w:hanging="144"/>
              <w:jc w:val="left"/>
              <w:rPr>
                <w:sz w:val="18"/>
              </w:rPr>
            </w:pPr>
            <w:r>
              <w:rPr>
                <w:sz w:val="18"/>
              </w:rPr>
              <w:t>Cuantitativa Discreta</w:t>
            </w:r>
          </w:p>
        </w:tc>
        <w:tc>
          <w:tcPr>
            <w:tcW w:w="1836" w:type="dxa"/>
            <w:shd w:val="clear" w:color="auto" w:fill="B4F1EB"/>
          </w:tcPr>
          <w:p>
            <w:pPr>
              <w:pStyle w:val="TableParagraph"/>
              <w:spacing w:before="0"/>
              <w:jc w:val="left"/>
              <w:rPr>
                <w:b/>
                <w:sz w:val="18"/>
              </w:rPr>
            </w:pPr>
          </w:p>
          <w:p>
            <w:pPr>
              <w:pStyle w:val="TableParagraph"/>
              <w:spacing w:line="360" w:lineRule="auto" w:before="130"/>
              <w:ind w:left="483" w:right="272" w:firstLine="204"/>
              <w:jc w:val="left"/>
              <w:rPr>
                <w:sz w:val="18"/>
              </w:rPr>
            </w:pPr>
            <w:r>
              <w:rPr>
                <w:sz w:val="18"/>
              </w:rPr>
              <w:t>Total de micronúcleos</w:t>
            </w:r>
          </w:p>
        </w:tc>
        <w:tc>
          <w:tcPr>
            <w:tcW w:w="1521" w:type="dxa"/>
            <w:shd w:val="clear" w:color="auto" w:fill="B4F1EB"/>
          </w:tcPr>
          <w:p>
            <w:pPr>
              <w:pStyle w:val="TableParagraph"/>
              <w:spacing w:before="0"/>
              <w:jc w:val="left"/>
              <w:rPr>
                <w:b/>
                <w:sz w:val="18"/>
              </w:rPr>
            </w:pPr>
          </w:p>
          <w:p>
            <w:pPr>
              <w:pStyle w:val="TableParagraph"/>
              <w:spacing w:line="360" w:lineRule="auto" w:before="130"/>
              <w:ind w:left="486" w:right="221" w:hanging="147"/>
              <w:jc w:val="left"/>
              <w:rPr>
                <w:sz w:val="18"/>
              </w:rPr>
            </w:pPr>
            <w:r>
              <w:rPr>
                <w:sz w:val="18"/>
              </w:rPr>
              <w:t>U de Mann- Whitney</w:t>
            </w:r>
          </w:p>
        </w:tc>
      </w:tr>
      <w:tr>
        <w:trPr>
          <w:trHeight w:val="4928" w:hRule="exact"/>
        </w:trPr>
        <w:tc>
          <w:tcPr>
            <w:tcW w:w="1488" w:type="dxa"/>
            <w:shd w:val="clear" w:color="auto" w:fill="82EADE"/>
          </w:tcPr>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6"/>
              <w:jc w:val="left"/>
              <w:rPr>
                <w:b/>
                <w:sz w:val="15"/>
              </w:rPr>
            </w:pPr>
          </w:p>
          <w:p>
            <w:pPr>
              <w:pStyle w:val="TableParagraph"/>
              <w:spacing w:line="360" w:lineRule="auto" w:before="0"/>
              <w:ind w:left="107" w:right="160"/>
              <w:jc w:val="left"/>
              <w:rPr>
                <w:sz w:val="18"/>
              </w:rPr>
            </w:pPr>
            <w:r>
              <w:rPr>
                <w:sz w:val="18"/>
              </w:rPr>
              <w:t>Anormalidades nucleares</w:t>
            </w:r>
          </w:p>
        </w:tc>
        <w:tc>
          <w:tcPr>
            <w:tcW w:w="5500" w:type="dxa"/>
            <w:shd w:val="clear" w:color="auto" w:fill="82EADE"/>
          </w:tcPr>
          <w:p>
            <w:pPr>
              <w:pStyle w:val="TableParagraph"/>
              <w:spacing w:line="364" w:lineRule="auto" w:before="0"/>
              <w:ind w:left="180" w:right="294"/>
              <w:jc w:val="left"/>
              <w:rPr>
                <w:sz w:val="18"/>
              </w:rPr>
            </w:pPr>
            <w:r>
              <w:rPr>
                <w:b/>
                <w:i/>
                <w:sz w:val="18"/>
              </w:rPr>
              <w:t>Célula binucleada</w:t>
            </w:r>
            <w:r>
              <w:rPr>
                <w:sz w:val="18"/>
              </w:rPr>
              <w:t>: células que contienen dos núcleos principales.</w:t>
            </w:r>
          </w:p>
          <w:p>
            <w:pPr>
              <w:pStyle w:val="TableParagraph"/>
              <w:spacing w:before="10"/>
              <w:jc w:val="left"/>
              <w:rPr>
                <w:b/>
                <w:sz w:val="16"/>
              </w:rPr>
            </w:pPr>
          </w:p>
          <w:p>
            <w:pPr>
              <w:pStyle w:val="TableParagraph"/>
              <w:spacing w:line="364" w:lineRule="auto" w:before="1"/>
              <w:ind w:left="180" w:right="294"/>
              <w:jc w:val="left"/>
              <w:rPr>
                <w:sz w:val="18"/>
              </w:rPr>
            </w:pPr>
            <w:r>
              <w:rPr>
                <w:b/>
                <w:i/>
                <w:sz w:val="18"/>
              </w:rPr>
              <w:t>Núcleo lobulado</w:t>
            </w:r>
            <w:r>
              <w:rPr>
                <w:sz w:val="18"/>
              </w:rPr>
              <w:t>: el núcleo presenta una constricción en un extremo.</w:t>
            </w:r>
          </w:p>
          <w:p>
            <w:pPr>
              <w:pStyle w:val="TableParagraph"/>
              <w:spacing w:before="8"/>
              <w:jc w:val="left"/>
              <w:rPr>
                <w:b/>
                <w:sz w:val="16"/>
              </w:rPr>
            </w:pPr>
          </w:p>
          <w:p>
            <w:pPr>
              <w:pStyle w:val="TableParagraph"/>
              <w:spacing w:line="367" w:lineRule="auto" w:before="0"/>
              <w:ind w:left="180" w:right="294"/>
              <w:jc w:val="left"/>
              <w:rPr>
                <w:sz w:val="18"/>
              </w:rPr>
            </w:pPr>
            <w:r>
              <w:rPr>
                <w:b/>
                <w:i/>
                <w:sz w:val="18"/>
              </w:rPr>
              <w:t>Picnosis</w:t>
            </w:r>
            <w:r>
              <w:rPr>
                <w:b/>
                <w:sz w:val="18"/>
              </w:rPr>
              <w:t>: </w:t>
            </w:r>
            <w:r>
              <w:rPr>
                <w:sz w:val="18"/>
              </w:rPr>
              <w:t>células con un núcleo pequeño, con alta densidad de material nuclear uniforme e intensamente teñido.</w:t>
            </w:r>
          </w:p>
          <w:p>
            <w:pPr>
              <w:pStyle w:val="TableParagraph"/>
              <w:spacing w:before="8"/>
              <w:jc w:val="left"/>
              <w:rPr>
                <w:b/>
                <w:sz w:val="16"/>
              </w:rPr>
            </w:pPr>
          </w:p>
          <w:p>
            <w:pPr>
              <w:pStyle w:val="TableParagraph"/>
              <w:spacing w:line="364" w:lineRule="auto" w:before="1"/>
              <w:ind w:left="180" w:right="294"/>
              <w:jc w:val="left"/>
              <w:rPr>
                <w:sz w:val="18"/>
              </w:rPr>
            </w:pPr>
            <w:r>
              <w:rPr>
                <w:b/>
                <w:i/>
                <w:sz w:val="18"/>
              </w:rPr>
              <w:t>Cromatina condensada</w:t>
            </w:r>
            <w:r>
              <w:rPr>
                <w:sz w:val="18"/>
              </w:rPr>
              <w:t>: células con núcleos intensamente teñidos, con regiones condensadas de cromatina.</w:t>
            </w:r>
          </w:p>
          <w:p>
            <w:pPr>
              <w:pStyle w:val="TableParagraph"/>
              <w:spacing w:before="8"/>
              <w:jc w:val="left"/>
              <w:rPr>
                <w:b/>
                <w:sz w:val="16"/>
              </w:rPr>
            </w:pPr>
          </w:p>
          <w:p>
            <w:pPr>
              <w:pStyle w:val="TableParagraph"/>
              <w:spacing w:line="367" w:lineRule="auto" w:before="0"/>
              <w:ind w:left="180" w:right="294"/>
              <w:jc w:val="left"/>
              <w:rPr>
                <w:sz w:val="18"/>
              </w:rPr>
            </w:pPr>
            <w:r>
              <w:rPr>
                <w:b/>
                <w:i/>
                <w:sz w:val="18"/>
              </w:rPr>
              <w:t>Cariorrexis</w:t>
            </w:r>
            <w:r>
              <w:rPr>
                <w:b/>
                <w:sz w:val="18"/>
              </w:rPr>
              <w:t>: </w:t>
            </w:r>
            <w:r>
              <w:rPr>
                <w:sz w:val="18"/>
              </w:rPr>
              <w:t>células que presentan un núcleo que se caracteriza por agregación de la cromatina nuclear.</w:t>
            </w:r>
          </w:p>
          <w:p>
            <w:pPr>
              <w:pStyle w:val="TableParagraph"/>
              <w:spacing w:before="6"/>
              <w:jc w:val="left"/>
              <w:rPr>
                <w:b/>
                <w:sz w:val="16"/>
              </w:rPr>
            </w:pPr>
          </w:p>
          <w:p>
            <w:pPr>
              <w:pStyle w:val="TableParagraph"/>
              <w:spacing w:line="367" w:lineRule="auto" w:before="0"/>
              <w:ind w:left="180" w:right="737"/>
              <w:jc w:val="left"/>
              <w:rPr>
                <w:sz w:val="18"/>
              </w:rPr>
            </w:pPr>
            <w:r>
              <w:rPr>
                <w:b/>
                <w:i/>
                <w:sz w:val="18"/>
              </w:rPr>
              <w:t>Cariolisis</w:t>
            </w:r>
            <w:r>
              <w:rPr>
                <w:b/>
                <w:sz w:val="18"/>
              </w:rPr>
              <w:t>: </w:t>
            </w:r>
            <w:r>
              <w:rPr>
                <w:sz w:val="18"/>
              </w:rPr>
              <w:t>células completamente vacías de ADN, por lo tanto, no tienen núcleo.</w:t>
            </w:r>
          </w:p>
        </w:tc>
        <w:tc>
          <w:tcPr>
            <w:tcW w:w="1965" w:type="dxa"/>
            <w:shd w:val="clear" w:color="auto" w:fill="82EADE"/>
          </w:tcPr>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6"/>
              <w:jc w:val="left"/>
              <w:rPr>
                <w:b/>
                <w:sz w:val="15"/>
              </w:rPr>
            </w:pPr>
          </w:p>
          <w:p>
            <w:pPr>
              <w:pStyle w:val="TableParagraph"/>
              <w:spacing w:line="360" w:lineRule="auto" w:before="0"/>
              <w:ind w:left="289" w:right="492" w:firstLine="1"/>
              <w:rPr>
                <w:sz w:val="18"/>
              </w:rPr>
            </w:pPr>
            <w:r>
              <w:rPr>
                <w:sz w:val="18"/>
              </w:rPr>
              <w:t>Conteo de anormalidades nucleares</w:t>
            </w:r>
          </w:p>
        </w:tc>
        <w:tc>
          <w:tcPr>
            <w:tcW w:w="1869" w:type="dxa"/>
            <w:shd w:val="clear" w:color="auto" w:fill="82EADE"/>
          </w:tcPr>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6"/>
              <w:jc w:val="left"/>
              <w:rPr>
                <w:b/>
                <w:sz w:val="15"/>
              </w:rPr>
            </w:pPr>
          </w:p>
          <w:p>
            <w:pPr>
              <w:pStyle w:val="TableParagraph"/>
              <w:spacing w:line="592" w:lineRule="auto" w:before="0"/>
              <w:ind w:left="638" w:right="404" w:hanging="144"/>
              <w:jc w:val="left"/>
              <w:rPr>
                <w:sz w:val="18"/>
              </w:rPr>
            </w:pPr>
            <w:r>
              <w:rPr>
                <w:sz w:val="18"/>
              </w:rPr>
              <w:t>Cuantitativa Discreta</w:t>
            </w:r>
          </w:p>
        </w:tc>
        <w:tc>
          <w:tcPr>
            <w:tcW w:w="1836" w:type="dxa"/>
            <w:shd w:val="clear" w:color="auto" w:fill="82EADE"/>
          </w:tcPr>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6"/>
              <w:jc w:val="left"/>
              <w:rPr>
                <w:b/>
                <w:sz w:val="15"/>
              </w:rPr>
            </w:pPr>
          </w:p>
          <w:p>
            <w:pPr>
              <w:pStyle w:val="TableParagraph"/>
              <w:spacing w:line="360" w:lineRule="auto" w:before="0"/>
              <w:ind w:left="423" w:right="231"/>
              <w:rPr>
                <w:sz w:val="18"/>
              </w:rPr>
            </w:pPr>
            <w:r>
              <w:rPr>
                <w:sz w:val="18"/>
              </w:rPr>
              <w:t>Total de anormalidades nucleares</w:t>
            </w:r>
          </w:p>
        </w:tc>
        <w:tc>
          <w:tcPr>
            <w:tcW w:w="1521" w:type="dxa"/>
            <w:shd w:val="clear" w:color="auto" w:fill="82EADE"/>
          </w:tcPr>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6"/>
              <w:jc w:val="left"/>
              <w:rPr>
                <w:b/>
                <w:sz w:val="15"/>
              </w:rPr>
            </w:pPr>
          </w:p>
          <w:p>
            <w:pPr>
              <w:pStyle w:val="TableParagraph"/>
              <w:spacing w:line="360" w:lineRule="auto" w:before="0"/>
              <w:ind w:left="486" w:right="221" w:hanging="147"/>
              <w:jc w:val="left"/>
              <w:rPr>
                <w:sz w:val="18"/>
              </w:rPr>
            </w:pPr>
            <w:r>
              <w:rPr>
                <w:sz w:val="18"/>
              </w:rPr>
              <w:t>U de Mann- Whitney</w:t>
            </w:r>
          </w:p>
        </w:tc>
      </w:tr>
    </w:tbl>
    <w:p>
      <w:pPr>
        <w:spacing w:after="0" w:line="360" w:lineRule="auto"/>
        <w:jc w:val="left"/>
        <w:rPr>
          <w:sz w:val="18"/>
        </w:rPr>
        <w:sectPr>
          <w:footerReference w:type="default" r:id="rId238"/>
          <w:pgSz w:w="15840" w:h="12240" w:orient="landscape"/>
          <w:pgMar w:footer="599" w:header="0" w:top="1140" w:bottom="780" w:left="0" w:right="0"/>
          <w:pgNumType w:start="55"/>
        </w:sectPr>
      </w:pPr>
    </w:p>
    <w:p>
      <w:pPr>
        <w:pStyle w:val="BodyText"/>
        <w:spacing w:before="1"/>
        <w:rPr>
          <w:b/>
          <w:sz w:val="18"/>
        </w:rPr>
      </w:pPr>
    </w:p>
    <w:p>
      <w:pPr>
        <w:spacing w:before="68"/>
        <w:ind w:left="2167" w:right="0" w:firstLine="0"/>
        <w:jc w:val="left"/>
        <w:rPr>
          <w:b/>
          <w:sz w:val="24"/>
        </w:rPr>
      </w:pPr>
      <w:r>
        <w:rPr>
          <w:rFonts w:ascii="Courier New" w:hAnsi="Courier New"/>
          <w:b/>
          <w:sz w:val="32"/>
        </w:rPr>
        <w:t>ͽ </w:t>
      </w:r>
      <w:r>
        <w:rPr>
          <w:b/>
          <w:sz w:val="24"/>
        </w:rPr>
        <w:t>Variables independientes</w:t>
      </w:r>
    </w:p>
    <w:p>
      <w:pPr>
        <w:pStyle w:val="BodyText"/>
        <w:rPr>
          <w:b/>
          <w:sz w:val="20"/>
        </w:rPr>
      </w:pPr>
    </w:p>
    <w:p>
      <w:pPr>
        <w:pStyle w:val="BodyText"/>
        <w:spacing w:before="7"/>
        <w:rPr>
          <w:b/>
          <w:sz w:val="19"/>
        </w:rPr>
      </w:pPr>
    </w:p>
    <w:p>
      <w:pPr>
        <w:spacing w:after="0"/>
        <w:rPr>
          <w:sz w:val="19"/>
        </w:rPr>
        <w:sectPr>
          <w:pgSz w:w="15840" w:h="12240" w:orient="landscape"/>
          <w:pgMar w:header="0" w:footer="599" w:top="1140" w:bottom="780" w:left="0" w:right="0"/>
        </w:sectPr>
      </w:pPr>
    </w:p>
    <w:p>
      <w:pPr>
        <w:tabs>
          <w:tab w:pos="3163" w:val="left" w:leader="none"/>
        </w:tabs>
        <w:spacing w:before="113"/>
        <w:ind w:left="0" w:right="44" w:firstLine="0"/>
        <w:jc w:val="right"/>
        <w:rPr>
          <w:b/>
          <w:sz w:val="20"/>
        </w:rPr>
      </w:pPr>
      <w:r>
        <w:rPr/>
        <w:pict>
          <v:group style="position:absolute;margin-left:49.560001pt;margin-top:-11.130108pt;width:708.95pt;height:416.85pt;mso-position-horizontal-relative:page;mso-position-vertical-relative:paragraph;z-index:-338584" coordorigin="991,-223" coordsize="14179,8337">
            <v:shape style="position:absolute;left:991;top:-223;width:14179;height:1428" coordorigin="991,-223" coordsize="14179,1428" path="m7510,-223l7402,-223,7402,-223,3507,-223,3507,-223,3399,-223,3291,-223,3291,-223,1099,-223,1099,-223,991,-223,991,1205,3399,1205,3507,1205,7402,1205,7510,1205,7510,-223m13751,-223l13643,-223,13643,-223,12013,-223,12013,-223,11905,-223,11797,-223,11797,-223,10031,-223,10031,-223,9923,-223,9815,-223,9815,-223,7619,-223,7619,-223,7511,-223,7511,1205,7619,1205,9815,1205,9923,1205,11905,1205,13751,1205,13751,-223m15170,-223l15062,-223,15062,-223,13860,-223,13860,-223,13752,-223,13752,1205,15170,1205,15170,-223e" filled="true" fillcolor="#3ddeca" stroked="false">
              <v:path arrowok="t"/>
              <v:fill type="solid"/>
            </v:shape>
            <v:shape style="position:absolute;left:991;top:1206;width:14179;height:6909" coordorigin="991,1206" coordsize="14179,6909" path="m7510,1206l7402,1206,3507,1206,3399,1206,3291,1206,1099,1206,991,1206,991,1717,991,2538,1099,2538,3291,2538,3399,2538,7510,2538,7510,1717,7510,1206m13751,1206l13643,1206,12013,1206,11905,1206,11797,1206,10031,1206,9923,1206,9815,1206,9397,1206,9289,1206,9289,1206,9181,1206,7619,1206,7511,1206,7511,1717,7511,2538,7619,2538,9181,2538,9289,2538,9289,2538,9397,2538,9815,2538,9923,2538,9923,8114,11905,8114,13751,8114,13751,1206m15170,1206l15062,1206,13860,1206,13752,1206,13752,8114,15170,8114,15170,1206e" filled="true" fillcolor="#b4f1eb" stroked="false">
              <v:path arrowok="t"/>
              <v:fill type="solid"/>
            </v:shape>
            <v:shape style="position:absolute;left:991;top:2538;width:8932;height:821" coordorigin="991,2538" coordsize="8932,821" path="m7510,2538l7402,2538,3507,2538,3399,2538,3291,2538,1099,2538,991,2538,991,3359,3399,3359,7510,3359,7510,2538m9923,2538l9815,2538,9397,2538,9289,2538,9289,2538,9181,2538,7619,2538,7511,2538,7511,3359,7619,3359,9181,3359,9289,3359,9289,3359,9397,3359,9815,3359,9923,3359,9923,2538e" filled="true" fillcolor="#82eade" stroked="false">
              <v:path arrowok="t"/>
              <v:fill type="solid"/>
            </v:shape>
            <v:shape style="position:absolute;left:991;top:3359;width:8932;height:822" coordorigin="991,3359" coordsize="8932,822" path="m7510,3359l3399,3359,991,3359,991,4180,3399,4180,7510,4180,7510,3359m9923,3359l9289,3359,9289,3359,7511,3359,7511,4180,7619,4180,9181,4180,9289,4180,9289,4180,9397,4180,9815,4180,9923,4180,9923,3359e" filled="true" fillcolor="#b4f1eb" stroked="false">
              <v:path arrowok="t"/>
              <v:fill type="solid"/>
            </v:shape>
            <v:shape style="position:absolute;left:991;top:4180;width:8932;height:833" coordorigin="991,4180" coordsize="8932,833" path="m7510,4180l7402,4180,3507,4180,3399,4180,991,4180,991,5013,1099,5013,3291,5013,3399,5013,7510,5013,7510,4180m9923,4180l9815,4180,9397,4180,9289,4180,9289,4180,9181,4180,7619,4180,7511,4180,7511,5013,9289,5013,9289,5013,9923,5013,9923,4180e" filled="true" fillcolor="#82eade" stroked="false">
              <v:path arrowok="t"/>
              <v:fill type="solid"/>
            </v:shape>
            <v:shape style="position:absolute;left:991;top:5013;width:8932;height:833" coordorigin="991,5013" coordsize="8932,833" path="m7510,5013l7402,5013,7402,5013,3507,5013,3507,5013,3399,5013,3291,5013,1099,5013,991,5013,991,5846,1099,5846,3291,5846,3399,5846,7510,5846,7510,5013m9923,5013l9815,5013,9397,5013,9289,5013,9289,5013,9181,5013,7619,5013,7511,5013,7511,5846,9289,5846,9289,5846,9923,5846,9923,5013e" filled="true" fillcolor="#b4f1eb" stroked="false">
              <v:path arrowok="t"/>
              <v:fill type="solid"/>
            </v:shape>
            <v:shape style="position:absolute;left:991;top:5846;width:8932;height:833" coordorigin="991,5846" coordsize="8932,833" path="m7510,5846l7402,5846,3507,5846,3399,5846,3291,5846,1099,5846,991,5846,991,6678,1099,6678,3291,6678,3399,6678,7510,6678,7510,5846m9923,5846l9815,5846,9397,5846,9289,5846,9289,5846,9181,5846,7619,5846,7511,5846,7511,6678,9289,6678,9289,6678,9923,6678,9923,5846e" filled="true" fillcolor="#82eade" stroked="false">
              <v:path arrowok="t"/>
              <v:fill type="solid"/>
            </v:shape>
            <v:shape style="position:absolute;left:991;top:6679;width:8932;height:822" coordorigin="991,6679" coordsize="8932,822" path="m7510,6679l7402,6679,3507,6679,3399,6679,3291,6679,1099,6679,991,6679,991,7500,3399,7500,3507,7500,7402,7500,7510,7500,7510,6679m9923,6679l9815,6679,9397,6679,9289,6679,9289,6679,9181,6679,7619,6679,7511,6679,7511,7500,7619,7500,9181,7500,9289,7500,9289,7500,9397,7500,9815,7500,9923,7500,9923,6679e" filled="true" fillcolor="#b4f1eb" stroked="false">
              <v:path arrowok="t"/>
              <v:fill type="solid"/>
            </v:shape>
            <v:shape style="position:absolute;left:991;top:7500;width:8932;height:615" coordorigin="991,7500" coordsize="8932,615" path="m7510,7500l7402,7500,3507,7500,3399,7500,3291,7500,1099,7500,991,7500,991,8114,3399,8114,7510,8114,7510,7500m9923,7500l9289,7500,9289,7500,7511,7500,7511,8114,7619,8114,9181,8114,9289,8114,9289,8114,9397,8114,9815,8114,9923,8114,9923,7500e" filled="true" fillcolor="#82eade" stroked="false">
              <v:path arrowok="t"/>
              <v:fill type="solid"/>
            </v:shape>
            <w10:wrap type="none"/>
          </v:group>
        </w:pict>
      </w:r>
      <w:r>
        <w:rPr>
          <w:b/>
          <w:position w:val="-2"/>
          <w:sz w:val="20"/>
        </w:rPr>
        <w:t>Variable</w:t>
        <w:tab/>
      </w:r>
      <w:r>
        <w:rPr>
          <w:b/>
          <w:w w:val="95"/>
          <w:sz w:val="20"/>
        </w:rPr>
        <w:t>Definición</w:t>
      </w:r>
    </w:p>
    <w:p>
      <w:pPr>
        <w:pStyle w:val="BodyText"/>
        <w:spacing w:before="8"/>
        <w:rPr>
          <w:b/>
        </w:rPr>
      </w:pPr>
    </w:p>
    <w:p>
      <w:pPr>
        <w:spacing w:before="1"/>
        <w:ind w:left="0" w:right="0" w:firstLine="0"/>
        <w:jc w:val="right"/>
        <w:rPr>
          <w:b/>
          <w:sz w:val="20"/>
        </w:rPr>
      </w:pPr>
      <w:r>
        <w:rPr>
          <w:b/>
          <w:sz w:val="20"/>
        </w:rPr>
        <w:t>conceptual</w:t>
      </w:r>
    </w:p>
    <w:p>
      <w:pPr>
        <w:spacing w:line="568" w:lineRule="auto" w:before="113"/>
        <w:ind w:left="1805" w:right="0" w:firstLine="79"/>
        <w:jc w:val="left"/>
        <w:rPr>
          <w:b/>
          <w:sz w:val="20"/>
        </w:rPr>
      </w:pPr>
      <w:r>
        <w:rPr/>
        <w:br w:type="column"/>
      </w:r>
      <w:r>
        <w:rPr>
          <w:b/>
          <w:sz w:val="20"/>
        </w:rPr>
        <w:t>Definición </w:t>
      </w:r>
      <w:r>
        <w:rPr>
          <w:b/>
          <w:w w:val="95"/>
          <w:sz w:val="20"/>
        </w:rPr>
        <w:t>operacional</w:t>
      </w:r>
    </w:p>
    <w:p>
      <w:pPr>
        <w:spacing w:line="571" w:lineRule="auto" w:before="77"/>
        <w:ind w:left="1220" w:right="-1" w:firstLine="24"/>
        <w:jc w:val="left"/>
        <w:rPr>
          <w:b/>
          <w:sz w:val="20"/>
        </w:rPr>
      </w:pPr>
      <w:r>
        <w:rPr/>
        <w:br w:type="column"/>
      </w:r>
      <w:r>
        <w:rPr>
          <w:b/>
          <w:sz w:val="20"/>
        </w:rPr>
        <w:t>Tipo de </w:t>
      </w:r>
      <w:r>
        <w:rPr>
          <w:b/>
          <w:w w:val="95"/>
          <w:sz w:val="20"/>
        </w:rPr>
        <w:t>variable</w:t>
      </w:r>
    </w:p>
    <w:p>
      <w:pPr>
        <w:spacing w:line="571" w:lineRule="auto" w:before="77"/>
        <w:ind w:left="1059" w:right="-20" w:hanging="22"/>
        <w:jc w:val="left"/>
        <w:rPr>
          <w:b/>
          <w:sz w:val="20"/>
        </w:rPr>
      </w:pPr>
      <w:r>
        <w:rPr/>
        <w:br w:type="column"/>
      </w:r>
      <w:r>
        <w:rPr>
          <w:b/>
          <w:sz w:val="20"/>
        </w:rPr>
        <w:t>Escala de medición</w:t>
      </w:r>
    </w:p>
    <w:p>
      <w:pPr>
        <w:spacing w:line="362" w:lineRule="auto" w:before="74"/>
        <w:ind w:left="553" w:right="0" w:firstLine="196"/>
        <w:jc w:val="left"/>
        <w:rPr>
          <w:b/>
          <w:sz w:val="20"/>
        </w:rPr>
      </w:pPr>
      <w:r>
        <w:rPr/>
        <w:br w:type="column"/>
      </w:r>
      <w:r>
        <w:rPr>
          <w:b/>
          <w:sz w:val="20"/>
        </w:rPr>
        <w:t>Análisis </w:t>
      </w:r>
      <w:r>
        <w:rPr>
          <w:b/>
          <w:w w:val="95"/>
          <w:sz w:val="20"/>
        </w:rPr>
        <w:t>estadísticos</w:t>
      </w:r>
    </w:p>
    <w:p>
      <w:pPr>
        <w:spacing w:after="0" w:line="362" w:lineRule="auto"/>
        <w:jc w:val="left"/>
        <w:rPr>
          <w:sz w:val="20"/>
        </w:rPr>
        <w:sectPr>
          <w:type w:val="continuous"/>
          <w:pgSz w:w="15840" w:h="12240" w:orient="landscape"/>
          <w:pgMar w:top="1420" w:bottom="280" w:left="0" w:right="0"/>
          <w:cols w:num="5" w:equalWidth="0">
            <w:col w:w="5979" w:space="370"/>
            <w:col w:w="2926" w:space="40"/>
            <w:col w:w="1975" w:space="40"/>
            <w:col w:w="1960" w:space="40"/>
            <w:col w:w="2510"/>
          </w:cols>
        </w:sectPr>
      </w:pPr>
    </w:p>
    <w:p>
      <w:pPr>
        <w:spacing w:before="8"/>
        <w:ind w:left="1099" w:right="0" w:firstLine="0"/>
        <w:jc w:val="left"/>
        <w:rPr>
          <w:b/>
          <w:i/>
          <w:sz w:val="18"/>
        </w:rPr>
      </w:pPr>
      <w:r>
        <w:rPr>
          <w:b/>
          <w:i/>
          <w:sz w:val="18"/>
        </w:rPr>
        <w:t>Exposición a plaguicidas</w:t>
      </w:r>
    </w:p>
    <w:p>
      <w:pPr>
        <w:pStyle w:val="BodyText"/>
        <w:rPr>
          <w:b/>
          <w:i/>
          <w:sz w:val="20"/>
        </w:rPr>
      </w:pPr>
    </w:p>
    <w:p>
      <w:pPr>
        <w:spacing w:after="0"/>
        <w:rPr>
          <w:sz w:val="20"/>
        </w:rPr>
        <w:sectPr>
          <w:type w:val="continuous"/>
          <w:pgSz w:w="15840" w:h="12240" w:orient="landscape"/>
          <w:pgMar w:top="1420" w:bottom="280" w:left="0" w:right="0"/>
        </w:sectPr>
      </w:pPr>
    </w:p>
    <w:p>
      <w:pPr>
        <w:tabs>
          <w:tab w:pos="2432" w:val="left" w:leader="none"/>
          <w:tab w:pos="2899" w:val="left" w:leader="none"/>
        </w:tabs>
        <w:spacing w:line="360" w:lineRule="auto" w:before="77"/>
        <w:ind w:left="1274" w:right="0" w:hanging="142"/>
        <w:jc w:val="left"/>
        <w:rPr>
          <w:sz w:val="18"/>
        </w:rPr>
      </w:pPr>
      <w:r>
        <w:rPr>
          <w:sz w:val="18"/>
        </w:rPr>
        <w:t>-</w:t>
      </w:r>
      <w:r>
        <w:rPr>
          <w:spacing w:val="29"/>
          <w:sz w:val="18"/>
        </w:rPr>
        <w:t> </w:t>
      </w:r>
      <w:r>
        <w:rPr>
          <w:sz w:val="18"/>
        </w:rPr>
        <w:t>Residencia</w:t>
        <w:tab/>
        <w:t>en</w:t>
        <w:tab/>
        <w:t>zona</w:t>
      </w:r>
      <w:r>
        <w:rPr>
          <w:w w:val="99"/>
          <w:sz w:val="18"/>
        </w:rPr>
        <w:t> </w:t>
      </w:r>
      <w:r>
        <w:rPr>
          <w:sz w:val="18"/>
        </w:rPr>
        <w:t>florícola</w:t>
      </w:r>
    </w:p>
    <w:p>
      <w:pPr>
        <w:tabs>
          <w:tab w:pos="4953" w:val="left" w:leader="none"/>
          <w:tab w:pos="6225" w:val="left" w:leader="none"/>
        </w:tabs>
        <w:spacing w:before="77"/>
        <w:ind w:left="210" w:right="0" w:firstLine="0"/>
        <w:jc w:val="left"/>
        <w:rPr>
          <w:sz w:val="18"/>
        </w:rPr>
      </w:pPr>
      <w:r>
        <w:rPr/>
        <w:br w:type="column"/>
      </w:r>
      <w:r>
        <w:rPr>
          <w:sz w:val="18"/>
        </w:rPr>
        <w:t>Domicilio cercano a</w:t>
      </w:r>
      <w:r>
        <w:rPr>
          <w:spacing w:val="-8"/>
          <w:sz w:val="18"/>
        </w:rPr>
        <w:t> </w:t>
      </w:r>
      <w:r>
        <w:rPr>
          <w:sz w:val="18"/>
        </w:rPr>
        <w:t>un</w:t>
      </w:r>
      <w:r>
        <w:rPr>
          <w:spacing w:val="-4"/>
          <w:sz w:val="18"/>
        </w:rPr>
        <w:t> </w:t>
      </w:r>
      <w:r>
        <w:rPr>
          <w:sz w:val="18"/>
        </w:rPr>
        <w:t>invernadero.</w:t>
        <w:tab/>
        <w:t>No</w:t>
        <w:tab/>
        <w:t>0</w:t>
      </w:r>
    </w:p>
    <w:p>
      <w:pPr>
        <w:tabs>
          <w:tab w:pos="1336" w:val="right" w:leader="none"/>
        </w:tabs>
        <w:spacing w:before="102"/>
        <w:ind w:left="0" w:right="1192" w:firstLine="0"/>
        <w:jc w:val="center"/>
        <w:rPr>
          <w:sz w:val="18"/>
        </w:rPr>
      </w:pPr>
      <w:r>
        <w:rPr>
          <w:sz w:val="18"/>
        </w:rPr>
        <w:t>Si</w:t>
        <w:tab/>
        <w:t>1</w:t>
      </w:r>
    </w:p>
    <w:p>
      <w:pPr>
        <w:spacing w:after="0"/>
        <w:jc w:val="center"/>
        <w:rPr>
          <w:sz w:val="18"/>
        </w:rPr>
        <w:sectPr>
          <w:type w:val="continuous"/>
          <w:pgSz w:w="15840" w:h="12240" w:orient="landscape"/>
          <w:pgMar w:top="1420" w:bottom="280" w:left="0" w:right="0"/>
          <w:cols w:num="2" w:equalWidth="0">
            <w:col w:w="3291" w:space="40"/>
            <w:col w:w="12509"/>
          </w:cols>
        </w:sectPr>
      </w:pPr>
    </w:p>
    <w:p>
      <w:pPr>
        <w:pStyle w:val="BodyText"/>
        <w:spacing w:before="8"/>
        <w:rPr>
          <w:sz w:val="17"/>
        </w:rPr>
      </w:pPr>
    </w:p>
    <w:p>
      <w:pPr>
        <w:pStyle w:val="ListParagraph"/>
        <w:numPr>
          <w:ilvl w:val="0"/>
          <w:numId w:val="14"/>
        </w:numPr>
        <w:tabs>
          <w:tab w:pos="1275" w:val="left" w:leader="none"/>
          <w:tab w:pos="3540" w:val="left" w:leader="none"/>
          <w:tab w:pos="8283" w:val="left" w:leader="none"/>
          <w:tab w:pos="9555" w:val="left" w:leader="none"/>
        </w:tabs>
        <w:spacing w:line="240" w:lineRule="auto" w:before="0" w:after="0"/>
        <w:ind w:left="1274" w:right="0" w:hanging="175"/>
        <w:jc w:val="left"/>
        <w:rPr>
          <w:sz w:val="18"/>
        </w:rPr>
      </w:pPr>
      <w:r>
        <w:rPr>
          <w:sz w:val="18"/>
        </w:rPr>
        <w:t>Padre</w:t>
      </w:r>
      <w:r>
        <w:rPr>
          <w:spacing w:val="-2"/>
          <w:sz w:val="18"/>
        </w:rPr>
        <w:t> </w:t>
      </w:r>
      <w:r>
        <w:rPr>
          <w:sz w:val="18"/>
        </w:rPr>
        <w:t>floricultor</w:t>
        <w:tab/>
      </w:r>
      <w:r>
        <w:rPr>
          <w:position w:val="1"/>
          <w:sz w:val="18"/>
        </w:rPr>
        <w:t>Actividad laboral</w:t>
      </w:r>
      <w:r>
        <w:rPr>
          <w:spacing w:val="-5"/>
          <w:position w:val="1"/>
          <w:sz w:val="18"/>
        </w:rPr>
        <w:t> </w:t>
      </w:r>
      <w:r>
        <w:rPr>
          <w:position w:val="1"/>
          <w:sz w:val="18"/>
        </w:rPr>
        <w:t>del</w:t>
      </w:r>
      <w:r>
        <w:rPr>
          <w:spacing w:val="-2"/>
          <w:position w:val="1"/>
          <w:sz w:val="18"/>
        </w:rPr>
        <w:t> </w:t>
      </w:r>
      <w:r>
        <w:rPr>
          <w:position w:val="1"/>
          <w:sz w:val="18"/>
        </w:rPr>
        <w:t>padre.</w:t>
        <w:tab/>
        <w:t>No</w:t>
        <w:tab/>
        <w:t>0</w:t>
      </w:r>
    </w:p>
    <w:p>
      <w:pPr>
        <w:tabs>
          <w:tab w:pos="3471" w:val="right" w:leader="none"/>
        </w:tabs>
        <w:spacing w:before="89"/>
        <w:ind w:left="2135" w:right="0" w:firstLine="0"/>
        <w:jc w:val="center"/>
        <w:rPr>
          <w:sz w:val="18"/>
        </w:rPr>
      </w:pPr>
      <w:r>
        <w:rPr>
          <w:sz w:val="18"/>
        </w:rPr>
        <w:t>Si</w:t>
        <w:tab/>
        <w:t>1</w:t>
      </w:r>
    </w:p>
    <w:p>
      <w:pPr>
        <w:pStyle w:val="BodyText"/>
        <w:spacing w:before="5"/>
        <w:rPr>
          <w:sz w:val="26"/>
        </w:rPr>
      </w:pPr>
    </w:p>
    <w:p>
      <w:pPr>
        <w:pStyle w:val="ListParagraph"/>
        <w:numPr>
          <w:ilvl w:val="0"/>
          <w:numId w:val="14"/>
        </w:numPr>
        <w:tabs>
          <w:tab w:pos="1275" w:val="left" w:leader="none"/>
          <w:tab w:pos="3540" w:val="left" w:leader="none"/>
          <w:tab w:pos="8283" w:val="left" w:leader="none"/>
          <w:tab w:pos="9555" w:val="left" w:leader="none"/>
        </w:tabs>
        <w:spacing w:line="240" w:lineRule="auto" w:before="0" w:after="0"/>
        <w:ind w:left="1274" w:right="0" w:hanging="175"/>
        <w:jc w:val="left"/>
        <w:rPr>
          <w:sz w:val="18"/>
        </w:rPr>
      </w:pPr>
      <w:r>
        <w:rPr>
          <w:sz w:val="18"/>
        </w:rPr>
        <w:t>Madre</w:t>
      </w:r>
      <w:r>
        <w:rPr>
          <w:spacing w:val="-3"/>
          <w:sz w:val="18"/>
        </w:rPr>
        <w:t> </w:t>
      </w:r>
      <w:r>
        <w:rPr>
          <w:sz w:val="18"/>
        </w:rPr>
        <w:t>floricultora</w:t>
        <w:tab/>
      </w:r>
      <w:r>
        <w:rPr>
          <w:position w:val="1"/>
          <w:sz w:val="18"/>
        </w:rPr>
        <w:t>Actividad laboral de</w:t>
      </w:r>
      <w:r>
        <w:rPr>
          <w:spacing w:val="-6"/>
          <w:position w:val="1"/>
          <w:sz w:val="18"/>
        </w:rPr>
        <w:t> </w:t>
      </w:r>
      <w:r>
        <w:rPr>
          <w:position w:val="1"/>
          <w:sz w:val="18"/>
        </w:rPr>
        <w:t>la</w:t>
      </w:r>
      <w:r>
        <w:rPr>
          <w:spacing w:val="-4"/>
          <w:position w:val="1"/>
          <w:sz w:val="18"/>
        </w:rPr>
        <w:t> </w:t>
      </w:r>
      <w:r>
        <w:rPr>
          <w:position w:val="1"/>
          <w:sz w:val="18"/>
        </w:rPr>
        <w:t>madre.</w:t>
        <w:tab/>
        <w:t>No</w:t>
        <w:tab/>
        <w:t>0</w:t>
      </w:r>
    </w:p>
    <w:p>
      <w:pPr>
        <w:tabs>
          <w:tab w:pos="3471" w:val="right" w:leader="none"/>
        </w:tabs>
        <w:spacing w:before="89"/>
        <w:ind w:left="2135" w:right="0" w:firstLine="0"/>
        <w:jc w:val="center"/>
        <w:rPr>
          <w:sz w:val="18"/>
        </w:rPr>
      </w:pPr>
      <w:r>
        <w:rPr>
          <w:sz w:val="18"/>
        </w:rPr>
        <w:t>Si</w:t>
        <w:tab/>
        <w:t>1</w:t>
      </w:r>
    </w:p>
    <w:p>
      <w:pPr>
        <w:spacing w:after="0"/>
        <w:jc w:val="center"/>
        <w:rPr>
          <w:sz w:val="18"/>
        </w:rPr>
        <w:sectPr>
          <w:type w:val="continuous"/>
          <w:pgSz w:w="15840" w:h="12240" w:orient="landscape"/>
          <w:pgMar w:top="1420" w:bottom="280" w:left="0" w:right="0"/>
        </w:sectPr>
      </w:pPr>
    </w:p>
    <w:p>
      <w:pPr>
        <w:pStyle w:val="ListParagraph"/>
        <w:numPr>
          <w:ilvl w:val="0"/>
          <w:numId w:val="14"/>
        </w:numPr>
        <w:tabs>
          <w:tab w:pos="1275" w:val="left" w:leader="none"/>
          <w:tab w:pos="3049" w:val="left" w:leader="none"/>
        </w:tabs>
        <w:spacing w:line="350" w:lineRule="auto" w:before="304" w:after="0"/>
        <w:ind w:left="1274" w:right="0" w:hanging="175"/>
        <w:jc w:val="left"/>
        <w:rPr>
          <w:sz w:val="18"/>
        </w:rPr>
      </w:pPr>
      <w:r>
        <w:rPr>
          <w:sz w:val="18"/>
        </w:rPr>
        <w:t>Distancia</w:t>
        <w:tab/>
        <w:t>del</w:t>
      </w:r>
      <w:r>
        <w:rPr>
          <w:w w:val="99"/>
          <w:sz w:val="18"/>
        </w:rPr>
        <w:t> </w:t>
      </w:r>
      <w:r>
        <w:rPr>
          <w:sz w:val="18"/>
        </w:rPr>
        <w:t>invernadero</w:t>
      </w:r>
    </w:p>
    <w:p>
      <w:pPr>
        <w:pStyle w:val="ListParagraph"/>
        <w:numPr>
          <w:ilvl w:val="0"/>
          <w:numId w:val="14"/>
        </w:numPr>
        <w:tabs>
          <w:tab w:pos="1275" w:val="left" w:leader="none"/>
        </w:tabs>
        <w:spacing w:line="350" w:lineRule="auto" w:before="211" w:after="0"/>
        <w:ind w:left="1274" w:right="1" w:hanging="175"/>
        <w:jc w:val="left"/>
        <w:rPr>
          <w:sz w:val="18"/>
        </w:rPr>
      </w:pPr>
      <w:r>
        <w:rPr>
          <w:sz w:val="18"/>
        </w:rPr>
        <w:t>Actividades del niño  en el</w:t>
      </w:r>
      <w:r>
        <w:rPr>
          <w:spacing w:val="-7"/>
          <w:sz w:val="18"/>
        </w:rPr>
        <w:t> </w:t>
      </w:r>
      <w:r>
        <w:rPr>
          <w:sz w:val="18"/>
        </w:rPr>
        <w:t>invernadero</w:t>
      </w:r>
    </w:p>
    <w:p>
      <w:pPr>
        <w:pStyle w:val="BodyText"/>
        <w:spacing w:before="5"/>
        <w:rPr>
          <w:sz w:val="26"/>
        </w:rPr>
      </w:pPr>
      <w:r>
        <w:rPr/>
        <w:br w:type="column"/>
      </w:r>
      <w:r>
        <w:rPr>
          <w:sz w:val="26"/>
        </w:rPr>
      </w:r>
    </w:p>
    <w:p>
      <w:pPr>
        <w:tabs>
          <w:tab w:pos="4578" w:val="left" w:leader="none"/>
          <w:tab w:pos="6224" w:val="left" w:leader="none"/>
        </w:tabs>
        <w:spacing w:before="0"/>
        <w:ind w:left="209" w:right="0" w:firstLine="0"/>
        <w:jc w:val="left"/>
        <w:rPr>
          <w:sz w:val="18"/>
        </w:rPr>
      </w:pPr>
      <w:r>
        <w:rPr>
          <w:sz w:val="18"/>
        </w:rPr>
        <w:t>Invernadero cercano</w:t>
      </w:r>
      <w:r>
        <w:rPr>
          <w:spacing w:val="-5"/>
          <w:sz w:val="18"/>
        </w:rPr>
        <w:t> </w:t>
      </w:r>
      <w:r>
        <w:rPr>
          <w:sz w:val="18"/>
        </w:rPr>
        <w:t>al</w:t>
      </w:r>
      <w:r>
        <w:rPr>
          <w:spacing w:val="-3"/>
          <w:sz w:val="18"/>
        </w:rPr>
        <w:t> </w:t>
      </w:r>
      <w:r>
        <w:rPr>
          <w:sz w:val="18"/>
        </w:rPr>
        <w:t>hogar.</w:t>
        <w:tab/>
        <w:t>Más de</w:t>
      </w:r>
      <w:r>
        <w:rPr>
          <w:spacing w:val="-1"/>
          <w:sz w:val="18"/>
        </w:rPr>
        <w:t> </w:t>
      </w:r>
      <w:r>
        <w:rPr>
          <w:sz w:val="18"/>
        </w:rPr>
        <w:t>2km</w:t>
        <w:tab/>
        <w:t>0</w:t>
      </w:r>
    </w:p>
    <w:p>
      <w:pPr>
        <w:tabs>
          <w:tab w:pos="1677" w:val="right" w:leader="none"/>
        </w:tabs>
        <w:spacing w:before="102"/>
        <w:ind w:left="0" w:right="0" w:firstLine="0"/>
        <w:jc w:val="right"/>
        <w:rPr>
          <w:sz w:val="18"/>
        </w:rPr>
      </w:pPr>
      <w:r>
        <w:rPr>
          <w:sz w:val="18"/>
        </w:rPr>
        <w:t>50,100mts</w:t>
        <w:tab/>
        <w:t>1</w:t>
      </w:r>
    </w:p>
    <w:p>
      <w:pPr>
        <w:tabs>
          <w:tab w:pos="4952" w:val="left" w:leader="none"/>
          <w:tab w:pos="6224" w:val="left" w:leader="none"/>
        </w:tabs>
        <w:spacing w:before="316"/>
        <w:ind w:left="209" w:right="0" w:firstLine="0"/>
        <w:jc w:val="left"/>
        <w:rPr>
          <w:sz w:val="18"/>
        </w:rPr>
      </w:pPr>
      <w:r>
        <w:rPr>
          <w:sz w:val="18"/>
        </w:rPr>
        <w:t>Trabajo del niño dentro</w:t>
      </w:r>
      <w:r>
        <w:rPr>
          <w:spacing w:val="-12"/>
          <w:sz w:val="18"/>
        </w:rPr>
        <w:t> </w:t>
      </w:r>
      <w:r>
        <w:rPr>
          <w:sz w:val="18"/>
        </w:rPr>
        <w:t>del</w:t>
      </w:r>
      <w:r>
        <w:rPr>
          <w:spacing w:val="-3"/>
          <w:sz w:val="18"/>
        </w:rPr>
        <w:t> </w:t>
      </w:r>
      <w:r>
        <w:rPr>
          <w:sz w:val="18"/>
        </w:rPr>
        <w:t>invernadero.</w:t>
        <w:tab/>
        <w:t>No</w:t>
        <w:tab/>
        <w:t>0</w:t>
      </w:r>
    </w:p>
    <w:p>
      <w:pPr>
        <w:tabs>
          <w:tab w:pos="1336" w:val="right" w:leader="none"/>
        </w:tabs>
        <w:spacing w:before="102"/>
        <w:ind w:left="0" w:right="0" w:firstLine="0"/>
        <w:jc w:val="right"/>
        <w:rPr>
          <w:sz w:val="18"/>
        </w:rPr>
      </w:pPr>
      <w:r>
        <w:rPr>
          <w:sz w:val="18"/>
        </w:rPr>
        <w:t>Si</w:t>
        <w:tab/>
        <w:t>1</w:t>
      </w:r>
    </w:p>
    <w:p>
      <w:pPr>
        <w:spacing w:line="592" w:lineRule="auto" w:before="393"/>
        <w:ind w:left="887" w:right="-18" w:hanging="106"/>
        <w:jc w:val="left"/>
        <w:rPr>
          <w:sz w:val="18"/>
        </w:rPr>
      </w:pPr>
      <w:r>
        <w:rPr/>
        <w:br w:type="column"/>
      </w:r>
      <w:r>
        <w:rPr>
          <w:sz w:val="18"/>
        </w:rPr>
        <w:t>Categórica Nominal</w:t>
      </w:r>
    </w:p>
    <w:p>
      <w:pPr>
        <w:spacing w:line="482" w:lineRule="auto" w:before="400"/>
        <w:ind w:left="1231" w:right="-19" w:hanging="132"/>
        <w:jc w:val="left"/>
        <w:rPr>
          <w:sz w:val="18"/>
        </w:rPr>
      </w:pPr>
      <w:r>
        <w:rPr/>
        <w:br w:type="column"/>
      </w:r>
      <w:r>
        <w:rPr>
          <w:sz w:val="18"/>
        </w:rPr>
        <w:t>Nominal</w:t>
      </w:r>
      <w:r>
        <w:rPr>
          <w:w w:val="99"/>
          <w:sz w:val="18"/>
        </w:rPr>
        <w:t> </w:t>
      </w:r>
      <w:r>
        <w:rPr>
          <w:sz w:val="18"/>
        </w:rPr>
        <w:t>0 a 1</w:t>
      </w:r>
    </w:p>
    <w:p>
      <w:pPr>
        <w:spacing w:line="482" w:lineRule="auto" w:before="400"/>
        <w:ind w:left="791" w:right="908" w:firstLine="0"/>
        <w:jc w:val="center"/>
        <w:rPr>
          <w:sz w:val="18"/>
        </w:rPr>
      </w:pPr>
      <w:r>
        <w:rPr/>
        <w:br w:type="column"/>
      </w:r>
      <w:r>
        <w:rPr>
          <w:sz w:val="18"/>
        </w:rPr>
        <w:t>U de Mann- Whitney</w:t>
      </w:r>
    </w:p>
    <w:p>
      <w:pPr>
        <w:spacing w:after="0" w:line="482" w:lineRule="auto"/>
        <w:jc w:val="center"/>
        <w:rPr>
          <w:sz w:val="18"/>
        </w:rPr>
        <w:sectPr>
          <w:type w:val="continuous"/>
          <w:pgSz w:w="15840" w:h="12240" w:orient="landscape"/>
          <w:pgMar w:top="1420" w:bottom="280" w:left="0" w:right="0"/>
          <w:cols w:num="5" w:equalWidth="0">
            <w:col w:w="3291" w:space="40"/>
            <w:col w:w="6326" w:space="40"/>
            <w:col w:w="1654" w:space="47"/>
            <w:col w:w="1761" w:space="40"/>
            <w:col w:w="2641"/>
          </w:cols>
        </w:sectPr>
      </w:pPr>
    </w:p>
    <w:p>
      <w:pPr>
        <w:pStyle w:val="ListParagraph"/>
        <w:numPr>
          <w:ilvl w:val="0"/>
          <w:numId w:val="14"/>
        </w:numPr>
        <w:tabs>
          <w:tab w:pos="1275" w:val="left" w:leader="none"/>
          <w:tab w:pos="2513" w:val="left" w:leader="none"/>
          <w:tab w:pos="3060" w:val="left" w:leader="none"/>
        </w:tabs>
        <w:spacing w:line="240" w:lineRule="auto" w:before="211" w:after="0"/>
        <w:ind w:left="1274" w:right="0" w:hanging="175"/>
        <w:jc w:val="left"/>
        <w:rPr>
          <w:sz w:val="18"/>
        </w:rPr>
      </w:pPr>
      <w:r>
        <w:rPr>
          <w:sz w:val="18"/>
        </w:rPr>
        <w:t>Frecuencia</w:t>
        <w:tab/>
        <w:t>de</w:t>
        <w:tab/>
        <w:t>las</w:t>
      </w:r>
    </w:p>
    <w:p>
      <w:pPr>
        <w:tabs>
          <w:tab w:pos="3540" w:val="left" w:leader="none"/>
        </w:tabs>
        <w:spacing w:before="15"/>
        <w:ind w:left="1274" w:right="0" w:firstLine="0"/>
        <w:jc w:val="left"/>
        <w:rPr>
          <w:sz w:val="18"/>
        </w:rPr>
      </w:pPr>
      <w:r>
        <w:rPr>
          <w:position w:val="-8"/>
          <w:sz w:val="18"/>
        </w:rPr>
        <w:t>actividades</w:t>
        <w:tab/>
      </w:r>
      <w:r>
        <w:rPr>
          <w:sz w:val="18"/>
        </w:rPr>
        <w:t>Días laborales de los niños en el</w:t>
      </w:r>
      <w:r>
        <w:rPr>
          <w:spacing w:val="-20"/>
          <w:sz w:val="18"/>
        </w:rPr>
        <w:t> </w:t>
      </w:r>
      <w:r>
        <w:rPr>
          <w:sz w:val="18"/>
        </w:rPr>
        <w:t>invernadero.</w:t>
      </w:r>
    </w:p>
    <w:p>
      <w:pPr>
        <w:tabs>
          <w:tab w:pos="2324" w:val="left" w:leader="none"/>
        </w:tabs>
        <w:spacing w:before="211"/>
        <w:ind w:left="660" w:right="0" w:firstLine="0"/>
        <w:jc w:val="left"/>
        <w:rPr>
          <w:sz w:val="18"/>
        </w:rPr>
      </w:pPr>
      <w:r>
        <w:rPr/>
        <w:br w:type="column"/>
      </w:r>
      <w:r>
        <w:rPr>
          <w:sz w:val="18"/>
        </w:rPr>
        <w:t>1 vez</w:t>
      </w:r>
      <w:r>
        <w:rPr>
          <w:spacing w:val="-3"/>
          <w:sz w:val="18"/>
        </w:rPr>
        <w:t> </w:t>
      </w:r>
      <w:r>
        <w:rPr>
          <w:sz w:val="18"/>
        </w:rPr>
        <w:t>al</w:t>
      </w:r>
      <w:r>
        <w:rPr>
          <w:spacing w:val="-1"/>
          <w:sz w:val="18"/>
        </w:rPr>
        <w:t> </w:t>
      </w:r>
      <w:r>
        <w:rPr>
          <w:sz w:val="18"/>
        </w:rPr>
        <w:t>mes</w:t>
        <w:tab/>
        <w:t>0</w:t>
      </w:r>
    </w:p>
    <w:p>
      <w:pPr>
        <w:tabs>
          <w:tab w:pos="2424" w:val="right" w:leader="none"/>
        </w:tabs>
        <w:spacing w:before="102"/>
        <w:ind w:left="641" w:right="0" w:firstLine="0"/>
        <w:jc w:val="left"/>
        <w:rPr>
          <w:sz w:val="18"/>
        </w:rPr>
      </w:pPr>
      <w:r>
        <w:rPr>
          <w:sz w:val="18"/>
        </w:rPr>
        <w:t>Diario/3xsem</w:t>
        <w:tab/>
        <w:t>1</w:t>
      </w:r>
    </w:p>
    <w:p>
      <w:pPr>
        <w:spacing w:after="0"/>
        <w:jc w:val="left"/>
        <w:rPr>
          <w:sz w:val="18"/>
        </w:rPr>
        <w:sectPr>
          <w:type w:val="continuous"/>
          <w:pgSz w:w="15840" w:h="12240" w:orient="landscape"/>
          <w:pgMar w:top="1420" w:bottom="280" w:left="0" w:right="0"/>
          <w:cols w:num="2" w:equalWidth="0">
            <w:col w:w="7192" w:space="40"/>
            <w:col w:w="8608"/>
          </w:cols>
        </w:sectPr>
      </w:pPr>
    </w:p>
    <w:p>
      <w:pPr>
        <w:pStyle w:val="ListParagraph"/>
        <w:numPr>
          <w:ilvl w:val="0"/>
          <w:numId w:val="15"/>
        </w:numPr>
        <w:tabs>
          <w:tab w:pos="1275" w:val="left" w:leader="none"/>
          <w:tab w:pos="3506" w:val="left" w:leader="none"/>
          <w:tab w:pos="8283" w:val="left" w:leader="none"/>
          <w:tab w:pos="9555" w:val="left" w:leader="none"/>
        </w:tabs>
        <w:spacing w:line="240" w:lineRule="auto" w:before="301" w:after="0"/>
        <w:ind w:left="1274" w:right="0" w:hanging="175"/>
        <w:jc w:val="left"/>
        <w:rPr>
          <w:rFonts w:ascii="Symbol" w:hAnsi="Symbol"/>
          <w:sz w:val="18"/>
        </w:rPr>
      </w:pPr>
      <w:r>
        <w:rPr>
          <w:sz w:val="18"/>
        </w:rPr>
        <w:t>Uso</w:t>
      </w:r>
      <w:r>
        <w:rPr>
          <w:spacing w:val="-2"/>
          <w:sz w:val="18"/>
        </w:rPr>
        <w:t> </w:t>
      </w:r>
      <w:r>
        <w:rPr>
          <w:sz w:val="18"/>
        </w:rPr>
        <w:t>de</w:t>
      </w:r>
      <w:r>
        <w:rPr>
          <w:spacing w:val="-4"/>
          <w:sz w:val="18"/>
        </w:rPr>
        <w:t> </w:t>
      </w:r>
      <w:r>
        <w:rPr>
          <w:sz w:val="18"/>
        </w:rPr>
        <w:t>plaguicidas</w:t>
        <w:tab/>
      </w:r>
      <w:r>
        <w:rPr>
          <w:position w:val="1"/>
          <w:sz w:val="18"/>
        </w:rPr>
        <w:t>Manipulación de los agroquímicos por  </w:t>
      </w:r>
      <w:r>
        <w:rPr>
          <w:spacing w:val="10"/>
          <w:position w:val="1"/>
          <w:sz w:val="18"/>
        </w:rPr>
        <w:t> </w:t>
      </w:r>
      <w:r>
        <w:rPr>
          <w:position w:val="1"/>
          <w:sz w:val="18"/>
        </w:rPr>
        <w:t>parte</w:t>
      </w:r>
      <w:r>
        <w:rPr>
          <w:spacing w:val="22"/>
          <w:position w:val="1"/>
          <w:sz w:val="18"/>
        </w:rPr>
        <w:t> </w:t>
      </w:r>
      <w:r>
        <w:rPr>
          <w:position w:val="1"/>
          <w:sz w:val="18"/>
        </w:rPr>
        <w:t>de</w:t>
        <w:tab/>
        <w:t>No</w:t>
        <w:tab/>
        <w:t>0</w:t>
      </w:r>
    </w:p>
    <w:p>
      <w:pPr>
        <w:tabs>
          <w:tab w:pos="8319" w:val="left" w:leader="none"/>
          <w:tab w:pos="9655" w:val="right" w:leader="none"/>
        </w:tabs>
        <w:spacing w:before="91"/>
        <w:ind w:left="3506" w:right="0" w:firstLine="0"/>
        <w:jc w:val="left"/>
        <w:rPr>
          <w:sz w:val="18"/>
        </w:rPr>
      </w:pPr>
      <w:r>
        <w:rPr>
          <w:sz w:val="18"/>
        </w:rPr>
        <w:t>los</w:t>
      </w:r>
      <w:r>
        <w:rPr>
          <w:spacing w:val="-2"/>
          <w:sz w:val="18"/>
        </w:rPr>
        <w:t> </w:t>
      </w:r>
      <w:r>
        <w:rPr>
          <w:sz w:val="18"/>
        </w:rPr>
        <w:t>niños.</w:t>
        <w:tab/>
        <w:t>Si</w:t>
        <w:tab/>
        <w:t>1</w:t>
      </w:r>
    </w:p>
    <w:p>
      <w:pPr>
        <w:pStyle w:val="ListParagraph"/>
        <w:numPr>
          <w:ilvl w:val="0"/>
          <w:numId w:val="15"/>
        </w:numPr>
        <w:tabs>
          <w:tab w:pos="1275" w:val="left" w:leader="none"/>
          <w:tab w:pos="3506" w:val="left" w:leader="none"/>
          <w:tab w:pos="8283" w:val="left" w:leader="none"/>
          <w:tab w:pos="9555" w:val="left" w:leader="none"/>
        </w:tabs>
        <w:spacing w:line="215" w:lineRule="exact" w:before="301" w:after="0"/>
        <w:ind w:left="1274" w:right="0" w:hanging="175"/>
        <w:jc w:val="left"/>
        <w:rPr>
          <w:rFonts w:ascii="Symbol" w:hAnsi="Symbol"/>
          <w:sz w:val="18"/>
        </w:rPr>
      </w:pPr>
      <w:r>
        <w:rPr>
          <w:sz w:val="18"/>
        </w:rPr>
        <w:t>Aseo</w:t>
      </w:r>
      <w:r>
        <w:rPr>
          <w:spacing w:val="-1"/>
          <w:sz w:val="18"/>
        </w:rPr>
        <w:t> </w:t>
      </w:r>
      <w:r>
        <w:rPr>
          <w:sz w:val="18"/>
        </w:rPr>
        <w:t>del</w:t>
      </w:r>
      <w:r>
        <w:rPr>
          <w:spacing w:val="-3"/>
          <w:sz w:val="18"/>
        </w:rPr>
        <w:t> </w:t>
      </w:r>
      <w:r>
        <w:rPr>
          <w:sz w:val="18"/>
        </w:rPr>
        <w:t>niño</w:t>
        <w:tab/>
      </w:r>
      <w:r>
        <w:rPr>
          <w:position w:val="1"/>
          <w:sz w:val="18"/>
        </w:rPr>
        <w:t>Higiene del niño después de su</w:t>
      </w:r>
      <w:r>
        <w:rPr>
          <w:spacing w:val="-12"/>
          <w:position w:val="1"/>
          <w:sz w:val="18"/>
        </w:rPr>
        <w:t> </w:t>
      </w:r>
      <w:r>
        <w:rPr>
          <w:position w:val="1"/>
          <w:sz w:val="18"/>
        </w:rPr>
        <w:t>día</w:t>
      </w:r>
      <w:r>
        <w:rPr>
          <w:spacing w:val="-4"/>
          <w:position w:val="1"/>
          <w:sz w:val="18"/>
        </w:rPr>
        <w:t> </w:t>
      </w:r>
      <w:r>
        <w:rPr>
          <w:position w:val="1"/>
          <w:sz w:val="18"/>
        </w:rPr>
        <w:t>laboral.</w:t>
        <w:tab/>
        <w:t>No</w:t>
        <w:tab/>
        <w:t>0</w:t>
      </w:r>
    </w:p>
    <w:p>
      <w:pPr>
        <w:tabs>
          <w:tab w:pos="3471" w:val="right" w:leader="none"/>
        </w:tabs>
        <w:spacing w:line="201" w:lineRule="exact" w:before="0"/>
        <w:ind w:left="2135" w:right="0" w:firstLine="0"/>
        <w:jc w:val="center"/>
        <w:rPr>
          <w:sz w:val="18"/>
        </w:rPr>
      </w:pPr>
      <w:r>
        <w:rPr>
          <w:sz w:val="18"/>
        </w:rPr>
        <w:t>Si</w:t>
        <w:tab/>
        <w:t>1</w:t>
      </w:r>
    </w:p>
    <w:p>
      <w:pPr>
        <w:spacing w:after="0" w:line="201" w:lineRule="exact"/>
        <w:jc w:val="center"/>
        <w:rPr>
          <w:sz w:val="18"/>
        </w:rPr>
        <w:sectPr>
          <w:type w:val="continuous"/>
          <w:pgSz w:w="15840" w:h="12240" w:orient="landscape"/>
          <w:pgMar w:top="1420" w:bottom="280" w:left="0" w:right="0"/>
        </w:sectPr>
      </w:pPr>
    </w:p>
    <w:p>
      <w:pPr>
        <w:pStyle w:val="Heading4"/>
        <w:spacing w:before="276"/>
        <w:ind w:left="2167"/>
      </w:pPr>
      <w:r>
        <w:rPr>
          <w:rFonts w:ascii="Courier New" w:hAnsi="Courier New"/>
          <w:sz w:val="32"/>
        </w:rPr>
        <w:t>ͽ </w:t>
      </w:r>
      <w:r>
        <w:rPr/>
        <w:t>Variables independientes</w:t>
      </w:r>
    </w:p>
    <w:p>
      <w:pPr>
        <w:pStyle w:val="BodyText"/>
        <w:rPr>
          <w:b/>
          <w:sz w:val="20"/>
        </w:rPr>
      </w:pPr>
    </w:p>
    <w:p>
      <w:pPr>
        <w:pStyle w:val="BodyText"/>
        <w:spacing w:before="7"/>
        <w:rPr>
          <w:b/>
          <w:sz w:val="29"/>
        </w:rPr>
      </w:pPr>
    </w:p>
    <w:tbl>
      <w:tblPr>
        <w:tblW w:w="0" w:type="auto"/>
        <w:jc w:val="left"/>
        <w:tblInd w:w="109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03"/>
        <w:gridCol w:w="4266"/>
        <w:gridCol w:w="1674"/>
        <w:gridCol w:w="572"/>
        <w:gridCol w:w="1994"/>
        <w:gridCol w:w="1844"/>
        <w:gridCol w:w="1526"/>
      </w:tblGrid>
      <w:tr>
        <w:trPr>
          <w:trHeight w:val="1226" w:hRule="exact"/>
        </w:trPr>
        <w:tc>
          <w:tcPr>
            <w:tcW w:w="2303" w:type="dxa"/>
            <w:shd w:val="clear" w:color="auto" w:fill="40EDDD"/>
          </w:tcPr>
          <w:p>
            <w:pPr>
              <w:pStyle w:val="TableParagraph"/>
              <w:spacing w:before="542"/>
              <w:ind w:left="734" w:right="228"/>
              <w:jc w:val="left"/>
              <w:rPr>
                <w:b/>
                <w:sz w:val="20"/>
              </w:rPr>
            </w:pPr>
            <w:r>
              <w:rPr>
                <w:b/>
                <w:sz w:val="20"/>
              </w:rPr>
              <w:t>Factores</w:t>
            </w:r>
          </w:p>
        </w:tc>
        <w:tc>
          <w:tcPr>
            <w:tcW w:w="4266" w:type="dxa"/>
            <w:shd w:val="clear" w:color="auto" w:fill="40EDDD"/>
          </w:tcPr>
          <w:p>
            <w:pPr>
              <w:pStyle w:val="TableParagraph"/>
              <w:spacing w:before="6"/>
              <w:jc w:val="left"/>
              <w:rPr>
                <w:b/>
                <w:sz w:val="29"/>
              </w:rPr>
            </w:pPr>
          </w:p>
          <w:p>
            <w:pPr>
              <w:pStyle w:val="TableParagraph"/>
              <w:spacing w:line="357" w:lineRule="auto" w:before="1"/>
              <w:ind w:left="1528" w:right="1683" w:firstLine="1"/>
              <w:rPr>
                <w:b/>
                <w:sz w:val="20"/>
              </w:rPr>
            </w:pPr>
            <w:r>
              <w:rPr>
                <w:b/>
                <w:sz w:val="20"/>
              </w:rPr>
              <w:t>Definición </w:t>
            </w:r>
            <w:r>
              <w:rPr>
                <w:b/>
                <w:w w:val="95"/>
                <w:sz w:val="20"/>
              </w:rPr>
              <w:t>conceptual</w:t>
            </w:r>
          </w:p>
        </w:tc>
        <w:tc>
          <w:tcPr>
            <w:tcW w:w="1674" w:type="dxa"/>
            <w:shd w:val="clear" w:color="auto" w:fill="40EDDD"/>
          </w:tcPr>
          <w:p>
            <w:pPr>
              <w:pStyle w:val="TableParagraph"/>
              <w:spacing w:before="11"/>
              <w:jc w:val="left"/>
              <w:rPr>
                <w:b/>
                <w:sz w:val="28"/>
              </w:rPr>
            </w:pPr>
          </w:p>
          <w:p>
            <w:pPr>
              <w:pStyle w:val="TableParagraph"/>
              <w:spacing w:line="360" w:lineRule="auto" w:before="0"/>
              <w:ind w:left="488" w:firstLine="79"/>
              <w:jc w:val="left"/>
              <w:rPr>
                <w:b/>
                <w:sz w:val="20"/>
              </w:rPr>
            </w:pPr>
            <w:r>
              <w:rPr>
                <w:b/>
                <w:sz w:val="20"/>
              </w:rPr>
              <w:t>Definición </w:t>
            </w:r>
            <w:r>
              <w:rPr>
                <w:b/>
                <w:w w:val="95"/>
                <w:sz w:val="20"/>
              </w:rPr>
              <w:t>operacional</w:t>
            </w:r>
          </w:p>
        </w:tc>
        <w:tc>
          <w:tcPr>
            <w:tcW w:w="572" w:type="dxa"/>
            <w:shd w:val="clear" w:color="auto" w:fill="40EDDD"/>
          </w:tcPr>
          <w:p>
            <w:pPr/>
          </w:p>
        </w:tc>
        <w:tc>
          <w:tcPr>
            <w:tcW w:w="1994" w:type="dxa"/>
            <w:shd w:val="clear" w:color="auto" w:fill="40EDDD"/>
          </w:tcPr>
          <w:p>
            <w:pPr>
              <w:pStyle w:val="TableParagraph"/>
              <w:spacing w:before="11"/>
              <w:jc w:val="left"/>
              <w:rPr>
                <w:b/>
                <w:sz w:val="28"/>
              </w:rPr>
            </w:pPr>
          </w:p>
          <w:p>
            <w:pPr>
              <w:pStyle w:val="TableParagraph"/>
              <w:spacing w:line="360" w:lineRule="auto" w:before="0"/>
              <w:ind w:left="626" w:firstLine="21"/>
              <w:jc w:val="left"/>
              <w:rPr>
                <w:b/>
                <w:sz w:val="20"/>
              </w:rPr>
            </w:pPr>
            <w:r>
              <w:rPr>
                <w:b/>
                <w:sz w:val="20"/>
              </w:rPr>
              <w:t>Tipo de </w:t>
            </w:r>
            <w:r>
              <w:rPr>
                <w:b/>
                <w:w w:val="95"/>
                <w:sz w:val="20"/>
              </w:rPr>
              <w:t>variable</w:t>
            </w:r>
          </w:p>
        </w:tc>
        <w:tc>
          <w:tcPr>
            <w:tcW w:w="1844" w:type="dxa"/>
            <w:shd w:val="clear" w:color="auto" w:fill="40EDDD"/>
          </w:tcPr>
          <w:p>
            <w:pPr>
              <w:pStyle w:val="TableParagraph"/>
              <w:spacing w:before="11"/>
              <w:jc w:val="left"/>
              <w:rPr>
                <w:b/>
                <w:sz w:val="28"/>
              </w:rPr>
            </w:pPr>
          </w:p>
          <w:p>
            <w:pPr>
              <w:pStyle w:val="TableParagraph"/>
              <w:spacing w:line="360" w:lineRule="auto" w:before="0"/>
              <w:ind w:left="482" w:right="440" w:hanging="22"/>
              <w:jc w:val="left"/>
              <w:rPr>
                <w:b/>
                <w:sz w:val="20"/>
              </w:rPr>
            </w:pPr>
            <w:r>
              <w:rPr>
                <w:b/>
                <w:sz w:val="20"/>
              </w:rPr>
              <w:t>Escala de medición</w:t>
            </w:r>
          </w:p>
        </w:tc>
        <w:tc>
          <w:tcPr>
            <w:tcW w:w="1526" w:type="dxa"/>
            <w:shd w:val="clear" w:color="auto" w:fill="40EDDD"/>
          </w:tcPr>
          <w:p>
            <w:pPr>
              <w:pStyle w:val="TableParagraph"/>
              <w:spacing w:before="11"/>
              <w:jc w:val="left"/>
              <w:rPr>
                <w:b/>
                <w:sz w:val="28"/>
              </w:rPr>
            </w:pPr>
          </w:p>
          <w:p>
            <w:pPr>
              <w:pStyle w:val="TableParagraph"/>
              <w:spacing w:line="360" w:lineRule="auto" w:before="0"/>
              <w:ind w:left="182" w:firstLine="196"/>
              <w:jc w:val="left"/>
              <w:rPr>
                <w:b/>
                <w:sz w:val="20"/>
              </w:rPr>
            </w:pPr>
            <w:r>
              <w:rPr>
                <w:b/>
                <w:sz w:val="20"/>
              </w:rPr>
              <w:t>Análisis </w:t>
            </w:r>
            <w:r>
              <w:rPr>
                <w:b/>
                <w:w w:val="95"/>
                <w:sz w:val="20"/>
              </w:rPr>
              <w:t>estadísticos</w:t>
            </w:r>
          </w:p>
        </w:tc>
      </w:tr>
      <w:tr>
        <w:trPr>
          <w:trHeight w:val="274" w:hRule="exact"/>
        </w:trPr>
        <w:tc>
          <w:tcPr>
            <w:tcW w:w="2303" w:type="dxa"/>
            <w:shd w:val="clear" w:color="auto" w:fill="B4F1EB"/>
          </w:tcPr>
          <w:p>
            <w:pPr>
              <w:pStyle w:val="TableParagraph"/>
              <w:numPr>
                <w:ilvl w:val="0"/>
                <w:numId w:val="16"/>
              </w:numPr>
              <w:tabs>
                <w:tab w:pos="284" w:val="left" w:leader="none"/>
              </w:tabs>
              <w:spacing w:line="219" w:lineRule="exact" w:before="0" w:after="0"/>
              <w:ind w:left="283" w:right="0" w:hanging="175"/>
              <w:jc w:val="left"/>
              <w:rPr>
                <w:sz w:val="18"/>
              </w:rPr>
            </w:pPr>
            <w:r>
              <w:rPr>
                <w:sz w:val="18"/>
              </w:rPr>
              <w:t>Lugar de la ropa  usada</w:t>
            </w:r>
          </w:p>
        </w:tc>
        <w:tc>
          <w:tcPr>
            <w:tcW w:w="4266" w:type="dxa"/>
            <w:shd w:val="clear" w:color="auto" w:fill="B4F1EB"/>
          </w:tcPr>
          <w:p>
            <w:pPr>
              <w:pStyle w:val="TableParagraph"/>
              <w:spacing w:line="206" w:lineRule="exact" w:before="0"/>
              <w:ind w:left="109"/>
              <w:jc w:val="left"/>
              <w:rPr>
                <w:sz w:val="18"/>
              </w:rPr>
            </w:pPr>
            <w:r>
              <w:rPr>
                <w:sz w:val="18"/>
              </w:rPr>
              <w:t>Sitio donde se coloca la ropa contaminada de</w:t>
            </w:r>
          </w:p>
        </w:tc>
        <w:tc>
          <w:tcPr>
            <w:tcW w:w="1674" w:type="dxa"/>
            <w:shd w:val="clear" w:color="auto" w:fill="B4F1EB"/>
          </w:tcPr>
          <w:p>
            <w:pPr>
              <w:pStyle w:val="TableParagraph"/>
              <w:spacing w:line="206" w:lineRule="exact" w:before="0"/>
              <w:ind w:left="250"/>
              <w:jc w:val="left"/>
              <w:rPr>
                <w:sz w:val="18"/>
              </w:rPr>
            </w:pPr>
            <w:r>
              <w:rPr>
                <w:sz w:val="18"/>
              </w:rPr>
              <w:t>Fuera de casa</w:t>
            </w:r>
          </w:p>
        </w:tc>
        <w:tc>
          <w:tcPr>
            <w:tcW w:w="572" w:type="dxa"/>
            <w:shd w:val="clear" w:color="auto" w:fill="B4F1EB"/>
          </w:tcPr>
          <w:p>
            <w:pPr>
              <w:pStyle w:val="TableParagraph"/>
              <w:spacing w:line="206" w:lineRule="exact" w:before="0"/>
              <w:ind w:left="79"/>
              <w:jc w:val="left"/>
              <w:rPr>
                <w:sz w:val="18"/>
              </w:rPr>
            </w:pPr>
            <w:r>
              <w:rPr>
                <w:w w:val="99"/>
                <w:sz w:val="18"/>
              </w:rPr>
              <w:t>0</w:t>
            </w:r>
          </w:p>
        </w:tc>
        <w:tc>
          <w:tcPr>
            <w:tcW w:w="1994" w:type="dxa"/>
            <w:tcBorders>
              <w:right w:val="single" w:sz="4" w:space="0" w:color="A7F7EE"/>
            </w:tcBorders>
            <w:shd w:val="clear" w:color="auto" w:fill="B4F1EB"/>
          </w:tcPr>
          <w:p>
            <w:pPr/>
          </w:p>
        </w:tc>
        <w:tc>
          <w:tcPr>
            <w:tcW w:w="1844" w:type="dxa"/>
            <w:tcBorders>
              <w:left w:val="single" w:sz="4" w:space="0" w:color="A7F7EE"/>
              <w:right w:val="single" w:sz="4" w:space="0" w:color="A7F7EE"/>
            </w:tcBorders>
            <w:shd w:val="clear" w:color="auto" w:fill="B4F1EB"/>
          </w:tcPr>
          <w:p>
            <w:pPr/>
          </w:p>
        </w:tc>
        <w:tc>
          <w:tcPr>
            <w:tcW w:w="1526" w:type="dxa"/>
            <w:tcBorders>
              <w:left w:val="single" w:sz="4" w:space="0" w:color="A7F7EE"/>
            </w:tcBorders>
            <w:shd w:val="clear" w:color="auto" w:fill="B4F1EB"/>
          </w:tcPr>
          <w:p>
            <w:pPr/>
          </w:p>
        </w:tc>
      </w:tr>
      <w:tr>
        <w:trPr>
          <w:trHeight w:val="383" w:hRule="exact"/>
        </w:trPr>
        <w:tc>
          <w:tcPr>
            <w:tcW w:w="2303" w:type="dxa"/>
            <w:shd w:val="clear" w:color="auto" w:fill="B4F1EB"/>
          </w:tcPr>
          <w:p>
            <w:pPr>
              <w:pStyle w:val="TableParagraph"/>
              <w:spacing w:before="49"/>
              <w:ind w:left="283" w:right="228"/>
              <w:jc w:val="left"/>
              <w:rPr>
                <w:sz w:val="18"/>
              </w:rPr>
            </w:pPr>
            <w:r>
              <w:rPr>
                <w:sz w:val="18"/>
              </w:rPr>
              <w:t>en el invernadero</w:t>
            </w:r>
          </w:p>
        </w:tc>
        <w:tc>
          <w:tcPr>
            <w:tcW w:w="4266" w:type="dxa"/>
            <w:shd w:val="clear" w:color="auto" w:fill="B4F1EB"/>
          </w:tcPr>
          <w:p>
            <w:pPr>
              <w:pStyle w:val="TableParagraph"/>
              <w:spacing w:before="37"/>
              <w:ind w:left="109"/>
              <w:jc w:val="left"/>
              <w:rPr>
                <w:sz w:val="18"/>
              </w:rPr>
            </w:pPr>
            <w:r>
              <w:rPr>
                <w:sz w:val="18"/>
              </w:rPr>
              <w:t>una jornada de trabajo.</w:t>
            </w:r>
          </w:p>
        </w:tc>
        <w:tc>
          <w:tcPr>
            <w:tcW w:w="1674" w:type="dxa"/>
            <w:shd w:val="clear" w:color="auto" w:fill="B4F1EB"/>
          </w:tcPr>
          <w:p>
            <w:pPr>
              <w:pStyle w:val="TableParagraph"/>
              <w:spacing w:before="37"/>
              <w:ind w:left="264"/>
              <w:jc w:val="left"/>
              <w:rPr>
                <w:sz w:val="18"/>
              </w:rPr>
            </w:pPr>
            <w:r>
              <w:rPr>
                <w:sz w:val="18"/>
              </w:rPr>
              <w:t>Dentro de casa</w:t>
            </w:r>
          </w:p>
        </w:tc>
        <w:tc>
          <w:tcPr>
            <w:tcW w:w="572" w:type="dxa"/>
            <w:shd w:val="clear" w:color="auto" w:fill="B4F1EB"/>
          </w:tcPr>
          <w:p>
            <w:pPr>
              <w:pStyle w:val="TableParagraph"/>
              <w:spacing w:before="37"/>
              <w:ind w:left="65"/>
              <w:jc w:val="left"/>
              <w:rPr>
                <w:sz w:val="18"/>
              </w:rPr>
            </w:pPr>
            <w:r>
              <w:rPr>
                <w:w w:val="99"/>
                <w:sz w:val="18"/>
              </w:rPr>
              <w:t>1</w:t>
            </w:r>
          </w:p>
        </w:tc>
        <w:tc>
          <w:tcPr>
            <w:tcW w:w="1994" w:type="dxa"/>
            <w:tcBorders>
              <w:right w:val="single" w:sz="4" w:space="0" w:color="A7F7EE"/>
            </w:tcBorders>
            <w:shd w:val="clear" w:color="auto" w:fill="B4F1EB"/>
          </w:tcPr>
          <w:p>
            <w:pPr/>
          </w:p>
        </w:tc>
        <w:tc>
          <w:tcPr>
            <w:tcW w:w="1844" w:type="dxa"/>
            <w:tcBorders>
              <w:left w:val="single" w:sz="4" w:space="0" w:color="A7F7EE"/>
              <w:right w:val="single" w:sz="4" w:space="0" w:color="A7F7EE"/>
            </w:tcBorders>
            <w:shd w:val="clear" w:color="auto" w:fill="B4F1EB"/>
          </w:tcPr>
          <w:p>
            <w:pPr/>
          </w:p>
        </w:tc>
        <w:tc>
          <w:tcPr>
            <w:tcW w:w="1526" w:type="dxa"/>
            <w:tcBorders>
              <w:left w:val="single" w:sz="4" w:space="0" w:color="A7F7EE"/>
            </w:tcBorders>
            <w:shd w:val="clear" w:color="auto" w:fill="B4F1EB"/>
          </w:tcPr>
          <w:p>
            <w:pPr/>
          </w:p>
        </w:tc>
      </w:tr>
      <w:tr>
        <w:trPr>
          <w:trHeight w:val="178" w:hRule="exact"/>
        </w:trPr>
        <w:tc>
          <w:tcPr>
            <w:tcW w:w="2303" w:type="dxa"/>
            <w:shd w:val="clear" w:color="auto" w:fill="B4F1EB"/>
          </w:tcPr>
          <w:p>
            <w:pPr/>
          </w:p>
        </w:tc>
        <w:tc>
          <w:tcPr>
            <w:tcW w:w="4266" w:type="dxa"/>
            <w:shd w:val="clear" w:color="auto" w:fill="B4F1EB"/>
          </w:tcPr>
          <w:p>
            <w:pPr/>
          </w:p>
        </w:tc>
        <w:tc>
          <w:tcPr>
            <w:tcW w:w="1674" w:type="dxa"/>
            <w:shd w:val="clear" w:color="auto" w:fill="B4F1EB"/>
          </w:tcPr>
          <w:p>
            <w:pPr/>
          </w:p>
        </w:tc>
        <w:tc>
          <w:tcPr>
            <w:tcW w:w="572" w:type="dxa"/>
            <w:shd w:val="clear" w:color="auto" w:fill="B4F1EB"/>
          </w:tcPr>
          <w:p>
            <w:pPr/>
          </w:p>
        </w:tc>
        <w:tc>
          <w:tcPr>
            <w:tcW w:w="1994" w:type="dxa"/>
            <w:vMerge w:val="restart"/>
            <w:tcBorders>
              <w:right w:val="single" w:sz="4" w:space="0" w:color="A7F7EE"/>
            </w:tcBorders>
            <w:shd w:val="clear" w:color="auto" w:fill="B4F1EB"/>
          </w:tcPr>
          <w:p>
            <w:pPr>
              <w:pStyle w:val="TableParagraph"/>
              <w:spacing w:before="122"/>
              <w:ind w:left="561"/>
              <w:jc w:val="left"/>
              <w:rPr>
                <w:sz w:val="18"/>
              </w:rPr>
            </w:pPr>
            <w:r>
              <w:rPr>
                <w:sz w:val="18"/>
              </w:rPr>
              <w:t>Categórica</w:t>
            </w:r>
          </w:p>
        </w:tc>
        <w:tc>
          <w:tcPr>
            <w:tcW w:w="1844" w:type="dxa"/>
            <w:vMerge w:val="restart"/>
            <w:tcBorders>
              <w:left w:val="single" w:sz="4" w:space="0" w:color="A7F7EE"/>
              <w:right w:val="single" w:sz="4" w:space="0" w:color="A7F7EE"/>
            </w:tcBorders>
            <w:shd w:val="clear" w:color="auto" w:fill="B4F1EB"/>
          </w:tcPr>
          <w:p>
            <w:pPr>
              <w:pStyle w:val="TableParagraph"/>
              <w:spacing w:before="122"/>
              <w:ind w:left="586"/>
              <w:jc w:val="left"/>
              <w:rPr>
                <w:sz w:val="18"/>
              </w:rPr>
            </w:pPr>
            <w:r>
              <w:rPr>
                <w:sz w:val="18"/>
              </w:rPr>
              <w:t>Nominal</w:t>
            </w:r>
          </w:p>
        </w:tc>
        <w:tc>
          <w:tcPr>
            <w:tcW w:w="1526" w:type="dxa"/>
            <w:vMerge w:val="restart"/>
            <w:tcBorders>
              <w:left w:val="single" w:sz="4" w:space="0" w:color="A7F7EE"/>
            </w:tcBorders>
            <w:shd w:val="clear" w:color="auto" w:fill="B4F1EB"/>
          </w:tcPr>
          <w:p>
            <w:pPr>
              <w:pStyle w:val="TableParagraph"/>
              <w:spacing w:before="108"/>
              <w:ind w:left="285"/>
              <w:jc w:val="left"/>
              <w:rPr>
                <w:sz w:val="18"/>
              </w:rPr>
            </w:pPr>
            <w:r>
              <w:rPr>
                <w:sz w:val="18"/>
              </w:rPr>
              <w:t>U de Mann-</w:t>
            </w:r>
          </w:p>
        </w:tc>
      </w:tr>
      <w:tr>
        <w:trPr>
          <w:trHeight w:val="257" w:hRule="exact"/>
        </w:trPr>
        <w:tc>
          <w:tcPr>
            <w:tcW w:w="2303" w:type="dxa"/>
            <w:shd w:val="clear" w:color="auto" w:fill="82EADE"/>
          </w:tcPr>
          <w:p>
            <w:pPr>
              <w:pStyle w:val="TableParagraph"/>
              <w:numPr>
                <w:ilvl w:val="0"/>
                <w:numId w:val="17"/>
              </w:numPr>
              <w:tabs>
                <w:tab w:pos="284" w:val="left" w:leader="none"/>
              </w:tabs>
              <w:spacing w:line="220" w:lineRule="exact" w:before="0" w:after="0"/>
              <w:ind w:left="283" w:right="0" w:hanging="175"/>
              <w:jc w:val="left"/>
              <w:rPr>
                <w:sz w:val="18"/>
              </w:rPr>
            </w:pPr>
            <w:r>
              <w:rPr>
                <w:sz w:val="18"/>
              </w:rPr>
              <w:t>Lavado de la</w:t>
            </w:r>
            <w:r>
              <w:rPr>
                <w:spacing w:val="-6"/>
                <w:sz w:val="18"/>
              </w:rPr>
              <w:t> </w:t>
            </w:r>
            <w:r>
              <w:rPr>
                <w:sz w:val="18"/>
              </w:rPr>
              <w:t>ropa</w:t>
            </w:r>
          </w:p>
        </w:tc>
        <w:tc>
          <w:tcPr>
            <w:tcW w:w="4266" w:type="dxa"/>
            <w:shd w:val="clear" w:color="auto" w:fill="82EADE"/>
          </w:tcPr>
          <w:p>
            <w:pPr/>
          </w:p>
        </w:tc>
        <w:tc>
          <w:tcPr>
            <w:tcW w:w="1674" w:type="dxa"/>
            <w:shd w:val="clear" w:color="auto" w:fill="82EADE"/>
          </w:tcPr>
          <w:p>
            <w:pPr>
              <w:pStyle w:val="TableParagraph"/>
              <w:tabs>
                <w:tab w:pos="580" w:val="left" w:leader="none"/>
              </w:tabs>
              <w:spacing w:line="206" w:lineRule="exact" w:before="0"/>
              <w:ind w:right="280"/>
              <w:jc w:val="right"/>
              <w:rPr>
                <w:sz w:val="18"/>
              </w:rPr>
            </w:pPr>
            <w:r>
              <w:rPr>
                <w:sz w:val="18"/>
              </w:rPr>
              <w:t>No</w:t>
              <w:tab/>
            </w:r>
            <w:r>
              <w:rPr>
                <w:w w:val="95"/>
                <w:sz w:val="18"/>
              </w:rPr>
              <w:t>0</w:t>
            </w:r>
          </w:p>
        </w:tc>
        <w:tc>
          <w:tcPr>
            <w:tcW w:w="572" w:type="dxa"/>
            <w:vMerge w:val="restart"/>
            <w:shd w:val="clear" w:color="auto" w:fill="82EADE"/>
          </w:tcPr>
          <w:p>
            <w:pPr/>
          </w:p>
        </w:tc>
        <w:tc>
          <w:tcPr>
            <w:tcW w:w="1994" w:type="dxa"/>
            <w:vMerge/>
            <w:tcBorders>
              <w:right w:val="single" w:sz="4" w:space="0" w:color="A7F7EE"/>
            </w:tcBorders>
            <w:shd w:val="clear" w:color="auto" w:fill="B4F1EB"/>
          </w:tcPr>
          <w:p>
            <w:pPr/>
          </w:p>
        </w:tc>
        <w:tc>
          <w:tcPr>
            <w:tcW w:w="1844" w:type="dxa"/>
            <w:vMerge/>
            <w:tcBorders>
              <w:left w:val="single" w:sz="4" w:space="0" w:color="A7F7EE"/>
              <w:right w:val="single" w:sz="4" w:space="0" w:color="A7F7EE"/>
            </w:tcBorders>
            <w:shd w:val="clear" w:color="auto" w:fill="B4F1EB"/>
          </w:tcPr>
          <w:p>
            <w:pPr/>
          </w:p>
        </w:tc>
        <w:tc>
          <w:tcPr>
            <w:tcW w:w="1526" w:type="dxa"/>
            <w:vMerge/>
            <w:tcBorders>
              <w:left w:val="single" w:sz="4" w:space="0" w:color="A7F7EE"/>
            </w:tcBorders>
            <w:shd w:val="clear" w:color="auto" w:fill="B4F1EB"/>
          </w:tcPr>
          <w:p>
            <w:pPr/>
          </w:p>
        </w:tc>
      </w:tr>
      <w:tr>
        <w:trPr>
          <w:trHeight w:val="642" w:hRule="exact"/>
        </w:trPr>
        <w:tc>
          <w:tcPr>
            <w:tcW w:w="2303" w:type="dxa"/>
            <w:shd w:val="clear" w:color="auto" w:fill="82EADE"/>
          </w:tcPr>
          <w:p>
            <w:pPr>
              <w:pStyle w:val="TableParagraph"/>
              <w:spacing w:line="360" w:lineRule="auto" w:before="63"/>
              <w:ind w:left="283" w:right="228"/>
              <w:jc w:val="left"/>
              <w:rPr>
                <w:sz w:val="18"/>
              </w:rPr>
            </w:pPr>
            <w:r>
              <w:rPr>
                <w:sz w:val="18"/>
              </w:rPr>
              <w:t>usada en el invernadero con el del</w:t>
            </w:r>
          </w:p>
        </w:tc>
        <w:tc>
          <w:tcPr>
            <w:tcW w:w="4266" w:type="dxa"/>
            <w:shd w:val="clear" w:color="auto" w:fill="82EADE"/>
          </w:tcPr>
          <w:p>
            <w:pPr>
              <w:pStyle w:val="TableParagraph"/>
              <w:spacing w:line="360" w:lineRule="auto" w:before="20"/>
              <w:ind w:left="109"/>
              <w:jc w:val="left"/>
              <w:rPr>
                <w:sz w:val="18"/>
              </w:rPr>
            </w:pPr>
            <w:r>
              <w:rPr>
                <w:sz w:val="18"/>
              </w:rPr>
              <w:t>Aseo de la ropa contaminada de la jornada de trabajo con la del resto de la familia.</w:t>
            </w:r>
          </w:p>
        </w:tc>
        <w:tc>
          <w:tcPr>
            <w:tcW w:w="1674" w:type="dxa"/>
            <w:shd w:val="clear" w:color="auto" w:fill="82EADE"/>
          </w:tcPr>
          <w:p>
            <w:pPr>
              <w:pStyle w:val="TableParagraph"/>
              <w:tabs>
                <w:tab w:pos="660" w:val="right" w:leader="none"/>
              </w:tabs>
              <w:spacing w:before="147"/>
              <w:ind w:right="290"/>
              <w:jc w:val="right"/>
              <w:rPr>
                <w:sz w:val="18"/>
              </w:rPr>
            </w:pPr>
            <w:r>
              <w:rPr>
                <w:sz w:val="18"/>
              </w:rPr>
              <w:t>Si</w:t>
              <w:tab/>
              <w:t>1</w:t>
            </w:r>
          </w:p>
        </w:tc>
        <w:tc>
          <w:tcPr>
            <w:tcW w:w="572" w:type="dxa"/>
            <w:vMerge/>
            <w:shd w:val="clear" w:color="auto" w:fill="82EADE"/>
          </w:tcPr>
          <w:p>
            <w:pPr/>
          </w:p>
        </w:tc>
        <w:tc>
          <w:tcPr>
            <w:tcW w:w="1994" w:type="dxa"/>
            <w:tcBorders>
              <w:right w:val="single" w:sz="4" w:space="0" w:color="A7F7EE"/>
            </w:tcBorders>
            <w:shd w:val="clear" w:color="auto" w:fill="B4F1EB"/>
          </w:tcPr>
          <w:p>
            <w:pPr>
              <w:pStyle w:val="TableParagraph"/>
              <w:spacing w:before="2"/>
              <w:jc w:val="left"/>
              <w:rPr>
                <w:b/>
                <w:sz w:val="17"/>
              </w:rPr>
            </w:pPr>
          </w:p>
          <w:p>
            <w:pPr>
              <w:pStyle w:val="TableParagraph"/>
              <w:spacing w:before="0"/>
              <w:ind w:left="667"/>
              <w:jc w:val="left"/>
              <w:rPr>
                <w:sz w:val="18"/>
              </w:rPr>
            </w:pPr>
            <w:r>
              <w:rPr>
                <w:sz w:val="18"/>
              </w:rPr>
              <w:t>Nominal</w:t>
            </w:r>
          </w:p>
        </w:tc>
        <w:tc>
          <w:tcPr>
            <w:tcW w:w="1844" w:type="dxa"/>
            <w:tcBorders>
              <w:left w:val="single" w:sz="4" w:space="0" w:color="A7F7EE"/>
              <w:right w:val="single" w:sz="4" w:space="0" w:color="A7F7EE"/>
            </w:tcBorders>
            <w:shd w:val="clear" w:color="auto" w:fill="B4F1EB"/>
          </w:tcPr>
          <w:p>
            <w:pPr>
              <w:pStyle w:val="TableParagraph"/>
              <w:spacing w:before="102"/>
              <w:ind w:left="696" w:right="696"/>
              <w:rPr>
                <w:sz w:val="18"/>
              </w:rPr>
            </w:pPr>
            <w:r>
              <w:rPr>
                <w:sz w:val="18"/>
              </w:rPr>
              <w:t>0 a 1</w:t>
            </w:r>
          </w:p>
        </w:tc>
        <w:tc>
          <w:tcPr>
            <w:tcW w:w="1526" w:type="dxa"/>
            <w:tcBorders>
              <w:left w:val="single" w:sz="4" w:space="0" w:color="A7F7EE"/>
            </w:tcBorders>
            <w:shd w:val="clear" w:color="auto" w:fill="B4F1EB"/>
          </w:tcPr>
          <w:p>
            <w:pPr>
              <w:pStyle w:val="TableParagraph"/>
              <w:spacing w:before="85"/>
              <w:ind w:left="432"/>
              <w:jc w:val="left"/>
              <w:rPr>
                <w:sz w:val="18"/>
              </w:rPr>
            </w:pPr>
            <w:r>
              <w:rPr>
                <w:sz w:val="18"/>
              </w:rPr>
              <w:t>Whitney</w:t>
            </w:r>
          </w:p>
        </w:tc>
      </w:tr>
      <w:tr>
        <w:trPr>
          <w:trHeight w:val="584" w:hRule="exact"/>
        </w:trPr>
        <w:tc>
          <w:tcPr>
            <w:tcW w:w="2303" w:type="dxa"/>
            <w:shd w:val="clear" w:color="auto" w:fill="82EADE"/>
          </w:tcPr>
          <w:p>
            <w:pPr>
              <w:pStyle w:val="TableParagraph"/>
              <w:spacing w:before="43"/>
              <w:ind w:left="283" w:right="228"/>
              <w:jc w:val="left"/>
              <w:rPr>
                <w:sz w:val="18"/>
              </w:rPr>
            </w:pPr>
            <w:r>
              <w:rPr>
                <w:sz w:val="18"/>
              </w:rPr>
              <w:t>resto de la familia</w:t>
            </w:r>
          </w:p>
        </w:tc>
        <w:tc>
          <w:tcPr>
            <w:tcW w:w="4266" w:type="dxa"/>
            <w:shd w:val="clear" w:color="auto" w:fill="82EADE"/>
          </w:tcPr>
          <w:p>
            <w:pPr/>
          </w:p>
        </w:tc>
        <w:tc>
          <w:tcPr>
            <w:tcW w:w="1674" w:type="dxa"/>
            <w:shd w:val="clear" w:color="auto" w:fill="82EADE"/>
          </w:tcPr>
          <w:p>
            <w:pPr/>
          </w:p>
        </w:tc>
        <w:tc>
          <w:tcPr>
            <w:tcW w:w="572" w:type="dxa"/>
            <w:vMerge/>
            <w:shd w:val="clear" w:color="auto" w:fill="82EADE"/>
          </w:tcPr>
          <w:p>
            <w:pPr/>
          </w:p>
        </w:tc>
        <w:tc>
          <w:tcPr>
            <w:tcW w:w="1994" w:type="dxa"/>
            <w:tcBorders>
              <w:right w:val="single" w:sz="4" w:space="0" w:color="A7F7EE"/>
            </w:tcBorders>
            <w:shd w:val="clear" w:color="auto" w:fill="B4F1EB"/>
          </w:tcPr>
          <w:p>
            <w:pPr/>
          </w:p>
        </w:tc>
        <w:tc>
          <w:tcPr>
            <w:tcW w:w="1844" w:type="dxa"/>
            <w:tcBorders>
              <w:left w:val="single" w:sz="4" w:space="0" w:color="A7F7EE"/>
              <w:right w:val="single" w:sz="4" w:space="0" w:color="A7F7EE"/>
            </w:tcBorders>
            <w:shd w:val="clear" w:color="auto" w:fill="B4F1EB"/>
          </w:tcPr>
          <w:p>
            <w:pPr/>
          </w:p>
        </w:tc>
        <w:tc>
          <w:tcPr>
            <w:tcW w:w="1526" w:type="dxa"/>
            <w:tcBorders>
              <w:left w:val="single" w:sz="4" w:space="0" w:color="A7F7EE"/>
            </w:tcBorders>
            <w:shd w:val="clear" w:color="auto" w:fill="B4F1EB"/>
          </w:tcPr>
          <w:p>
            <w:pPr/>
          </w:p>
        </w:tc>
      </w:tr>
    </w:tbl>
    <w:p>
      <w:pPr>
        <w:spacing w:after="0"/>
        <w:sectPr>
          <w:pgSz w:w="15840" w:h="12240" w:orient="landscape"/>
          <w:pgMar w:header="0" w:footer="599" w:top="1140" w:bottom="780" w:left="0" w:right="0"/>
        </w:sectPr>
      </w:pPr>
    </w:p>
    <w:p>
      <w:pPr>
        <w:pStyle w:val="BodyText"/>
        <w:spacing w:before="3"/>
        <w:rPr>
          <w:b/>
          <w:sz w:val="18"/>
        </w:rPr>
      </w:pPr>
    </w:p>
    <w:p>
      <w:pPr>
        <w:spacing w:before="69"/>
        <w:ind w:left="2191" w:right="0" w:firstLine="0"/>
        <w:jc w:val="left"/>
        <w:rPr>
          <w:b/>
          <w:sz w:val="24"/>
        </w:rPr>
      </w:pPr>
      <w:r>
        <w:rPr>
          <w:rFonts w:ascii="Courier New" w:hAnsi="Courier New"/>
          <w:b/>
          <w:sz w:val="32"/>
        </w:rPr>
        <w:t>ͽ </w:t>
      </w:r>
      <w:r>
        <w:rPr>
          <w:b/>
          <w:sz w:val="24"/>
        </w:rPr>
        <w:t>Factores de variabilidad</w:t>
      </w:r>
    </w:p>
    <w:p>
      <w:pPr>
        <w:pStyle w:val="BodyText"/>
        <w:rPr>
          <w:b/>
          <w:sz w:val="20"/>
        </w:rPr>
      </w:pPr>
    </w:p>
    <w:p>
      <w:pPr>
        <w:pStyle w:val="BodyText"/>
        <w:spacing w:before="10"/>
        <w:rPr>
          <w:b/>
        </w:rPr>
      </w:pPr>
    </w:p>
    <w:p>
      <w:pPr>
        <w:spacing w:after="0"/>
        <w:sectPr>
          <w:pgSz w:w="15840" w:h="12240" w:orient="landscape"/>
          <w:pgMar w:header="0" w:footer="599" w:top="1140" w:bottom="780" w:left="0" w:right="0"/>
        </w:sectPr>
      </w:pPr>
    </w:p>
    <w:p>
      <w:pPr>
        <w:pStyle w:val="BodyText"/>
        <w:spacing w:before="8"/>
        <w:rPr>
          <w:b/>
          <w:sz w:val="27"/>
        </w:rPr>
      </w:pPr>
    </w:p>
    <w:p>
      <w:pPr>
        <w:spacing w:before="0"/>
        <w:ind w:left="0" w:right="0" w:firstLine="0"/>
        <w:jc w:val="right"/>
        <w:rPr>
          <w:b/>
          <w:sz w:val="20"/>
        </w:rPr>
      </w:pPr>
      <w:r>
        <w:rPr>
          <w:b/>
          <w:sz w:val="20"/>
        </w:rPr>
        <w:t>Factores</w:t>
      </w:r>
    </w:p>
    <w:p>
      <w:pPr>
        <w:spacing w:line="357" w:lineRule="auto" w:before="117"/>
        <w:ind w:left="1778" w:right="0" w:firstLine="45"/>
        <w:jc w:val="left"/>
        <w:rPr>
          <w:b/>
          <w:sz w:val="20"/>
        </w:rPr>
      </w:pPr>
      <w:r>
        <w:rPr/>
        <w:br w:type="column"/>
      </w:r>
      <w:r>
        <w:rPr>
          <w:b/>
          <w:sz w:val="20"/>
        </w:rPr>
        <w:t>Definición </w:t>
      </w:r>
      <w:r>
        <w:rPr>
          <w:b/>
          <w:w w:val="95"/>
          <w:sz w:val="20"/>
        </w:rPr>
        <w:t>conceptual</w:t>
      </w:r>
    </w:p>
    <w:p>
      <w:pPr>
        <w:spacing w:line="360" w:lineRule="auto" w:before="110"/>
        <w:ind w:left="1778" w:right="0" w:firstLine="79"/>
        <w:jc w:val="left"/>
        <w:rPr>
          <w:b/>
          <w:sz w:val="20"/>
        </w:rPr>
      </w:pPr>
      <w:r>
        <w:rPr/>
        <w:br w:type="column"/>
      </w:r>
      <w:r>
        <w:rPr>
          <w:b/>
          <w:sz w:val="20"/>
        </w:rPr>
        <w:t>Definición </w:t>
      </w:r>
      <w:r>
        <w:rPr>
          <w:b/>
          <w:w w:val="95"/>
          <w:sz w:val="20"/>
        </w:rPr>
        <w:t>operacional</w:t>
      </w:r>
    </w:p>
    <w:p>
      <w:pPr>
        <w:spacing w:line="360" w:lineRule="auto" w:before="110"/>
        <w:ind w:left="1220" w:right="-1" w:firstLine="21"/>
        <w:jc w:val="left"/>
        <w:rPr>
          <w:b/>
          <w:sz w:val="20"/>
        </w:rPr>
      </w:pPr>
      <w:r>
        <w:rPr/>
        <w:br w:type="column"/>
      </w:r>
      <w:r>
        <w:rPr>
          <w:b/>
          <w:sz w:val="20"/>
        </w:rPr>
        <w:t>Tipo de </w:t>
      </w:r>
      <w:r>
        <w:rPr>
          <w:b/>
          <w:w w:val="95"/>
          <w:sz w:val="20"/>
        </w:rPr>
        <w:t>variable</w:t>
      </w:r>
    </w:p>
    <w:p>
      <w:pPr>
        <w:spacing w:line="362" w:lineRule="auto" w:before="74"/>
        <w:ind w:left="1059" w:right="-20" w:hanging="22"/>
        <w:jc w:val="left"/>
        <w:rPr>
          <w:b/>
          <w:sz w:val="20"/>
        </w:rPr>
      </w:pPr>
      <w:r>
        <w:rPr/>
        <w:br w:type="column"/>
      </w:r>
      <w:r>
        <w:rPr>
          <w:b/>
          <w:sz w:val="20"/>
        </w:rPr>
        <w:t>Escala de medición</w:t>
      </w:r>
    </w:p>
    <w:p>
      <w:pPr>
        <w:spacing w:line="362" w:lineRule="auto" w:before="74"/>
        <w:ind w:left="553" w:right="0" w:firstLine="196"/>
        <w:jc w:val="left"/>
        <w:rPr>
          <w:b/>
          <w:sz w:val="20"/>
        </w:rPr>
      </w:pPr>
      <w:r>
        <w:rPr/>
        <w:br w:type="column"/>
      </w:r>
      <w:r>
        <w:rPr>
          <w:b/>
          <w:sz w:val="20"/>
        </w:rPr>
        <w:t>Análisis </w:t>
      </w:r>
      <w:r>
        <w:rPr>
          <w:b/>
          <w:w w:val="95"/>
          <w:sz w:val="20"/>
        </w:rPr>
        <w:t>estadísticos</w:t>
      </w:r>
    </w:p>
    <w:p>
      <w:pPr>
        <w:spacing w:after="0" w:line="362" w:lineRule="auto"/>
        <w:jc w:val="left"/>
        <w:rPr>
          <w:sz w:val="20"/>
        </w:rPr>
        <w:sectPr>
          <w:type w:val="continuous"/>
          <w:pgSz w:w="15840" w:h="12240" w:orient="landscape"/>
          <w:pgMar w:top="1420" w:bottom="280" w:left="0" w:right="0"/>
          <w:cols w:num="6" w:equalWidth="0">
            <w:col w:w="2609" w:space="538"/>
            <w:col w:w="2832" w:space="397"/>
            <w:col w:w="2899" w:space="40"/>
            <w:col w:w="1975" w:space="40"/>
            <w:col w:w="1960" w:space="40"/>
            <w:col w:w="2510"/>
          </w:cols>
        </w:sectPr>
      </w:pPr>
    </w:p>
    <w:p>
      <w:pPr>
        <w:pStyle w:val="BodyText"/>
        <w:spacing w:before="10"/>
        <w:rPr>
          <w:b/>
          <w:sz w:val="10"/>
        </w:rPr>
      </w:pPr>
    </w:p>
    <w:p>
      <w:pPr>
        <w:spacing w:after="0"/>
        <w:rPr>
          <w:sz w:val="10"/>
        </w:rPr>
        <w:sectPr>
          <w:type w:val="continuous"/>
          <w:pgSz w:w="15840" w:h="12240" w:orient="landscape"/>
          <w:pgMar w:top="1420" w:bottom="280" w:left="0" w:right="0"/>
        </w:sectPr>
      </w:pPr>
    </w:p>
    <w:p>
      <w:pPr>
        <w:tabs>
          <w:tab w:pos="3506" w:val="left" w:leader="none"/>
          <w:tab w:pos="8081" w:val="left" w:leader="none"/>
          <w:tab w:pos="10436" w:val="left" w:leader="none"/>
        </w:tabs>
        <w:spacing w:before="77"/>
        <w:ind w:left="1099" w:right="0" w:firstLine="0"/>
        <w:jc w:val="left"/>
        <w:rPr>
          <w:sz w:val="18"/>
        </w:rPr>
      </w:pPr>
      <w:r>
        <w:rPr>
          <w:sz w:val="18"/>
        </w:rPr>
        <w:t>Edad</w:t>
        <w:tab/>
        <w:t>Edad del paciente en</w:t>
      </w:r>
      <w:r>
        <w:rPr>
          <w:spacing w:val="-12"/>
          <w:sz w:val="18"/>
        </w:rPr>
        <w:t> </w:t>
      </w:r>
      <w:r>
        <w:rPr>
          <w:sz w:val="18"/>
        </w:rPr>
        <w:t>años</w:t>
      </w:r>
      <w:r>
        <w:rPr>
          <w:spacing w:val="-1"/>
          <w:sz w:val="18"/>
        </w:rPr>
        <w:t> </w:t>
      </w:r>
      <w:r>
        <w:rPr>
          <w:sz w:val="18"/>
        </w:rPr>
        <w:t>cumplidos</w:t>
        <w:tab/>
        <w:t>Años</w:t>
      </w:r>
      <w:r>
        <w:rPr>
          <w:spacing w:val="-3"/>
          <w:sz w:val="18"/>
        </w:rPr>
        <w:t> </w:t>
      </w:r>
      <w:r>
        <w:rPr>
          <w:sz w:val="18"/>
        </w:rPr>
        <w:t>cumplidos</w:t>
        <w:tab/>
        <w:t>Cuantitativa</w:t>
      </w:r>
    </w:p>
    <w:p>
      <w:pPr>
        <w:pStyle w:val="BodyText"/>
        <w:spacing w:before="5"/>
        <w:rPr>
          <w:sz w:val="26"/>
        </w:rPr>
      </w:pPr>
    </w:p>
    <w:p>
      <w:pPr>
        <w:spacing w:before="1"/>
        <w:ind w:left="0" w:right="141" w:firstLine="0"/>
        <w:jc w:val="right"/>
        <w:rPr>
          <w:sz w:val="18"/>
        </w:rPr>
      </w:pPr>
      <w:r>
        <w:rPr>
          <w:w w:val="95"/>
          <w:sz w:val="18"/>
        </w:rPr>
        <w:t>Discreta</w:t>
      </w:r>
    </w:p>
    <w:p>
      <w:pPr>
        <w:spacing w:line="362" w:lineRule="auto" w:before="77"/>
        <w:ind w:left="765" w:right="-20" w:firstLine="283"/>
        <w:jc w:val="left"/>
        <w:rPr>
          <w:sz w:val="18"/>
        </w:rPr>
      </w:pPr>
      <w:r>
        <w:rPr/>
        <w:br w:type="column"/>
      </w:r>
      <w:r>
        <w:rPr>
          <w:sz w:val="18"/>
        </w:rPr>
        <w:t>Absoluta Años cumplidos</w:t>
      </w:r>
    </w:p>
    <w:p>
      <w:pPr>
        <w:spacing w:before="77"/>
        <w:ind w:left="495" w:right="0" w:firstLine="0"/>
        <w:jc w:val="left"/>
        <w:rPr>
          <w:sz w:val="18"/>
        </w:rPr>
      </w:pPr>
      <w:r>
        <w:rPr/>
        <w:br w:type="column"/>
      </w:r>
      <w:r>
        <w:rPr>
          <w:sz w:val="18"/>
        </w:rPr>
        <w:t>Correlación</w:t>
      </w:r>
    </w:p>
    <w:p>
      <w:pPr>
        <w:spacing w:after="0"/>
        <w:jc w:val="left"/>
        <w:rPr>
          <w:sz w:val="18"/>
        </w:rPr>
        <w:sectPr>
          <w:type w:val="continuous"/>
          <w:pgSz w:w="15840" w:h="12240" w:orient="landscape"/>
          <w:pgMar w:top="1420" w:bottom="280" w:left="0" w:right="0"/>
          <w:cols w:num="3" w:equalWidth="0">
            <w:col w:w="11388" w:space="40"/>
            <w:col w:w="2036" w:space="40"/>
            <w:col w:w="2336"/>
          </w:cols>
        </w:sectPr>
      </w:pPr>
    </w:p>
    <w:p>
      <w:pPr>
        <w:pStyle w:val="BodyText"/>
        <w:spacing w:before="8"/>
        <w:rPr>
          <w:sz w:val="19"/>
        </w:rPr>
      </w:pPr>
    </w:p>
    <w:p>
      <w:pPr>
        <w:spacing w:after="0"/>
        <w:rPr>
          <w:sz w:val="19"/>
        </w:rPr>
        <w:sectPr>
          <w:type w:val="continuous"/>
          <w:pgSz w:w="15840" w:h="12240" w:orient="landscape"/>
          <w:pgMar w:top="1420" w:bottom="280" w:left="0" w:right="0"/>
        </w:sectPr>
      </w:pPr>
    </w:p>
    <w:p>
      <w:pPr>
        <w:tabs>
          <w:tab w:pos="3506" w:val="left" w:leader="none"/>
        </w:tabs>
        <w:spacing w:line="360" w:lineRule="auto" w:before="77"/>
        <w:ind w:left="3506" w:right="0" w:hanging="2408"/>
        <w:jc w:val="left"/>
        <w:rPr>
          <w:sz w:val="18"/>
        </w:rPr>
      </w:pPr>
      <w:r>
        <w:rPr>
          <w:sz w:val="18"/>
        </w:rPr>
        <w:t>Sexo</w:t>
        <w:tab/>
        <w:t>Características   biológicas   que   definen</w:t>
      </w:r>
      <w:r>
        <w:rPr>
          <w:spacing w:val="19"/>
          <w:sz w:val="18"/>
        </w:rPr>
        <w:t> </w:t>
      </w:r>
      <w:r>
        <w:rPr>
          <w:sz w:val="18"/>
        </w:rPr>
        <w:t>a </w:t>
      </w:r>
      <w:r>
        <w:rPr>
          <w:spacing w:val="30"/>
          <w:sz w:val="18"/>
        </w:rPr>
        <w:t> </w:t>
      </w:r>
      <w:r>
        <w:rPr>
          <w:sz w:val="18"/>
        </w:rPr>
        <w:t>los seres humanos como hombre o</w:t>
      </w:r>
      <w:r>
        <w:rPr>
          <w:spacing w:val="-12"/>
          <w:sz w:val="18"/>
        </w:rPr>
        <w:t> </w:t>
      </w:r>
      <w:r>
        <w:rPr>
          <w:sz w:val="18"/>
        </w:rPr>
        <w:t>mujer.</w:t>
      </w:r>
    </w:p>
    <w:p>
      <w:pPr>
        <w:tabs>
          <w:tab w:pos="2102" w:val="left" w:leader="none"/>
        </w:tabs>
        <w:spacing w:before="77"/>
        <w:ind w:left="544" w:right="0" w:firstLine="0"/>
        <w:jc w:val="left"/>
        <w:rPr>
          <w:sz w:val="18"/>
        </w:rPr>
      </w:pPr>
      <w:r>
        <w:rPr/>
        <w:br w:type="column"/>
      </w:r>
      <w:r>
        <w:rPr>
          <w:sz w:val="18"/>
        </w:rPr>
        <w:t>Femenino</w:t>
        <w:tab/>
        <w:t>0</w:t>
      </w:r>
    </w:p>
    <w:p>
      <w:pPr>
        <w:tabs>
          <w:tab w:pos="2078" w:val="left" w:leader="none"/>
        </w:tabs>
        <w:spacing w:before="304"/>
        <w:ind w:left="539" w:right="0" w:firstLine="0"/>
        <w:jc w:val="left"/>
        <w:rPr>
          <w:sz w:val="18"/>
        </w:rPr>
      </w:pPr>
      <w:r>
        <w:rPr>
          <w:sz w:val="18"/>
        </w:rPr>
        <w:t>Masculino</w:t>
        <w:tab/>
        <w:t>1</w:t>
      </w:r>
    </w:p>
    <w:p>
      <w:pPr>
        <w:spacing w:line="592" w:lineRule="auto" w:before="77"/>
        <w:ind w:left="903" w:right="-17" w:hanging="106"/>
        <w:jc w:val="left"/>
        <w:rPr>
          <w:sz w:val="18"/>
        </w:rPr>
      </w:pPr>
      <w:r>
        <w:rPr/>
        <w:br w:type="column"/>
      </w:r>
      <w:r>
        <w:rPr>
          <w:sz w:val="18"/>
        </w:rPr>
        <w:t>Categórica Nominal</w:t>
      </w:r>
    </w:p>
    <w:p>
      <w:pPr>
        <w:spacing w:line="592" w:lineRule="auto" w:before="77"/>
        <w:ind w:left="1228" w:right="-18" w:hanging="130"/>
        <w:jc w:val="left"/>
        <w:rPr>
          <w:sz w:val="18"/>
        </w:rPr>
      </w:pPr>
      <w:r>
        <w:rPr/>
        <w:br w:type="column"/>
      </w:r>
      <w:r>
        <w:rPr>
          <w:sz w:val="18"/>
        </w:rPr>
        <w:t>Nominal 0 – 1</w:t>
      </w:r>
    </w:p>
    <w:p>
      <w:pPr>
        <w:spacing w:line="360" w:lineRule="auto" w:before="77"/>
        <w:ind w:left="791" w:right="908" w:firstLine="0"/>
        <w:jc w:val="center"/>
        <w:rPr>
          <w:sz w:val="18"/>
        </w:rPr>
      </w:pPr>
      <w:r>
        <w:rPr/>
        <w:br w:type="column"/>
      </w:r>
      <w:r>
        <w:rPr>
          <w:sz w:val="18"/>
        </w:rPr>
        <w:t>U de Mann- Whitney</w:t>
      </w:r>
    </w:p>
    <w:p>
      <w:pPr>
        <w:spacing w:after="0" w:line="360" w:lineRule="auto"/>
        <w:jc w:val="center"/>
        <w:rPr>
          <w:sz w:val="18"/>
        </w:rPr>
        <w:sectPr>
          <w:type w:val="continuous"/>
          <w:pgSz w:w="15840" w:h="12240" w:orient="landscape"/>
          <w:pgMar w:top="1420" w:bottom="280" w:left="0" w:right="0"/>
          <w:cols w:num="5" w:equalWidth="0">
            <w:col w:w="7397" w:space="40"/>
            <w:col w:w="2203" w:space="40"/>
            <w:col w:w="1671" w:space="47"/>
            <w:col w:w="1761" w:space="40"/>
            <w:col w:w="2641"/>
          </w:cols>
        </w:sectPr>
      </w:pPr>
    </w:p>
    <w:p>
      <w:pPr>
        <w:tabs>
          <w:tab w:pos="3506" w:val="left" w:leader="none"/>
        </w:tabs>
        <w:spacing w:before="6"/>
        <w:ind w:left="1099" w:right="0" w:firstLine="0"/>
        <w:jc w:val="left"/>
        <w:rPr>
          <w:sz w:val="18"/>
        </w:rPr>
      </w:pPr>
      <w:r>
        <w:rPr>
          <w:sz w:val="18"/>
        </w:rPr>
        <w:t>Índice de</w:t>
      </w:r>
      <w:r>
        <w:rPr>
          <w:spacing w:val="-4"/>
          <w:sz w:val="18"/>
        </w:rPr>
        <w:t> </w:t>
      </w:r>
      <w:r>
        <w:rPr>
          <w:sz w:val="18"/>
        </w:rPr>
        <w:t>Masa</w:t>
      </w:r>
      <w:r>
        <w:rPr>
          <w:spacing w:val="-2"/>
          <w:sz w:val="18"/>
        </w:rPr>
        <w:t> </w:t>
      </w:r>
      <w:r>
        <w:rPr>
          <w:sz w:val="18"/>
        </w:rPr>
        <w:t>Corporal</w:t>
        <w:tab/>
        <w:t>Medida de asociación entre el peso y talla de</w:t>
      </w:r>
      <w:r>
        <w:rPr>
          <w:spacing w:val="23"/>
          <w:sz w:val="18"/>
        </w:rPr>
        <w:t> </w:t>
      </w:r>
      <w:r>
        <w:rPr>
          <w:sz w:val="18"/>
        </w:rPr>
        <w:t>un</w:t>
      </w:r>
    </w:p>
    <w:p>
      <w:pPr>
        <w:spacing w:before="105"/>
        <w:ind w:left="3487" w:right="3112" w:firstLine="0"/>
        <w:jc w:val="center"/>
        <w:rPr>
          <w:sz w:val="18"/>
        </w:rPr>
      </w:pPr>
      <w:r>
        <w:rPr>
          <w:sz w:val="18"/>
        </w:rPr>
        <w:t>individuo.</w:t>
      </w:r>
    </w:p>
    <w:p>
      <w:pPr>
        <w:tabs>
          <w:tab w:pos="2999" w:val="left" w:leader="none"/>
        </w:tabs>
        <w:spacing w:line="592" w:lineRule="auto" w:before="6"/>
        <w:ind w:left="3143" w:right="0" w:hanging="2617"/>
        <w:jc w:val="left"/>
        <w:rPr>
          <w:sz w:val="18"/>
        </w:rPr>
      </w:pPr>
      <w:r>
        <w:rPr/>
        <w:br w:type="column"/>
      </w:r>
      <w:r>
        <w:rPr>
          <w:sz w:val="18"/>
        </w:rPr>
        <w:t>Kilogramos/metros</w:t>
        <w:tab/>
        <w:t>Cuantitativa</w:t>
      </w:r>
      <w:r>
        <w:rPr>
          <w:w w:val="99"/>
          <w:sz w:val="18"/>
        </w:rPr>
        <w:t> </w:t>
      </w:r>
      <w:r>
        <w:rPr>
          <w:sz w:val="18"/>
        </w:rPr>
        <w:t>Discreta</w:t>
      </w:r>
    </w:p>
    <w:p>
      <w:pPr>
        <w:spacing w:line="592" w:lineRule="auto" w:before="6"/>
        <w:ind w:left="647" w:right="-20" w:firstLine="398"/>
        <w:jc w:val="left"/>
        <w:rPr>
          <w:sz w:val="18"/>
        </w:rPr>
      </w:pPr>
      <w:r>
        <w:rPr/>
        <w:br w:type="column"/>
      </w:r>
      <w:r>
        <w:rPr>
          <w:sz w:val="18"/>
        </w:rPr>
        <w:t>Absoluta Kilogramos/metros</w:t>
      </w:r>
    </w:p>
    <w:p>
      <w:pPr>
        <w:spacing w:before="6"/>
        <w:ind w:left="380" w:right="0" w:firstLine="0"/>
        <w:jc w:val="left"/>
        <w:rPr>
          <w:sz w:val="18"/>
        </w:rPr>
      </w:pPr>
      <w:r>
        <w:rPr/>
        <w:br w:type="column"/>
      </w:r>
      <w:r>
        <w:rPr>
          <w:sz w:val="18"/>
        </w:rPr>
        <w:t>Correlación</w:t>
      </w:r>
    </w:p>
    <w:p>
      <w:pPr>
        <w:spacing w:after="0"/>
        <w:jc w:val="left"/>
        <w:rPr>
          <w:sz w:val="18"/>
        </w:rPr>
        <w:sectPr>
          <w:type w:val="continuous"/>
          <w:pgSz w:w="15840" w:h="12240" w:orient="landscape"/>
          <w:pgMar w:top="1420" w:bottom="280" w:left="0" w:right="0"/>
          <w:cols w:num="4" w:equalWidth="0">
            <w:col w:w="7400" w:space="40"/>
            <w:col w:w="3951" w:space="40"/>
            <w:col w:w="2148" w:space="40"/>
            <w:col w:w="2221"/>
          </w:cols>
        </w:sectPr>
      </w:pPr>
    </w:p>
    <w:p>
      <w:pPr>
        <w:spacing w:before="6"/>
        <w:ind w:left="1099" w:right="0" w:firstLine="0"/>
        <w:jc w:val="left"/>
        <w:rPr>
          <w:i/>
          <w:sz w:val="18"/>
        </w:rPr>
      </w:pPr>
      <w:r>
        <w:rPr>
          <w:i/>
          <w:sz w:val="18"/>
        </w:rPr>
        <w:t>Hábitos higiénico-dentales</w:t>
      </w:r>
    </w:p>
    <w:p>
      <w:pPr>
        <w:spacing w:after="0"/>
        <w:jc w:val="left"/>
        <w:rPr>
          <w:sz w:val="18"/>
        </w:rPr>
        <w:sectPr>
          <w:type w:val="continuous"/>
          <w:pgSz w:w="15840" w:h="12240" w:orient="landscape"/>
          <w:pgMar w:top="1420" w:bottom="280" w:left="0" w:right="0"/>
        </w:sectPr>
      </w:pPr>
    </w:p>
    <w:p>
      <w:pPr>
        <w:pStyle w:val="ListParagraph"/>
        <w:numPr>
          <w:ilvl w:val="0"/>
          <w:numId w:val="15"/>
        </w:numPr>
        <w:tabs>
          <w:tab w:pos="1275" w:val="left" w:leader="none"/>
        </w:tabs>
        <w:spacing w:line="362" w:lineRule="auto" w:before="304" w:after="0"/>
        <w:ind w:left="1274" w:right="0" w:hanging="175"/>
        <w:jc w:val="left"/>
        <w:rPr>
          <w:rFonts w:ascii="Symbol"/>
          <w:sz w:val="8"/>
        </w:rPr>
      </w:pPr>
      <w:r>
        <w:rPr>
          <w:sz w:val="18"/>
        </w:rPr>
        <w:t>Uso de cepillo y</w:t>
      </w:r>
      <w:r>
        <w:rPr>
          <w:spacing w:val="-8"/>
          <w:sz w:val="18"/>
        </w:rPr>
        <w:t> </w:t>
      </w:r>
      <w:r>
        <w:rPr>
          <w:sz w:val="18"/>
        </w:rPr>
        <w:t>pasta dental</w:t>
      </w:r>
    </w:p>
    <w:p>
      <w:pPr>
        <w:pStyle w:val="BodyText"/>
        <w:spacing w:before="5"/>
        <w:rPr>
          <w:sz w:val="26"/>
        </w:rPr>
      </w:pPr>
      <w:r>
        <w:rPr/>
        <w:br w:type="column"/>
      </w:r>
      <w:r>
        <w:rPr>
          <w:sz w:val="26"/>
        </w:rPr>
      </w:r>
    </w:p>
    <w:p>
      <w:pPr>
        <w:tabs>
          <w:tab w:pos="5214" w:val="left" w:leader="none"/>
          <w:tab w:pos="6484" w:val="left" w:leader="none"/>
        </w:tabs>
        <w:spacing w:before="0"/>
        <w:ind w:left="464" w:right="0" w:firstLine="0"/>
        <w:jc w:val="left"/>
        <w:rPr>
          <w:sz w:val="18"/>
        </w:rPr>
      </w:pPr>
      <w:r>
        <w:rPr>
          <w:sz w:val="18"/>
        </w:rPr>
        <w:t>Aseo bucal  tres veces al día con cepillo</w:t>
      </w:r>
      <w:r>
        <w:rPr>
          <w:spacing w:val="-15"/>
          <w:sz w:val="18"/>
        </w:rPr>
        <w:t> </w:t>
      </w:r>
      <w:r>
        <w:rPr>
          <w:sz w:val="18"/>
        </w:rPr>
        <w:t>y</w:t>
      </w:r>
      <w:r>
        <w:rPr>
          <w:spacing w:val="-3"/>
          <w:sz w:val="18"/>
        </w:rPr>
        <w:t> </w:t>
      </w:r>
      <w:r>
        <w:rPr>
          <w:sz w:val="18"/>
        </w:rPr>
        <w:t>pasta</w:t>
        <w:tab/>
        <w:t>No</w:t>
        <w:tab/>
        <w:t>0</w:t>
      </w:r>
    </w:p>
    <w:p>
      <w:pPr>
        <w:tabs>
          <w:tab w:pos="5248" w:val="left" w:leader="none"/>
          <w:tab w:pos="6584" w:val="right" w:leader="none"/>
        </w:tabs>
        <w:spacing w:before="105"/>
        <w:ind w:left="464" w:right="0" w:firstLine="0"/>
        <w:jc w:val="left"/>
        <w:rPr>
          <w:sz w:val="18"/>
        </w:rPr>
      </w:pPr>
      <w:r>
        <w:rPr>
          <w:sz w:val="18"/>
        </w:rPr>
        <w:t>dental.</w:t>
        <w:tab/>
        <w:t>Si</w:t>
        <w:tab/>
        <w:t>1</w:t>
      </w:r>
    </w:p>
    <w:p>
      <w:pPr>
        <w:spacing w:after="0"/>
        <w:jc w:val="left"/>
        <w:rPr>
          <w:sz w:val="18"/>
        </w:rPr>
        <w:sectPr>
          <w:type w:val="continuous"/>
          <w:pgSz w:w="15840" w:h="12240" w:orient="landscape"/>
          <w:pgMar w:top="1420" w:bottom="280" w:left="0" w:right="0"/>
          <w:cols w:num="2" w:equalWidth="0">
            <w:col w:w="3036" w:space="40"/>
            <w:col w:w="12764"/>
          </w:cols>
        </w:sectPr>
      </w:pPr>
    </w:p>
    <w:p>
      <w:pPr>
        <w:pStyle w:val="ListParagraph"/>
        <w:numPr>
          <w:ilvl w:val="0"/>
          <w:numId w:val="15"/>
        </w:numPr>
        <w:tabs>
          <w:tab w:pos="1275" w:val="left" w:leader="none"/>
          <w:tab w:pos="3540" w:val="left" w:leader="none"/>
          <w:tab w:pos="8273" w:val="left" w:leader="none"/>
        </w:tabs>
        <w:spacing w:line="340" w:lineRule="auto" w:before="199" w:after="0"/>
        <w:ind w:left="8309" w:right="0" w:hanging="7210"/>
        <w:jc w:val="right"/>
        <w:rPr>
          <w:rFonts w:ascii="Symbol" w:hAnsi="Symbol"/>
          <w:sz w:val="18"/>
        </w:rPr>
      </w:pPr>
      <w:r>
        <w:rPr>
          <w:sz w:val="18"/>
        </w:rPr>
        <w:t>Uso de</w:t>
      </w:r>
      <w:r>
        <w:rPr>
          <w:spacing w:val="-5"/>
          <w:sz w:val="18"/>
        </w:rPr>
        <w:t> </w:t>
      </w:r>
      <w:r>
        <w:rPr>
          <w:sz w:val="18"/>
        </w:rPr>
        <w:t>enjuague</w:t>
      </w:r>
      <w:r>
        <w:rPr>
          <w:spacing w:val="-2"/>
          <w:sz w:val="18"/>
        </w:rPr>
        <w:t> </w:t>
      </w:r>
      <w:r>
        <w:rPr>
          <w:sz w:val="18"/>
        </w:rPr>
        <w:t>bucal</w:t>
        <w:tab/>
      </w:r>
      <w:r>
        <w:rPr>
          <w:position w:val="1"/>
          <w:sz w:val="18"/>
        </w:rPr>
        <w:t>Uso de enjuague bucal una vez</w:t>
      </w:r>
      <w:r>
        <w:rPr>
          <w:spacing w:val="-13"/>
          <w:position w:val="1"/>
          <w:sz w:val="18"/>
        </w:rPr>
        <w:t> </w:t>
      </w:r>
      <w:r>
        <w:rPr>
          <w:position w:val="1"/>
          <w:sz w:val="18"/>
        </w:rPr>
        <w:t>al</w:t>
      </w:r>
      <w:r>
        <w:rPr>
          <w:spacing w:val="-2"/>
          <w:position w:val="1"/>
          <w:sz w:val="18"/>
        </w:rPr>
        <w:t> </w:t>
      </w:r>
      <w:r>
        <w:rPr>
          <w:position w:val="1"/>
          <w:sz w:val="18"/>
        </w:rPr>
        <w:t>día.</w:t>
        <w:tab/>
      </w:r>
      <w:r>
        <w:rPr>
          <w:w w:val="95"/>
          <w:position w:val="1"/>
          <w:sz w:val="18"/>
        </w:rPr>
        <w:t>No </w:t>
      </w:r>
      <w:r>
        <w:rPr>
          <w:spacing w:val="-2"/>
          <w:sz w:val="18"/>
        </w:rPr>
        <w:t>Si</w:t>
      </w:r>
    </w:p>
    <w:p>
      <w:pPr>
        <w:pStyle w:val="BodyText"/>
        <w:spacing w:before="3"/>
        <w:rPr>
          <w:sz w:val="17"/>
        </w:rPr>
      </w:pPr>
      <w:r>
        <w:rPr/>
        <w:br w:type="column"/>
      </w:r>
      <w:r>
        <w:rPr>
          <w:sz w:val="17"/>
        </w:rPr>
      </w:r>
    </w:p>
    <w:p>
      <w:pPr>
        <w:spacing w:before="0"/>
        <w:ind w:left="0" w:right="698" w:firstLine="0"/>
        <w:jc w:val="center"/>
        <w:rPr>
          <w:sz w:val="18"/>
        </w:rPr>
      </w:pPr>
      <w:r>
        <w:rPr>
          <w:w w:val="99"/>
          <w:sz w:val="18"/>
        </w:rPr>
        <w:t>0</w:t>
      </w:r>
    </w:p>
    <w:p>
      <w:pPr>
        <w:spacing w:before="33"/>
        <w:ind w:left="0" w:right="698" w:firstLine="0"/>
        <w:jc w:val="center"/>
        <w:rPr>
          <w:sz w:val="18"/>
        </w:rPr>
      </w:pPr>
      <w:r>
        <w:rPr>
          <w:w w:val="99"/>
          <w:sz w:val="18"/>
        </w:rPr>
        <w:t>1</w:t>
      </w:r>
    </w:p>
    <w:p>
      <w:pPr>
        <w:spacing w:before="64"/>
        <w:ind w:left="0" w:right="0" w:firstLine="0"/>
        <w:jc w:val="right"/>
        <w:rPr>
          <w:sz w:val="18"/>
        </w:rPr>
      </w:pPr>
      <w:r>
        <w:rPr>
          <w:sz w:val="18"/>
        </w:rPr>
        <w:t>Categórica</w:t>
      </w:r>
    </w:p>
    <w:p>
      <w:pPr>
        <w:pStyle w:val="BodyText"/>
        <w:rPr>
          <w:sz w:val="18"/>
        </w:rPr>
      </w:pPr>
      <w:r>
        <w:rPr/>
        <w:br w:type="column"/>
      </w:r>
      <w:r>
        <w:rPr>
          <w:sz w:val="18"/>
        </w:rPr>
      </w:r>
    </w:p>
    <w:p>
      <w:pPr>
        <w:pStyle w:val="BodyText"/>
        <w:rPr>
          <w:sz w:val="18"/>
        </w:rPr>
      </w:pPr>
    </w:p>
    <w:p>
      <w:pPr>
        <w:pStyle w:val="BodyText"/>
        <w:spacing w:before="9"/>
        <w:rPr>
          <w:sz w:val="25"/>
        </w:rPr>
      </w:pPr>
    </w:p>
    <w:p>
      <w:pPr>
        <w:spacing w:before="0"/>
        <w:ind w:left="1099" w:right="-19" w:firstLine="0"/>
        <w:jc w:val="left"/>
        <w:rPr>
          <w:sz w:val="18"/>
        </w:rPr>
      </w:pPr>
      <w:r>
        <w:rPr>
          <w:sz w:val="18"/>
        </w:rPr>
        <w:t>Nominal</w:t>
      </w:r>
    </w:p>
    <w:p>
      <w:pPr>
        <w:pStyle w:val="BodyText"/>
        <w:rPr>
          <w:sz w:val="18"/>
        </w:rPr>
      </w:pPr>
      <w:r>
        <w:rPr/>
        <w:br w:type="column"/>
      </w:r>
      <w:r>
        <w:rPr>
          <w:sz w:val="18"/>
        </w:rPr>
      </w:r>
    </w:p>
    <w:p>
      <w:pPr>
        <w:pStyle w:val="BodyText"/>
        <w:rPr>
          <w:sz w:val="18"/>
        </w:rPr>
      </w:pPr>
    </w:p>
    <w:p>
      <w:pPr>
        <w:pStyle w:val="BodyText"/>
        <w:spacing w:before="9"/>
        <w:rPr>
          <w:sz w:val="25"/>
        </w:rPr>
      </w:pPr>
    </w:p>
    <w:p>
      <w:pPr>
        <w:spacing w:before="0"/>
        <w:ind w:left="789" w:right="0" w:firstLine="0"/>
        <w:jc w:val="left"/>
        <w:rPr>
          <w:sz w:val="18"/>
        </w:rPr>
      </w:pPr>
      <w:r>
        <w:rPr>
          <w:sz w:val="18"/>
        </w:rPr>
        <w:t>U de Mann-</w:t>
      </w:r>
    </w:p>
    <w:p>
      <w:pPr>
        <w:spacing w:after="0"/>
        <w:jc w:val="left"/>
        <w:rPr>
          <w:sz w:val="18"/>
        </w:rPr>
        <w:sectPr>
          <w:type w:val="continuous"/>
          <w:pgSz w:w="15840" w:h="12240" w:orient="landscape"/>
          <w:pgMar w:top="1420" w:bottom="280" w:left="0" w:right="0"/>
          <w:cols w:num="4" w:equalWidth="0">
            <w:col w:w="8504" w:space="40"/>
            <w:col w:w="2806" w:space="50"/>
            <w:col w:w="1761" w:space="40"/>
            <w:col w:w="2639"/>
          </w:cols>
        </w:sectPr>
      </w:pPr>
    </w:p>
    <w:p>
      <w:pPr>
        <w:pStyle w:val="ListParagraph"/>
        <w:numPr>
          <w:ilvl w:val="0"/>
          <w:numId w:val="15"/>
        </w:numPr>
        <w:tabs>
          <w:tab w:pos="1275" w:val="left" w:leader="none"/>
        </w:tabs>
        <w:spacing w:line="352" w:lineRule="auto" w:before="102" w:after="0"/>
        <w:ind w:left="1274" w:right="0" w:hanging="175"/>
        <w:jc w:val="left"/>
        <w:rPr>
          <w:rFonts w:ascii="Symbol"/>
          <w:sz w:val="18"/>
        </w:rPr>
      </w:pPr>
      <w:r>
        <w:rPr>
          <w:sz w:val="18"/>
        </w:rPr>
        <w:t>Alcohol en</w:t>
      </w:r>
      <w:r>
        <w:rPr>
          <w:spacing w:val="-7"/>
          <w:sz w:val="18"/>
        </w:rPr>
        <w:t> </w:t>
      </w:r>
      <w:r>
        <w:rPr>
          <w:sz w:val="18"/>
        </w:rPr>
        <w:t>enjuague bucal</w:t>
      </w:r>
    </w:p>
    <w:p>
      <w:pPr>
        <w:tabs>
          <w:tab w:pos="5327" w:val="left" w:leader="none"/>
        </w:tabs>
        <w:spacing w:line="362" w:lineRule="auto" w:before="102"/>
        <w:ind w:left="5363" w:right="0" w:hanging="4770"/>
        <w:jc w:val="right"/>
        <w:rPr>
          <w:sz w:val="18"/>
        </w:rPr>
      </w:pPr>
      <w:r>
        <w:rPr/>
        <w:br w:type="column"/>
      </w:r>
      <w:r>
        <w:rPr>
          <w:sz w:val="18"/>
        </w:rPr>
        <w:t>Contenido de alcohol en</w:t>
      </w:r>
      <w:r>
        <w:rPr>
          <w:spacing w:val="-12"/>
          <w:sz w:val="18"/>
        </w:rPr>
        <w:t> </w:t>
      </w:r>
      <w:r>
        <w:rPr>
          <w:sz w:val="18"/>
        </w:rPr>
        <w:t>enjuague</w:t>
      </w:r>
      <w:r>
        <w:rPr>
          <w:spacing w:val="-3"/>
          <w:sz w:val="18"/>
        </w:rPr>
        <w:t> </w:t>
      </w:r>
      <w:r>
        <w:rPr>
          <w:sz w:val="18"/>
        </w:rPr>
        <w:t>bucal.</w:t>
        <w:tab/>
      </w:r>
      <w:r>
        <w:rPr>
          <w:w w:val="95"/>
          <w:sz w:val="18"/>
        </w:rPr>
        <w:t>No </w:t>
      </w:r>
      <w:r>
        <w:rPr>
          <w:spacing w:val="-2"/>
          <w:sz w:val="18"/>
        </w:rPr>
        <w:t>Si</w:t>
      </w:r>
    </w:p>
    <w:p>
      <w:pPr>
        <w:spacing w:line="204" w:lineRule="exact" w:before="102"/>
        <w:ind w:left="983" w:right="1576" w:firstLine="0"/>
        <w:jc w:val="center"/>
        <w:rPr>
          <w:sz w:val="18"/>
        </w:rPr>
      </w:pPr>
      <w:r>
        <w:rPr/>
        <w:br w:type="column"/>
      </w:r>
      <w:r>
        <w:rPr>
          <w:sz w:val="18"/>
        </w:rPr>
        <w:t>0</w:t>
      </w:r>
    </w:p>
    <w:p>
      <w:pPr>
        <w:tabs>
          <w:tab w:pos="2039" w:val="left" w:leader="none"/>
        </w:tabs>
        <w:spacing w:line="314" w:lineRule="exact" w:before="0"/>
        <w:ind w:left="1002" w:right="0" w:firstLine="0"/>
        <w:jc w:val="left"/>
        <w:rPr>
          <w:sz w:val="18"/>
        </w:rPr>
      </w:pPr>
      <w:r>
        <w:rPr>
          <w:position w:val="-10"/>
          <w:sz w:val="18"/>
        </w:rPr>
        <w:t>1</w:t>
        <w:tab/>
      </w:r>
      <w:r>
        <w:rPr>
          <w:sz w:val="18"/>
        </w:rPr>
        <w:t>Nominal</w:t>
      </w:r>
    </w:p>
    <w:p>
      <w:pPr>
        <w:pStyle w:val="BodyText"/>
        <w:spacing w:before="5"/>
        <w:rPr>
          <w:sz w:val="26"/>
        </w:rPr>
      </w:pPr>
      <w:r>
        <w:rPr/>
        <w:br w:type="column"/>
      </w:r>
      <w:r>
        <w:rPr>
          <w:sz w:val="26"/>
        </w:rPr>
      </w:r>
    </w:p>
    <w:p>
      <w:pPr>
        <w:spacing w:before="0"/>
        <w:ind w:left="0" w:right="0" w:firstLine="0"/>
        <w:jc w:val="right"/>
        <w:rPr>
          <w:sz w:val="18"/>
        </w:rPr>
      </w:pPr>
      <w:r>
        <w:rPr>
          <w:sz w:val="18"/>
        </w:rPr>
        <w:t>0 – 1</w:t>
      </w:r>
    </w:p>
    <w:p>
      <w:pPr>
        <w:pStyle w:val="BodyText"/>
        <w:spacing w:before="1"/>
        <w:rPr>
          <w:sz w:val="18"/>
        </w:rPr>
      </w:pPr>
      <w:r>
        <w:rPr/>
        <w:br w:type="column"/>
      </w:r>
      <w:r>
        <w:rPr>
          <w:sz w:val="18"/>
        </w:rPr>
      </w:r>
    </w:p>
    <w:p>
      <w:pPr>
        <w:spacing w:before="0"/>
        <w:ind w:left="1043" w:right="1032" w:firstLine="0"/>
        <w:jc w:val="center"/>
        <w:rPr>
          <w:sz w:val="18"/>
        </w:rPr>
      </w:pPr>
      <w:r>
        <w:rPr>
          <w:sz w:val="18"/>
        </w:rPr>
        <w:t>Whitney</w:t>
      </w:r>
    </w:p>
    <w:p>
      <w:pPr>
        <w:spacing w:after="0"/>
        <w:jc w:val="center"/>
        <w:rPr>
          <w:sz w:val="18"/>
        </w:rPr>
        <w:sectPr>
          <w:type w:val="continuous"/>
          <w:pgSz w:w="15840" w:h="12240" w:orient="landscape"/>
          <w:pgMar w:top="1420" w:bottom="280" w:left="0" w:right="0"/>
          <w:cols w:num="5" w:equalWidth="0">
            <w:col w:w="2907" w:space="40"/>
            <w:col w:w="5558" w:space="40"/>
            <w:col w:w="2701" w:space="285"/>
            <w:col w:w="1502" w:space="40"/>
            <w:col w:w="2767"/>
          </w:cols>
        </w:sectPr>
      </w:pPr>
    </w:p>
    <w:p>
      <w:pPr>
        <w:pStyle w:val="BodyText"/>
        <w:spacing w:before="6"/>
        <w:rPr>
          <w:sz w:val="11"/>
        </w:rPr>
      </w:pPr>
    </w:p>
    <w:p>
      <w:pPr>
        <w:spacing w:after="0"/>
        <w:rPr>
          <w:sz w:val="11"/>
        </w:rPr>
        <w:sectPr>
          <w:type w:val="continuous"/>
          <w:pgSz w:w="15840" w:h="12240" w:orient="landscape"/>
          <w:pgMar w:top="1420" w:bottom="280" w:left="0" w:right="0"/>
        </w:sectPr>
      </w:pPr>
    </w:p>
    <w:p>
      <w:pPr>
        <w:pStyle w:val="ListParagraph"/>
        <w:numPr>
          <w:ilvl w:val="0"/>
          <w:numId w:val="18"/>
        </w:numPr>
        <w:tabs>
          <w:tab w:pos="1275" w:val="left" w:leader="none"/>
          <w:tab w:pos="3540" w:val="left" w:leader="none"/>
        </w:tabs>
        <w:spacing w:line="240" w:lineRule="auto" w:before="77" w:after="0"/>
        <w:ind w:left="1274" w:right="0" w:hanging="175"/>
        <w:jc w:val="left"/>
        <w:rPr>
          <w:sz w:val="18"/>
        </w:rPr>
      </w:pPr>
      <w:r>
        <w:rPr>
          <w:sz w:val="18"/>
        </w:rPr>
        <w:t>Visita</w:t>
      </w:r>
      <w:r>
        <w:rPr>
          <w:spacing w:val="-1"/>
          <w:sz w:val="18"/>
        </w:rPr>
        <w:t> </w:t>
      </w:r>
      <w:r>
        <w:rPr>
          <w:sz w:val="18"/>
        </w:rPr>
        <w:t>al</w:t>
      </w:r>
      <w:r>
        <w:rPr>
          <w:spacing w:val="-3"/>
          <w:sz w:val="18"/>
        </w:rPr>
        <w:t> </w:t>
      </w:r>
      <w:r>
        <w:rPr>
          <w:sz w:val="18"/>
        </w:rPr>
        <w:t>dentista</w:t>
        <w:tab/>
      </w:r>
      <w:r>
        <w:rPr>
          <w:position w:val="1"/>
          <w:sz w:val="18"/>
        </w:rPr>
        <w:t>Consulta dental en el último mes antes de</w:t>
      </w:r>
      <w:r>
        <w:rPr>
          <w:spacing w:val="-19"/>
          <w:position w:val="1"/>
          <w:sz w:val="18"/>
        </w:rPr>
        <w:t> </w:t>
      </w:r>
      <w:r>
        <w:rPr>
          <w:position w:val="1"/>
          <w:sz w:val="18"/>
        </w:rPr>
        <w:t>la</w:t>
      </w:r>
    </w:p>
    <w:p>
      <w:pPr>
        <w:spacing w:before="89"/>
        <w:ind w:left="3540" w:right="0" w:firstLine="0"/>
        <w:jc w:val="left"/>
        <w:rPr>
          <w:sz w:val="18"/>
        </w:rPr>
      </w:pPr>
      <w:r>
        <w:rPr>
          <w:sz w:val="18"/>
        </w:rPr>
        <w:t>toma de la muestra.</w:t>
      </w:r>
    </w:p>
    <w:p>
      <w:pPr>
        <w:tabs>
          <w:tab w:pos="2371" w:val="left" w:leader="none"/>
        </w:tabs>
        <w:spacing w:before="77"/>
        <w:ind w:left="1099" w:right="0" w:firstLine="0"/>
        <w:jc w:val="left"/>
        <w:rPr>
          <w:sz w:val="18"/>
        </w:rPr>
      </w:pPr>
      <w:r>
        <w:rPr/>
        <w:br w:type="column"/>
      </w:r>
      <w:r>
        <w:rPr>
          <w:sz w:val="18"/>
        </w:rPr>
        <w:t>No</w:t>
        <w:tab/>
        <w:t>0</w:t>
      </w:r>
    </w:p>
    <w:p>
      <w:pPr>
        <w:tabs>
          <w:tab w:pos="2471" w:val="right" w:leader="none"/>
        </w:tabs>
        <w:spacing w:before="102"/>
        <w:ind w:left="1135" w:right="0" w:firstLine="0"/>
        <w:jc w:val="left"/>
        <w:rPr>
          <w:sz w:val="18"/>
        </w:rPr>
      </w:pPr>
      <w:r>
        <w:rPr>
          <w:sz w:val="18"/>
        </w:rPr>
        <w:t>Si</w:t>
        <w:tab/>
        <w:t>1</w:t>
      </w:r>
    </w:p>
    <w:p>
      <w:pPr>
        <w:spacing w:after="0"/>
        <w:jc w:val="left"/>
        <w:rPr>
          <w:sz w:val="18"/>
        </w:rPr>
        <w:sectPr>
          <w:type w:val="continuous"/>
          <w:pgSz w:w="15840" w:h="12240" w:orient="landscape"/>
          <w:pgMar w:top="1420" w:bottom="280" w:left="0" w:right="0"/>
          <w:cols w:num="2" w:equalWidth="0">
            <w:col w:w="7082" w:space="92"/>
            <w:col w:w="8666"/>
          </w:cols>
        </w:sectPr>
      </w:pPr>
    </w:p>
    <w:p>
      <w:pPr>
        <w:pStyle w:val="ListParagraph"/>
        <w:numPr>
          <w:ilvl w:val="0"/>
          <w:numId w:val="18"/>
        </w:numPr>
        <w:tabs>
          <w:tab w:pos="1275" w:val="left" w:leader="none"/>
          <w:tab w:pos="3540" w:val="left" w:leader="none"/>
        </w:tabs>
        <w:spacing w:line="214" w:lineRule="exact" w:before="304" w:after="0"/>
        <w:ind w:left="1274" w:right="0" w:hanging="175"/>
        <w:jc w:val="left"/>
        <w:rPr>
          <w:sz w:val="18"/>
        </w:rPr>
      </w:pPr>
      <w:r>
        <w:rPr/>
        <w:pict>
          <v:group style="position:absolute;margin-left:49.560001pt;margin-top:103.699997pt;width:708.95pt;height:435.6pt;mso-position-horizontal-relative:page;mso-position-vertical-relative:page;z-index:-338560" coordorigin="991,2074" coordsize="14179,8712">
            <v:shape style="position:absolute;left:991;top:2074;width:14179;height:1227" coordorigin="991,2074" coordsize="14179,1227" path="m7510,2074l3399,2074,3291,2074,1099,2074,991,2074,991,3300,3399,3300,7510,3300,7510,2074m13751,2074l13643,2074,12013,2074,11905,2074,11797,2074,10031,2074,9923,2074,9815,2074,7619,2074,7511,2074,7511,3300,7619,3300,9815,3300,9923,3300,10031,3300,11797,3300,11905,3300,13751,3300,13751,2074m15170,2074l15062,2074,13860,2074,13752,2074,13752,3300,15170,3300,15170,2074e" filled="true" fillcolor="#3ddeca" stroked="false">
              <v:path arrowok="t"/>
              <v:fill type="solid"/>
            </v:shape>
            <v:shape style="position:absolute;left:991;top:3300;width:14179;height:1023" coordorigin="991,3300" coordsize="14179,1023" path="m7510,3301l7402,3301,7402,3300,3507,3300,3507,3301,3399,3301,3291,3301,3291,3300,1099,3300,1099,3301,991,3301,991,4323,3399,4323,7510,4323,7510,3301m13751,3301l13643,3301,13643,3300,12013,3300,12013,3301,11905,3301,11797,3301,11797,3300,10031,3300,10031,3301,9923,3301,9815,3301,9815,3300,7619,3300,7619,3301,7511,3301,7511,4323,9923,4323,10031,4323,11797,4323,11905,4323,13751,4323,13751,3301m15170,3301l15062,3301,15062,3300,13860,3300,13860,3301,13752,3301,13752,4323,15170,4323,15170,3301e" filled="true" fillcolor="#b4f1eb" stroked="false">
              <v:path arrowok="t"/>
              <v:fill type="solid"/>
            </v:shape>
            <v:shape style="position:absolute;left:991;top:4323;width:14179;height:1020" coordorigin="991,4323" coordsize="14179,1020" path="m7510,4323l7402,4323,3507,4323,3399,4323,3291,4323,1099,4323,991,4323,991,5343,3399,5343,7510,5343,7510,4323m13751,4323l13643,4323,12013,4323,11905,4323,11797,4323,10031,4323,9923,4323,9815,4323,9364,4323,9256,4323,9256,4323,9148,4323,7619,4323,7511,4323,7511,5343,7619,5343,9148,5343,9256,5343,9256,5343,9364,5343,9815,5343,9923,5343,10031,5343,11797,5343,11905,5343,12013,5343,13643,5343,13751,5343,13751,4323m15170,4323l15062,4323,13860,4323,13752,4323,13752,5343,15170,5343,15170,4323e" filled="true" fillcolor="#82eade" stroked="false">
              <v:path arrowok="t"/>
              <v:fill type="solid"/>
            </v:shape>
            <v:shape style="position:absolute;left:991;top:5343;width:14179;height:1023" coordorigin="991,5343" coordsize="14179,1023" path="m7510,5343l7402,5343,3507,5343,3399,5343,3291,5343,1099,5343,991,5343,991,6366,3399,6366,7510,6366,7510,5343m13751,5343l13643,5343,12013,5343,11905,5343,11797,5343,10031,5343,9923,5343,9815,5343,7619,5343,7511,5343,7511,6366,9923,6366,10031,6366,11797,6366,11905,6366,12013,6366,13643,6366,13751,6366,13751,5343m15170,5343l15062,5343,13860,5343,13752,5343,13752,6366,15170,6366,15170,5343e" filled="true" fillcolor="#b4f1eb" stroked="false">
              <v:path arrowok="t"/>
              <v:fill type="solid"/>
            </v:shape>
            <v:shape style="position:absolute;left:991;top:6366;width:14179;height:1331" coordorigin="991,6366" coordsize="14179,1331" path="m7510,6366l7402,6366,3507,6366,3399,6366,3291,6366,1099,6366,991,6366,991,6875,991,7696,1099,7696,3291,7696,3399,7696,3507,7696,7402,7696,7510,7696,7510,6875,7510,6366m13751,6366l13643,6366,12013,6366,11905,6366,11797,6366,10031,6366,9923,6366,9815,6366,7619,6366,7511,6366,7511,6875,7511,7696,7619,7696,9193,7696,9301,7696,9301,7696,9409,7696,9815,7696,9923,7696,11905,7696,13751,7696,13751,6875,13751,6366m15170,6366l15062,6366,13860,6366,13752,6366,13752,6875,13752,7696,15170,7696,15170,6875,15170,6366e" filled="true" fillcolor="#82eade" stroked="false">
              <v:path arrowok="t"/>
              <v:fill type="solid"/>
            </v:shape>
            <v:shape style="position:absolute;left:991;top:7696;width:8932;height:821" coordorigin="991,7696" coordsize="8932,821" path="m7510,7696l7402,7696,7402,7696,3507,7696,3507,7696,3399,7696,3291,7696,3291,7696,1099,7696,1099,7696,991,7696,991,8517,3399,8517,7510,8517,7510,7696m9923,7696l9815,7696,9815,7696,9378,7696,9378,7696,9270,7696,9270,7696,9162,7696,9162,7696,7619,7696,7619,7696,7511,7696,7511,8517,7619,8517,9162,8517,9270,8517,9270,8517,9923,8517,9923,7696e" filled="true" fillcolor="#b4f1eb" stroked="false">
              <v:path arrowok="t"/>
              <v:fill type="solid"/>
            </v:shape>
            <v:shape style="position:absolute;left:991;top:7696;width:14179;height:3090" coordorigin="991,7696" coordsize="14179,3090" path="m7510,8517l7402,8517,3507,8517,3399,8517,3291,8517,3291,8517,1099,8517,1099,8517,991,8517,991,9352,1099,9352,3291,9352,3399,9352,7510,9352,7510,8517m13751,7696l13643,7696,13643,7696,12013,7696,12013,7696,11905,7696,11797,7696,11797,7696,10031,7696,10031,7696,9923,7696,9923,8517,9815,8517,9815,8517,9378,8517,9378,8517,9270,8517,9270,8517,9162,8517,9162,8517,7619,8517,7619,8517,7511,8517,7511,9352,9270,9352,9270,9352,9923,9352,9923,10785,11905,10785,13751,10785,13751,7696m15170,7696l15062,7696,15062,7696,13860,7696,13860,7696,13752,7696,13752,10785,15170,10785,15170,7696e" filled="true" fillcolor="#82eade" stroked="false">
              <v:path arrowok="t"/>
              <v:fill type="solid"/>
            </v:shape>
            <v:shape style="position:absolute;left:991;top:9352;width:8932;height:821" coordorigin="991,9352" coordsize="8932,821" path="m7510,9352l7402,9352,3507,9352,3399,9352,3291,9352,1099,9352,991,9352,991,10173,3399,10173,3507,10173,7402,10173,7510,10173,7510,9352m9923,9352l9815,9352,9378,9352,9270,9352,9270,9352,9162,9352,7619,9352,7511,9352,7511,10173,7619,10173,9162,10173,9270,10173,9270,10173,9378,10173,9815,10173,9923,10173,9923,9352e" filled="true" fillcolor="#b4f1eb" stroked="false">
              <v:path arrowok="t"/>
              <v:fill type="solid"/>
            </v:shape>
            <v:shape style="position:absolute;left:991;top:10173;width:8932;height:612" coordorigin="991,10173" coordsize="8932,612" path="m7510,10173l7402,10173,3507,10173,3399,10173,3291,10173,1099,10173,991,10173,991,10785,3399,10785,3507,10785,7402,10785,7510,10785,7510,10173m9923,10173l9815,10173,9378,10173,9270,10173,9270,10173,9162,10173,7619,10173,7511,10173,7511,10785,7619,10785,9162,10785,9270,10785,9270,10785,9378,10785,9815,10785,9923,10785,9923,10173e" filled="true" fillcolor="#82eade" stroked="false">
              <v:path arrowok="t"/>
              <v:fill type="solid"/>
            </v:shape>
            <w10:wrap type="none"/>
          </v:group>
        </w:pict>
      </w:r>
      <w:r>
        <w:rPr>
          <w:sz w:val="18"/>
        </w:rPr>
        <w:t>Tratamiento</w:t>
      </w:r>
      <w:r>
        <w:rPr>
          <w:spacing w:val="-3"/>
          <w:sz w:val="18"/>
        </w:rPr>
        <w:t> </w:t>
      </w:r>
      <w:r>
        <w:rPr>
          <w:sz w:val="18"/>
        </w:rPr>
        <w:t>dental</w:t>
        <w:tab/>
      </w:r>
      <w:r>
        <w:rPr>
          <w:position w:val="1"/>
          <w:sz w:val="18"/>
        </w:rPr>
        <w:t>Obturaciones con amalgama, resina</w:t>
      </w:r>
      <w:r>
        <w:rPr>
          <w:spacing w:val="-13"/>
          <w:position w:val="1"/>
          <w:sz w:val="18"/>
        </w:rPr>
        <w:t> </w:t>
      </w:r>
      <w:r>
        <w:rPr>
          <w:position w:val="1"/>
          <w:sz w:val="18"/>
        </w:rPr>
        <w:t>o</w:t>
      </w:r>
    </w:p>
    <w:p>
      <w:pPr>
        <w:spacing w:line="200" w:lineRule="exact" w:before="0"/>
        <w:ind w:left="3521" w:right="2220" w:firstLine="0"/>
        <w:jc w:val="center"/>
        <w:rPr>
          <w:sz w:val="18"/>
        </w:rPr>
      </w:pPr>
      <w:r>
        <w:rPr>
          <w:sz w:val="18"/>
        </w:rPr>
        <w:t>iónomero.</w:t>
      </w:r>
    </w:p>
    <w:p>
      <w:pPr>
        <w:pStyle w:val="BodyText"/>
        <w:spacing w:before="5"/>
        <w:rPr>
          <w:sz w:val="26"/>
        </w:rPr>
      </w:pPr>
      <w:r>
        <w:rPr/>
        <w:br w:type="column"/>
      </w:r>
      <w:r>
        <w:rPr>
          <w:sz w:val="26"/>
        </w:rPr>
      </w:r>
    </w:p>
    <w:p>
      <w:pPr>
        <w:tabs>
          <w:tab w:pos="2371" w:val="left" w:leader="none"/>
        </w:tabs>
        <w:spacing w:line="207" w:lineRule="exact" w:before="0"/>
        <w:ind w:left="1099" w:right="0" w:firstLine="0"/>
        <w:jc w:val="left"/>
        <w:rPr>
          <w:sz w:val="18"/>
        </w:rPr>
      </w:pPr>
      <w:r>
        <w:rPr>
          <w:sz w:val="18"/>
        </w:rPr>
        <w:t>No</w:t>
        <w:tab/>
        <w:t>0</w:t>
      </w:r>
    </w:p>
    <w:p>
      <w:pPr>
        <w:tabs>
          <w:tab w:pos="2471" w:val="right" w:leader="none"/>
        </w:tabs>
        <w:spacing w:line="207" w:lineRule="exact" w:before="0"/>
        <w:ind w:left="1135" w:right="0" w:firstLine="0"/>
        <w:jc w:val="left"/>
        <w:rPr>
          <w:sz w:val="18"/>
        </w:rPr>
      </w:pPr>
      <w:r>
        <w:rPr>
          <w:sz w:val="18"/>
        </w:rPr>
        <w:t>Si</w:t>
        <w:tab/>
        <w:t>1</w:t>
      </w:r>
    </w:p>
    <w:p>
      <w:pPr>
        <w:spacing w:after="0" w:line="207" w:lineRule="exact"/>
        <w:jc w:val="left"/>
        <w:rPr>
          <w:sz w:val="18"/>
        </w:rPr>
        <w:sectPr>
          <w:type w:val="continuous"/>
          <w:pgSz w:w="15840" w:h="12240" w:orient="landscape"/>
          <w:pgMar w:top="1420" w:bottom="280" w:left="0" w:right="0"/>
          <w:cols w:num="2" w:equalWidth="0">
            <w:col w:w="6582" w:space="592"/>
            <w:col w:w="8666"/>
          </w:cols>
        </w:sectPr>
      </w:pPr>
    </w:p>
    <w:p>
      <w:pPr>
        <w:pStyle w:val="Heading4"/>
        <w:spacing w:before="278"/>
        <w:ind w:left="1459"/>
      </w:pPr>
      <w:r>
        <w:rPr>
          <w:rFonts w:ascii="Courier New" w:hAnsi="Courier New"/>
          <w:sz w:val="32"/>
        </w:rPr>
        <w:t>ͽ </w:t>
      </w:r>
      <w:r>
        <w:rPr/>
        <w:t>Factores de variabilidad</w:t>
      </w:r>
    </w:p>
    <w:p>
      <w:pPr>
        <w:pStyle w:val="BodyText"/>
        <w:spacing w:before="5"/>
        <w:rPr>
          <w:b/>
          <w:sz w:val="25"/>
        </w:rPr>
      </w:pPr>
    </w:p>
    <w:tbl>
      <w:tblPr>
        <w:tblW w:w="0" w:type="auto"/>
        <w:jc w:val="left"/>
        <w:tblInd w:w="98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67"/>
        <w:gridCol w:w="4475"/>
        <w:gridCol w:w="1193"/>
        <w:gridCol w:w="898"/>
        <w:gridCol w:w="1982"/>
        <w:gridCol w:w="1846"/>
        <w:gridCol w:w="1418"/>
      </w:tblGrid>
      <w:tr>
        <w:trPr>
          <w:trHeight w:val="1234" w:hRule="exact"/>
        </w:trPr>
        <w:tc>
          <w:tcPr>
            <w:tcW w:w="2367" w:type="dxa"/>
            <w:tcBorders>
              <w:top w:val="single" w:sz="4" w:space="0" w:color="A7F7EE"/>
            </w:tcBorders>
            <w:shd w:val="clear" w:color="auto" w:fill="12D2C1"/>
          </w:tcPr>
          <w:p>
            <w:pPr>
              <w:pStyle w:val="TableParagraph"/>
              <w:spacing w:before="405"/>
              <w:ind w:left="787"/>
              <w:jc w:val="left"/>
              <w:rPr>
                <w:b/>
                <w:sz w:val="20"/>
              </w:rPr>
            </w:pPr>
            <w:r>
              <w:rPr>
                <w:b/>
                <w:sz w:val="20"/>
              </w:rPr>
              <w:t>Factores</w:t>
            </w:r>
          </w:p>
        </w:tc>
        <w:tc>
          <w:tcPr>
            <w:tcW w:w="6565" w:type="dxa"/>
            <w:gridSpan w:val="3"/>
            <w:tcBorders>
              <w:top w:val="single" w:sz="4" w:space="0" w:color="A7F7EE"/>
            </w:tcBorders>
            <w:shd w:val="clear" w:color="auto" w:fill="12D2C1"/>
          </w:tcPr>
          <w:p>
            <w:pPr>
              <w:pStyle w:val="TableParagraph"/>
              <w:spacing w:before="8"/>
              <w:jc w:val="left"/>
              <w:rPr>
                <w:b/>
                <w:sz w:val="28"/>
              </w:rPr>
            </w:pPr>
          </w:p>
          <w:p>
            <w:pPr>
              <w:pStyle w:val="TableParagraph"/>
              <w:tabs>
                <w:tab w:pos="4875" w:val="left" w:leader="none"/>
              </w:tabs>
              <w:spacing w:before="0"/>
              <w:ind w:left="1613"/>
              <w:jc w:val="left"/>
              <w:rPr>
                <w:b/>
                <w:sz w:val="20"/>
              </w:rPr>
            </w:pPr>
            <w:r>
              <w:rPr>
                <w:b/>
                <w:sz w:val="20"/>
              </w:rPr>
              <w:t>Definición</w:t>
              <w:tab/>
            </w:r>
            <w:r>
              <w:rPr>
                <w:b/>
                <w:position w:val="1"/>
                <w:sz w:val="20"/>
              </w:rPr>
              <w:t>Definición</w:t>
            </w:r>
          </w:p>
          <w:p>
            <w:pPr>
              <w:pStyle w:val="TableParagraph"/>
              <w:tabs>
                <w:tab w:pos="4796" w:val="left" w:leader="none"/>
              </w:tabs>
              <w:spacing w:before="113"/>
              <w:ind w:left="1567"/>
              <w:jc w:val="left"/>
              <w:rPr>
                <w:b/>
                <w:sz w:val="20"/>
              </w:rPr>
            </w:pPr>
            <w:r>
              <w:rPr>
                <w:b/>
                <w:sz w:val="20"/>
              </w:rPr>
              <w:t>conceptual</w:t>
              <w:tab/>
              <w:t>operacional</w:t>
            </w:r>
          </w:p>
        </w:tc>
        <w:tc>
          <w:tcPr>
            <w:tcW w:w="3829" w:type="dxa"/>
            <w:gridSpan w:val="2"/>
            <w:tcBorders>
              <w:top w:val="single" w:sz="4" w:space="0" w:color="A7F7EE"/>
            </w:tcBorders>
            <w:shd w:val="clear" w:color="auto" w:fill="12D2C1"/>
          </w:tcPr>
          <w:p>
            <w:pPr>
              <w:pStyle w:val="TableParagraph"/>
              <w:spacing w:before="9"/>
              <w:jc w:val="left"/>
              <w:rPr>
                <w:b/>
                <w:sz w:val="25"/>
              </w:rPr>
            </w:pPr>
          </w:p>
          <w:p>
            <w:pPr>
              <w:pStyle w:val="TableParagraph"/>
              <w:tabs>
                <w:tab w:pos="2443" w:val="left" w:leader="none"/>
              </w:tabs>
              <w:spacing w:before="0"/>
              <w:ind w:left="633"/>
              <w:jc w:val="left"/>
              <w:rPr>
                <w:b/>
                <w:sz w:val="20"/>
              </w:rPr>
            </w:pPr>
            <w:r>
              <w:rPr>
                <w:b/>
                <w:position w:val="-3"/>
                <w:sz w:val="20"/>
              </w:rPr>
              <w:t>Tipo de</w:t>
              <w:tab/>
            </w:r>
            <w:r>
              <w:rPr>
                <w:b/>
                <w:sz w:val="20"/>
              </w:rPr>
              <w:t>Escala</w:t>
            </w:r>
            <w:r>
              <w:rPr>
                <w:b/>
                <w:spacing w:val="-3"/>
                <w:sz w:val="20"/>
              </w:rPr>
              <w:t> </w:t>
            </w:r>
            <w:r>
              <w:rPr>
                <w:b/>
                <w:sz w:val="20"/>
              </w:rPr>
              <w:t>de</w:t>
            </w:r>
          </w:p>
          <w:p>
            <w:pPr>
              <w:pStyle w:val="TableParagraph"/>
              <w:tabs>
                <w:tab w:pos="2464" w:val="left" w:leader="none"/>
              </w:tabs>
              <w:spacing w:before="78"/>
              <w:ind w:left="612"/>
              <w:jc w:val="left"/>
              <w:rPr>
                <w:b/>
                <w:sz w:val="20"/>
              </w:rPr>
            </w:pPr>
            <w:r>
              <w:rPr>
                <w:b/>
                <w:position w:val="-3"/>
                <w:sz w:val="20"/>
              </w:rPr>
              <w:t>variable</w:t>
              <w:tab/>
            </w:r>
            <w:r>
              <w:rPr>
                <w:b/>
                <w:sz w:val="20"/>
              </w:rPr>
              <w:t>medición</w:t>
            </w:r>
          </w:p>
        </w:tc>
        <w:tc>
          <w:tcPr>
            <w:tcW w:w="1418" w:type="dxa"/>
            <w:tcBorders>
              <w:top w:val="single" w:sz="4" w:space="0" w:color="A7F7EE"/>
            </w:tcBorders>
            <w:shd w:val="clear" w:color="auto" w:fill="12D2C1"/>
          </w:tcPr>
          <w:p>
            <w:pPr>
              <w:pStyle w:val="TableParagraph"/>
              <w:spacing w:before="9"/>
              <w:jc w:val="left"/>
              <w:rPr>
                <w:b/>
                <w:sz w:val="25"/>
              </w:rPr>
            </w:pPr>
          </w:p>
          <w:p>
            <w:pPr>
              <w:pStyle w:val="TableParagraph"/>
              <w:spacing w:line="362" w:lineRule="auto" w:before="0"/>
              <w:ind w:left="129" w:firstLine="196"/>
              <w:jc w:val="left"/>
              <w:rPr>
                <w:b/>
                <w:sz w:val="20"/>
              </w:rPr>
            </w:pPr>
            <w:r>
              <w:rPr>
                <w:b/>
                <w:sz w:val="20"/>
              </w:rPr>
              <w:t>Análisis </w:t>
            </w:r>
            <w:r>
              <w:rPr>
                <w:b/>
                <w:w w:val="95"/>
                <w:sz w:val="20"/>
              </w:rPr>
              <w:t>estadísticos</w:t>
            </w:r>
          </w:p>
        </w:tc>
      </w:tr>
      <w:tr>
        <w:trPr>
          <w:trHeight w:val="1342" w:hRule="exact"/>
        </w:trPr>
        <w:tc>
          <w:tcPr>
            <w:tcW w:w="2367" w:type="dxa"/>
            <w:shd w:val="clear" w:color="auto" w:fill="B4F1EB"/>
          </w:tcPr>
          <w:p>
            <w:pPr>
              <w:pStyle w:val="TableParagraph"/>
              <w:spacing w:line="204" w:lineRule="exact" w:before="0"/>
              <w:ind w:left="107"/>
              <w:jc w:val="left"/>
              <w:rPr>
                <w:i/>
                <w:sz w:val="18"/>
              </w:rPr>
            </w:pPr>
            <w:r>
              <w:rPr>
                <w:i/>
                <w:sz w:val="18"/>
              </w:rPr>
              <w:t>Hábitos alimenticios</w:t>
            </w:r>
          </w:p>
          <w:p>
            <w:pPr>
              <w:pStyle w:val="TableParagraph"/>
              <w:spacing w:before="5"/>
              <w:jc w:val="left"/>
              <w:rPr>
                <w:b/>
                <w:sz w:val="26"/>
              </w:rPr>
            </w:pPr>
          </w:p>
          <w:p>
            <w:pPr>
              <w:pStyle w:val="TableParagraph"/>
              <w:numPr>
                <w:ilvl w:val="0"/>
                <w:numId w:val="19"/>
              </w:numPr>
              <w:tabs>
                <w:tab w:pos="284" w:val="left" w:leader="none"/>
              </w:tabs>
              <w:spacing w:line="352" w:lineRule="auto" w:before="0" w:after="0"/>
              <w:ind w:left="283" w:right="240" w:hanging="175"/>
              <w:jc w:val="left"/>
              <w:rPr>
                <w:sz w:val="18"/>
              </w:rPr>
            </w:pPr>
            <w:r>
              <w:rPr>
                <w:sz w:val="18"/>
              </w:rPr>
              <w:t>Consumo de alimentos enlatados</w:t>
            </w:r>
          </w:p>
        </w:tc>
        <w:tc>
          <w:tcPr>
            <w:tcW w:w="4475" w:type="dxa"/>
            <w:shd w:val="clear" w:color="auto" w:fill="B4F1EB"/>
          </w:tcPr>
          <w:p>
            <w:pPr>
              <w:pStyle w:val="TableParagraph"/>
              <w:spacing w:before="0"/>
              <w:jc w:val="left"/>
              <w:rPr>
                <w:b/>
                <w:sz w:val="18"/>
              </w:rPr>
            </w:pPr>
          </w:p>
          <w:p>
            <w:pPr>
              <w:pStyle w:val="TableParagraph"/>
              <w:spacing w:before="2"/>
              <w:jc w:val="left"/>
              <w:rPr>
                <w:b/>
                <w:sz w:val="26"/>
              </w:rPr>
            </w:pPr>
          </w:p>
          <w:p>
            <w:pPr>
              <w:pStyle w:val="TableParagraph"/>
              <w:spacing w:line="362" w:lineRule="auto" w:before="0"/>
              <w:ind w:left="182" w:right="580"/>
              <w:jc w:val="left"/>
              <w:rPr>
                <w:sz w:val="18"/>
              </w:rPr>
            </w:pPr>
            <w:r>
              <w:rPr>
                <w:sz w:val="18"/>
              </w:rPr>
              <w:t>Ingesta de alimentos enlatados durante la última semana antes de la toma de la muestra</w:t>
            </w:r>
          </w:p>
        </w:tc>
        <w:tc>
          <w:tcPr>
            <w:tcW w:w="1193" w:type="dxa"/>
            <w:shd w:val="clear" w:color="auto" w:fill="B4F1EB"/>
          </w:tcPr>
          <w:p>
            <w:pPr/>
          </w:p>
        </w:tc>
        <w:tc>
          <w:tcPr>
            <w:tcW w:w="898" w:type="dxa"/>
            <w:shd w:val="clear" w:color="auto" w:fill="B4F1EB"/>
          </w:tcPr>
          <w:p>
            <w:pPr/>
          </w:p>
        </w:tc>
        <w:tc>
          <w:tcPr>
            <w:tcW w:w="1982" w:type="dxa"/>
            <w:tcBorders>
              <w:right w:val="single" w:sz="4" w:space="0" w:color="A7F7EE"/>
            </w:tcBorders>
            <w:shd w:val="clear" w:color="auto" w:fill="B4F1EB"/>
          </w:tcPr>
          <w:p>
            <w:pPr/>
          </w:p>
        </w:tc>
        <w:tc>
          <w:tcPr>
            <w:tcW w:w="1846" w:type="dxa"/>
            <w:vMerge w:val="restart"/>
            <w:tcBorders>
              <w:left w:val="single" w:sz="4" w:space="0" w:color="A7F7EE"/>
              <w:right w:val="single" w:sz="4" w:space="0" w:color="A7F7EE"/>
            </w:tcBorders>
            <w:shd w:val="clear" w:color="auto" w:fill="B4F1EB"/>
          </w:tcPr>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3"/>
              <w:jc w:val="left"/>
              <w:rPr>
                <w:b/>
                <w:sz w:val="14"/>
              </w:rPr>
            </w:pPr>
          </w:p>
          <w:p>
            <w:pPr>
              <w:pStyle w:val="TableParagraph"/>
              <w:spacing w:line="592" w:lineRule="auto" w:before="1"/>
              <w:ind w:left="718" w:right="570" w:hanging="132"/>
              <w:jc w:val="left"/>
              <w:rPr>
                <w:sz w:val="18"/>
              </w:rPr>
            </w:pPr>
            <w:r>
              <w:rPr>
                <w:sz w:val="18"/>
              </w:rPr>
              <w:t>Nominal 0 – 1</w:t>
            </w:r>
          </w:p>
        </w:tc>
        <w:tc>
          <w:tcPr>
            <w:tcW w:w="1418" w:type="dxa"/>
            <w:vMerge w:val="restart"/>
            <w:tcBorders>
              <w:left w:val="single" w:sz="4" w:space="0" w:color="A7F7EE"/>
            </w:tcBorders>
            <w:shd w:val="clear" w:color="auto" w:fill="B4F1EB"/>
          </w:tcPr>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0"/>
              <w:jc w:val="left"/>
              <w:rPr>
                <w:b/>
                <w:sz w:val="18"/>
              </w:rPr>
            </w:pPr>
          </w:p>
          <w:p>
            <w:pPr>
              <w:pStyle w:val="TableParagraph"/>
              <w:spacing w:before="3"/>
              <w:jc w:val="left"/>
              <w:rPr>
                <w:b/>
                <w:sz w:val="14"/>
              </w:rPr>
            </w:pPr>
          </w:p>
          <w:p>
            <w:pPr>
              <w:pStyle w:val="TableParagraph"/>
              <w:spacing w:line="360" w:lineRule="auto" w:before="1"/>
              <w:ind w:left="379" w:right="221" w:hanging="147"/>
              <w:jc w:val="left"/>
              <w:rPr>
                <w:sz w:val="18"/>
              </w:rPr>
            </w:pPr>
            <w:r>
              <w:rPr>
                <w:sz w:val="18"/>
              </w:rPr>
              <w:t>U de Mann- Whitney</w:t>
            </w:r>
          </w:p>
        </w:tc>
      </w:tr>
      <w:tr>
        <w:trPr>
          <w:trHeight w:val="823" w:hRule="exact"/>
        </w:trPr>
        <w:tc>
          <w:tcPr>
            <w:tcW w:w="2367" w:type="dxa"/>
            <w:shd w:val="clear" w:color="auto" w:fill="82EADE"/>
          </w:tcPr>
          <w:p>
            <w:pPr>
              <w:pStyle w:val="TableParagraph"/>
              <w:numPr>
                <w:ilvl w:val="0"/>
                <w:numId w:val="20"/>
              </w:numPr>
              <w:tabs>
                <w:tab w:pos="284" w:val="left" w:leader="none"/>
              </w:tabs>
              <w:spacing w:line="220" w:lineRule="exact" w:before="0" w:after="0"/>
              <w:ind w:left="283" w:right="0" w:hanging="175"/>
              <w:jc w:val="left"/>
              <w:rPr>
                <w:sz w:val="18"/>
              </w:rPr>
            </w:pPr>
            <w:r>
              <w:rPr>
                <w:sz w:val="18"/>
              </w:rPr>
              <w:t>Consumo de</w:t>
            </w:r>
            <w:r>
              <w:rPr>
                <w:spacing w:val="-8"/>
                <w:sz w:val="18"/>
              </w:rPr>
              <w:t> </w:t>
            </w:r>
            <w:r>
              <w:rPr>
                <w:sz w:val="18"/>
              </w:rPr>
              <w:t>embutidos</w:t>
            </w:r>
          </w:p>
        </w:tc>
        <w:tc>
          <w:tcPr>
            <w:tcW w:w="4475" w:type="dxa"/>
            <w:shd w:val="clear" w:color="auto" w:fill="82EADE"/>
          </w:tcPr>
          <w:p>
            <w:pPr>
              <w:pStyle w:val="TableParagraph"/>
              <w:spacing w:line="362" w:lineRule="auto" w:before="0"/>
              <w:ind w:left="182" w:right="530"/>
              <w:jc w:val="left"/>
              <w:rPr>
                <w:sz w:val="18"/>
              </w:rPr>
            </w:pPr>
            <w:r>
              <w:rPr>
                <w:sz w:val="18"/>
              </w:rPr>
              <w:t>Ingesta de alimentos embutidos durante la última semana antes de la toma de la muestra.</w:t>
            </w:r>
          </w:p>
        </w:tc>
        <w:tc>
          <w:tcPr>
            <w:tcW w:w="1193" w:type="dxa"/>
            <w:shd w:val="clear" w:color="auto" w:fill="82EADE"/>
          </w:tcPr>
          <w:p>
            <w:pPr>
              <w:pStyle w:val="TableParagraph"/>
              <w:spacing w:line="362" w:lineRule="auto" w:before="0"/>
              <w:ind w:left="441" w:right="519"/>
              <w:rPr>
                <w:sz w:val="18"/>
              </w:rPr>
            </w:pPr>
            <w:r>
              <w:rPr>
                <w:sz w:val="18"/>
              </w:rPr>
              <w:t>No</w:t>
            </w:r>
            <w:r>
              <w:rPr>
                <w:w w:val="99"/>
                <w:sz w:val="18"/>
              </w:rPr>
              <w:t> </w:t>
            </w:r>
            <w:r>
              <w:rPr>
                <w:sz w:val="18"/>
              </w:rPr>
              <w:t>Si</w:t>
            </w:r>
          </w:p>
        </w:tc>
        <w:tc>
          <w:tcPr>
            <w:tcW w:w="898" w:type="dxa"/>
            <w:shd w:val="clear" w:color="auto" w:fill="82EADE"/>
          </w:tcPr>
          <w:p>
            <w:pPr>
              <w:pStyle w:val="TableParagraph"/>
              <w:spacing w:line="206" w:lineRule="exact" w:before="0"/>
              <w:ind w:left="521"/>
              <w:jc w:val="left"/>
              <w:rPr>
                <w:sz w:val="18"/>
              </w:rPr>
            </w:pPr>
            <w:r>
              <w:rPr>
                <w:w w:val="99"/>
                <w:sz w:val="18"/>
              </w:rPr>
              <w:t>0</w:t>
            </w:r>
          </w:p>
          <w:p>
            <w:pPr>
              <w:pStyle w:val="TableParagraph"/>
              <w:spacing w:before="105"/>
              <w:ind w:left="521"/>
              <w:jc w:val="left"/>
              <w:rPr>
                <w:sz w:val="18"/>
              </w:rPr>
            </w:pPr>
            <w:r>
              <w:rPr>
                <w:w w:val="99"/>
                <w:sz w:val="18"/>
              </w:rPr>
              <w:t>1</w:t>
            </w:r>
          </w:p>
        </w:tc>
        <w:tc>
          <w:tcPr>
            <w:tcW w:w="1982" w:type="dxa"/>
            <w:tcBorders>
              <w:right w:val="single" w:sz="4" w:space="0" w:color="A7F7EE"/>
            </w:tcBorders>
            <w:shd w:val="clear" w:color="auto" w:fill="B4F1EB"/>
          </w:tcPr>
          <w:p>
            <w:pPr/>
          </w:p>
        </w:tc>
        <w:tc>
          <w:tcPr>
            <w:tcW w:w="1846" w:type="dxa"/>
            <w:vMerge/>
            <w:tcBorders>
              <w:left w:val="single" w:sz="4" w:space="0" w:color="A7F7EE"/>
              <w:right w:val="single" w:sz="4" w:space="0" w:color="A7F7EE"/>
            </w:tcBorders>
            <w:shd w:val="clear" w:color="auto" w:fill="B4F1EB"/>
          </w:tcPr>
          <w:p>
            <w:pPr/>
          </w:p>
        </w:tc>
        <w:tc>
          <w:tcPr>
            <w:tcW w:w="1418" w:type="dxa"/>
            <w:vMerge/>
            <w:tcBorders>
              <w:left w:val="single" w:sz="4" w:space="0" w:color="A7F7EE"/>
            </w:tcBorders>
            <w:shd w:val="clear" w:color="auto" w:fill="B4F1EB"/>
          </w:tcPr>
          <w:p>
            <w:pPr/>
          </w:p>
        </w:tc>
      </w:tr>
      <w:tr>
        <w:trPr>
          <w:trHeight w:val="833" w:hRule="exact"/>
        </w:trPr>
        <w:tc>
          <w:tcPr>
            <w:tcW w:w="2367" w:type="dxa"/>
            <w:shd w:val="clear" w:color="auto" w:fill="B4F1EB"/>
          </w:tcPr>
          <w:p>
            <w:pPr>
              <w:pStyle w:val="TableParagraph"/>
              <w:numPr>
                <w:ilvl w:val="0"/>
                <w:numId w:val="21"/>
              </w:numPr>
              <w:tabs>
                <w:tab w:pos="284" w:val="left" w:leader="none"/>
              </w:tabs>
              <w:spacing w:line="350" w:lineRule="auto" w:before="0" w:after="0"/>
              <w:ind w:left="283" w:right="418" w:hanging="175"/>
              <w:jc w:val="left"/>
              <w:rPr>
                <w:sz w:val="18"/>
              </w:rPr>
            </w:pPr>
            <w:r>
              <w:rPr>
                <w:sz w:val="18"/>
              </w:rPr>
              <w:t>Consumo de frutas y verduras</w:t>
            </w:r>
          </w:p>
        </w:tc>
        <w:tc>
          <w:tcPr>
            <w:tcW w:w="4475" w:type="dxa"/>
            <w:shd w:val="clear" w:color="auto" w:fill="B4F1EB"/>
          </w:tcPr>
          <w:p>
            <w:pPr>
              <w:pStyle w:val="TableParagraph"/>
              <w:spacing w:line="360" w:lineRule="auto" w:before="0"/>
              <w:ind w:left="182" w:right="580"/>
              <w:jc w:val="left"/>
              <w:rPr>
                <w:sz w:val="18"/>
              </w:rPr>
            </w:pPr>
            <w:r>
              <w:rPr>
                <w:sz w:val="18"/>
              </w:rPr>
              <w:t>Ingesta de frutas y verduras durante la última semana antes de la toma de la muestra.</w:t>
            </w:r>
          </w:p>
        </w:tc>
        <w:tc>
          <w:tcPr>
            <w:tcW w:w="1193" w:type="dxa"/>
            <w:shd w:val="clear" w:color="auto" w:fill="B4F1EB"/>
          </w:tcPr>
          <w:p>
            <w:pPr>
              <w:pStyle w:val="TableParagraph"/>
              <w:spacing w:line="360" w:lineRule="auto" w:before="0"/>
              <w:ind w:left="441" w:right="519"/>
              <w:rPr>
                <w:sz w:val="18"/>
              </w:rPr>
            </w:pPr>
            <w:r>
              <w:rPr>
                <w:sz w:val="18"/>
              </w:rPr>
              <w:t>No</w:t>
            </w:r>
            <w:r>
              <w:rPr>
                <w:w w:val="99"/>
                <w:sz w:val="18"/>
              </w:rPr>
              <w:t> </w:t>
            </w:r>
            <w:r>
              <w:rPr>
                <w:sz w:val="18"/>
              </w:rPr>
              <w:t>Si</w:t>
            </w:r>
          </w:p>
        </w:tc>
        <w:tc>
          <w:tcPr>
            <w:tcW w:w="898" w:type="dxa"/>
            <w:shd w:val="clear" w:color="auto" w:fill="B4F1EB"/>
          </w:tcPr>
          <w:p>
            <w:pPr>
              <w:pStyle w:val="TableParagraph"/>
              <w:spacing w:line="206" w:lineRule="exact" w:before="0"/>
              <w:ind w:left="521"/>
              <w:jc w:val="left"/>
              <w:rPr>
                <w:sz w:val="18"/>
              </w:rPr>
            </w:pPr>
            <w:r>
              <w:rPr>
                <w:w w:val="99"/>
                <w:sz w:val="18"/>
              </w:rPr>
              <w:t>0</w:t>
            </w:r>
          </w:p>
          <w:p>
            <w:pPr>
              <w:pStyle w:val="TableParagraph"/>
              <w:spacing w:before="102"/>
              <w:ind w:left="521"/>
              <w:jc w:val="left"/>
              <w:rPr>
                <w:sz w:val="18"/>
              </w:rPr>
            </w:pPr>
            <w:r>
              <w:rPr>
                <w:w w:val="99"/>
                <w:sz w:val="18"/>
              </w:rPr>
              <w:t>1</w:t>
            </w:r>
          </w:p>
        </w:tc>
        <w:tc>
          <w:tcPr>
            <w:tcW w:w="1982" w:type="dxa"/>
            <w:tcBorders>
              <w:right w:val="single" w:sz="4" w:space="0" w:color="A7F7EE"/>
            </w:tcBorders>
            <w:shd w:val="clear" w:color="auto" w:fill="B4F1EB"/>
          </w:tcPr>
          <w:p>
            <w:pPr/>
          </w:p>
        </w:tc>
        <w:tc>
          <w:tcPr>
            <w:tcW w:w="1846" w:type="dxa"/>
            <w:vMerge/>
            <w:tcBorders>
              <w:left w:val="single" w:sz="4" w:space="0" w:color="A7F7EE"/>
              <w:right w:val="single" w:sz="4" w:space="0" w:color="A7F7EE"/>
            </w:tcBorders>
            <w:shd w:val="clear" w:color="auto" w:fill="B4F1EB"/>
          </w:tcPr>
          <w:p>
            <w:pPr/>
          </w:p>
        </w:tc>
        <w:tc>
          <w:tcPr>
            <w:tcW w:w="1418" w:type="dxa"/>
            <w:vMerge/>
            <w:tcBorders>
              <w:left w:val="single" w:sz="4" w:space="0" w:color="A7F7EE"/>
            </w:tcBorders>
            <w:shd w:val="clear" w:color="auto" w:fill="B4F1EB"/>
          </w:tcPr>
          <w:p>
            <w:pPr/>
          </w:p>
        </w:tc>
      </w:tr>
      <w:tr>
        <w:trPr>
          <w:trHeight w:val="821" w:hRule="exact"/>
        </w:trPr>
        <w:tc>
          <w:tcPr>
            <w:tcW w:w="2367" w:type="dxa"/>
            <w:shd w:val="clear" w:color="auto" w:fill="82EADE"/>
          </w:tcPr>
          <w:p>
            <w:pPr>
              <w:pStyle w:val="TableParagraph"/>
              <w:numPr>
                <w:ilvl w:val="0"/>
                <w:numId w:val="22"/>
              </w:numPr>
              <w:tabs>
                <w:tab w:pos="284" w:val="left" w:leader="none"/>
              </w:tabs>
              <w:spacing w:line="220" w:lineRule="exact" w:before="0" w:after="0"/>
              <w:ind w:left="283" w:right="0" w:hanging="175"/>
              <w:jc w:val="left"/>
              <w:rPr>
                <w:sz w:val="18"/>
              </w:rPr>
            </w:pPr>
            <w:r>
              <w:rPr>
                <w:sz w:val="18"/>
              </w:rPr>
              <w:t>Consumo de</w:t>
            </w:r>
            <w:r>
              <w:rPr>
                <w:spacing w:val="-6"/>
                <w:sz w:val="18"/>
              </w:rPr>
              <w:t> </w:t>
            </w:r>
            <w:r>
              <w:rPr>
                <w:sz w:val="18"/>
              </w:rPr>
              <w:t>pescado</w:t>
            </w:r>
          </w:p>
        </w:tc>
        <w:tc>
          <w:tcPr>
            <w:tcW w:w="4475" w:type="dxa"/>
            <w:shd w:val="clear" w:color="auto" w:fill="82EADE"/>
          </w:tcPr>
          <w:p>
            <w:pPr>
              <w:pStyle w:val="TableParagraph"/>
              <w:spacing w:line="360" w:lineRule="auto" w:before="0"/>
              <w:ind w:left="182" w:right="630"/>
              <w:jc w:val="left"/>
              <w:rPr>
                <w:sz w:val="18"/>
              </w:rPr>
            </w:pPr>
            <w:r>
              <w:rPr>
                <w:sz w:val="18"/>
              </w:rPr>
              <w:t>Ingesta de pescado durante la última semana antes de la toma de la muestra.</w:t>
            </w:r>
          </w:p>
        </w:tc>
        <w:tc>
          <w:tcPr>
            <w:tcW w:w="1193" w:type="dxa"/>
            <w:shd w:val="clear" w:color="auto" w:fill="82EADE"/>
          </w:tcPr>
          <w:p>
            <w:pPr>
              <w:pStyle w:val="TableParagraph"/>
              <w:spacing w:line="360" w:lineRule="auto" w:before="0"/>
              <w:ind w:left="441" w:right="519"/>
              <w:rPr>
                <w:sz w:val="18"/>
              </w:rPr>
            </w:pPr>
            <w:r>
              <w:rPr>
                <w:sz w:val="18"/>
              </w:rPr>
              <w:t>No</w:t>
            </w:r>
            <w:r>
              <w:rPr>
                <w:w w:val="99"/>
                <w:sz w:val="18"/>
              </w:rPr>
              <w:t> </w:t>
            </w:r>
            <w:r>
              <w:rPr>
                <w:sz w:val="18"/>
              </w:rPr>
              <w:t>Si</w:t>
            </w:r>
          </w:p>
        </w:tc>
        <w:tc>
          <w:tcPr>
            <w:tcW w:w="898" w:type="dxa"/>
            <w:shd w:val="clear" w:color="auto" w:fill="82EADE"/>
          </w:tcPr>
          <w:p>
            <w:pPr>
              <w:pStyle w:val="TableParagraph"/>
              <w:spacing w:line="207" w:lineRule="exact" w:before="0"/>
              <w:ind w:left="521"/>
              <w:jc w:val="left"/>
              <w:rPr>
                <w:sz w:val="18"/>
              </w:rPr>
            </w:pPr>
            <w:r>
              <w:rPr>
                <w:w w:val="99"/>
                <w:sz w:val="18"/>
              </w:rPr>
              <w:t>0</w:t>
            </w:r>
          </w:p>
          <w:p>
            <w:pPr>
              <w:pStyle w:val="TableParagraph"/>
              <w:spacing w:before="102"/>
              <w:ind w:left="521"/>
              <w:jc w:val="left"/>
              <w:rPr>
                <w:sz w:val="18"/>
              </w:rPr>
            </w:pPr>
            <w:r>
              <w:rPr>
                <w:w w:val="99"/>
                <w:sz w:val="18"/>
              </w:rPr>
              <w:t>1</w:t>
            </w:r>
          </w:p>
        </w:tc>
        <w:tc>
          <w:tcPr>
            <w:tcW w:w="1982" w:type="dxa"/>
            <w:tcBorders>
              <w:right w:val="single" w:sz="4" w:space="0" w:color="A7F7EE"/>
            </w:tcBorders>
            <w:shd w:val="clear" w:color="auto" w:fill="B4F1EB"/>
          </w:tcPr>
          <w:p>
            <w:pPr>
              <w:pStyle w:val="TableParagraph"/>
              <w:spacing w:before="64"/>
              <w:ind w:left="535" w:right="532"/>
              <w:rPr>
                <w:sz w:val="18"/>
              </w:rPr>
            </w:pPr>
            <w:r>
              <w:rPr>
                <w:sz w:val="18"/>
              </w:rPr>
              <w:t>Categórica</w:t>
            </w:r>
          </w:p>
          <w:p>
            <w:pPr>
              <w:pStyle w:val="TableParagraph"/>
              <w:spacing w:before="5"/>
              <w:jc w:val="left"/>
              <w:rPr>
                <w:b/>
                <w:sz w:val="26"/>
              </w:rPr>
            </w:pPr>
          </w:p>
          <w:p>
            <w:pPr>
              <w:pStyle w:val="TableParagraph"/>
              <w:spacing w:before="0"/>
              <w:ind w:left="535" w:right="532"/>
              <w:rPr>
                <w:sz w:val="18"/>
              </w:rPr>
            </w:pPr>
            <w:r>
              <w:rPr>
                <w:sz w:val="18"/>
              </w:rPr>
              <w:t>Nominal</w:t>
            </w:r>
          </w:p>
        </w:tc>
        <w:tc>
          <w:tcPr>
            <w:tcW w:w="1846" w:type="dxa"/>
            <w:vMerge/>
            <w:tcBorders>
              <w:left w:val="single" w:sz="4" w:space="0" w:color="A7F7EE"/>
              <w:right w:val="single" w:sz="4" w:space="0" w:color="A7F7EE"/>
            </w:tcBorders>
            <w:shd w:val="clear" w:color="auto" w:fill="B4F1EB"/>
          </w:tcPr>
          <w:p>
            <w:pPr/>
          </w:p>
        </w:tc>
        <w:tc>
          <w:tcPr>
            <w:tcW w:w="1418" w:type="dxa"/>
            <w:vMerge/>
            <w:tcBorders>
              <w:left w:val="single" w:sz="4" w:space="0" w:color="A7F7EE"/>
            </w:tcBorders>
            <w:shd w:val="clear" w:color="auto" w:fill="B4F1EB"/>
          </w:tcPr>
          <w:p>
            <w:pPr/>
          </w:p>
        </w:tc>
      </w:tr>
      <w:tr>
        <w:trPr>
          <w:trHeight w:val="821" w:hRule="exact"/>
        </w:trPr>
        <w:tc>
          <w:tcPr>
            <w:tcW w:w="2367" w:type="dxa"/>
            <w:shd w:val="clear" w:color="auto" w:fill="B4F1EB"/>
          </w:tcPr>
          <w:p>
            <w:pPr>
              <w:pStyle w:val="TableParagraph"/>
              <w:numPr>
                <w:ilvl w:val="0"/>
                <w:numId w:val="23"/>
              </w:numPr>
              <w:tabs>
                <w:tab w:pos="284" w:val="left" w:leader="none"/>
              </w:tabs>
              <w:spacing w:line="220" w:lineRule="exact" w:before="0" w:after="0"/>
              <w:ind w:left="283" w:right="0" w:hanging="175"/>
              <w:jc w:val="left"/>
              <w:rPr>
                <w:sz w:val="18"/>
              </w:rPr>
            </w:pPr>
            <w:r>
              <w:rPr>
                <w:sz w:val="18"/>
              </w:rPr>
              <w:t>Consumo de</w:t>
            </w:r>
            <w:r>
              <w:rPr>
                <w:spacing w:val="-4"/>
                <w:sz w:val="18"/>
              </w:rPr>
              <w:t> </w:t>
            </w:r>
            <w:r>
              <w:rPr>
                <w:sz w:val="18"/>
              </w:rPr>
              <w:t>carne</w:t>
            </w:r>
          </w:p>
        </w:tc>
        <w:tc>
          <w:tcPr>
            <w:tcW w:w="4475" w:type="dxa"/>
            <w:shd w:val="clear" w:color="auto" w:fill="B4F1EB"/>
          </w:tcPr>
          <w:p>
            <w:pPr>
              <w:pStyle w:val="TableParagraph"/>
              <w:spacing w:line="360" w:lineRule="auto" w:before="0"/>
              <w:ind w:left="182" w:right="860"/>
              <w:jc w:val="left"/>
              <w:rPr>
                <w:sz w:val="18"/>
              </w:rPr>
            </w:pPr>
            <w:r>
              <w:rPr>
                <w:sz w:val="18"/>
              </w:rPr>
              <w:t>Ingesta de carne durante la última semana antes de la toma de la muestra.</w:t>
            </w:r>
          </w:p>
        </w:tc>
        <w:tc>
          <w:tcPr>
            <w:tcW w:w="1193" w:type="dxa"/>
            <w:shd w:val="clear" w:color="auto" w:fill="B4F1EB"/>
          </w:tcPr>
          <w:p>
            <w:pPr>
              <w:pStyle w:val="TableParagraph"/>
              <w:spacing w:line="360" w:lineRule="auto" w:before="0"/>
              <w:ind w:left="441" w:right="519"/>
              <w:rPr>
                <w:sz w:val="18"/>
              </w:rPr>
            </w:pPr>
            <w:r>
              <w:rPr>
                <w:sz w:val="18"/>
              </w:rPr>
              <w:t>No</w:t>
            </w:r>
            <w:r>
              <w:rPr>
                <w:w w:val="99"/>
                <w:sz w:val="18"/>
              </w:rPr>
              <w:t> </w:t>
            </w:r>
            <w:r>
              <w:rPr>
                <w:sz w:val="18"/>
              </w:rPr>
              <w:t>Si</w:t>
            </w:r>
          </w:p>
        </w:tc>
        <w:tc>
          <w:tcPr>
            <w:tcW w:w="898" w:type="dxa"/>
            <w:shd w:val="clear" w:color="auto" w:fill="B4F1EB"/>
          </w:tcPr>
          <w:p>
            <w:pPr>
              <w:pStyle w:val="TableParagraph"/>
              <w:spacing w:line="206" w:lineRule="exact" w:before="0"/>
              <w:ind w:left="521"/>
              <w:jc w:val="left"/>
              <w:rPr>
                <w:sz w:val="18"/>
              </w:rPr>
            </w:pPr>
            <w:r>
              <w:rPr>
                <w:w w:val="99"/>
                <w:sz w:val="18"/>
              </w:rPr>
              <w:t>0</w:t>
            </w:r>
          </w:p>
          <w:p>
            <w:pPr>
              <w:pStyle w:val="TableParagraph"/>
              <w:spacing w:before="102"/>
              <w:ind w:left="521"/>
              <w:jc w:val="left"/>
              <w:rPr>
                <w:sz w:val="18"/>
              </w:rPr>
            </w:pPr>
            <w:r>
              <w:rPr>
                <w:w w:val="99"/>
                <w:sz w:val="18"/>
              </w:rPr>
              <w:t>1</w:t>
            </w:r>
          </w:p>
        </w:tc>
        <w:tc>
          <w:tcPr>
            <w:tcW w:w="1982" w:type="dxa"/>
            <w:tcBorders>
              <w:right w:val="single" w:sz="4" w:space="0" w:color="A7F7EE"/>
            </w:tcBorders>
            <w:shd w:val="clear" w:color="auto" w:fill="B4F1EB"/>
          </w:tcPr>
          <w:p>
            <w:pPr/>
          </w:p>
        </w:tc>
        <w:tc>
          <w:tcPr>
            <w:tcW w:w="1846" w:type="dxa"/>
            <w:vMerge/>
            <w:tcBorders>
              <w:left w:val="single" w:sz="4" w:space="0" w:color="A7F7EE"/>
              <w:right w:val="single" w:sz="4" w:space="0" w:color="A7F7EE"/>
            </w:tcBorders>
            <w:shd w:val="clear" w:color="auto" w:fill="B4F1EB"/>
          </w:tcPr>
          <w:p>
            <w:pPr/>
          </w:p>
        </w:tc>
        <w:tc>
          <w:tcPr>
            <w:tcW w:w="1418" w:type="dxa"/>
            <w:vMerge/>
            <w:tcBorders>
              <w:left w:val="single" w:sz="4" w:space="0" w:color="A7F7EE"/>
            </w:tcBorders>
            <w:shd w:val="clear" w:color="auto" w:fill="B4F1EB"/>
          </w:tcPr>
          <w:p>
            <w:pPr/>
          </w:p>
        </w:tc>
      </w:tr>
      <w:tr>
        <w:trPr>
          <w:trHeight w:val="821" w:hRule="exact"/>
        </w:trPr>
        <w:tc>
          <w:tcPr>
            <w:tcW w:w="2367" w:type="dxa"/>
            <w:shd w:val="clear" w:color="auto" w:fill="82EADE"/>
          </w:tcPr>
          <w:p>
            <w:pPr>
              <w:pStyle w:val="TableParagraph"/>
              <w:numPr>
                <w:ilvl w:val="0"/>
                <w:numId w:val="24"/>
              </w:numPr>
              <w:tabs>
                <w:tab w:pos="284" w:val="left" w:leader="none"/>
              </w:tabs>
              <w:spacing w:line="220" w:lineRule="exact" w:before="0" w:after="0"/>
              <w:ind w:left="283" w:right="0" w:hanging="175"/>
              <w:jc w:val="left"/>
              <w:rPr>
                <w:sz w:val="18"/>
              </w:rPr>
            </w:pPr>
            <w:r>
              <w:rPr>
                <w:sz w:val="18"/>
              </w:rPr>
              <w:t>Cocción de</w:t>
            </w:r>
            <w:r>
              <w:rPr>
                <w:spacing w:val="-3"/>
                <w:sz w:val="18"/>
              </w:rPr>
              <w:t> </w:t>
            </w:r>
            <w:r>
              <w:rPr>
                <w:sz w:val="18"/>
              </w:rPr>
              <w:t>carne</w:t>
            </w:r>
          </w:p>
        </w:tc>
        <w:tc>
          <w:tcPr>
            <w:tcW w:w="4475" w:type="dxa"/>
            <w:shd w:val="clear" w:color="auto" w:fill="82EADE"/>
          </w:tcPr>
          <w:p>
            <w:pPr>
              <w:pStyle w:val="TableParagraph"/>
              <w:spacing w:line="206" w:lineRule="exact" w:before="0"/>
              <w:ind w:left="182" w:right="580"/>
              <w:jc w:val="left"/>
              <w:rPr>
                <w:sz w:val="18"/>
              </w:rPr>
            </w:pPr>
            <w:r>
              <w:rPr>
                <w:sz w:val="18"/>
              </w:rPr>
              <w:t>Tipo de cocción de la carne que se consume.</w:t>
            </w:r>
          </w:p>
        </w:tc>
        <w:tc>
          <w:tcPr>
            <w:tcW w:w="1193" w:type="dxa"/>
            <w:shd w:val="clear" w:color="auto" w:fill="82EADE"/>
          </w:tcPr>
          <w:p>
            <w:pPr>
              <w:pStyle w:val="TableParagraph"/>
              <w:spacing w:line="360" w:lineRule="auto" w:before="0"/>
              <w:ind w:left="441" w:right="519"/>
              <w:rPr>
                <w:sz w:val="18"/>
              </w:rPr>
            </w:pPr>
            <w:r>
              <w:rPr>
                <w:sz w:val="18"/>
              </w:rPr>
              <w:t>No</w:t>
            </w:r>
            <w:r>
              <w:rPr>
                <w:w w:val="99"/>
                <w:sz w:val="18"/>
              </w:rPr>
              <w:t> </w:t>
            </w:r>
            <w:r>
              <w:rPr>
                <w:sz w:val="18"/>
              </w:rPr>
              <w:t>Si</w:t>
            </w:r>
          </w:p>
        </w:tc>
        <w:tc>
          <w:tcPr>
            <w:tcW w:w="898" w:type="dxa"/>
            <w:shd w:val="clear" w:color="auto" w:fill="82EADE"/>
          </w:tcPr>
          <w:p>
            <w:pPr>
              <w:pStyle w:val="TableParagraph"/>
              <w:spacing w:line="206" w:lineRule="exact" w:before="0"/>
              <w:ind w:left="521"/>
              <w:jc w:val="left"/>
              <w:rPr>
                <w:sz w:val="18"/>
              </w:rPr>
            </w:pPr>
            <w:r>
              <w:rPr>
                <w:w w:val="99"/>
                <w:sz w:val="18"/>
              </w:rPr>
              <w:t>0</w:t>
            </w:r>
          </w:p>
          <w:p>
            <w:pPr>
              <w:pStyle w:val="TableParagraph"/>
              <w:spacing w:before="102"/>
              <w:ind w:left="521"/>
              <w:jc w:val="left"/>
              <w:rPr>
                <w:sz w:val="18"/>
              </w:rPr>
            </w:pPr>
            <w:r>
              <w:rPr>
                <w:w w:val="99"/>
                <w:sz w:val="18"/>
              </w:rPr>
              <w:t>1</w:t>
            </w:r>
          </w:p>
        </w:tc>
        <w:tc>
          <w:tcPr>
            <w:tcW w:w="1982" w:type="dxa"/>
            <w:tcBorders>
              <w:right w:val="single" w:sz="4" w:space="0" w:color="A7F7EE"/>
            </w:tcBorders>
            <w:shd w:val="clear" w:color="auto" w:fill="B4F1EB"/>
          </w:tcPr>
          <w:p>
            <w:pPr/>
          </w:p>
        </w:tc>
        <w:tc>
          <w:tcPr>
            <w:tcW w:w="1846" w:type="dxa"/>
            <w:vMerge/>
            <w:tcBorders>
              <w:left w:val="single" w:sz="4" w:space="0" w:color="A7F7EE"/>
              <w:right w:val="single" w:sz="4" w:space="0" w:color="A7F7EE"/>
            </w:tcBorders>
            <w:shd w:val="clear" w:color="auto" w:fill="B4F1EB"/>
          </w:tcPr>
          <w:p>
            <w:pPr/>
          </w:p>
        </w:tc>
        <w:tc>
          <w:tcPr>
            <w:tcW w:w="1418" w:type="dxa"/>
            <w:vMerge/>
            <w:tcBorders>
              <w:left w:val="single" w:sz="4" w:space="0" w:color="A7F7EE"/>
            </w:tcBorders>
            <w:shd w:val="clear" w:color="auto" w:fill="B4F1EB"/>
          </w:tcPr>
          <w:p>
            <w:pPr/>
          </w:p>
        </w:tc>
      </w:tr>
      <w:tr>
        <w:trPr>
          <w:trHeight w:val="821" w:hRule="exact"/>
        </w:trPr>
        <w:tc>
          <w:tcPr>
            <w:tcW w:w="2367" w:type="dxa"/>
            <w:shd w:val="clear" w:color="auto" w:fill="B4F1EB"/>
          </w:tcPr>
          <w:p>
            <w:pPr>
              <w:pStyle w:val="TableParagraph"/>
              <w:numPr>
                <w:ilvl w:val="0"/>
                <w:numId w:val="25"/>
              </w:numPr>
              <w:tabs>
                <w:tab w:pos="284" w:val="left" w:leader="none"/>
              </w:tabs>
              <w:spacing w:line="220" w:lineRule="exact" w:before="0" w:after="0"/>
              <w:ind w:left="283" w:right="0" w:hanging="175"/>
              <w:jc w:val="left"/>
              <w:rPr>
                <w:sz w:val="18"/>
              </w:rPr>
            </w:pPr>
            <w:r>
              <w:rPr>
                <w:sz w:val="18"/>
              </w:rPr>
              <w:t>Consumo de</w:t>
            </w:r>
            <w:r>
              <w:rPr>
                <w:spacing w:val="-3"/>
                <w:sz w:val="18"/>
              </w:rPr>
              <w:t> </w:t>
            </w:r>
            <w:r>
              <w:rPr>
                <w:sz w:val="18"/>
              </w:rPr>
              <w:t>té</w:t>
            </w:r>
          </w:p>
        </w:tc>
        <w:tc>
          <w:tcPr>
            <w:tcW w:w="4475" w:type="dxa"/>
            <w:shd w:val="clear" w:color="auto" w:fill="B4F1EB"/>
          </w:tcPr>
          <w:p>
            <w:pPr>
              <w:pStyle w:val="TableParagraph"/>
              <w:spacing w:line="360" w:lineRule="auto" w:before="0"/>
              <w:ind w:left="182" w:right="420"/>
              <w:jc w:val="left"/>
              <w:rPr>
                <w:sz w:val="18"/>
              </w:rPr>
            </w:pPr>
            <w:r>
              <w:rPr>
                <w:sz w:val="18"/>
              </w:rPr>
              <w:t>Ingesta de té durante la última semana antes de la toma de la muestra.</w:t>
            </w:r>
          </w:p>
        </w:tc>
        <w:tc>
          <w:tcPr>
            <w:tcW w:w="1193" w:type="dxa"/>
            <w:shd w:val="clear" w:color="auto" w:fill="B4F1EB"/>
          </w:tcPr>
          <w:p>
            <w:pPr>
              <w:pStyle w:val="TableParagraph"/>
              <w:spacing w:line="360" w:lineRule="auto" w:before="0"/>
              <w:ind w:left="441" w:right="519"/>
              <w:rPr>
                <w:sz w:val="18"/>
              </w:rPr>
            </w:pPr>
            <w:r>
              <w:rPr>
                <w:sz w:val="18"/>
              </w:rPr>
              <w:t>No</w:t>
            </w:r>
            <w:r>
              <w:rPr>
                <w:w w:val="99"/>
                <w:sz w:val="18"/>
              </w:rPr>
              <w:t> </w:t>
            </w:r>
            <w:r>
              <w:rPr>
                <w:sz w:val="18"/>
              </w:rPr>
              <w:t>Si</w:t>
            </w:r>
          </w:p>
        </w:tc>
        <w:tc>
          <w:tcPr>
            <w:tcW w:w="898" w:type="dxa"/>
            <w:shd w:val="clear" w:color="auto" w:fill="B4F1EB"/>
          </w:tcPr>
          <w:p>
            <w:pPr>
              <w:pStyle w:val="TableParagraph"/>
              <w:spacing w:line="206" w:lineRule="exact" w:before="0"/>
              <w:ind w:left="521"/>
              <w:jc w:val="left"/>
              <w:rPr>
                <w:sz w:val="18"/>
              </w:rPr>
            </w:pPr>
            <w:r>
              <w:rPr>
                <w:w w:val="99"/>
                <w:sz w:val="18"/>
              </w:rPr>
              <w:t>0</w:t>
            </w:r>
          </w:p>
          <w:p>
            <w:pPr>
              <w:pStyle w:val="TableParagraph"/>
              <w:spacing w:before="103"/>
              <w:ind w:left="521"/>
              <w:jc w:val="left"/>
              <w:rPr>
                <w:sz w:val="18"/>
              </w:rPr>
            </w:pPr>
            <w:r>
              <w:rPr>
                <w:w w:val="99"/>
                <w:sz w:val="18"/>
              </w:rPr>
              <w:t>1</w:t>
            </w:r>
          </w:p>
        </w:tc>
        <w:tc>
          <w:tcPr>
            <w:tcW w:w="1982" w:type="dxa"/>
            <w:tcBorders>
              <w:right w:val="single" w:sz="4" w:space="0" w:color="A7F7EE"/>
            </w:tcBorders>
            <w:shd w:val="clear" w:color="auto" w:fill="B4F1EB"/>
          </w:tcPr>
          <w:p>
            <w:pPr/>
          </w:p>
        </w:tc>
        <w:tc>
          <w:tcPr>
            <w:tcW w:w="1846" w:type="dxa"/>
            <w:vMerge/>
            <w:tcBorders>
              <w:left w:val="single" w:sz="4" w:space="0" w:color="A7F7EE"/>
              <w:right w:val="single" w:sz="4" w:space="0" w:color="A7F7EE"/>
            </w:tcBorders>
            <w:shd w:val="clear" w:color="auto" w:fill="B4F1EB"/>
          </w:tcPr>
          <w:p>
            <w:pPr/>
          </w:p>
        </w:tc>
        <w:tc>
          <w:tcPr>
            <w:tcW w:w="1418" w:type="dxa"/>
            <w:vMerge/>
            <w:tcBorders>
              <w:left w:val="single" w:sz="4" w:space="0" w:color="A7F7EE"/>
            </w:tcBorders>
            <w:shd w:val="clear" w:color="auto" w:fill="B4F1EB"/>
          </w:tcPr>
          <w:p>
            <w:pPr/>
          </w:p>
        </w:tc>
      </w:tr>
      <w:tr>
        <w:trPr>
          <w:trHeight w:val="821" w:hRule="exact"/>
        </w:trPr>
        <w:tc>
          <w:tcPr>
            <w:tcW w:w="2367" w:type="dxa"/>
            <w:shd w:val="clear" w:color="auto" w:fill="82EADE"/>
          </w:tcPr>
          <w:p>
            <w:pPr>
              <w:pStyle w:val="TableParagraph"/>
              <w:numPr>
                <w:ilvl w:val="0"/>
                <w:numId w:val="26"/>
              </w:numPr>
              <w:tabs>
                <w:tab w:pos="284" w:val="left" w:leader="none"/>
              </w:tabs>
              <w:spacing w:line="220" w:lineRule="exact" w:before="0" w:after="0"/>
              <w:ind w:left="283" w:right="0" w:hanging="175"/>
              <w:jc w:val="left"/>
              <w:rPr>
                <w:sz w:val="18"/>
              </w:rPr>
            </w:pPr>
            <w:r>
              <w:rPr>
                <w:sz w:val="18"/>
              </w:rPr>
              <w:t>Consumo de</w:t>
            </w:r>
            <w:r>
              <w:rPr>
                <w:spacing w:val="-4"/>
                <w:sz w:val="18"/>
              </w:rPr>
              <w:t> </w:t>
            </w:r>
            <w:r>
              <w:rPr>
                <w:sz w:val="18"/>
              </w:rPr>
              <w:t>café</w:t>
            </w:r>
          </w:p>
        </w:tc>
        <w:tc>
          <w:tcPr>
            <w:tcW w:w="4475" w:type="dxa"/>
            <w:shd w:val="clear" w:color="auto" w:fill="82EADE"/>
          </w:tcPr>
          <w:p>
            <w:pPr>
              <w:pStyle w:val="TableParagraph"/>
              <w:spacing w:line="360" w:lineRule="auto" w:before="0"/>
              <w:ind w:left="182" w:right="480"/>
              <w:jc w:val="left"/>
              <w:rPr>
                <w:sz w:val="18"/>
              </w:rPr>
            </w:pPr>
            <w:r>
              <w:rPr>
                <w:sz w:val="18"/>
              </w:rPr>
              <w:t>Ingesta de café durante la última semana antes de la toma de la muestra.</w:t>
            </w:r>
          </w:p>
        </w:tc>
        <w:tc>
          <w:tcPr>
            <w:tcW w:w="1193" w:type="dxa"/>
            <w:shd w:val="clear" w:color="auto" w:fill="82EADE"/>
          </w:tcPr>
          <w:p>
            <w:pPr>
              <w:pStyle w:val="TableParagraph"/>
              <w:spacing w:line="360" w:lineRule="auto" w:before="0"/>
              <w:ind w:left="441" w:right="519"/>
              <w:rPr>
                <w:sz w:val="18"/>
              </w:rPr>
            </w:pPr>
            <w:r>
              <w:rPr>
                <w:sz w:val="18"/>
              </w:rPr>
              <w:t>No</w:t>
            </w:r>
            <w:r>
              <w:rPr>
                <w:w w:val="99"/>
                <w:sz w:val="18"/>
              </w:rPr>
              <w:t> </w:t>
            </w:r>
            <w:r>
              <w:rPr>
                <w:sz w:val="18"/>
              </w:rPr>
              <w:t>Si</w:t>
            </w:r>
          </w:p>
        </w:tc>
        <w:tc>
          <w:tcPr>
            <w:tcW w:w="898" w:type="dxa"/>
            <w:shd w:val="clear" w:color="auto" w:fill="82EADE"/>
          </w:tcPr>
          <w:p>
            <w:pPr>
              <w:pStyle w:val="TableParagraph"/>
              <w:spacing w:line="206" w:lineRule="exact" w:before="0"/>
              <w:ind w:left="521"/>
              <w:jc w:val="left"/>
              <w:rPr>
                <w:sz w:val="18"/>
              </w:rPr>
            </w:pPr>
            <w:r>
              <w:rPr>
                <w:w w:val="99"/>
                <w:sz w:val="18"/>
              </w:rPr>
              <w:t>0</w:t>
            </w:r>
          </w:p>
          <w:p>
            <w:pPr>
              <w:pStyle w:val="TableParagraph"/>
              <w:spacing w:before="102"/>
              <w:ind w:left="521"/>
              <w:jc w:val="left"/>
              <w:rPr>
                <w:sz w:val="18"/>
              </w:rPr>
            </w:pPr>
            <w:r>
              <w:rPr>
                <w:w w:val="99"/>
                <w:sz w:val="18"/>
              </w:rPr>
              <w:t>1</w:t>
            </w:r>
          </w:p>
        </w:tc>
        <w:tc>
          <w:tcPr>
            <w:tcW w:w="1982" w:type="dxa"/>
            <w:tcBorders>
              <w:right w:val="single" w:sz="4" w:space="0" w:color="A7F7EE"/>
            </w:tcBorders>
            <w:shd w:val="clear" w:color="auto" w:fill="B4F1EB"/>
          </w:tcPr>
          <w:p>
            <w:pPr/>
          </w:p>
        </w:tc>
        <w:tc>
          <w:tcPr>
            <w:tcW w:w="1846" w:type="dxa"/>
            <w:vMerge/>
            <w:tcBorders>
              <w:left w:val="single" w:sz="4" w:space="0" w:color="A7F7EE"/>
              <w:right w:val="single" w:sz="4" w:space="0" w:color="A7F7EE"/>
            </w:tcBorders>
            <w:shd w:val="clear" w:color="auto" w:fill="B4F1EB"/>
          </w:tcPr>
          <w:p>
            <w:pPr/>
          </w:p>
        </w:tc>
        <w:tc>
          <w:tcPr>
            <w:tcW w:w="1418" w:type="dxa"/>
            <w:vMerge/>
            <w:tcBorders>
              <w:left w:val="single" w:sz="4" w:space="0" w:color="A7F7EE"/>
            </w:tcBorders>
            <w:shd w:val="clear" w:color="auto" w:fill="B4F1EB"/>
          </w:tcPr>
          <w:p>
            <w:pPr/>
          </w:p>
        </w:tc>
      </w:tr>
    </w:tbl>
    <w:p>
      <w:pPr>
        <w:spacing w:after="0"/>
        <w:sectPr>
          <w:pgSz w:w="15840" w:h="12240" w:orient="landscape"/>
          <w:pgMar w:header="0" w:footer="599" w:top="1140" w:bottom="780" w:left="0" w:right="0"/>
        </w:sectPr>
      </w:pPr>
    </w:p>
    <w:p>
      <w:pPr>
        <w:pStyle w:val="BodyText"/>
        <w:spacing w:before="3"/>
        <w:rPr>
          <w:b/>
          <w:sz w:val="18"/>
        </w:rPr>
      </w:pPr>
    </w:p>
    <w:p>
      <w:pPr>
        <w:pStyle w:val="Heading4"/>
        <w:ind w:left="1459"/>
      </w:pPr>
      <w:r>
        <w:rPr>
          <w:rFonts w:ascii="Courier New" w:hAnsi="Courier New"/>
          <w:sz w:val="32"/>
        </w:rPr>
        <w:t>ͽ </w:t>
      </w:r>
      <w:r>
        <w:rPr/>
        <w:t>Factores de variabilidad</w:t>
      </w:r>
    </w:p>
    <w:p>
      <w:pPr>
        <w:pStyle w:val="BodyText"/>
        <w:rPr>
          <w:b/>
          <w:sz w:val="20"/>
        </w:rPr>
      </w:pPr>
    </w:p>
    <w:p>
      <w:pPr>
        <w:pStyle w:val="BodyText"/>
        <w:spacing w:before="10"/>
        <w:rPr>
          <w:b/>
        </w:rPr>
      </w:pPr>
    </w:p>
    <w:p>
      <w:pPr>
        <w:spacing w:after="0"/>
        <w:sectPr>
          <w:footerReference w:type="default" r:id="rId239"/>
          <w:pgSz w:w="15840" w:h="12240" w:orient="landscape"/>
          <w:pgMar w:footer="599" w:header="0" w:top="1140" w:bottom="780" w:left="0" w:right="0"/>
        </w:sectPr>
      </w:pPr>
    </w:p>
    <w:p>
      <w:pPr>
        <w:tabs>
          <w:tab w:pos="3192" w:val="left" w:leader="none"/>
        </w:tabs>
        <w:spacing w:before="117"/>
        <w:ind w:left="0" w:right="42" w:firstLine="0"/>
        <w:jc w:val="right"/>
        <w:rPr>
          <w:b/>
          <w:sz w:val="20"/>
        </w:rPr>
      </w:pPr>
      <w:r>
        <w:rPr>
          <w:b/>
          <w:position w:val="-5"/>
          <w:sz w:val="20"/>
        </w:rPr>
        <w:t>Factores</w:t>
        <w:tab/>
      </w:r>
      <w:r>
        <w:rPr>
          <w:b/>
          <w:w w:val="95"/>
          <w:sz w:val="20"/>
        </w:rPr>
        <w:t>Definición</w:t>
      </w:r>
    </w:p>
    <w:p>
      <w:pPr>
        <w:spacing w:before="53"/>
        <w:ind w:left="0" w:right="0" w:firstLine="0"/>
        <w:jc w:val="right"/>
        <w:rPr>
          <w:b/>
          <w:sz w:val="20"/>
        </w:rPr>
      </w:pPr>
      <w:r>
        <w:rPr>
          <w:b/>
          <w:sz w:val="20"/>
        </w:rPr>
        <w:t>conceptual</w:t>
      </w:r>
    </w:p>
    <w:p>
      <w:pPr>
        <w:spacing w:line="360" w:lineRule="auto" w:before="110"/>
        <w:ind w:left="1778" w:right="0" w:firstLine="79"/>
        <w:jc w:val="left"/>
        <w:rPr>
          <w:b/>
          <w:sz w:val="20"/>
        </w:rPr>
      </w:pPr>
      <w:r>
        <w:rPr/>
        <w:br w:type="column"/>
      </w:r>
      <w:r>
        <w:rPr>
          <w:b/>
          <w:sz w:val="20"/>
        </w:rPr>
        <w:t>Definición </w:t>
      </w:r>
      <w:r>
        <w:rPr>
          <w:b/>
          <w:w w:val="95"/>
          <w:sz w:val="20"/>
        </w:rPr>
        <w:t>operacional</w:t>
      </w:r>
    </w:p>
    <w:p>
      <w:pPr>
        <w:spacing w:line="360" w:lineRule="auto" w:before="110"/>
        <w:ind w:left="1220" w:right="-1" w:firstLine="21"/>
        <w:jc w:val="left"/>
        <w:rPr>
          <w:b/>
          <w:sz w:val="20"/>
        </w:rPr>
      </w:pPr>
      <w:r>
        <w:rPr/>
        <w:br w:type="column"/>
      </w:r>
      <w:r>
        <w:rPr>
          <w:b/>
          <w:sz w:val="20"/>
        </w:rPr>
        <w:t>Tipo de </w:t>
      </w:r>
      <w:r>
        <w:rPr>
          <w:b/>
          <w:w w:val="95"/>
          <w:sz w:val="20"/>
        </w:rPr>
        <w:t>variable</w:t>
      </w:r>
    </w:p>
    <w:p>
      <w:pPr>
        <w:spacing w:line="362" w:lineRule="auto" w:before="74"/>
        <w:ind w:left="1059" w:right="-20" w:hanging="22"/>
        <w:jc w:val="left"/>
        <w:rPr>
          <w:b/>
          <w:sz w:val="20"/>
        </w:rPr>
      </w:pPr>
      <w:r>
        <w:rPr/>
        <w:br w:type="column"/>
      </w:r>
      <w:r>
        <w:rPr>
          <w:b/>
          <w:sz w:val="20"/>
        </w:rPr>
        <w:t>Escala de medición</w:t>
      </w:r>
    </w:p>
    <w:p>
      <w:pPr>
        <w:spacing w:line="362" w:lineRule="auto" w:before="74"/>
        <w:ind w:left="553" w:right="0" w:firstLine="196"/>
        <w:jc w:val="left"/>
        <w:rPr>
          <w:b/>
          <w:sz w:val="20"/>
        </w:rPr>
      </w:pPr>
      <w:r>
        <w:rPr/>
        <w:br w:type="column"/>
      </w:r>
      <w:r>
        <w:rPr>
          <w:b/>
          <w:sz w:val="20"/>
        </w:rPr>
        <w:t>Análisis </w:t>
      </w:r>
      <w:r>
        <w:rPr>
          <w:b/>
          <w:w w:val="95"/>
          <w:sz w:val="20"/>
        </w:rPr>
        <w:t>estadísticos</w:t>
      </w:r>
    </w:p>
    <w:p>
      <w:pPr>
        <w:spacing w:after="0" w:line="362" w:lineRule="auto"/>
        <w:jc w:val="left"/>
        <w:rPr>
          <w:sz w:val="20"/>
        </w:rPr>
        <w:sectPr>
          <w:type w:val="continuous"/>
          <w:pgSz w:w="15840" w:h="12240" w:orient="landscape"/>
          <w:pgMar w:top="1420" w:bottom="280" w:left="0" w:right="0"/>
          <w:cols w:num="5" w:equalWidth="0">
            <w:col w:w="5979" w:space="397"/>
            <w:col w:w="2899" w:space="40"/>
            <w:col w:w="1975" w:space="40"/>
            <w:col w:w="1960" w:space="40"/>
            <w:col w:w="2510"/>
          </w:cols>
        </w:sectPr>
      </w:pPr>
    </w:p>
    <w:p>
      <w:pPr>
        <w:pStyle w:val="BodyText"/>
        <w:rPr>
          <w:b/>
          <w:sz w:val="20"/>
        </w:rPr>
      </w:pPr>
    </w:p>
    <w:p>
      <w:pPr>
        <w:pStyle w:val="BodyText"/>
        <w:spacing w:before="1"/>
        <w:rPr>
          <w:b/>
          <w:sz w:val="19"/>
        </w:rPr>
      </w:pPr>
    </w:p>
    <w:p>
      <w:pPr>
        <w:spacing w:after="0"/>
        <w:rPr>
          <w:sz w:val="19"/>
        </w:rPr>
        <w:sectPr>
          <w:type w:val="continuous"/>
          <w:pgSz w:w="15840" w:h="12240" w:orient="landscape"/>
          <w:pgMar w:top="1420" w:bottom="280" w:left="0" w:right="0"/>
        </w:sectPr>
      </w:pPr>
    </w:p>
    <w:p>
      <w:pPr>
        <w:pStyle w:val="ListParagraph"/>
        <w:numPr>
          <w:ilvl w:val="0"/>
          <w:numId w:val="18"/>
        </w:numPr>
        <w:tabs>
          <w:tab w:pos="1275" w:val="left" w:leader="none"/>
        </w:tabs>
        <w:spacing w:line="350" w:lineRule="auto" w:before="67" w:after="0"/>
        <w:ind w:left="1274" w:right="0" w:hanging="175"/>
        <w:jc w:val="left"/>
        <w:rPr>
          <w:sz w:val="18"/>
        </w:rPr>
      </w:pPr>
      <w:r>
        <w:rPr>
          <w:sz w:val="18"/>
        </w:rPr>
        <w:t>Consumo de café</w:t>
      </w:r>
      <w:r>
        <w:rPr>
          <w:spacing w:val="-5"/>
          <w:sz w:val="18"/>
        </w:rPr>
        <w:t> </w:t>
      </w:r>
      <w:r>
        <w:rPr>
          <w:sz w:val="18"/>
        </w:rPr>
        <w:t>con leche</w:t>
      </w:r>
    </w:p>
    <w:p>
      <w:pPr>
        <w:spacing w:line="362" w:lineRule="auto" w:before="94"/>
        <w:ind w:left="473" w:right="-4" w:firstLine="0"/>
        <w:jc w:val="left"/>
        <w:rPr>
          <w:sz w:val="18"/>
        </w:rPr>
      </w:pPr>
      <w:r>
        <w:rPr/>
        <w:br w:type="column"/>
      </w:r>
      <w:r>
        <w:rPr>
          <w:sz w:val="18"/>
        </w:rPr>
        <w:t>Ingesta de café con leche durante la</w:t>
      </w:r>
      <w:r>
        <w:rPr>
          <w:spacing w:val="-18"/>
          <w:sz w:val="18"/>
        </w:rPr>
        <w:t> </w:t>
      </w:r>
      <w:r>
        <w:rPr>
          <w:sz w:val="18"/>
        </w:rPr>
        <w:t>última semana antes de la toma de la</w:t>
      </w:r>
      <w:r>
        <w:rPr>
          <w:spacing w:val="-16"/>
          <w:sz w:val="18"/>
        </w:rPr>
        <w:t> </w:t>
      </w:r>
      <w:r>
        <w:rPr>
          <w:sz w:val="18"/>
        </w:rPr>
        <w:t>muestra.</w:t>
      </w:r>
    </w:p>
    <w:p>
      <w:pPr>
        <w:tabs>
          <w:tab w:pos="2371" w:val="left" w:leader="none"/>
        </w:tabs>
        <w:spacing w:before="94"/>
        <w:ind w:left="1099" w:right="0" w:firstLine="0"/>
        <w:jc w:val="left"/>
        <w:rPr>
          <w:sz w:val="18"/>
        </w:rPr>
      </w:pPr>
      <w:r>
        <w:rPr/>
        <w:br w:type="column"/>
      </w:r>
      <w:r>
        <w:rPr>
          <w:sz w:val="18"/>
        </w:rPr>
        <w:t>No</w:t>
        <w:tab/>
        <w:t>0</w:t>
      </w:r>
    </w:p>
    <w:p>
      <w:pPr>
        <w:tabs>
          <w:tab w:pos="2471" w:val="right" w:leader="none"/>
        </w:tabs>
        <w:spacing w:before="105"/>
        <w:ind w:left="1135" w:right="0" w:firstLine="0"/>
        <w:jc w:val="left"/>
        <w:rPr>
          <w:sz w:val="18"/>
        </w:rPr>
      </w:pPr>
      <w:r>
        <w:rPr>
          <w:sz w:val="18"/>
        </w:rPr>
        <w:t>Si</w:t>
        <w:tab/>
        <w:t>1</w:t>
      </w:r>
    </w:p>
    <w:p>
      <w:pPr>
        <w:spacing w:before="533"/>
        <w:ind w:left="791" w:right="-18" w:firstLine="0"/>
        <w:jc w:val="left"/>
        <w:rPr>
          <w:sz w:val="18"/>
        </w:rPr>
      </w:pPr>
      <w:r>
        <w:rPr/>
        <w:br w:type="column"/>
      </w:r>
      <w:r>
        <w:rPr>
          <w:sz w:val="18"/>
        </w:rPr>
        <w:t>Categórica</w:t>
      </w:r>
    </w:p>
    <w:p>
      <w:pPr>
        <w:spacing w:before="533"/>
        <w:ind w:left="1099" w:right="-19" w:firstLine="0"/>
        <w:jc w:val="left"/>
        <w:rPr>
          <w:sz w:val="18"/>
        </w:rPr>
      </w:pPr>
      <w:r>
        <w:rPr/>
        <w:br w:type="column"/>
      </w:r>
      <w:r>
        <w:rPr>
          <w:sz w:val="18"/>
        </w:rPr>
        <w:t>Nominal</w:t>
      </w:r>
    </w:p>
    <w:p>
      <w:pPr>
        <w:spacing w:before="555"/>
        <w:ind w:left="791" w:right="0" w:firstLine="0"/>
        <w:jc w:val="left"/>
        <w:rPr>
          <w:sz w:val="18"/>
        </w:rPr>
      </w:pPr>
      <w:r>
        <w:rPr/>
        <w:br w:type="column"/>
      </w:r>
      <w:r>
        <w:rPr>
          <w:sz w:val="18"/>
        </w:rPr>
        <w:t>U de Mann-</w:t>
      </w:r>
    </w:p>
    <w:p>
      <w:pPr>
        <w:spacing w:after="0"/>
        <w:jc w:val="left"/>
        <w:rPr>
          <w:sz w:val="18"/>
        </w:rPr>
        <w:sectPr>
          <w:type w:val="continuous"/>
          <w:pgSz w:w="15840" w:h="12240" w:orient="landscape"/>
          <w:pgMar w:top="1420" w:bottom="280" w:left="0" w:right="0"/>
          <w:cols w:num="6" w:equalWidth="0">
            <w:col w:w="3027" w:space="40"/>
            <w:col w:w="3904" w:space="203"/>
            <w:col w:w="2472" w:space="40"/>
            <w:col w:w="1664" w:space="47"/>
            <w:col w:w="1761" w:space="40"/>
            <w:col w:w="2642"/>
          </w:cols>
        </w:sectPr>
      </w:pPr>
    </w:p>
    <w:p>
      <w:pPr>
        <w:pStyle w:val="ListParagraph"/>
        <w:numPr>
          <w:ilvl w:val="0"/>
          <w:numId w:val="18"/>
        </w:numPr>
        <w:tabs>
          <w:tab w:pos="1275" w:val="left" w:leader="none"/>
        </w:tabs>
        <w:spacing w:line="352" w:lineRule="auto" w:before="153" w:after="0"/>
        <w:ind w:left="1274" w:right="0" w:hanging="175"/>
        <w:jc w:val="left"/>
        <w:rPr>
          <w:sz w:val="18"/>
        </w:rPr>
      </w:pPr>
      <w:r>
        <w:rPr>
          <w:sz w:val="18"/>
        </w:rPr>
        <w:t>Lavado de frutas y verduras</w:t>
      </w:r>
    </w:p>
    <w:p>
      <w:pPr>
        <w:tabs>
          <w:tab w:pos="5477" w:val="left" w:leader="none"/>
        </w:tabs>
        <w:spacing w:line="362" w:lineRule="auto" w:before="153"/>
        <w:ind w:left="5513" w:right="0" w:hanging="4770"/>
        <w:jc w:val="right"/>
        <w:rPr>
          <w:sz w:val="18"/>
        </w:rPr>
      </w:pPr>
      <w:r>
        <w:rPr/>
        <w:br w:type="column"/>
      </w:r>
      <w:r>
        <w:rPr>
          <w:sz w:val="18"/>
        </w:rPr>
        <w:t>Lavado de frutas y verduras con agua</w:t>
      </w:r>
      <w:r>
        <w:rPr>
          <w:spacing w:val="-12"/>
          <w:sz w:val="18"/>
        </w:rPr>
        <w:t> </w:t>
      </w:r>
      <w:r>
        <w:rPr>
          <w:sz w:val="18"/>
        </w:rPr>
        <w:t>y</w:t>
      </w:r>
      <w:r>
        <w:rPr>
          <w:spacing w:val="-3"/>
          <w:sz w:val="18"/>
        </w:rPr>
        <w:t> </w:t>
      </w:r>
      <w:r>
        <w:rPr>
          <w:sz w:val="18"/>
        </w:rPr>
        <w:t>jabón.</w:t>
        <w:tab/>
      </w:r>
      <w:r>
        <w:rPr>
          <w:w w:val="95"/>
          <w:sz w:val="18"/>
        </w:rPr>
        <w:t>No </w:t>
      </w:r>
      <w:r>
        <w:rPr>
          <w:spacing w:val="-2"/>
          <w:sz w:val="18"/>
        </w:rPr>
        <w:t>Si</w:t>
      </w:r>
    </w:p>
    <w:p>
      <w:pPr>
        <w:spacing w:line="168" w:lineRule="exact" w:before="153"/>
        <w:ind w:left="983" w:right="1576" w:firstLine="0"/>
        <w:jc w:val="center"/>
        <w:rPr>
          <w:sz w:val="18"/>
        </w:rPr>
      </w:pPr>
      <w:r>
        <w:rPr/>
        <w:br w:type="column"/>
      </w:r>
      <w:r>
        <w:rPr>
          <w:sz w:val="18"/>
        </w:rPr>
        <w:t>0</w:t>
      </w:r>
    </w:p>
    <w:p>
      <w:pPr>
        <w:spacing w:line="156" w:lineRule="exact" w:before="0"/>
        <w:ind w:left="2039" w:right="-19" w:firstLine="0"/>
        <w:jc w:val="left"/>
        <w:rPr>
          <w:sz w:val="18"/>
        </w:rPr>
      </w:pPr>
      <w:r>
        <w:rPr>
          <w:sz w:val="18"/>
        </w:rPr>
        <w:t>Nominal</w:t>
      </w:r>
    </w:p>
    <w:p>
      <w:pPr>
        <w:spacing w:line="195" w:lineRule="exact" w:before="0"/>
        <w:ind w:left="0" w:right="593" w:firstLine="0"/>
        <w:jc w:val="center"/>
        <w:rPr>
          <w:sz w:val="18"/>
        </w:rPr>
      </w:pPr>
      <w:r>
        <w:rPr>
          <w:w w:val="99"/>
          <w:sz w:val="18"/>
        </w:rPr>
        <w:t>1</w:t>
      </w:r>
    </w:p>
    <w:p>
      <w:pPr>
        <w:pStyle w:val="BodyText"/>
        <w:spacing w:before="6"/>
      </w:pPr>
      <w:r>
        <w:rPr/>
        <w:br w:type="column"/>
      </w:r>
      <w:r>
        <w:rPr/>
      </w:r>
    </w:p>
    <w:p>
      <w:pPr>
        <w:spacing w:before="0"/>
        <w:ind w:left="0" w:right="0" w:firstLine="0"/>
        <w:jc w:val="right"/>
        <w:rPr>
          <w:sz w:val="18"/>
        </w:rPr>
      </w:pPr>
      <w:r>
        <w:rPr>
          <w:sz w:val="18"/>
        </w:rPr>
        <w:t>0 – 1</w:t>
      </w:r>
    </w:p>
    <w:p>
      <w:pPr>
        <w:pStyle w:val="BodyText"/>
        <w:spacing w:before="10"/>
        <w:rPr>
          <w:sz w:val="17"/>
        </w:rPr>
      </w:pPr>
      <w:r>
        <w:rPr/>
        <w:br w:type="column"/>
      </w:r>
      <w:r>
        <w:rPr>
          <w:sz w:val="17"/>
        </w:rPr>
      </w:r>
    </w:p>
    <w:p>
      <w:pPr>
        <w:spacing w:before="0"/>
        <w:ind w:left="1043" w:right="1032" w:firstLine="0"/>
        <w:jc w:val="center"/>
        <w:rPr>
          <w:sz w:val="18"/>
        </w:rPr>
      </w:pPr>
      <w:r>
        <w:rPr>
          <w:sz w:val="18"/>
        </w:rPr>
        <w:t>Whitney</w:t>
      </w:r>
    </w:p>
    <w:p>
      <w:pPr>
        <w:spacing w:after="0"/>
        <w:jc w:val="center"/>
        <w:rPr>
          <w:sz w:val="18"/>
        </w:rPr>
        <w:sectPr>
          <w:type w:val="continuous"/>
          <w:pgSz w:w="15840" w:h="12240" w:orient="landscape"/>
          <w:pgMar w:top="1420" w:bottom="280" w:left="0" w:right="0"/>
          <w:cols w:num="5" w:equalWidth="0">
            <w:col w:w="2757" w:space="40"/>
            <w:col w:w="5708" w:space="40"/>
            <w:col w:w="2701" w:space="285"/>
            <w:col w:w="1502" w:space="40"/>
            <w:col w:w="2767"/>
          </w:cols>
        </w:sectPr>
      </w:pPr>
    </w:p>
    <w:p>
      <w:pPr>
        <w:pStyle w:val="BodyText"/>
        <w:spacing w:before="1"/>
        <w:rPr>
          <w:sz w:val="11"/>
        </w:rPr>
      </w:pPr>
    </w:p>
    <w:p>
      <w:pPr>
        <w:spacing w:before="77"/>
        <w:ind w:left="1132" w:right="0" w:firstLine="0"/>
        <w:jc w:val="left"/>
        <w:rPr>
          <w:i/>
          <w:sz w:val="18"/>
        </w:rPr>
      </w:pPr>
      <w:r>
        <w:rPr>
          <w:i/>
          <w:sz w:val="18"/>
        </w:rPr>
        <w:t>Antecedentes patológicos</w:t>
      </w:r>
    </w:p>
    <w:p>
      <w:pPr>
        <w:pStyle w:val="BodyText"/>
        <w:spacing w:before="11"/>
        <w:rPr>
          <w:i/>
          <w:sz w:val="19"/>
        </w:rPr>
      </w:pPr>
    </w:p>
    <w:p>
      <w:pPr>
        <w:spacing w:after="0"/>
        <w:rPr>
          <w:sz w:val="19"/>
        </w:rPr>
        <w:sectPr>
          <w:type w:val="continuous"/>
          <w:pgSz w:w="15840" w:h="12240" w:orient="landscape"/>
          <w:pgMar w:top="1420" w:bottom="280" w:left="0" w:right="0"/>
        </w:sectPr>
      </w:pPr>
    </w:p>
    <w:p>
      <w:pPr>
        <w:pStyle w:val="ListParagraph"/>
        <w:numPr>
          <w:ilvl w:val="0"/>
          <w:numId w:val="18"/>
        </w:numPr>
        <w:tabs>
          <w:tab w:pos="1275" w:val="left" w:leader="none"/>
        </w:tabs>
        <w:spacing w:line="352" w:lineRule="auto" w:before="77" w:after="0"/>
        <w:ind w:left="1274" w:right="0" w:hanging="175"/>
        <w:jc w:val="left"/>
        <w:rPr>
          <w:sz w:val="18"/>
        </w:rPr>
      </w:pPr>
      <w:r>
        <w:rPr>
          <w:sz w:val="18"/>
        </w:rPr>
        <w:t>Antecedentes </w:t>
      </w:r>
      <w:r>
        <w:rPr>
          <w:spacing w:val="-1"/>
          <w:sz w:val="18"/>
        </w:rPr>
        <w:t>heredofamiliares</w:t>
      </w:r>
    </w:p>
    <w:p>
      <w:pPr>
        <w:tabs>
          <w:tab w:pos="5629" w:val="left" w:leader="none"/>
        </w:tabs>
        <w:spacing w:line="362" w:lineRule="auto" w:before="77"/>
        <w:ind w:left="5665" w:right="0" w:hanging="4770"/>
        <w:jc w:val="right"/>
        <w:rPr>
          <w:sz w:val="18"/>
        </w:rPr>
      </w:pPr>
      <w:r>
        <w:rPr/>
        <w:br w:type="column"/>
      </w:r>
      <w:r>
        <w:rPr>
          <w:sz w:val="18"/>
        </w:rPr>
        <w:t>Problemas hereditarios</w:t>
      </w:r>
      <w:r>
        <w:rPr>
          <w:spacing w:val="-6"/>
          <w:sz w:val="18"/>
        </w:rPr>
        <w:t> </w:t>
      </w:r>
      <w:r>
        <w:rPr>
          <w:sz w:val="18"/>
        </w:rPr>
        <w:t>de</w:t>
      </w:r>
      <w:r>
        <w:rPr>
          <w:spacing w:val="-4"/>
          <w:sz w:val="18"/>
        </w:rPr>
        <w:t> </w:t>
      </w:r>
      <w:r>
        <w:rPr>
          <w:sz w:val="18"/>
        </w:rPr>
        <w:t>cáncer</w:t>
        <w:tab/>
      </w:r>
      <w:r>
        <w:rPr>
          <w:w w:val="95"/>
          <w:sz w:val="18"/>
        </w:rPr>
        <w:t>No </w:t>
      </w:r>
      <w:r>
        <w:rPr>
          <w:spacing w:val="-2"/>
          <w:sz w:val="18"/>
        </w:rPr>
        <w:t>Si</w:t>
      </w:r>
    </w:p>
    <w:p>
      <w:pPr>
        <w:tabs>
          <w:tab w:pos="1933" w:val="left" w:leader="none"/>
        </w:tabs>
        <w:spacing w:before="77"/>
        <w:ind w:left="1002" w:right="0" w:firstLine="0"/>
        <w:jc w:val="left"/>
        <w:rPr>
          <w:sz w:val="18"/>
        </w:rPr>
      </w:pPr>
      <w:r>
        <w:rPr/>
        <w:br w:type="column"/>
      </w:r>
      <w:r>
        <w:rPr>
          <w:sz w:val="18"/>
        </w:rPr>
        <w:t>0</w:t>
        <w:tab/>
        <w:t>Categórica</w:t>
      </w:r>
    </w:p>
    <w:p>
      <w:pPr>
        <w:spacing w:line="203" w:lineRule="exact" w:before="105"/>
        <w:ind w:left="0" w:right="698" w:firstLine="0"/>
        <w:jc w:val="center"/>
        <w:rPr>
          <w:sz w:val="18"/>
        </w:rPr>
      </w:pPr>
      <w:r>
        <w:rPr>
          <w:w w:val="99"/>
          <w:sz w:val="18"/>
        </w:rPr>
        <w:t>1</w:t>
      </w:r>
    </w:p>
    <w:p>
      <w:pPr>
        <w:spacing w:line="203" w:lineRule="exact" w:before="0"/>
        <w:ind w:left="0" w:right="103" w:firstLine="0"/>
        <w:jc w:val="right"/>
        <w:rPr>
          <w:sz w:val="18"/>
        </w:rPr>
      </w:pPr>
      <w:r>
        <w:rPr>
          <w:sz w:val="18"/>
        </w:rPr>
        <w:t>Nominal</w:t>
      </w:r>
    </w:p>
    <w:p>
      <w:pPr>
        <w:spacing w:line="592" w:lineRule="auto" w:before="77"/>
        <w:ind w:left="1231" w:right="-19" w:hanging="132"/>
        <w:jc w:val="left"/>
        <w:rPr>
          <w:sz w:val="18"/>
        </w:rPr>
      </w:pPr>
      <w:r>
        <w:rPr/>
        <w:br w:type="column"/>
      </w:r>
      <w:r>
        <w:rPr>
          <w:sz w:val="18"/>
        </w:rPr>
        <w:t>Nominal</w:t>
      </w:r>
      <w:r>
        <w:rPr>
          <w:w w:val="99"/>
          <w:sz w:val="18"/>
        </w:rPr>
        <w:t> </w:t>
      </w:r>
      <w:r>
        <w:rPr>
          <w:sz w:val="18"/>
        </w:rPr>
        <w:t>0 – 1</w:t>
      </w:r>
    </w:p>
    <w:p>
      <w:pPr>
        <w:spacing w:line="482" w:lineRule="auto" w:before="77"/>
        <w:ind w:left="791" w:right="908" w:firstLine="0"/>
        <w:jc w:val="center"/>
        <w:rPr>
          <w:sz w:val="18"/>
        </w:rPr>
      </w:pPr>
      <w:r>
        <w:rPr/>
        <w:br w:type="column"/>
      </w:r>
      <w:r>
        <w:rPr>
          <w:sz w:val="18"/>
        </w:rPr>
        <w:t>U de Mann- Whitney</w:t>
      </w:r>
    </w:p>
    <w:p>
      <w:pPr>
        <w:spacing w:after="0" w:line="482" w:lineRule="auto"/>
        <w:jc w:val="center"/>
        <w:rPr>
          <w:sz w:val="18"/>
        </w:rPr>
        <w:sectPr>
          <w:type w:val="continuous"/>
          <w:pgSz w:w="15840" w:h="12240" w:orient="landscape"/>
          <w:pgMar w:top="1420" w:bottom="280" w:left="0" w:right="0"/>
          <w:cols w:num="5" w:equalWidth="0">
            <w:col w:w="2604" w:space="40"/>
            <w:col w:w="5860" w:space="40"/>
            <w:col w:w="2806" w:space="47"/>
            <w:col w:w="1761" w:space="40"/>
            <w:col w:w="2642"/>
          </w:cols>
        </w:sectPr>
      </w:pPr>
    </w:p>
    <w:p>
      <w:pPr>
        <w:pStyle w:val="ListParagraph"/>
        <w:numPr>
          <w:ilvl w:val="0"/>
          <w:numId w:val="27"/>
        </w:numPr>
        <w:tabs>
          <w:tab w:pos="1275" w:val="left" w:leader="none"/>
        </w:tabs>
        <w:spacing w:line="352" w:lineRule="auto" w:before="13" w:after="0"/>
        <w:ind w:left="1274" w:right="0" w:hanging="175"/>
        <w:jc w:val="left"/>
        <w:rPr>
          <w:sz w:val="18"/>
        </w:rPr>
      </w:pPr>
      <w:r>
        <w:rPr>
          <w:sz w:val="18"/>
        </w:rPr>
        <w:t>Problemas de nacimiento</w:t>
      </w:r>
    </w:p>
    <w:p>
      <w:pPr>
        <w:spacing w:line="362" w:lineRule="auto" w:before="13"/>
        <w:ind w:left="1099" w:right="-6" w:firstLine="0"/>
        <w:jc w:val="left"/>
        <w:rPr>
          <w:sz w:val="18"/>
        </w:rPr>
      </w:pPr>
      <w:r>
        <w:rPr/>
        <w:br w:type="column"/>
      </w:r>
      <w:r>
        <w:rPr>
          <w:sz w:val="18"/>
        </w:rPr>
        <w:t>Abortos, muertos antes de nacer,</w:t>
      </w:r>
      <w:r>
        <w:rPr>
          <w:spacing w:val="-15"/>
          <w:sz w:val="18"/>
        </w:rPr>
        <w:t> </w:t>
      </w:r>
      <w:r>
        <w:rPr>
          <w:sz w:val="18"/>
        </w:rPr>
        <w:t>niños prematuros y bajos de peso al</w:t>
      </w:r>
      <w:r>
        <w:rPr>
          <w:spacing w:val="-14"/>
          <w:sz w:val="18"/>
        </w:rPr>
        <w:t> </w:t>
      </w:r>
      <w:r>
        <w:rPr>
          <w:sz w:val="18"/>
        </w:rPr>
        <w:t>nacer</w:t>
      </w:r>
    </w:p>
    <w:p>
      <w:pPr>
        <w:tabs>
          <w:tab w:pos="2371" w:val="left" w:leader="none"/>
        </w:tabs>
        <w:spacing w:before="13"/>
        <w:ind w:left="1099" w:right="0" w:firstLine="0"/>
        <w:jc w:val="left"/>
        <w:rPr>
          <w:sz w:val="18"/>
        </w:rPr>
      </w:pPr>
      <w:r>
        <w:rPr/>
        <w:br w:type="column"/>
      </w:r>
      <w:r>
        <w:rPr>
          <w:sz w:val="18"/>
        </w:rPr>
        <w:t>No</w:t>
        <w:tab/>
        <w:t>0</w:t>
      </w:r>
    </w:p>
    <w:p>
      <w:pPr>
        <w:tabs>
          <w:tab w:pos="2471" w:val="right" w:leader="none"/>
        </w:tabs>
        <w:spacing w:before="105"/>
        <w:ind w:left="1135" w:right="0" w:firstLine="0"/>
        <w:jc w:val="left"/>
        <w:rPr>
          <w:sz w:val="18"/>
        </w:rPr>
      </w:pPr>
      <w:r>
        <w:rPr>
          <w:sz w:val="18"/>
        </w:rPr>
        <w:t>Si</w:t>
        <w:tab/>
        <w:t>1</w:t>
      </w:r>
    </w:p>
    <w:p>
      <w:pPr>
        <w:spacing w:line="592" w:lineRule="auto" w:before="13"/>
        <w:ind w:left="896" w:right="-17" w:hanging="106"/>
        <w:jc w:val="left"/>
        <w:rPr>
          <w:sz w:val="18"/>
        </w:rPr>
      </w:pPr>
      <w:r>
        <w:rPr/>
        <w:br w:type="column"/>
      </w:r>
      <w:r>
        <w:rPr>
          <w:sz w:val="18"/>
        </w:rPr>
        <w:t>Categórica Nominal</w:t>
      </w:r>
    </w:p>
    <w:p>
      <w:pPr>
        <w:spacing w:line="592" w:lineRule="auto" w:before="13"/>
        <w:ind w:left="1231" w:right="-19" w:hanging="132"/>
        <w:jc w:val="left"/>
        <w:rPr>
          <w:sz w:val="18"/>
        </w:rPr>
      </w:pPr>
      <w:r>
        <w:rPr/>
        <w:br w:type="column"/>
      </w:r>
      <w:r>
        <w:rPr>
          <w:sz w:val="18"/>
        </w:rPr>
        <w:t>Nominal</w:t>
      </w:r>
      <w:r>
        <w:rPr>
          <w:w w:val="99"/>
          <w:sz w:val="18"/>
        </w:rPr>
        <w:t> </w:t>
      </w:r>
      <w:r>
        <w:rPr>
          <w:sz w:val="18"/>
        </w:rPr>
        <w:t>0 – 1</w:t>
      </w:r>
    </w:p>
    <w:p>
      <w:pPr>
        <w:spacing w:line="482" w:lineRule="auto" w:before="13"/>
        <w:ind w:left="791" w:right="908" w:firstLine="0"/>
        <w:jc w:val="center"/>
        <w:rPr>
          <w:sz w:val="18"/>
        </w:rPr>
      </w:pPr>
      <w:r>
        <w:rPr/>
        <w:br w:type="column"/>
      </w:r>
      <w:r>
        <w:rPr>
          <w:sz w:val="18"/>
        </w:rPr>
        <w:t>U de Mann- Whitney</w:t>
      </w:r>
    </w:p>
    <w:p>
      <w:pPr>
        <w:spacing w:after="0" w:line="482" w:lineRule="auto"/>
        <w:jc w:val="center"/>
        <w:rPr>
          <w:sz w:val="18"/>
        </w:rPr>
        <w:sectPr>
          <w:type w:val="continuous"/>
          <w:pgSz w:w="15840" w:h="12240" w:orient="landscape"/>
          <w:pgMar w:top="1420" w:bottom="280" w:left="0" w:right="0"/>
          <w:cols w:num="6" w:equalWidth="0">
            <w:col w:w="2387" w:space="54"/>
            <w:col w:w="4240" w:space="494"/>
            <w:col w:w="2472" w:space="40"/>
            <w:col w:w="1664" w:space="47"/>
            <w:col w:w="1761" w:space="40"/>
            <w:col w:w="2641"/>
          </w:cols>
        </w:sectPr>
      </w:pPr>
    </w:p>
    <w:p>
      <w:pPr>
        <w:pStyle w:val="ListParagraph"/>
        <w:numPr>
          <w:ilvl w:val="0"/>
          <w:numId w:val="27"/>
        </w:numPr>
        <w:tabs>
          <w:tab w:pos="1275" w:val="left" w:leader="none"/>
          <w:tab w:pos="3540" w:val="left" w:leader="none"/>
          <w:tab w:pos="8273" w:val="left" w:leader="none"/>
        </w:tabs>
        <w:spacing w:line="336" w:lineRule="auto" w:before="15" w:after="0"/>
        <w:ind w:left="8309" w:right="0" w:hanging="7210"/>
        <w:jc w:val="right"/>
        <w:rPr>
          <w:sz w:val="18"/>
        </w:rPr>
      </w:pPr>
      <w:r>
        <w:rPr>
          <w:sz w:val="18"/>
        </w:rPr>
        <w:t>Consumo</w:t>
      </w:r>
      <w:r>
        <w:rPr>
          <w:spacing w:val="-2"/>
          <w:sz w:val="18"/>
        </w:rPr>
        <w:t> </w:t>
      </w:r>
      <w:r>
        <w:rPr>
          <w:sz w:val="18"/>
        </w:rPr>
        <w:t>de vitaminas</w:t>
        <w:tab/>
      </w:r>
      <w:r>
        <w:rPr>
          <w:position w:val="1"/>
          <w:sz w:val="18"/>
        </w:rPr>
        <w:t>Ingesta</w:t>
      </w:r>
      <w:r>
        <w:rPr>
          <w:spacing w:val="-3"/>
          <w:position w:val="1"/>
          <w:sz w:val="18"/>
        </w:rPr>
        <w:t> </w:t>
      </w:r>
      <w:r>
        <w:rPr>
          <w:position w:val="1"/>
          <w:sz w:val="18"/>
        </w:rPr>
        <w:t>de</w:t>
      </w:r>
      <w:r>
        <w:rPr>
          <w:spacing w:val="-3"/>
          <w:position w:val="1"/>
          <w:sz w:val="18"/>
        </w:rPr>
        <w:t> </w:t>
      </w:r>
      <w:r>
        <w:rPr>
          <w:position w:val="1"/>
          <w:sz w:val="18"/>
        </w:rPr>
        <w:t>multivitamínicos</w:t>
        <w:tab/>
      </w:r>
      <w:r>
        <w:rPr>
          <w:w w:val="95"/>
          <w:position w:val="1"/>
          <w:sz w:val="18"/>
        </w:rPr>
        <w:t>No </w:t>
      </w:r>
      <w:r>
        <w:rPr>
          <w:spacing w:val="-2"/>
          <w:sz w:val="18"/>
        </w:rPr>
        <w:t>Si</w:t>
      </w:r>
    </w:p>
    <w:p>
      <w:pPr>
        <w:tabs>
          <w:tab w:pos="1933" w:val="left" w:leader="none"/>
        </w:tabs>
        <w:spacing w:before="16"/>
        <w:ind w:left="1002" w:right="0" w:firstLine="0"/>
        <w:jc w:val="left"/>
        <w:rPr>
          <w:sz w:val="18"/>
        </w:rPr>
      </w:pPr>
      <w:r>
        <w:rPr/>
        <w:br w:type="column"/>
      </w:r>
      <w:r>
        <w:rPr>
          <w:sz w:val="18"/>
        </w:rPr>
        <w:t>0</w:t>
        <w:tab/>
        <w:t>Categórica</w:t>
      </w:r>
    </w:p>
    <w:p>
      <w:pPr>
        <w:spacing w:line="204" w:lineRule="exact" w:before="102"/>
        <w:ind w:left="0" w:right="698" w:firstLine="0"/>
        <w:jc w:val="center"/>
        <w:rPr>
          <w:sz w:val="18"/>
        </w:rPr>
      </w:pPr>
      <w:r>
        <w:rPr>
          <w:w w:val="99"/>
          <w:sz w:val="18"/>
        </w:rPr>
        <w:t>1</w:t>
      </w:r>
    </w:p>
    <w:p>
      <w:pPr>
        <w:spacing w:line="204" w:lineRule="exact" w:before="0"/>
        <w:ind w:left="0" w:right="103" w:firstLine="0"/>
        <w:jc w:val="right"/>
        <w:rPr>
          <w:sz w:val="18"/>
        </w:rPr>
      </w:pPr>
      <w:r>
        <w:rPr>
          <w:sz w:val="18"/>
        </w:rPr>
        <w:t>Nominal</w:t>
      </w:r>
    </w:p>
    <w:p>
      <w:pPr>
        <w:spacing w:line="592" w:lineRule="auto" w:before="16"/>
        <w:ind w:left="1231" w:right="-19" w:hanging="132"/>
        <w:jc w:val="left"/>
        <w:rPr>
          <w:sz w:val="18"/>
        </w:rPr>
      </w:pPr>
      <w:r>
        <w:rPr/>
        <w:br w:type="column"/>
      </w:r>
      <w:r>
        <w:rPr>
          <w:sz w:val="18"/>
        </w:rPr>
        <w:t>Nominal</w:t>
      </w:r>
      <w:r>
        <w:rPr>
          <w:w w:val="99"/>
          <w:sz w:val="18"/>
        </w:rPr>
        <w:t> </w:t>
      </w:r>
      <w:r>
        <w:rPr>
          <w:sz w:val="18"/>
        </w:rPr>
        <w:t>0 – 1</w:t>
      </w:r>
    </w:p>
    <w:p>
      <w:pPr>
        <w:spacing w:line="477" w:lineRule="auto" w:before="16"/>
        <w:ind w:left="791" w:right="908" w:firstLine="0"/>
        <w:jc w:val="center"/>
        <w:rPr>
          <w:sz w:val="18"/>
        </w:rPr>
      </w:pPr>
      <w:r>
        <w:rPr/>
        <w:br w:type="column"/>
      </w:r>
      <w:r>
        <w:rPr>
          <w:sz w:val="18"/>
        </w:rPr>
        <w:t>U de Mann- Whitney</w:t>
      </w:r>
    </w:p>
    <w:p>
      <w:pPr>
        <w:spacing w:after="0" w:line="477" w:lineRule="auto"/>
        <w:jc w:val="center"/>
        <w:rPr>
          <w:sz w:val="18"/>
        </w:rPr>
        <w:sectPr>
          <w:type w:val="continuous"/>
          <w:pgSz w:w="15840" w:h="12240" w:orient="landscape"/>
          <w:pgMar w:top="1420" w:bottom="280" w:left="0" w:right="0"/>
          <w:cols w:num="4" w:equalWidth="0">
            <w:col w:w="8504" w:space="40"/>
            <w:col w:w="2806" w:space="47"/>
            <w:col w:w="1761" w:space="40"/>
            <w:col w:w="2642"/>
          </w:cols>
        </w:sectPr>
      </w:pPr>
    </w:p>
    <w:p>
      <w:pPr>
        <w:spacing w:before="11"/>
        <w:ind w:left="1132" w:right="0" w:firstLine="0"/>
        <w:jc w:val="left"/>
        <w:rPr>
          <w:i/>
          <w:sz w:val="18"/>
        </w:rPr>
      </w:pPr>
      <w:r>
        <w:rPr>
          <w:i/>
          <w:sz w:val="18"/>
        </w:rPr>
        <w:t>Antecedentes toxicológicos</w:t>
      </w:r>
    </w:p>
    <w:p>
      <w:pPr>
        <w:pStyle w:val="BodyText"/>
        <w:spacing w:before="11"/>
        <w:rPr>
          <w:i/>
          <w:sz w:val="19"/>
        </w:rPr>
      </w:pPr>
    </w:p>
    <w:p>
      <w:pPr>
        <w:spacing w:after="0"/>
        <w:rPr>
          <w:sz w:val="19"/>
        </w:rPr>
        <w:sectPr>
          <w:type w:val="continuous"/>
          <w:pgSz w:w="15840" w:h="12240" w:orient="landscape"/>
          <w:pgMar w:top="1420" w:bottom="280" w:left="0" w:right="0"/>
        </w:sectPr>
      </w:pPr>
    </w:p>
    <w:p>
      <w:pPr>
        <w:pStyle w:val="ListParagraph"/>
        <w:numPr>
          <w:ilvl w:val="0"/>
          <w:numId w:val="28"/>
        </w:numPr>
        <w:tabs>
          <w:tab w:pos="1275" w:val="left" w:leader="none"/>
          <w:tab w:pos="3540" w:val="left" w:leader="none"/>
          <w:tab w:pos="8273" w:val="left" w:leader="none"/>
        </w:tabs>
        <w:spacing w:line="240" w:lineRule="auto" w:before="77" w:after="0"/>
        <w:ind w:left="1274" w:right="0" w:hanging="175"/>
        <w:jc w:val="left"/>
        <w:rPr>
          <w:sz w:val="18"/>
        </w:rPr>
      </w:pPr>
      <w:r>
        <w:rPr/>
        <w:pict>
          <v:group style="position:absolute;margin-left:49.560001pt;margin-top:103.699997pt;width:708.95pt;height:422.85pt;mso-position-horizontal-relative:page;mso-position-vertical-relative:page;z-index:-338536" coordorigin="991,2074" coordsize="14179,8457">
            <v:shape style="position:absolute;left:991;top:2074;width:14179;height:1227" coordorigin="991,2074" coordsize="14179,1227" path="m7510,2074l3399,2074,991,2074,991,3300,3399,3300,7510,3300,7510,2074m13751,2074l13643,2074,12013,2074,11905,2074,11797,2074,10031,2074,9923,2074,9815,2074,7619,2074,7511,2074,7511,3300,7619,3300,9815,3300,9923,3300,10031,3300,11797,3300,11905,3300,13751,3300,13751,2074m15170,2074l15062,2074,13860,2074,13752,2074,13752,3300,15170,3300,15170,2074e" filled="true" fillcolor="#12d2c1" stroked="false">
              <v:path arrowok="t"/>
              <v:fill type="solid"/>
            </v:shape>
            <v:shape style="position:absolute;left:991;top:3300;width:8932;height:1160" coordorigin="991,3300" coordsize="8932,1160" path="m7510,3301l7402,3301,7402,3300,3507,3300,3507,3301,3399,3301,3291,3301,3291,3300,1099,3300,1099,3301,991,3301,991,4460,3399,4460,3507,4460,7402,4460,7510,4460,7510,3301m9923,3301l9815,3301,9815,3300,9378,3300,9378,3301,9270,3301,9270,3301,9162,3301,9162,3300,7619,3300,7619,3301,7511,3301,7511,4460,7619,4460,9162,4460,9270,4460,9270,4460,9378,4460,9815,4460,9923,4460,9923,3301e" filled="true" fillcolor="#b4f1eb" stroked="false">
              <v:path arrowok="t"/>
              <v:fill type="solid"/>
            </v:shape>
            <v:shape style="position:absolute;left:9923;top:3301;width:5247;height:1993" coordorigin="9923,3301" coordsize="5247,1993" path="m13751,3301l11905,3301,9923,3301,9923,5293,11905,5293,13751,5293,13751,3301m15170,3301l13752,3301,13752,5293,15170,5293,15170,3301e" filled="true" fillcolor="#adf8f0" stroked="false">
              <v:path arrowok="t"/>
              <v:fill type="solid"/>
            </v:shape>
            <v:shape style="position:absolute;left:991;top:4460;width:8932;height:833" coordorigin="991,4460" coordsize="8932,833" path="m7510,4460l7402,4460,3507,4460,3399,4460,3291,4460,1099,4460,991,4460,991,5293,1099,5293,3291,5293,3399,5293,7510,5293,7510,4460m9923,4460l9815,4460,9378,4460,9270,4460,9270,4460,9162,4460,7619,4460,7511,4460,7511,5293,9270,5293,9270,5293,9923,5293,9923,4460e" filled="true" fillcolor="#82eade" stroked="false">
              <v:path arrowok="t"/>
              <v:fill type="solid"/>
            </v:shape>
            <v:shape style="position:absolute;left:991;top:5293;width:14179;height:1539" coordorigin="991,5293" coordsize="14179,1539" path="m13751,5293l13643,5293,12013,5293,11905,5293,11797,5293,10031,5293,9923,5293,9815,5293,9378,5293,9270,5293,9270,5293,9162,5293,7619,5293,7511,5293,7403,5293,1099,5293,991,5293,991,5804,991,5804,991,6832,3399,6832,7510,6832,7510,5804,7511,5804,7511,6832,9270,6832,9270,6832,9923,6832,11905,6832,13751,6832,13751,5804,13751,5804,13751,5293m15170,5293l15062,5293,13860,5293,13752,5293,13752,5804,13752,5804,13752,6832,13860,6832,15062,6832,15170,6832,15170,5804,15170,5804,15170,5293e" filled="true" fillcolor="#b4f1eb" stroked="false">
              <v:path arrowok="t"/>
              <v:fill type="solid"/>
            </v:shape>
            <v:shape style="position:absolute;left:991;top:6832;width:14179;height:1030" coordorigin="991,6832" coordsize="14179,1030" path="m7510,6832l7402,6832,3507,6832,3399,6832,3291,6832,1099,6832,991,6832,991,7861,3399,7861,7510,7861,7510,6832m13751,6832l11905,6832,9923,6832,9815,6832,9378,6832,9270,6832,9270,6832,9162,6832,7619,6832,7511,6832,7511,7861,9270,7861,9270,7861,9923,7861,11905,7861,13751,7861,13751,6832m15170,6832l15062,6832,13860,6832,13752,6832,13752,7861,13860,7861,15062,7861,15170,7861,15170,6832e" filled="true" fillcolor="#82eade" stroked="false">
              <v:path arrowok="t"/>
              <v:fill type="solid"/>
            </v:shape>
            <v:shape style="position:absolute;left:991;top:7861;width:14179;height:1028" coordorigin="991,7861" coordsize="14179,1028" path="m7510,7861l7402,7861,3507,7861,3399,7861,3291,7861,1099,7861,991,7861,991,8889,3399,8889,7510,8889,7510,7861m13751,7861l13643,7861,12013,7861,11905,7861,11797,7861,10031,7861,9923,7861,9270,7861,9270,7861,7511,7861,7511,8889,9270,8889,9270,8889,9923,8889,11905,8889,13751,8889,13751,7861m15170,7861l15062,7861,13860,7861,13752,7861,13752,8889,13860,8889,15062,8889,15170,8889,15170,7861e" filled="true" fillcolor="#b4f1eb" stroked="false">
              <v:path arrowok="t"/>
              <v:fill type="solid"/>
            </v:shape>
            <v:shape style="position:absolute;left:991;top:8889;width:14179;height:1643" coordorigin="991,8889" coordsize="14179,1643" path="m13751,8889l11905,8889,9923,8889,9923,8889,9815,8889,9378,8889,9270,8889,9270,8889,9162,8889,7619,8889,7511,8889,7403,8889,1099,8889,991,8889,991,9400,991,9400,991,10531,3399,10531,3507,10531,7402,10531,7510,10531,7510,9400,7511,9400,7511,10531,9270,10531,9270,10531,9923,10531,11905,10531,13751,10531,13751,8889m15170,8889l13752,8889,13752,10531,15170,10531,15170,8889e" filled="true" fillcolor="#82eade" stroked="false">
              <v:path arrowok="t"/>
              <v:fill type="solid"/>
            </v:shape>
            <w10:wrap type="none"/>
          </v:group>
        </w:pict>
      </w:r>
      <w:r>
        <w:rPr>
          <w:sz w:val="18"/>
        </w:rPr>
        <w:t>Fumador</w:t>
      </w:r>
      <w:r>
        <w:rPr>
          <w:spacing w:val="-2"/>
          <w:sz w:val="18"/>
        </w:rPr>
        <w:t> </w:t>
      </w:r>
      <w:r>
        <w:rPr>
          <w:sz w:val="18"/>
        </w:rPr>
        <w:t>pasivo</w:t>
        <w:tab/>
      </w:r>
      <w:r>
        <w:rPr>
          <w:position w:val="1"/>
          <w:sz w:val="18"/>
        </w:rPr>
        <w:t>Niño que no fuma pero está sometida</w:t>
      </w:r>
      <w:r>
        <w:rPr>
          <w:spacing w:val="-10"/>
          <w:position w:val="1"/>
          <w:sz w:val="18"/>
        </w:rPr>
        <w:t> </w:t>
      </w:r>
      <w:r>
        <w:rPr>
          <w:position w:val="1"/>
          <w:sz w:val="18"/>
        </w:rPr>
        <w:t>al</w:t>
      </w:r>
      <w:r>
        <w:rPr>
          <w:spacing w:val="-1"/>
          <w:position w:val="1"/>
          <w:sz w:val="18"/>
        </w:rPr>
        <w:t> </w:t>
      </w:r>
      <w:r>
        <w:rPr>
          <w:position w:val="1"/>
          <w:sz w:val="18"/>
        </w:rPr>
        <w:t>humo</w:t>
        <w:tab/>
        <w:t>No</w:t>
      </w:r>
    </w:p>
    <w:p>
      <w:pPr>
        <w:tabs>
          <w:tab w:pos="8309" w:val="left" w:leader="none"/>
        </w:tabs>
        <w:spacing w:line="362" w:lineRule="auto" w:before="89"/>
        <w:ind w:left="3540" w:right="32" w:firstLine="0"/>
        <w:jc w:val="left"/>
        <w:rPr>
          <w:sz w:val="18"/>
        </w:rPr>
      </w:pPr>
      <w:r>
        <w:rPr>
          <w:sz w:val="18"/>
        </w:rPr>
        <w:t>del tabaco de las personas que fuman</w:t>
      </w:r>
      <w:r>
        <w:rPr>
          <w:spacing w:val="-13"/>
          <w:sz w:val="18"/>
        </w:rPr>
        <w:t> </w:t>
      </w:r>
      <w:r>
        <w:rPr>
          <w:sz w:val="18"/>
        </w:rPr>
        <w:t>en</w:t>
      </w:r>
      <w:r>
        <w:rPr>
          <w:spacing w:val="-2"/>
          <w:sz w:val="18"/>
        </w:rPr>
        <w:t> </w:t>
      </w:r>
      <w:r>
        <w:rPr>
          <w:sz w:val="18"/>
        </w:rPr>
        <w:t>su</w:t>
        <w:tab/>
        <w:t>Si entorno.</w:t>
      </w:r>
    </w:p>
    <w:p>
      <w:pPr>
        <w:tabs>
          <w:tab w:pos="1933" w:val="left" w:leader="none"/>
        </w:tabs>
        <w:spacing w:before="77"/>
        <w:ind w:left="1002" w:right="0" w:firstLine="0"/>
        <w:jc w:val="left"/>
        <w:rPr>
          <w:sz w:val="18"/>
        </w:rPr>
      </w:pPr>
      <w:r>
        <w:rPr/>
        <w:br w:type="column"/>
      </w:r>
      <w:r>
        <w:rPr>
          <w:sz w:val="18"/>
        </w:rPr>
        <w:t>0</w:t>
        <w:tab/>
        <w:t>Categórica</w:t>
      </w:r>
    </w:p>
    <w:p>
      <w:pPr>
        <w:spacing w:line="204" w:lineRule="exact" w:before="102"/>
        <w:ind w:left="0" w:right="698" w:firstLine="0"/>
        <w:jc w:val="center"/>
        <w:rPr>
          <w:sz w:val="18"/>
        </w:rPr>
      </w:pPr>
      <w:r>
        <w:rPr>
          <w:w w:val="99"/>
          <w:sz w:val="18"/>
        </w:rPr>
        <w:t>1</w:t>
      </w:r>
    </w:p>
    <w:p>
      <w:pPr>
        <w:spacing w:line="204" w:lineRule="exact" w:before="0"/>
        <w:ind w:left="0" w:right="103" w:firstLine="0"/>
        <w:jc w:val="right"/>
        <w:rPr>
          <w:sz w:val="18"/>
        </w:rPr>
      </w:pPr>
      <w:r>
        <w:rPr>
          <w:sz w:val="18"/>
        </w:rPr>
        <w:t>Nominal</w:t>
      </w:r>
    </w:p>
    <w:p>
      <w:pPr>
        <w:spacing w:line="592" w:lineRule="auto" w:before="77"/>
        <w:ind w:left="1231" w:right="-19" w:hanging="132"/>
        <w:jc w:val="left"/>
        <w:rPr>
          <w:sz w:val="18"/>
        </w:rPr>
      </w:pPr>
      <w:r>
        <w:rPr/>
        <w:br w:type="column"/>
      </w:r>
      <w:r>
        <w:rPr>
          <w:sz w:val="18"/>
        </w:rPr>
        <w:t>Nominal</w:t>
      </w:r>
      <w:r>
        <w:rPr>
          <w:w w:val="99"/>
          <w:sz w:val="18"/>
        </w:rPr>
        <w:t> </w:t>
      </w:r>
      <w:r>
        <w:rPr>
          <w:sz w:val="18"/>
        </w:rPr>
        <w:t>0 – 1</w:t>
      </w:r>
    </w:p>
    <w:p>
      <w:pPr>
        <w:spacing w:line="477" w:lineRule="auto" w:before="77"/>
        <w:ind w:left="791" w:right="908" w:firstLine="0"/>
        <w:jc w:val="center"/>
        <w:rPr>
          <w:sz w:val="18"/>
        </w:rPr>
      </w:pPr>
      <w:r>
        <w:rPr/>
        <w:br w:type="column"/>
      </w:r>
      <w:r>
        <w:rPr>
          <w:sz w:val="18"/>
        </w:rPr>
        <w:t>U de Mann- Whitney</w:t>
      </w:r>
    </w:p>
    <w:p>
      <w:pPr>
        <w:spacing w:after="0" w:line="477" w:lineRule="auto"/>
        <w:jc w:val="center"/>
        <w:rPr>
          <w:sz w:val="18"/>
        </w:rPr>
        <w:sectPr>
          <w:type w:val="continuous"/>
          <w:pgSz w:w="15840" w:h="12240" w:orient="landscape"/>
          <w:pgMar w:top="1420" w:bottom="280" w:left="0" w:right="0"/>
          <w:cols w:num="4" w:equalWidth="0">
            <w:col w:w="8504" w:space="40"/>
            <w:col w:w="2806" w:space="47"/>
            <w:col w:w="1761" w:space="40"/>
            <w:col w:w="2642"/>
          </w:cols>
        </w:sectPr>
      </w:pPr>
    </w:p>
    <w:p>
      <w:pPr>
        <w:pStyle w:val="Heading4"/>
        <w:spacing w:before="54"/>
        <w:ind w:left="1702" w:right="1703"/>
      </w:pPr>
      <w:r>
        <w:rPr/>
        <w:t>Material</w:t>
      </w:r>
    </w:p>
    <w:p>
      <w:pPr>
        <w:pStyle w:val="BodyText"/>
        <w:spacing w:before="10"/>
        <w:rPr>
          <w:b/>
          <w:sz w:val="25"/>
        </w:rPr>
      </w:pPr>
    </w:p>
    <w:p>
      <w:pPr>
        <w:spacing w:after="0"/>
        <w:rPr>
          <w:sz w:val="25"/>
        </w:rPr>
        <w:sectPr>
          <w:footerReference w:type="default" r:id="rId240"/>
          <w:pgSz w:w="12240" w:h="15840"/>
          <w:pgMar w:footer="599" w:header="0" w:top="1360" w:bottom="780" w:left="0" w:right="0"/>
          <w:pgNumType w:start="61"/>
        </w:sectPr>
      </w:pPr>
    </w:p>
    <w:p>
      <w:pPr>
        <w:pStyle w:val="ListParagraph"/>
        <w:numPr>
          <w:ilvl w:val="0"/>
          <w:numId w:val="29"/>
        </w:numPr>
        <w:tabs>
          <w:tab w:pos="2421" w:val="left" w:leader="none"/>
          <w:tab w:pos="2422" w:val="left" w:leader="none"/>
        </w:tabs>
        <w:spacing w:line="240" w:lineRule="auto" w:before="40" w:after="0"/>
        <w:ind w:left="2422" w:right="0" w:hanging="360"/>
        <w:jc w:val="left"/>
        <w:rPr>
          <w:sz w:val="22"/>
        </w:rPr>
      </w:pPr>
      <w:r>
        <w:rPr>
          <w:sz w:val="22"/>
        </w:rPr>
        <w:t>Bata blanca</w:t>
      </w:r>
    </w:p>
    <w:p>
      <w:pPr>
        <w:pStyle w:val="ListParagraph"/>
        <w:numPr>
          <w:ilvl w:val="0"/>
          <w:numId w:val="29"/>
        </w:numPr>
        <w:tabs>
          <w:tab w:pos="2421" w:val="left" w:leader="none"/>
          <w:tab w:pos="2422" w:val="left" w:leader="none"/>
        </w:tabs>
        <w:spacing w:line="240" w:lineRule="auto" w:before="102" w:after="0"/>
        <w:ind w:left="2422" w:right="0" w:hanging="360"/>
        <w:jc w:val="left"/>
        <w:rPr>
          <w:sz w:val="22"/>
        </w:rPr>
      </w:pPr>
      <w:r>
        <w:rPr>
          <w:sz w:val="22"/>
        </w:rPr>
        <w:t>1 galón de agua</w:t>
      </w:r>
      <w:r>
        <w:rPr>
          <w:spacing w:val="-7"/>
          <w:sz w:val="22"/>
        </w:rPr>
        <w:t> </w:t>
      </w:r>
      <w:r>
        <w:rPr>
          <w:sz w:val="22"/>
        </w:rPr>
        <w:t>purificada</w:t>
      </w:r>
    </w:p>
    <w:p>
      <w:pPr>
        <w:pStyle w:val="ListParagraph"/>
        <w:numPr>
          <w:ilvl w:val="0"/>
          <w:numId w:val="29"/>
        </w:numPr>
        <w:tabs>
          <w:tab w:pos="2421" w:val="left" w:leader="none"/>
          <w:tab w:pos="2422" w:val="left" w:leader="none"/>
        </w:tabs>
        <w:spacing w:line="302" w:lineRule="auto" w:before="104" w:after="0"/>
        <w:ind w:left="2422" w:right="1" w:hanging="360"/>
        <w:jc w:val="left"/>
        <w:rPr>
          <w:sz w:val="22"/>
        </w:rPr>
      </w:pPr>
      <w:r>
        <w:rPr>
          <w:sz w:val="22"/>
        </w:rPr>
        <w:t>130 vasos de plástico No.  1 marca</w:t>
      </w:r>
      <w:r>
        <w:rPr>
          <w:spacing w:val="1"/>
          <w:sz w:val="22"/>
        </w:rPr>
        <w:t> </w:t>
      </w:r>
      <w:r>
        <w:rPr>
          <w:sz w:val="22"/>
        </w:rPr>
        <w:t>Bosco</w:t>
      </w:r>
    </w:p>
    <w:p>
      <w:pPr>
        <w:pStyle w:val="ListParagraph"/>
        <w:numPr>
          <w:ilvl w:val="0"/>
          <w:numId w:val="29"/>
        </w:numPr>
        <w:tabs>
          <w:tab w:pos="2421" w:val="left" w:leader="none"/>
          <w:tab w:pos="2422" w:val="left" w:leader="none"/>
        </w:tabs>
        <w:spacing w:line="302" w:lineRule="auto" w:before="62" w:after="0"/>
        <w:ind w:left="2422" w:right="1" w:hanging="360"/>
        <w:jc w:val="left"/>
        <w:rPr>
          <w:sz w:val="22"/>
        </w:rPr>
      </w:pPr>
      <w:r>
        <w:rPr>
          <w:sz w:val="22"/>
        </w:rPr>
        <w:t>2 cajas de guantes de látex chicos marca</w:t>
      </w:r>
      <w:r>
        <w:rPr>
          <w:spacing w:val="-2"/>
          <w:sz w:val="22"/>
        </w:rPr>
        <w:t> </w:t>
      </w:r>
      <w:r>
        <w:rPr>
          <w:sz w:val="22"/>
        </w:rPr>
        <w:t>OTAi</w:t>
      </w:r>
    </w:p>
    <w:p>
      <w:pPr>
        <w:pStyle w:val="ListParagraph"/>
        <w:numPr>
          <w:ilvl w:val="0"/>
          <w:numId w:val="29"/>
        </w:numPr>
        <w:tabs>
          <w:tab w:pos="2421" w:val="left" w:leader="none"/>
          <w:tab w:pos="2422" w:val="left" w:leader="none"/>
          <w:tab w:pos="3060" w:val="left" w:leader="none"/>
          <w:tab w:pos="4764" w:val="left" w:leader="none"/>
        </w:tabs>
        <w:spacing w:line="302" w:lineRule="auto" w:before="62" w:after="0"/>
        <w:ind w:left="2422" w:right="0" w:hanging="360"/>
        <w:jc w:val="left"/>
        <w:rPr>
          <w:sz w:val="22"/>
        </w:rPr>
      </w:pPr>
      <w:r>
        <w:rPr>
          <w:sz w:val="22"/>
        </w:rPr>
        <w:t>2</w:t>
        <w:tab/>
      </w:r>
      <w:hyperlink r:id="rId241">
        <w:r>
          <w:rPr>
            <w:sz w:val="22"/>
            <w:u w:val="single"/>
          </w:rPr>
          <w:t>Cubrebocas</w:t>
          <w:tab/>
        </w:r>
        <w:r>
          <w:rPr>
            <w:spacing w:val="-1"/>
            <w:sz w:val="22"/>
            <w:u w:val="single"/>
          </w:rPr>
          <w:t>Ambiderm </w:t>
        </w:r>
      </w:hyperlink>
      <w:hyperlink r:id="rId241">
        <w:r>
          <w:rPr>
            <w:sz w:val="22"/>
            <w:u w:val="single"/>
          </w:rPr>
          <w:t>Econoply</w:t>
        </w:r>
        <w:r>
          <w:rPr>
            <w:spacing w:val="-6"/>
            <w:sz w:val="22"/>
            <w:u w:val="single"/>
          </w:rPr>
          <w:t> </w:t>
        </w:r>
        <w:r>
          <w:rPr>
            <w:sz w:val="22"/>
            <w:u w:val="single"/>
          </w:rPr>
          <w:t>Blanca</w:t>
        </w:r>
      </w:hyperlink>
    </w:p>
    <w:p>
      <w:pPr>
        <w:pStyle w:val="ListParagraph"/>
        <w:numPr>
          <w:ilvl w:val="0"/>
          <w:numId w:val="29"/>
        </w:numPr>
        <w:tabs>
          <w:tab w:pos="2421" w:val="left" w:leader="none"/>
          <w:tab w:pos="2422" w:val="left" w:leader="none"/>
          <w:tab w:pos="2796" w:val="left" w:leader="none"/>
          <w:tab w:pos="3954" w:val="left" w:leader="none"/>
          <w:tab w:pos="4561" w:val="left" w:leader="none"/>
          <w:tab w:pos="5178" w:val="left" w:leader="none"/>
        </w:tabs>
        <w:spacing w:line="304" w:lineRule="auto" w:before="62" w:after="0"/>
        <w:ind w:left="2422" w:right="0" w:hanging="360"/>
        <w:jc w:val="left"/>
        <w:rPr>
          <w:sz w:val="22"/>
        </w:rPr>
      </w:pPr>
      <w:r>
        <w:rPr>
          <w:sz w:val="22"/>
        </w:rPr>
        <w:t>2</w:t>
        <w:tab/>
        <w:t>paquetes</w:t>
        <w:tab/>
        <w:t>con</w:t>
        <w:tab/>
        <w:t>100</w:t>
        <w:tab/>
        <w:t>gasas medida 10 x 10 cms. marca</w:t>
      </w:r>
      <w:r>
        <w:rPr>
          <w:spacing w:val="-6"/>
          <w:sz w:val="22"/>
        </w:rPr>
        <w:t> </w:t>
      </w:r>
      <w:r>
        <w:rPr>
          <w:sz w:val="22"/>
        </w:rPr>
        <w:t>Leroy</w:t>
      </w:r>
    </w:p>
    <w:p>
      <w:pPr>
        <w:pStyle w:val="ListParagraph"/>
        <w:numPr>
          <w:ilvl w:val="0"/>
          <w:numId w:val="29"/>
        </w:numPr>
        <w:tabs>
          <w:tab w:pos="2421" w:val="left" w:leader="none"/>
          <w:tab w:pos="2422" w:val="left" w:leader="none"/>
        </w:tabs>
        <w:spacing w:line="302" w:lineRule="auto" w:before="59" w:after="0"/>
        <w:ind w:left="2422" w:right="0" w:hanging="360"/>
        <w:jc w:val="left"/>
        <w:rPr>
          <w:sz w:val="22"/>
        </w:rPr>
      </w:pPr>
      <w:r>
        <w:rPr>
          <w:sz w:val="22"/>
        </w:rPr>
        <w:t>130 porta objetos marca Corning Frosted border</w:t>
      </w:r>
      <w:r>
        <w:rPr>
          <w:spacing w:val="-1"/>
          <w:sz w:val="22"/>
        </w:rPr>
        <w:t> </w:t>
      </w:r>
      <w:r>
        <w:rPr>
          <w:sz w:val="22"/>
        </w:rPr>
        <w:t>2947C</w:t>
      </w:r>
    </w:p>
    <w:p>
      <w:pPr>
        <w:pStyle w:val="ListParagraph"/>
        <w:numPr>
          <w:ilvl w:val="0"/>
          <w:numId w:val="29"/>
        </w:numPr>
        <w:tabs>
          <w:tab w:pos="2421" w:val="left" w:leader="none"/>
          <w:tab w:pos="2422" w:val="left" w:leader="none"/>
        </w:tabs>
        <w:spacing w:line="302" w:lineRule="auto" w:before="62" w:after="0"/>
        <w:ind w:left="2422" w:right="0" w:hanging="360"/>
        <w:jc w:val="left"/>
        <w:rPr>
          <w:sz w:val="22"/>
        </w:rPr>
      </w:pPr>
      <w:r>
        <w:rPr>
          <w:sz w:val="22"/>
        </w:rPr>
        <w:t>130 Cubreobjetos marca Corning 22 x 30</w:t>
      </w:r>
      <w:r>
        <w:rPr>
          <w:spacing w:val="-1"/>
          <w:sz w:val="22"/>
        </w:rPr>
        <w:t> </w:t>
      </w:r>
      <w:r>
        <w:rPr>
          <w:sz w:val="22"/>
        </w:rPr>
        <w:t>mm</w:t>
      </w:r>
    </w:p>
    <w:p>
      <w:pPr>
        <w:pStyle w:val="ListParagraph"/>
        <w:numPr>
          <w:ilvl w:val="0"/>
          <w:numId w:val="29"/>
        </w:numPr>
        <w:tabs>
          <w:tab w:pos="2421" w:val="left" w:leader="none"/>
          <w:tab w:pos="2422" w:val="left" w:leader="none"/>
        </w:tabs>
        <w:spacing w:line="240" w:lineRule="auto" w:before="62" w:after="0"/>
        <w:ind w:left="2422" w:right="0" w:hanging="360"/>
        <w:jc w:val="left"/>
        <w:rPr>
          <w:sz w:val="22"/>
        </w:rPr>
      </w:pPr>
      <w:r>
        <w:rPr>
          <w:sz w:val="22"/>
        </w:rPr>
        <w:t>Lápiz con punta de</w:t>
      </w:r>
      <w:r>
        <w:rPr>
          <w:spacing w:val="-4"/>
          <w:sz w:val="22"/>
        </w:rPr>
        <w:t> </w:t>
      </w:r>
      <w:r>
        <w:rPr>
          <w:sz w:val="22"/>
        </w:rPr>
        <w:t>diamante</w:t>
      </w:r>
    </w:p>
    <w:p>
      <w:pPr>
        <w:pStyle w:val="ListParagraph"/>
        <w:numPr>
          <w:ilvl w:val="0"/>
          <w:numId w:val="29"/>
        </w:numPr>
        <w:tabs>
          <w:tab w:pos="2421" w:val="left" w:leader="none"/>
          <w:tab w:pos="2422" w:val="left" w:leader="none"/>
          <w:tab w:pos="3112" w:val="left" w:leader="none"/>
          <w:tab w:pos="4781" w:val="left" w:leader="none"/>
          <w:tab w:pos="5264" w:val="left" w:leader="none"/>
        </w:tabs>
        <w:spacing w:line="302" w:lineRule="auto" w:before="104" w:after="0"/>
        <w:ind w:left="2422" w:right="0" w:hanging="360"/>
        <w:jc w:val="left"/>
        <w:rPr>
          <w:sz w:val="22"/>
        </w:rPr>
      </w:pPr>
      <w:r>
        <w:rPr>
          <w:sz w:val="22"/>
        </w:rPr>
        <w:t>Caja</w:t>
        <w:tab/>
        <w:t>transportadora</w:t>
        <w:tab/>
        <w:t>de</w:t>
        <w:tab/>
        <w:t>porta objetos</w:t>
      </w:r>
    </w:p>
    <w:p>
      <w:pPr>
        <w:pStyle w:val="ListParagraph"/>
        <w:numPr>
          <w:ilvl w:val="0"/>
          <w:numId w:val="29"/>
        </w:numPr>
        <w:tabs>
          <w:tab w:pos="2421" w:val="left" w:leader="none"/>
          <w:tab w:pos="2422" w:val="left" w:leader="none"/>
        </w:tabs>
        <w:spacing w:line="240" w:lineRule="auto" w:before="62" w:after="0"/>
        <w:ind w:left="2422" w:right="0" w:hanging="360"/>
        <w:jc w:val="left"/>
        <w:rPr>
          <w:sz w:val="22"/>
        </w:rPr>
      </w:pPr>
      <w:r>
        <w:rPr>
          <w:sz w:val="22"/>
        </w:rPr>
        <w:t>4 Copas Coplin de</w:t>
      </w:r>
      <w:r>
        <w:rPr>
          <w:spacing w:val="-6"/>
          <w:sz w:val="22"/>
        </w:rPr>
        <w:t> </w:t>
      </w:r>
      <w:r>
        <w:rPr>
          <w:sz w:val="22"/>
        </w:rPr>
        <w:t>vidrio</w:t>
      </w:r>
    </w:p>
    <w:p>
      <w:pPr>
        <w:pStyle w:val="ListParagraph"/>
        <w:numPr>
          <w:ilvl w:val="0"/>
          <w:numId w:val="29"/>
        </w:numPr>
        <w:tabs>
          <w:tab w:pos="2421" w:val="left" w:leader="none"/>
          <w:tab w:pos="2422" w:val="left" w:leader="none"/>
        </w:tabs>
        <w:spacing w:line="240" w:lineRule="auto" w:before="102" w:after="0"/>
        <w:ind w:left="2422" w:right="0" w:hanging="360"/>
        <w:jc w:val="left"/>
        <w:rPr>
          <w:sz w:val="22"/>
        </w:rPr>
      </w:pPr>
      <w:r>
        <w:rPr>
          <w:sz w:val="22"/>
        </w:rPr>
        <w:t>Canastilla para</w:t>
      </w:r>
      <w:r>
        <w:rPr>
          <w:spacing w:val="-7"/>
          <w:sz w:val="22"/>
        </w:rPr>
        <w:t> </w:t>
      </w:r>
      <w:r>
        <w:rPr>
          <w:sz w:val="22"/>
        </w:rPr>
        <w:t>portaobjetos</w:t>
      </w:r>
    </w:p>
    <w:p>
      <w:pPr>
        <w:pStyle w:val="ListParagraph"/>
        <w:numPr>
          <w:ilvl w:val="0"/>
          <w:numId w:val="29"/>
        </w:numPr>
        <w:tabs>
          <w:tab w:pos="2421" w:val="left" w:leader="none"/>
          <w:tab w:pos="2422" w:val="left" w:leader="none"/>
        </w:tabs>
        <w:spacing w:line="240" w:lineRule="auto" w:before="102" w:after="0"/>
        <w:ind w:left="2422" w:right="0" w:hanging="360"/>
        <w:jc w:val="left"/>
        <w:rPr>
          <w:sz w:val="22"/>
        </w:rPr>
      </w:pPr>
      <w:r>
        <w:rPr>
          <w:sz w:val="22"/>
        </w:rPr>
        <w:t>Etanol al</w:t>
      </w:r>
      <w:r>
        <w:rPr>
          <w:spacing w:val="-1"/>
          <w:sz w:val="22"/>
        </w:rPr>
        <w:t> </w:t>
      </w:r>
      <w:r>
        <w:rPr>
          <w:sz w:val="22"/>
        </w:rPr>
        <w:t>80%</w:t>
      </w:r>
    </w:p>
    <w:p>
      <w:pPr>
        <w:pStyle w:val="ListParagraph"/>
        <w:numPr>
          <w:ilvl w:val="0"/>
          <w:numId w:val="29"/>
        </w:numPr>
        <w:tabs>
          <w:tab w:pos="2421" w:val="left" w:leader="none"/>
          <w:tab w:pos="2422" w:val="left" w:leader="none"/>
          <w:tab w:pos="3772" w:val="left" w:leader="none"/>
          <w:tab w:pos="5154" w:val="left" w:leader="none"/>
        </w:tabs>
        <w:spacing w:line="304" w:lineRule="auto" w:before="102" w:after="0"/>
        <w:ind w:left="2422" w:right="0" w:hanging="360"/>
        <w:jc w:val="left"/>
        <w:rPr>
          <w:sz w:val="22"/>
        </w:rPr>
      </w:pPr>
      <w:r>
        <w:rPr>
          <w:sz w:val="22"/>
        </w:rPr>
        <w:t>Balanza</w:t>
        <w:tab/>
        <w:t>analítica</w:t>
        <w:tab/>
        <w:t>marca METTLER</w:t>
      </w:r>
      <w:r>
        <w:rPr>
          <w:spacing w:val="-2"/>
          <w:sz w:val="22"/>
        </w:rPr>
        <w:t> </w:t>
      </w:r>
      <w:r>
        <w:rPr>
          <w:sz w:val="22"/>
        </w:rPr>
        <w:t>AJ150</w:t>
      </w:r>
    </w:p>
    <w:p>
      <w:pPr>
        <w:pStyle w:val="ListParagraph"/>
        <w:numPr>
          <w:ilvl w:val="0"/>
          <w:numId w:val="29"/>
        </w:numPr>
        <w:tabs>
          <w:tab w:pos="2421" w:val="left" w:leader="none"/>
          <w:tab w:pos="2422" w:val="left" w:leader="none"/>
          <w:tab w:pos="3690" w:val="left" w:leader="none"/>
          <w:tab w:pos="5153" w:val="left" w:leader="none"/>
        </w:tabs>
        <w:spacing w:line="302" w:lineRule="auto" w:before="59" w:after="0"/>
        <w:ind w:left="2422" w:right="1" w:hanging="360"/>
        <w:jc w:val="left"/>
        <w:rPr>
          <w:sz w:val="22"/>
        </w:rPr>
      </w:pPr>
      <w:r>
        <w:rPr>
          <w:sz w:val="22"/>
        </w:rPr>
        <w:t>Agitador</w:t>
        <w:tab/>
        <w:t>magnético</w:t>
        <w:tab/>
        <w:t>marca CORNING</w:t>
      </w:r>
    </w:p>
    <w:p>
      <w:pPr>
        <w:pStyle w:val="ListParagraph"/>
        <w:numPr>
          <w:ilvl w:val="0"/>
          <w:numId w:val="29"/>
        </w:numPr>
        <w:tabs>
          <w:tab w:pos="2421" w:val="left" w:leader="none"/>
          <w:tab w:pos="2422" w:val="left" w:leader="none"/>
        </w:tabs>
        <w:spacing w:line="240" w:lineRule="auto" w:before="62" w:after="0"/>
        <w:ind w:left="2422" w:right="0" w:hanging="360"/>
        <w:jc w:val="left"/>
        <w:rPr>
          <w:sz w:val="22"/>
        </w:rPr>
      </w:pPr>
      <w:r>
        <w:rPr>
          <w:sz w:val="22"/>
        </w:rPr>
        <w:t>Magneto</w:t>
      </w:r>
    </w:p>
    <w:p>
      <w:pPr>
        <w:pStyle w:val="ListParagraph"/>
        <w:numPr>
          <w:ilvl w:val="0"/>
          <w:numId w:val="29"/>
        </w:numPr>
        <w:tabs>
          <w:tab w:pos="2421" w:val="left" w:leader="none"/>
          <w:tab w:pos="2422" w:val="left" w:leader="none"/>
        </w:tabs>
        <w:spacing w:line="302" w:lineRule="auto" w:before="102" w:after="0"/>
        <w:ind w:left="2422" w:right="0" w:hanging="360"/>
        <w:jc w:val="left"/>
        <w:rPr>
          <w:sz w:val="22"/>
        </w:rPr>
      </w:pPr>
      <w:r>
        <w:rPr>
          <w:sz w:val="22"/>
        </w:rPr>
        <w:t>11.49 g de fosfato monobásico de sodio marca J. T.</w:t>
      </w:r>
      <w:r>
        <w:rPr>
          <w:spacing w:val="-3"/>
          <w:sz w:val="22"/>
        </w:rPr>
        <w:t> </w:t>
      </w:r>
      <w:r>
        <w:rPr>
          <w:sz w:val="22"/>
        </w:rPr>
        <w:t>Baker</w:t>
      </w:r>
    </w:p>
    <w:p>
      <w:pPr>
        <w:pStyle w:val="ListParagraph"/>
        <w:numPr>
          <w:ilvl w:val="0"/>
          <w:numId w:val="30"/>
        </w:numPr>
        <w:tabs>
          <w:tab w:pos="1385" w:val="left" w:leader="none"/>
          <w:tab w:pos="1386" w:val="left" w:leader="none"/>
          <w:tab w:pos="2037" w:val="left" w:leader="none"/>
          <w:tab w:pos="2385" w:val="left" w:leader="none"/>
          <w:tab w:pos="2850" w:val="left" w:leader="none"/>
          <w:tab w:pos="3735" w:val="left" w:leader="none"/>
          <w:tab w:pos="4203" w:val="left" w:leader="none"/>
        </w:tabs>
        <w:spacing w:line="302" w:lineRule="auto" w:before="40" w:after="0"/>
        <w:ind w:left="1385" w:right="1700" w:hanging="360"/>
        <w:jc w:val="left"/>
        <w:rPr>
          <w:sz w:val="22"/>
        </w:rPr>
      </w:pPr>
      <w:r>
        <w:rPr>
          <w:w w:val="100"/>
          <w:sz w:val="22"/>
        </w:rPr>
        <w:br w:type="column"/>
      </w:r>
      <w:r>
        <w:rPr>
          <w:sz w:val="22"/>
        </w:rPr>
        <w:t>2.16</w:t>
        <w:tab/>
        <w:t>g</w:t>
        <w:tab/>
        <w:t>de</w:t>
        <w:tab/>
        <w:t>fosfato</w:t>
        <w:tab/>
        <w:t>de</w:t>
        <w:tab/>
      </w:r>
      <w:r>
        <w:rPr>
          <w:spacing w:val="-1"/>
          <w:sz w:val="22"/>
        </w:rPr>
        <w:t>sodio </w:t>
      </w:r>
      <w:r>
        <w:rPr>
          <w:sz w:val="22"/>
        </w:rPr>
        <w:t>dibásico marca J. T.</w:t>
      </w:r>
      <w:r>
        <w:rPr>
          <w:spacing w:val="-5"/>
          <w:sz w:val="22"/>
        </w:rPr>
        <w:t> </w:t>
      </w:r>
      <w:r>
        <w:rPr>
          <w:sz w:val="22"/>
        </w:rPr>
        <w:t>Baker</w:t>
      </w:r>
    </w:p>
    <w:p>
      <w:pPr>
        <w:pStyle w:val="ListParagraph"/>
        <w:numPr>
          <w:ilvl w:val="0"/>
          <w:numId w:val="30"/>
        </w:numPr>
        <w:tabs>
          <w:tab w:pos="1385" w:val="left" w:leader="none"/>
          <w:tab w:pos="1386" w:val="left" w:leader="none"/>
        </w:tabs>
        <w:spacing w:line="240" w:lineRule="auto" w:before="64" w:after="0"/>
        <w:ind w:left="1385" w:right="0" w:hanging="360"/>
        <w:jc w:val="left"/>
        <w:rPr>
          <w:sz w:val="22"/>
        </w:rPr>
      </w:pPr>
      <w:r>
        <w:rPr>
          <w:sz w:val="22"/>
        </w:rPr>
        <w:t>1 litro de agua</w:t>
      </w:r>
      <w:r>
        <w:rPr>
          <w:spacing w:val="-7"/>
          <w:sz w:val="22"/>
        </w:rPr>
        <w:t> </w:t>
      </w:r>
      <w:r>
        <w:rPr>
          <w:sz w:val="22"/>
        </w:rPr>
        <w:t>destilada</w:t>
      </w:r>
    </w:p>
    <w:p>
      <w:pPr>
        <w:pStyle w:val="ListParagraph"/>
        <w:numPr>
          <w:ilvl w:val="0"/>
          <w:numId w:val="30"/>
        </w:numPr>
        <w:tabs>
          <w:tab w:pos="1385" w:val="left" w:leader="none"/>
          <w:tab w:pos="1386" w:val="left" w:leader="none"/>
          <w:tab w:pos="2330" w:val="left" w:leader="none"/>
          <w:tab w:pos="3731" w:val="left" w:leader="none"/>
          <w:tab w:pos="4496" w:val="left" w:leader="none"/>
        </w:tabs>
        <w:spacing w:line="302" w:lineRule="auto" w:before="102" w:after="0"/>
        <w:ind w:left="1385" w:right="1698" w:hanging="360"/>
        <w:jc w:val="left"/>
        <w:rPr>
          <w:sz w:val="22"/>
        </w:rPr>
      </w:pPr>
      <w:r>
        <w:rPr>
          <w:sz w:val="22"/>
        </w:rPr>
        <w:t>Matraz</w:t>
        <w:tab/>
        <w:t>Erlenmeyer</w:t>
        <w:tab/>
        <w:t>1000</w:t>
        <w:tab/>
        <w:t>ml marca</w:t>
      </w:r>
      <w:r>
        <w:rPr>
          <w:spacing w:val="-4"/>
          <w:sz w:val="22"/>
        </w:rPr>
        <w:t> </w:t>
      </w:r>
      <w:r>
        <w:rPr>
          <w:sz w:val="22"/>
        </w:rPr>
        <w:t>KIMAX</w:t>
      </w:r>
    </w:p>
    <w:p>
      <w:pPr>
        <w:pStyle w:val="ListParagraph"/>
        <w:numPr>
          <w:ilvl w:val="0"/>
          <w:numId w:val="30"/>
        </w:numPr>
        <w:tabs>
          <w:tab w:pos="1385" w:val="left" w:leader="none"/>
          <w:tab w:pos="1386" w:val="left" w:leader="none"/>
        </w:tabs>
        <w:spacing w:line="240" w:lineRule="auto" w:before="62" w:after="0"/>
        <w:ind w:left="1385" w:right="0" w:hanging="360"/>
        <w:jc w:val="left"/>
        <w:rPr>
          <w:sz w:val="22"/>
        </w:rPr>
      </w:pPr>
      <w:r>
        <w:rPr>
          <w:sz w:val="22"/>
        </w:rPr>
        <w:t>Papel</w:t>
      </w:r>
      <w:r>
        <w:rPr>
          <w:spacing w:val="-1"/>
          <w:sz w:val="22"/>
        </w:rPr>
        <w:t> </w:t>
      </w:r>
      <w:r>
        <w:rPr>
          <w:sz w:val="22"/>
        </w:rPr>
        <w:t>estraza</w:t>
      </w:r>
    </w:p>
    <w:p>
      <w:pPr>
        <w:pStyle w:val="ListParagraph"/>
        <w:numPr>
          <w:ilvl w:val="0"/>
          <w:numId w:val="30"/>
        </w:numPr>
        <w:tabs>
          <w:tab w:pos="1385" w:val="left" w:leader="none"/>
          <w:tab w:pos="1386" w:val="left" w:leader="none"/>
        </w:tabs>
        <w:spacing w:line="240" w:lineRule="auto" w:before="103" w:after="0"/>
        <w:ind w:left="1385" w:right="0" w:hanging="360"/>
        <w:jc w:val="left"/>
        <w:rPr>
          <w:sz w:val="22"/>
        </w:rPr>
      </w:pPr>
      <w:r>
        <w:rPr>
          <w:sz w:val="22"/>
        </w:rPr>
        <w:t>Jeringa de 10</w:t>
      </w:r>
      <w:r>
        <w:rPr>
          <w:spacing w:val="-2"/>
          <w:sz w:val="22"/>
        </w:rPr>
        <w:t> </w:t>
      </w:r>
      <w:r>
        <w:rPr>
          <w:sz w:val="22"/>
        </w:rPr>
        <w:t>ml</w:t>
      </w:r>
    </w:p>
    <w:p>
      <w:pPr>
        <w:pStyle w:val="ListParagraph"/>
        <w:numPr>
          <w:ilvl w:val="0"/>
          <w:numId w:val="30"/>
        </w:numPr>
        <w:tabs>
          <w:tab w:pos="1385" w:val="left" w:leader="none"/>
          <w:tab w:pos="1386" w:val="left" w:leader="none"/>
        </w:tabs>
        <w:spacing w:line="304" w:lineRule="auto" w:before="102" w:after="0"/>
        <w:ind w:left="1385" w:right="1698" w:hanging="360"/>
        <w:jc w:val="left"/>
        <w:rPr>
          <w:sz w:val="22"/>
        </w:rPr>
      </w:pPr>
      <w:r>
        <w:rPr>
          <w:sz w:val="22"/>
        </w:rPr>
        <w:t>Naranja de acridina0.1 % solución acuosa marca</w:t>
      </w:r>
      <w:r>
        <w:rPr>
          <w:spacing w:val="-4"/>
          <w:sz w:val="22"/>
        </w:rPr>
        <w:t> </w:t>
      </w:r>
      <w:r>
        <w:rPr>
          <w:sz w:val="22"/>
        </w:rPr>
        <w:t>HYCEL</w:t>
      </w:r>
    </w:p>
    <w:p>
      <w:pPr>
        <w:pStyle w:val="ListParagraph"/>
        <w:numPr>
          <w:ilvl w:val="0"/>
          <w:numId w:val="30"/>
        </w:numPr>
        <w:tabs>
          <w:tab w:pos="1386" w:val="left" w:leader="none"/>
        </w:tabs>
        <w:spacing w:line="380" w:lineRule="exact" w:before="77" w:after="0"/>
        <w:ind w:left="1385" w:right="1699" w:hanging="360"/>
        <w:jc w:val="both"/>
        <w:rPr>
          <w:sz w:val="22"/>
        </w:rPr>
      </w:pPr>
      <w:r>
        <w:rPr>
          <w:sz w:val="22"/>
        </w:rPr>
        <w:t>Microscopio binocular Mca. Carl Zeiss Mod. Axiostar Plus. Fluorescencia IVFL. Filtro de 450 a 490 nanómetros. Objetivo planacromático 100x/1.25</w:t>
      </w:r>
      <w:r>
        <w:rPr>
          <w:spacing w:val="-6"/>
          <w:sz w:val="22"/>
        </w:rPr>
        <w:t> </w:t>
      </w:r>
      <w:r>
        <w:rPr>
          <w:sz w:val="22"/>
        </w:rPr>
        <w:t>oil</w:t>
      </w:r>
    </w:p>
    <w:p>
      <w:pPr>
        <w:pStyle w:val="ListParagraph"/>
        <w:numPr>
          <w:ilvl w:val="0"/>
          <w:numId w:val="30"/>
        </w:numPr>
        <w:tabs>
          <w:tab w:pos="1385" w:val="left" w:leader="none"/>
          <w:tab w:pos="1386" w:val="left" w:leader="none"/>
        </w:tabs>
        <w:spacing w:line="240" w:lineRule="auto" w:before="97" w:after="0"/>
        <w:ind w:left="1385" w:right="0" w:hanging="360"/>
        <w:jc w:val="left"/>
        <w:rPr>
          <w:sz w:val="22"/>
        </w:rPr>
      </w:pPr>
      <w:r>
        <w:rPr>
          <w:sz w:val="22"/>
        </w:rPr>
        <w:t>Cámara Axiocam cc</w:t>
      </w:r>
      <w:r>
        <w:rPr>
          <w:spacing w:val="-4"/>
          <w:sz w:val="22"/>
        </w:rPr>
        <w:t> </w:t>
      </w:r>
      <w:r>
        <w:rPr>
          <w:sz w:val="22"/>
        </w:rPr>
        <w:t>1.</w:t>
      </w:r>
    </w:p>
    <w:p>
      <w:pPr>
        <w:pStyle w:val="ListParagraph"/>
        <w:numPr>
          <w:ilvl w:val="0"/>
          <w:numId w:val="30"/>
        </w:numPr>
        <w:tabs>
          <w:tab w:pos="1385" w:val="left" w:leader="none"/>
          <w:tab w:pos="1386" w:val="left" w:leader="none"/>
        </w:tabs>
        <w:spacing w:line="240" w:lineRule="auto" w:before="102" w:after="0"/>
        <w:ind w:left="1385" w:right="0" w:hanging="360"/>
        <w:jc w:val="left"/>
        <w:rPr>
          <w:sz w:val="22"/>
        </w:rPr>
      </w:pPr>
      <w:r>
        <w:rPr>
          <w:sz w:val="22"/>
        </w:rPr>
        <w:t>Aceite de</w:t>
      </w:r>
      <w:r>
        <w:rPr>
          <w:spacing w:val="-3"/>
          <w:sz w:val="22"/>
        </w:rPr>
        <w:t> </w:t>
      </w:r>
      <w:r>
        <w:rPr>
          <w:sz w:val="22"/>
        </w:rPr>
        <w:t>inmersión</w:t>
      </w:r>
    </w:p>
    <w:p>
      <w:pPr>
        <w:pStyle w:val="ListParagraph"/>
        <w:numPr>
          <w:ilvl w:val="0"/>
          <w:numId w:val="30"/>
        </w:numPr>
        <w:tabs>
          <w:tab w:pos="1385" w:val="left" w:leader="none"/>
          <w:tab w:pos="1386" w:val="left" w:leader="none"/>
        </w:tabs>
        <w:spacing w:line="302" w:lineRule="auto" w:before="104" w:after="0"/>
        <w:ind w:left="1385" w:right="1700" w:hanging="360"/>
        <w:jc w:val="left"/>
        <w:rPr>
          <w:sz w:val="22"/>
        </w:rPr>
      </w:pPr>
      <w:r>
        <w:rPr>
          <w:sz w:val="22"/>
        </w:rPr>
        <w:t>Programa estadístico SPSS vs 20 INC (Chicago</w:t>
      </w:r>
      <w:r>
        <w:rPr>
          <w:spacing w:val="-5"/>
          <w:sz w:val="22"/>
        </w:rPr>
        <w:t> </w:t>
      </w:r>
      <w:r>
        <w:rPr>
          <w:sz w:val="22"/>
        </w:rPr>
        <w:t>US)</w:t>
      </w:r>
    </w:p>
    <w:p>
      <w:pPr>
        <w:spacing w:after="0" w:line="302" w:lineRule="auto"/>
        <w:jc w:val="left"/>
        <w:rPr>
          <w:sz w:val="22"/>
        </w:rPr>
        <w:sectPr>
          <w:type w:val="continuous"/>
          <w:pgSz w:w="12240" w:h="15840"/>
          <w:pgMar w:top="1420" w:bottom="280" w:left="0" w:right="0"/>
          <w:cols w:num="2" w:equalWidth="0">
            <w:col w:w="5769" w:space="40"/>
            <w:col w:w="6431"/>
          </w:cols>
        </w:sectPr>
      </w:pPr>
    </w:p>
    <w:p>
      <w:pPr>
        <w:pStyle w:val="Heading4"/>
        <w:spacing w:before="54"/>
        <w:ind w:left="1702"/>
        <w:jc w:val="both"/>
      </w:pPr>
      <w:r>
        <w:rPr/>
        <w:t>Implicaciones Bioéticas</w:t>
      </w:r>
    </w:p>
    <w:p>
      <w:pPr>
        <w:pStyle w:val="BodyText"/>
        <w:rPr>
          <w:b/>
        </w:rPr>
      </w:pPr>
    </w:p>
    <w:p>
      <w:pPr>
        <w:pStyle w:val="BodyText"/>
        <w:rPr>
          <w:b/>
        </w:rPr>
      </w:pPr>
    </w:p>
    <w:p>
      <w:pPr>
        <w:pStyle w:val="BodyText"/>
        <w:spacing w:before="10"/>
        <w:rPr>
          <w:b/>
          <w:sz w:val="34"/>
        </w:rPr>
      </w:pPr>
    </w:p>
    <w:p>
      <w:pPr>
        <w:pStyle w:val="BodyText"/>
        <w:spacing w:line="360" w:lineRule="auto"/>
        <w:ind w:left="1702" w:right="1700"/>
        <w:jc w:val="both"/>
      </w:pPr>
      <w:r>
        <w:rPr/>
        <w:t>Este estudio se apegó a los estatutos de la Declaración de Helsinki y el proyecto fue aprobado por el Comité de Bioética de la Facultad de Odontología de la UAEMex.</w:t>
      </w:r>
    </w:p>
    <w:p>
      <w:pPr>
        <w:pStyle w:val="BodyText"/>
        <w:spacing w:line="360" w:lineRule="auto" w:before="204"/>
        <w:ind w:left="1702" w:right="1703"/>
      </w:pPr>
      <w:r>
        <w:rPr/>
        <w:drawing>
          <wp:anchor distT="0" distB="0" distL="0" distR="0" allowOverlap="1" layoutInCell="1" locked="0" behindDoc="1" simplePos="0" relativeHeight="268096943">
            <wp:simplePos x="0" y="0"/>
            <wp:positionH relativeFrom="page">
              <wp:posOffset>2944495</wp:posOffset>
            </wp:positionH>
            <wp:positionV relativeFrom="paragraph">
              <wp:posOffset>185494</wp:posOffset>
            </wp:positionV>
            <wp:extent cx="137032" cy="101980"/>
            <wp:effectExtent l="0" t="0" r="0" b="0"/>
            <wp:wrapNone/>
            <wp:docPr id="11" name="image217.png" descr=""/>
            <wp:cNvGraphicFramePr>
              <a:graphicFrameLocks noChangeAspect="1"/>
            </wp:cNvGraphicFramePr>
            <a:graphic>
              <a:graphicData uri="http://schemas.openxmlformats.org/drawingml/2006/picture">
                <pic:pic>
                  <pic:nvPicPr>
                    <pic:cNvPr id="12" name="image217.png"/>
                    <pic:cNvPicPr/>
                  </pic:nvPicPr>
                  <pic:blipFill>
                    <a:blip r:embed="rId242" cstate="print"/>
                    <a:stretch>
                      <a:fillRect/>
                    </a:stretch>
                  </pic:blipFill>
                  <pic:spPr>
                    <a:xfrm>
                      <a:off x="0" y="0"/>
                      <a:ext cx="137032" cy="101980"/>
                    </a:xfrm>
                    <a:prstGeom prst="rect">
                      <a:avLst/>
                    </a:prstGeom>
                  </pic:spPr>
                </pic:pic>
              </a:graphicData>
            </a:graphic>
          </wp:anchor>
        </w:drawing>
      </w:r>
      <w:r>
        <w:rPr/>
        <w:t>Se respetó el reglamento de la ley general de salud en materia de investigación para la salud que en su Título 2º. Cap. I, establece los siguientes artículos:</w:t>
      </w:r>
    </w:p>
    <w:p>
      <w:pPr>
        <w:pStyle w:val="BodyText"/>
        <w:spacing w:before="205"/>
        <w:ind w:left="1702"/>
        <w:jc w:val="both"/>
      </w:pPr>
      <w:r>
        <w:rPr/>
        <w:t>Art. 16.</w:t>
      </w:r>
    </w:p>
    <w:p>
      <w:pPr>
        <w:pStyle w:val="BodyText"/>
        <w:spacing w:before="5"/>
        <w:rPr>
          <w:sz w:val="29"/>
        </w:rPr>
      </w:pPr>
    </w:p>
    <w:p>
      <w:pPr>
        <w:pStyle w:val="ListParagraph"/>
        <w:numPr>
          <w:ilvl w:val="1"/>
          <w:numId w:val="30"/>
        </w:numPr>
        <w:tabs>
          <w:tab w:pos="2422" w:val="left" w:leader="none"/>
        </w:tabs>
        <w:spacing w:line="350" w:lineRule="auto" w:before="0" w:after="0"/>
        <w:ind w:left="2422" w:right="1696" w:hanging="360"/>
        <w:jc w:val="both"/>
        <w:rPr>
          <w:sz w:val="24"/>
        </w:rPr>
      </w:pPr>
      <w:r>
        <w:rPr>
          <w:sz w:val="24"/>
        </w:rPr>
        <w:t>Se protegerá la privacidad del individuo sujeto de investigación, identificándolo sólo cuando los resultados lo requieran y éste  lo</w:t>
      </w:r>
      <w:r>
        <w:rPr>
          <w:spacing w:val="-26"/>
          <w:sz w:val="24"/>
        </w:rPr>
        <w:t> </w:t>
      </w:r>
      <w:r>
        <w:rPr>
          <w:sz w:val="24"/>
        </w:rPr>
        <w:t>autorice.</w:t>
      </w:r>
    </w:p>
    <w:p>
      <w:pPr>
        <w:pStyle w:val="BodyText"/>
        <w:spacing w:before="215"/>
        <w:ind w:left="1702"/>
        <w:jc w:val="both"/>
      </w:pPr>
      <w:r>
        <w:rPr/>
        <w:t>Art. 17, Inciso I.</w:t>
      </w:r>
    </w:p>
    <w:p>
      <w:pPr>
        <w:pStyle w:val="BodyText"/>
        <w:spacing w:before="5"/>
        <w:rPr>
          <w:sz w:val="29"/>
        </w:rPr>
      </w:pPr>
    </w:p>
    <w:p>
      <w:pPr>
        <w:pStyle w:val="ListParagraph"/>
        <w:numPr>
          <w:ilvl w:val="1"/>
          <w:numId w:val="30"/>
        </w:numPr>
        <w:tabs>
          <w:tab w:pos="2422" w:val="left" w:leader="none"/>
        </w:tabs>
        <w:spacing w:line="357" w:lineRule="auto" w:before="0" w:after="0"/>
        <w:ind w:left="2422" w:right="1696" w:hanging="360"/>
        <w:jc w:val="both"/>
        <w:rPr>
          <w:sz w:val="24"/>
        </w:rPr>
      </w:pPr>
      <w:r>
        <w:rPr>
          <w:sz w:val="24"/>
        </w:rPr>
        <w:t>Investigación sin riesgo: Son estudios que emplean técnicas y métodos de investigación documental retrospectivos y aquéllos en los que no se realiza ninguna intervención o modificación intencionada en las variables fisiológicas, psicológicas y sociales de los individuos que participan en el estudio.</w:t>
      </w:r>
    </w:p>
    <w:p>
      <w:pPr>
        <w:pStyle w:val="BodyText"/>
        <w:spacing w:before="204"/>
        <w:ind w:left="1702"/>
        <w:jc w:val="both"/>
      </w:pPr>
      <w:r>
        <w:rPr/>
        <w:t>Art. 21, Inciso VIII.</w:t>
      </w:r>
    </w:p>
    <w:p>
      <w:pPr>
        <w:pStyle w:val="BodyText"/>
        <w:spacing w:before="5"/>
        <w:rPr>
          <w:sz w:val="29"/>
        </w:rPr>
      </w:pPr>
    </w:p>
    <w:p>
      <w:pPr>
        <w:pStyle w:val="ListParagraph"/>
        <w:numPr>
          <w:ilvl w:val="1"/>
          <w:numId w:val="30"/>
        </w:numPr>
        <w:tabs>
          <w:tab w:pos="2422" w:val="left" w:leader="none"/>
        </w:tabs>
        <w:spacing w:line="350" w:lineRule="auto" w:before="0" w:after="0"/>
        <w:ind w:left="2422" w:right="1704" w:hanging="360"/>
        <w:jc w:val="both"/>
        <w:rPr>
          <w:sz w:val="24"/>
        </w:rPr>
      </w:pPr>
      <w:r>
        <w:rPr>
          <w:sz w:val="24"/>
        </w:rPr>
        <w:t>No se identificará al sujeto y se mantendrá la confidencialidad de la información relacionada con su</w:t>
      </w:r>
      <w:r>
        <w:rPr>
          <w:spacing w:val="-13"/>
          <w:sz w:val="24"/>
        </w:rPr>
        <w:t> </w:t>
      </w:r>
      <w:r>
        <w:rPr>
          <w:sz w:val="24"/>
        </w:rPr>
        <w:t>privacidad.</w:t>
      </w:r>
    </w:p>
    <w:p>
      <w:pPr>
        <w:pStyle w:val="BodyText"/>
        <w:spacing w:before="215"/>
        <w:ind w:left="1702"/>
        <w:jc w:val="both"/>
      </w:pPr>
      <w:r>
        <w:rPr/>
        <w:t>Art. 23.</w:t>
      </w:r>
    </w:p>
    <w:p>
      <w:pPr>
        <w:pStyle w:val="BodyText"/>
        <w:spacing w:before="6"/>
        <w:rPr>
          <w:sz w:val="29"/>
        </w:rPr>
      </w:pPr>
    </w:p>
    <w:p>
      <w:pPr>
        <w:pStyle w:val="ListParagraph"/>
        <w:numPr>
          <w:ilvl w:val="1"/>
          <w:numId w:val="30"/>
        </w:numPr>
        <w:tabs>
          <w:tab w:pos="2422" w:val="left" w:leader="none"/>
        </w:tabs>
        <w:spacing w:line="352" w:lineRule="auto" w:before="0" w:after="0"/>
        <w:ind w:left="2422" w:right="1704" w:hanging="360"/>
        <w:jc w:val="both"/>
        <w:rPr>
          <w:sz w:val="24"/>
        </w:rPr>
      </w:pPr>
      <w:r>
        <w:rPr>
          <w:sz w:val="24"/>
        </w:rPr>
        <w:t>En caso de investigaciones sin riesgo, la Comisión de Ética, por razones justificadas, podrá dispensar al investigador la obtención del consentimiento informado</w:t>
      </w:r>
      <w:r>
        <w:rPr>
          <w:position w:val="8"/>
          <w:sz w:val="16"/>
        </w:rPr>
        <w:t>84</w:t>
      </w:r>
      <w:r>
        <w:rPr>
          <w:sz w:val="24"/>
        </w:rPr>
        <w:t>.</w:t>
      </w:r>
    </w:p>
    <w:p>
      <w:pPr>
        <w:spacing w:after="0" w:line="352" w:lineRule="auto"/>
        <w:jc w:val="both"/>
        <w:rPr>
          <w:sz w:val="24"/>
        </w:rPr>
        <w:sectPr>
          <w:pgSz w:w="12240" w:h="15840"/>
          <w:pgMar w:header="0" w:footer="599" w:top="1360" w:bottom="780" w:left="0" w:right="0"/>
        </w:sectPr>
      </w:pPr>
    </w:p>
    <w:p>
      <w:pPr>
        <w:pStyle w:val="Heading4"/>
        <w:spacing w:before="54"/>
        <w:ind w:left="1702"/>
        <w:jc w:val="both"/>
      </w:pPr>
      <w:r>
        <w:rPr/>
        <w:t>METODOLOGÍA</w:t>
      </w:r>
    </w:p>
    <w:p>
      <w:pPr>
        <w:pStyle w:val="BodyText"/>
        <w:rPr>
          <w:b/>
        </w:rPr>
      </w:pPr>
    </w:p>
    <w:p>
      <w:pPr>
        <w:pStyle w:val="BodyText"/>
        <w:rPr>
          <w:b/>
        </w:rPr>
      </w:pPr>
    </w:p>
    <w:p>
      <w:pPr>
        <w:spacing w:before="149"/>
        <w:ind w:left="1702" w:right="0" w:firstLine="0"/>
        <w:jc w:val="both"/>
        <w:rPr>
          <w:b/>
          <w:sz w:val="24"/>
        </w:rPr>
      </w:pPr>
      <w:r>
        <w:rPr>
          <w:b/>
          <w:sz w:val="24"/>
        </w:rPr>
        <w:t>Procedimiento del estudio</w:t>
      </w:r>
    </w:p>
    <w:p>
      <w:pPr>
        <w:pStyle w:val="BodyText"/>
        <w:rPr>
          <w:b/>
        </w:rPr>
      </w:pPr>
    </w:p>
    <w:p>
      <w:pPr>
        <w:pStyle w:val="BodyText"/>
        <w:spacing w:before="6"/>
        <w:rPr>
          <w:b/>
          <w:sz w:val="28"/>
        </w:rPr>
      </w:pPr>
    </w:p>
    <w:p>
      <w:pPr>
        <w:pStyle w:val="BodyText"/>
        <w:spacing w:line="360" w:lineRule="auto" w:before="1"/>
        <w:ind w:left="1702" w:right="1705"/>
        <w:jc w:val="both"/>
      </w:pPr>
      <w:r>
        <w:rPr/>
        <w:t>Para este estudio se pidió autorización de los directores de las Escuelas Primaria “Ciencia y Trabajo” de la comunidad de San José, Villa Guerrero y Escuela Primaria “Axayácatl” del municipio de Mexicaltzingo, Estado de México.</w:t>
      </w:r>
    </w:p>
    <w:p>
      <w:pPr>
        <w:pStyle w:val="BodyText"/>
        <w:spacing w:line="362" w:lineRule="auto" w:before="204"/>
        <w:ind w:left="1702" w:right="1702"/>
        <w:jc w:val="both"/>
      </w:pPr>
      <w:r>
        <w:rPr/>
        <w:t>Una vez obtenido el permiso, se impartió una plática informativa sobre la importancia y metodología del estudio a los padres.</w:t>
      </w:r>
    </w:p>
    <w:p>
      <w:pPr>
        <w:pStyle w:val="BodyText"/>
        <w:spacing w:line="360" w:lineRule="auto" w:before="199"/>
        <w:ind w:left="1702" w:right="1695"/>
        <w:jc w:val="both"/>
      </w:pPr>
      <w:r>
        <w:rPr/>
        <w:t>Los padres que permitieron la participación de sus hijos en este estudio, firmaron el consentimiento informado y los niños dieron su asentimiento mediante su huella digital.</w:t>
      </w:r>
    </w:p>
    <w:p>
      <w:pPr>
        <w:pStyle w:val="BodyText"/>
        <w:spacing w:line="360" w:lineRule="auto" w:before="204"/>
        <w:ind w:left="1702" w:right="1699"/>
        <w:jc w:val="both"/>
      </w:pPr>
      <w:r>
        <w:rPr/>
        <w:pict>
          <v:shape style="position:absolute;margin-left:253.183121pt;margin-top:158.162186pt;width:124.4pt;height:102.5pt;mso-position-horizontal-relative:page;mso-position-vertical-relative:paragraph;z-index:-338488" type="#_x0000_t202" filled="false" stroked="false">
            <v:textbox inset="0,0,0,0">
              <w:txbxContent>
                <w:p>
                  <w:pPr>
                    <w:pStyle w:val="BodyText"/>
                    <w:rPr>
                      <w:sz w:val="30"/>
                    </w:rPr>
                  </w:pPr>
                </w:p>
                <w:p>
                  <w:pPr>
                    <w:pStyle w:val="BodyText"/>
                    <w:rPr>
                      <w:sz w:val="30"/>
                    </w:rPr>
                  </w:pPr>
                </w:p>
                <w:p>
                  <w:pPr>
                    <w:pStyle w:val="BodyText"/>
                    <w:rPr>
                      <w:sz w:val="30"/>
                    </w:rPr>
                  </w:pPr>
                </w:p>
                <w:p>
                  <w:pPr>
                    <w:pStyle w:val="BodyText"/>
                    <w:rPr>
                      <w:sz w:val="30"/>
                    </w:rPr>
                  </w:pPr>
                </w:p>
                <w:p>
                  <w:pPr>
                    <w:pStyle w:val="BodyText"/>
                    <w:spacing w:before="9"/>
                    <w:rPr>
                      <w:sz w:val="27"/>
                    </w:rPr>
                  </w:pPr>
                </w:p>
                <w:p>
                  <w:pPr>
                    <w:spacing w:line="350" w:lineRule="exact" w:before="0"/>
                    <w:ind w:left="0" w:right="253" w:firstLine="0"/>
                    <w:jc w:val="right"/>
                    <w:rPr>
                      <w:rFonts w:ascii="Calibri"/>
                      <w:sz w:val="29"/>
                    </w:rPr>
                  </w:pPr>
                  <w:r>
                    <w:rPr>
                      <w:rFonts w:ascii="Calibri"/>
                      <w:color w:val="F1F1F1"/>
                      <w:w w:val="95"/>
                      <w:sz w:val="29"/>
                    </w:rPr>
                    <w:t>4</w:t>
                  </w:r>
                </w:p>
              </w:txbxContent>
            </v:textbox>
            <w10:wrap type="none"/>
          </v:shape>
        </w:pict>
      </w:r>
      <w:r>
        <w:rPr/>
        <w:pict>
          <v:group style="position:absolute;margin-left:87.537163pt;margin-top:155.098984pt;width:323.3pt;height:114.6pt;mso-position-horizontal-relative:page;mso-position-vertical-relative:paragraph;z-index:-338464" coordorigin="1751,3102" coordsize="6466,2292">
            <v:shape style="position:absolute;left:1751;top:3102;width:2648;height:2291" type="#_x0000_t75" stroked="false">
              <v:imagedata r:id="rId243" o:title=""/>
            </v:shape>
            <v:shape style="position:absolute;left:1797;top:3151;width:2488;height:2120" type="#_x0000_t75" stroked="false">
              <v:imagedata r:id="rId244" o:title=""/>
            </v:shape>
            <v:shape style="position:absolute;left:5018;top:3114;width:2648;height:2218" type="#_x0000_t75" stroked="false">
              <v:imagedata r:id="rId245" o:title=""/>
            </v:shape>
            <v:shape style="position:absolute;left:4387;top:4009;width:562;height:674" type="#_x0000_t75" stroked="false">
              <v:imagedata r:id="rId246" o:title=""/>
            </v:shape>
            <v:shape style="position:absolute;left:4594;top:4254;width:160;height:172" type="#_x0000_t75" stroked="false">
              <v:imagedata r:id="rId247" o:title=""/>
            </v:shape>
            <v:shape style="position:absolute;left:4473;top:4076;width:344;height:466" coordorigin="4473,4076" coordsize="344,466" path="m4645,4076l4473,4076,4645,4309,4473,4542,4645,4542,4817,4309,4645,4076xe" filled="true" fillcolor="#205868" stroked="false">
              <v:path arrowok="t"/>
              <v:fill type="solid"/>
            </v:shape>
            <v:shape style="position:absolute;left:4438;top:4058;width:402;height:503" coordorigin="4438,4058" coordsize="402,503" path="m4623,4309l4438,4560,4654,4560,4659,4553,4487,4553,4473,4523,4509,4523,4659,4320,4632,4320,4623,4309xm4509,4523l4473,4523,4487,4553,4509,4523xm4637,4523l4509,4523,4487,4553,4659,4553,4676,4530,4632,4530,4637,4523xm4795,4309l4632,4530,4645,4523,4681,4523,4831,4320,4804,4320,4795,4309xm4681,4523l4645,4523,4632,4530,4676,4530,4681,4523xm4632,4297l4623,4309,4632,4320,4632,4297xm4659,4297l4632,4297,4632,4320,4659,4320,4667,4309,4659,4297xm4804,4297l4795,4309,4804,4320,4804,4297xm4831,4297l4804,4297,4804,4320,4831,4320,4839,4309,4831,4297xm4654,4058l4438,4058,4623,4309,4632,4297,4659,4297,4509,4094,4473,4094,4487,4065,4659,4065,4654,4058xm4632,4087l4795,4309,4804,4297,4831,4297,4681,4094,4645,4094,4632,4087xm4487,4065l4473,4094,4509,4094,4487,4065xm4659,4065l4487,4065,4509,4094,4637,4094,4632,4087,4676,4087,4659,4065xm4676,4087l4632,4087,4645,4094,4681,4094,4676,4087xe" filled="true" fillcolor="#92d050" stroked="false">
              <v:path arrowok="t"/>
              <v:fill type="solid"/>
            </v:shape>
            <v:shape style="position:absolute;left:7654;top:4009;width:562;height:674" type="#_x0000_t75" stroked="false">
              <v:imagedata r:id="rId246" o:title=""/>
            </v:shape>
            <v:shape style="position:absolute;left:7861;top:4254;width:160;height:172" type="#_x0000_t75" stroked="false">
              <v:imagedata r:id="rId247" o:title=""/>
            </v:shape>
            <v:shape style="position:absolute;left:7740;top:4076;width:344;height:466" coordorigin="7740,4076" coordsize="344,466" path="m7912,4076l7740,4076,7912,4309,7740,4542,7912,4542,8084,4309,7912,4076xe" filled="true" fillcolor="#205868" stroked="false">
              <v:path arrowok="t"/>
              <v:fill type="solid"/>
            </v:shape>
            <v:shape style="position:absolute;left:7705;top:4058;width:402;height:503" coordorigin="7705,4058" coordsize="402,503" path="m7890,4309l7705,4560,7921,4560,7926,4553,7754,4553,7740,4523,7776,4523,7926,4320,7899,4320,7890,4309xm7776,4523l7740,4523,7754,4553,7776,4523xm7904,4523l7776,4523,7754,4553,7926,4553,7943,4530,7899,4530,7904,4523xm8062,4309l7899,4530,7912,4523,7948,4523,8098,4320,8071,4320,8062,4309xm7948,4523l7912,4523,7899,4530,7943,4530,7948,4523xm7899,4297l7890,4309,7899,4320,7899,4297xm7926,4297l7899,4297,7899,4320,7926,4320,7934,4309,7926,4297xm8071,4297l8062,4309,8071,4320,8071,4297xm8098,4297l8071,4297,8071,4320,8098,4320,8106,4309,8098,4297xm7921,4058l7705,4058,7890,4309,7899,4297,7926,4297,7776,4094,7740,4094,7754,4065,7926,4065,7921,4058xm7899,4087l8062,4309,8071,4297,8098,4297,7948,4094,7912,4094,7899,4087xm7754,4065l7740,4094,7776,4094,7754,4065xm7926,4065l7754,4065,7776,4094,7904,4094,7899,4087,7943,4087,7926,4065xm7943,4087l7899,4087,7912,4094,7948,4094,7943,4087xe" filled="true" fillcolor="#92d050" stroked="false">
              <v:path arrowok="t"/>
              <v:fill type="solid"/>
            </v:shape>
            <v:shape style="position:absolute;left:1900;top:5068;width:68;height:125" coordorigin="1900,5068" coordsize="68,125" path="m1943,5085l1928,5085,1928,5180,1903,5180,1902,5180,1902,5181,1901,5182,1901,5183,1901,5184,1901,5189,1901,5190,1901,5191,1902,5192,1902,5192,1903,5193,1965,5193,1966,5192,1966,5192,1967,5191,1967,5190,1967,5189,1967,5186,1967,5183,1967,5183,1967,5182,1966,5181,1966,5180,1965,5180,1943,5180,1943,5085xm1936,5068l1932,5068,1931,5069,1930,5069,1930,5069,1929,5069,1902,5088,1902,5088,1901,5089,1901,5090,1900,5091,1900,5097,1900,5099,1901,5100,1902,5101,1902,5101,1903,5101,1904,5100,1905,5100,1928,5085,1943,5085,1943,5070,1943,5069,1942,5069,1941,5069,1940,5068,1936,5068xe" filled="true" fillcolor="#ffffff" stroked="false">
              <v:path arrowok="t"/>
              <v:fill type="solid"/>
            </v:shape>
            <v:shape style="position:absolute;left:1900;top:5068;width:68;height:125" coordorigin="1900,5068" coordsize="68,125" path="m1936,5068l1938,5068,1939,5068,1940,5068,1941,5068,1941,5069,1942,5069,1942,5069,1943,5069,1943,5070,1943,5070,1943,5070,1943,5071,1943,5180,1964,5180,1965,5180,1965,5180,1966,5180,1966,5180,1966,5181,1967,5186,1967,5188,1967,5189,1967,5189,1967,5190,1967,5191,1966,5191,1966,5192,1966,5192,1965,5192,1965,5193,1965,5193,1964,5193,1904,5193,1903,5193,1903,5193,1903,5192,1902,5192,1900,5188,1900,5186,1900,5185,1901,5181,1902,5181,1902,5180,1902,5180,1903,5180,1903,5180,1904,5180,1928,5180,1928,5085,1905,5100,1904,5100,1903,5101,1903,5101,1902,5101,1900,5096,1900,5095,1900,5094,1900,5093,1900,5092,1900,5091,1900,5091,1901,5090,1901,5090,1901,5089,1901,5089,1902,5088,1902,5088,1903,5088,1929,5069,1930,5069,1932,5068,1932,5068,1933,5068,1933,5068,1934,5068,1935,5068,1936,5068xe" filled="false" stroked="true" strokeweight=".582674pt" strokecolor="#d9d9d9">
              <v:path arrowok="t"/>
            </v:shape>
            <v:shape style="position:absolute;left:5064;top:3163;width:2488;height:2046" type="#_x0000_t75" stroked="false">
              <v:imagedata r:id="rId248" o:title=""/>
            </v:shape>
            <w10:wrap type="none"/>
          </v:group>
        </w:pict>
      </w:r>
      <w:r>
        <w:rPr/>
        <w:pict>
          <v:group style="position:absolute;margin-left:414.816895pt;margin-top:155.098984pt;width:127.7pt;height:115.2pt;mso-position-horizontal-relative:page;mso-position-vertical-relative:paragraph;z-index:2512" coordorigin="8296,3102" coordsize="2554,2304">
            <v:shape style="position:absolute;left:8296;top:3102;width:2554;height:2303" type="#_x0000_t75" stroked="false">
              <v:imagedata r:id="rId249" o:title=""/>
            </v:shape>
            <v:shape style="position:absolute;left:8400;top:3335;width:160;height:172" type="#_x0000_t75" stroked="false">
              <v:imagedata r:id="rId73" o:title=""/>
            </v:shape>
            <v:shape style="position:absolute;left:8342;top:3151;width:2488;height:2132" type="#_x0000_t75" stroked="false">
              <v:imagedata r:id="rId250" o:title=""/>
            </v:shape>
            <w10:wrap type="none"/>
          </v:group>
        </w:pict>
      </w:r>
      <w:r>
        <w:rPr/>
        <w:t>Posteriormente, en un aula de ambas escuelas proporcionada por los directores, se realizó una entrevista cerrada al niño acompañado de su madre o tutor. Se registró su edad, sexo, talla, peso, hábitos higiénico-dentales, hábitos alimenticios, antecedentes de salud (preguntas realizadas a la madre o tutor) y hábitos toxicológicos (Figura 9).</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8"/>
        </w:rPr>
      </w:pPr>
    </w:p>
    <w:p>
      <w:pPr>
        <w:spacing w:before="0"/>
        <w:ind w:left="1752" w:right="0" w:firstLine="0"/>
        <w:jc w:val="both"/>
        <w:rPr>
          <w:sz w:val="11"/>
        </w:rPr>
      </w:pPr>
      <w:r>
        <w:rPr>
          <w:w w:val="95"/>
          <w:sz w:val="11"/>
        </w:rPr>
        <w:t>Fuente directa</w:t>
      </w:r>
    </w:p>
    <w:p>
      <w:pPr>
        <w:pStyle w:val="BodyText"/>
        <w:spacing w:before="6"/>
        <w:rPr>
          <w:sz w:val="11"/>
        </w:rPr>
      </w:pPr>
    </w:p>
    <w:p>
      <w:pPr>
        <w:spacing w:before="0"/>
        <w:ind w:left="1752" w:right="597" w:firstLine="0"/>
        <w:jc w:val="left"/>
        <w:rPr>
          <w:sz w:val="15"/>
        </w:rPr>
      </w:pPr>
      <w:r>
        <w:rPr>
          <w:w w:val="95"/>
          <w:sz w:val="15"/>
        </w:rPr>
        <w:t>Figura</w:t>
      </w:r>
      <w:r>
        <w:rPr>
          <w:spacing w:val="-4"/>
          <w:w w:val="95"/>
          <w:sz w:val="15"/>
        </w:rPr>
        <w:t> </w:t>
      </w:r>
      <w:r>
        <w:rPr>
          <w:w w:val="95"/>
          <w:sz w:val="15"/>
        </w:rPr>
        <w:t>9.</w:t>
      </w:r>
      <w:r>
        <w:rPr>
          <w:spacing w:val="-10"/>
          <w:w w:val="95"/>
          <w:sz w:val="15"/>
        </w:rPr>
        <w:t> </w:t>
      </w:r>
      <w:r>
        <w:rPr>
          <w:spacing w:val="-3"/>
          <w:w w:val="95"/>
          <w:sz w:val="15"/>
        </w:rPr>
        <w:t>(1)</w:t>
      </w:r>
      <w:r>
        <w:rPr>
          <w:spacing w:val="-7"/>
          <w:w w:val="95"/>
          <w:sz w:val="15"/>
        </w:rPr>
        <w:t> </w:t>
      </w:r>
      <w:r>
        <w:rPr>
          <w:w w:val="95"/>
          <w:sz w:val="15"/>
        </w:rPr>
        <w:t>Plática</w:t>
      </w:r>
      <w:r>
        <w:rPr>
          <w:spacing w:val="-4"/>
          <w:w w:val="95"/>
          <w:sz w:val="15"/>
        </w:rPr>
        <w:t> </w:t>
      </w:r>
      <w:r>
        <w:rPr>
          <w:w w:val="95"/>
          <w:sz w:val="15"/>
        </w:rPr>
        <w:t>a</w:t>
      </w:r>
      <w:r>
        <w:rPr>
          <w:spacing w:val="-4"/>
          <w:w w:val="95"/>
          <w:sz w:val="15"/>
        </w:rPr>
        <w:t> </w:t>
      </w:r>
      <w:r>
        <w:rPr>
          <w:w w:val="95"/>
          <w:sz w:val="15"/>
        </w:rPr>
        <w:t>padres</w:t>
      </w:r>
      <w:r>
        <w:rPr>
          <w:spacing w:val="-16"/>
          <w:w w:val="95"/>
          <w:sz w:val="15"/>
        </w:rPr>
        <w:t> </w:t>
      </w:r>
      <w:r>
        <w:rPr>
          <w:w w:val="95"/>
          <w:sz w:val="15"/>
        </w:rPr>
        <w:t>de</w:t>
      </w:r>
      <w:r>
        <w:rPr>
          <w:spacing w:val="-13"/>
          <w:w w:val="95"/>
          <w:sz w:val="15"/>
        </w:rPr>
        <w:t> </w:t>
      </w:r>
      <w:r>
        <w:rPr>
          <w:w w:val="95"/>
          <w:sz w:val="15"/>
        </w:rPr>
        <w:t>familia</w:t>
      </w:r>
      <w:r>
        <w:rPr>
          <w:spacing w:val="-4"/>
          <w:w w:val="95"/>
          <w:sz w:val="15"/>
        </w:rPr>
        <w:t> </w:t>
      </w:r>
      <w:r>
        <w:rPr>
          <w:w w:val="95"/>
          <w:sz w:val="15"/>
        </w:rPr>
        <w:t>sobre</w:t>
      </w:r>
      <w:r>
        <w:rPr>
          <w:spacing w:val="-4"/>
          <w:w w:val="95"/>
          <w:sz w:val="15"/>
        </w:rPr>
        <w:t> la</w:t>
      </w:r>
      <w:r>
        <w:rPr>
          <w:spacing w:val="-13"/>
          <w:w w:val="95"/>
          <w:sz w:val="15"/>
        </w:rPr>
        <w:t> </w:t>
      </w:r>
      <w:r>
        <w:rPr>
          <w:w w:val="95"/>
          <w:sz w:val="15"/>
        </w:rPr>
        <w:t>metodología</w:t>
      </w:r>
      <w:r>
        <w:rPr>
          <w:spacing w:val="-5"/>
          <w:w w:val="95"/>
          <w:sz w:val="15"/>
        </w:rPr>
        <w:t> </w:t>
      </w:r>
      <w:r>
        <w:rPr>
          <w:w w:val="95"/>
          <w:sz w:val="15"/>
        </w:rPr>
        <w:t>del</w:t>
      </w:r>
      <w:r>
        <w:rPr>
          <w:spacing w:val="-4"/>
          <w:w w:val="95"/>
          <w:sz w:val="15"/>
        </w:rPr>
        <w:t> </w:t>
      </w:r>
      <w:r>
        <w:rPr>
          <w:w w:val="95"/>
          <w:sz w:val="15"/>
        </w:rPr>
        <w:t>estudio;</w:t>
      </w:r>
      <w:r>
        <w:rPr>
          <w:spacing w:val="-10"/>
          <w:w w:val="95"/>
          <w:sz w:val="15"/>
        </w:rPr>
        <w:t> </w:t>
      </w:r>
      <w:r>
        <w:rPr>
          <w:w w:val="95"/>
          <w:sz w:val="15"/>
        </w:rPr>
        <w:t>(2)</w:t>
      </w:r>
      <w:r>
        <w:rPr>
          <w:spacing w:val="-7"/>
          <w:w w:val="95"/>
          <w:sz w:val="15"/>
        </w:rPr>
        <w:t> </w:t>
      </w:r>
      <w:r>
        <w:rPr>
          <w:spacing w:val="-3"/>
          <w:w w:val="95"/>
          <w:sz w:val="15"/>
        </w:rPr>
        <w:t>Firma</w:t>
      </w:r>
      <w:r>
        <w:rPr>
          <w:spacing w:val="-5"/>
          <w:w w:val="95"/>
          <w:sz w:val="15"/>
        </w:rPr>
        <w:t> </w:t>
      </w:r>
      <w:r>
        <w:rPr>
          <w:w w:val="95"/>
          <w:sz w:val="15"/>
        </w:rPr>
        <w:t>de</w:t>
      </w:r>
      <w:r>
        <w:rPr>
          <w:spacing w:val="-4"/>
          <w:w w:val="95"/>
          <w:sz w:val="15"/>
        </w:rPr>
        <w:t> </w:t>
      </w:r>
      <w:r>
        <w:rPr>
          <w:w w:val="95"/>
          <w:sz w:val="15"/>
        </w:rPr>
        <w:t>consentimiento</w:t>
      </w:r>
      <w:r>
        <w:rPr>
          <w:spacing w:val="-5"/>
          <w:w w:val="95"/>
          <w:sz w:val="15"/>
        </w:rPr>
        <w:t> </w:t>
      </w:r>
      <w:r>
        <w:rPr>
          <w:w w:val="95"/>
          <w:sz w:val="15"/>
        </w:rPr>
        <w:t>informado</w:t>
      </w:r>
      <w:r>
        <w:rPr>
          <w:spacing w:val="-5"/>
          <w:w w:val="95"/>
          <w:sz w:val="15"/>
        </w:rPr>
        <w:t> </w:t>
      </w:r>
      <w:r>
        <w:rPr>
          <w:w w:val="95"/>
          <w:sz w:val="15"/>
        </w:rPr>
        <w:t>y</w:t>
      </w:r>
      <w:r>
        <w:rPr>
          <w:spacing w:val="-7"/>
          <w:w w:val="95"/>
          <w:sz w:val="15"/>
        </w:rPr>
        <w:t> </w:t>
      </w:r>
      <w:r>
        <w:rPr>
          <w:w w:val="95"/>
          <w:sz w:val="15"/>
        </w:rPr>
        <w:t>asentimiento;</w:t>
      </w:r>
      <w:r>
        <w:rPr>
          <w:spacing w:val="-10"/>
          <w:w w:val="95"/>
          <w:sz w:val="15"/>
        </w:rPr>
        <w:t> </w:t>
      </w:r>
      <w:r>
        <w:rPr>
          <w:w w:val="95"/>
          <w:sz w:val="15"/>
        </w:rPr>
        <w:t>(3)</w:t>
      </w:r>
      <w:r>
        <w:rPr>
          <w:spacing w:val="-7"/>
          <w:w w:val="95"/>
          <w:sz w:val="15"/>
        </w:rPr>
        <w:t> </w:t>
      </w:r>
      <w:r>
        <w:rPr>
          <w:w w:val="95"/>
          <w:sz w:val="15"/>
        </w:rPr>
        <w:t>Aplicación</w:t>
      </w:r>
      <w:r>
        <w:rPr>
          <w:spacing w:val="-13"/>
          <w:w w:val="95"/>
          <w:sz w:val="15"/>
        </w:rPr>
        <w:t> </w:t>
      </w:r>
      <w:r>
        <w:rPr>
          <w:spacing w:val="3"/>
          <w:w w:val="95"/>
          <w:sz w:val="15"/>
        </w:rPr>
        <w:t>del </w:t>
      </w:r>
      <w:r>
        <w:rPr>
          <w:sz w:val="15"/>
        </w:rPr>
        <w:t>cuestionario.</w:t>
      </w:r>
    </w:p>
    <w:p>
      <w:pPr>
        <w:spacing w:after="0"/>
        <w:jc w:val="left"/>
        <w:rPr>
          <w:sz w:val="15"/>
        </w:rPr>
        <w:sectPr>
          <w:pgSz w:w="12240" w:h="15840"/>
          <w:pgMar w:header="0" w:footer="599" w:top="1360" w:bottom="780" w:left="0" w:right="0"/>
        </w:sectPr>
      </w:pPr>
    </w:p>
    <w:p>
      <w:pPr>
        <w:pStyle w:val="BodyText"/>
        <w:spacing w:line="360" w:lineRule="auto" w:before="54"/>
        <w:ind w:left="1702" w:right="1703"/>
        <w:jc w:val="both"/>
      </w:pPr>
      <w:r>
        <w:rPr/>
        <w:t>En el grupo expuesto se realizaron preguntas específicas relacionadas con la exposición a plaguicidas: tiempo de residencia en la comunidad, ocupación de los padres, distancia del invernadero al hogar, actividades de los niños dentro del invernadero, frecuencia de las actividades, aplicación de plaguicida, aseo personal, lugar donde se coloca la ropa usada en el invernadero y lavado de la ropa usada en el invernadero (Anexo</w:t>
      </w:r>
      <w:r>
        <w:rPr>
          <w:spacing w:val="-13"/>
        </w:rPr>
        <w:t> </w:t>
      </w:r>
      <w:r>
        <w:rPr/>
        <w:t>1).</w:t>
      </w:r>
    </w:p>
    <w:p>
      <w:pPr>
        <w:pStyle w:val="BodyText"/>
      </w:pPr>
    </w:p>
    <w:p>
      <w:pPr>
        <w:pStyle w:val="BodyText"/>
        <w:spacing w:before="1"/>
        <w:rPr>
          <w:sz w:val="35"/>
        </w:rPr>
      </w:pPr>
    </w:p>
    <w:p>
      <w:pPr>
        <w:pStyle w:val="Heading4"/>
        <w:spacing w:before="0"/>
        <w:ind w:left="1702"/>
        <w:jc w:val="both"/>
      </w:pPr>
      <w:r>
        <w:rPr/>
        <w:t>Procedimiento de citología exfoliativa</w:t>
      </w:r>
    </w:p>
    <w:p>
      <w:pPr>
        <w:pStyle w:val="BodyText"/>
        <w:rPr>
          <w:b/>
        </w:rPr>
      </w:pPr>
    </w:p>
    <w:p>
      <w:pPr>
        <w:pStyle w:val="BodyText"/>
        <w:rPr>
          <w:b/>
        </w:rPr>
      </w:pPr>
    </w:p>
    <w:p>
      <w:pPr>
        <w:pStyle w:val="BodyText"/>
        <w:spacing w:line="360" w:lineRule="auto" w:before="190"/>
        <w:ind w:left="1702" w:right="1697"/>
        <w:jc w:val="both"/>
      </w:pPr>
      <w:r>
        <w:rPr/>
        <w:t>Posterior a la aplicación del cuestionario, se procedió a la toma de muestra de células epiteliales exfoliadas de mucosa bucal. Para ello se pidió a cada niño que realizara un enjuague con agua purificada durante 30 segundos, con el fin de eliminar residuos de comida que pudieran interferir en la lectura de las laminillas.</w:t>
      </w:r>
    </w:p>
    <w:p>
      <w:pPr>
        <w:pStyle w:val="BodyText"/>
        <w:spacing w:line="360" w:lineRule="auto" w:before="204"/>
        <w:ind w:left="1702" w:right="1695"/>
        <w:jc w:val="both"/>
      </w:pPr>
      <w:r>
        <w:rPr/>
        <w:pict>
          <v:group style="position:absolute;margin-left:87.154213pt;margin-top:134.358231pt;width:454.75pt;height:129.75pt;mso-position-horizontal-relative:page;mso-position-vertical-relative:paragraph;z-index:-338416" coordorigin="1743,2687" coordsize="9095,2595">
            <v:shape style="position:absolute;left:8215;top:2738;width:2622;height:2481" type="#_x0000_t75" stroked="false">
              <v:imagedata r:id="rId251" o:title=""/>
            </v:shape>
            <v:shape style="position:absolute;left:8266;top:2788;width:2445;height:2305" type="#_x0000_t75" stroked="false">
              <v:imagedata r:id="rId252" o:title=""/>
            </v:shape>
            <v:shape style="position:absolute;left:4973;top:2738;width:2635;height:2481" type="#_x0000_t75" stroked="false">
              <v:imagedata r:id="rId253" o:title=""/>
            </v:shape>
            <v:shape style="position:absolute;left:5024;top:2788;width:2457;height:2305" type="#_x0000_t75" stroked="false">
              <v:imagedata r:id="rId254" o:title=""/>
            </v:shape>
            <v:shape style="position:absolute;left:1743;top:2687;width:2647;height:2595" type="#_x0000_t75" stroked="false">
              <v:imagedata r:id="rId255" o:title=""/>
            </v:shape>
            <v:shape style="position:absolute;left:1794;top:2738;width:2470;height:2418" type="#_x0000_t75" stroked="false">
              <v:imagedata r:id="rId256" o:title=""/>
            </v:shape>
            <v:shape style="position:absolute;left:4365;top:3392;width:621;height:680" type="#_x0000_t75" stroked="false">
              <v:imagedata r:id="rId257" o:title=""/>
            </v:shape>
            <v:shape style="position:absolute;left:4593;top:3632;width:177;height:176" type="#_x0000_t75" stroked="false">
              <v:imagedata r:id="rId258" o:title=""/>
            </v:shape>
            <v:shape style="position:absolute;left:4460;top:3462;width:380;height:466" coordorigin="4460,3462" coordsize="380,466" path="m4650,3462l4460,3462,4650,3695,4460,3928,4650,3928,4840,3695,4650,3462xe" filled="true" fillcolor="#205868" stroked="false">
              <v:path arrowok="t"/>
              <v:fill type="solid"/>
            </v:shape>
            <v:shape style="position:absolute;left:4420;top:3443;width:445;height:504" coordorigin="4420,3443" coordsize="445,504" path="m4625,3695l4420,3947,4659,3947,4665,3940,4475,3940,4460,3909,4500,3909,4665,3707,4635,3707,4625,3695xm4500,3909l4460,3909,4475,3940,4500,3909xm4641,3909l4500,3909,4475,3940,4665,3940,4684,3916,4635,3916,4641,3909xm4815,3695l4635,3916,4650,3909,4690,3909,4855,3707,4825,3707,4815,3695xm4690,3909l4650,3909,4635,3916,4684,3916,4690,3909xm4635,3683l4625,3695,4635,3707,4635,3683xm4665,3683l4635,3683,4635,3707,4665,3707,4674,3695,4665,3683xm4825,3683l4815,3695,4825,3707,4825,3683xm4855,3683l4825,3683,4825,3707,4855,3707,4864,3695,4855,3683xm4635,3474l4815,3695,4825,3683,4855,3683,4690,3481,4650,3481,4635,3474xm4659,3443l4420,3443,4625,3695,4635,3683,4665,3683,4500,3481,4460,3481,4475,3450,4665,3450,4659,3443xm4475,3450l4460,3481,4500,3481,4475,3450xm4665,3450l4475,3450,4500,3481,4641,3481,4635,3474,4684,3474,4665,3450xm4684,3474l4635,3474,4650,3481,4690,3481,4684,3474xe" filled="true" fillcolor="#92d050" stroked="false">
              <v:path arrowok="t"/>
              <v:fill type="solid"/>
            </v:shape>
            <v:shape style="position:absolute;left:7608;top:3392;width:621;height:680" type="#_x0000_t75" stroked="false">
              <v:imagedata r:id="rId257" o:title=""/>
            </v:shape>
            <v:shape style="position:absolute;left:7823;top:3632;width:177;height:176" type="#_x0000_t75" stroked="false">
              <v:imagedata r:id="rId258" o:title=""/>
            </v:shape>
            <v:shape style="position:absolute;left:7703;top:3462;width:380;height:466" coordorigin="7703,3462" coordsize="380,466" path="m7893,3462l7703,3462,7893,3695,7703,3928,7893,3928,8083,3695,7893,3462xe" filled="true" fillcolor="#205868" stroked="false">
              <v:path arrowok="t"/>
              <v:fill type="solid"/>
            </v:shape>
            <v:shape style="position:absolute;left:7663;top:3443;width:445;height:504" coordorigin="7663,3443" coordsize="445,504" path="m7868,3695l7663,3947,7902,3947,7907,3940,7717,3940,7702,3909,7742,3909,7907,3707,7878,3707,7868,3695xm7742,3909l7702,3909,7717,3940,7742,3909xm7883,3909l7742,3909,7717,3940,7907,3940,7927,3916,7878,3916,7883,3909xm8058,3695l7878,3916,7892,3909,7932,3909,8097,3707,8068,3707,8058,3695xm7932,3909l7892,3909,7878,3916,7927,3916,7932,3909xm7878,3683l7868,3695,7878,3707,7878,3683xm7907,3683l7878,3683,7878,3707,7907,3707,7917,3695,7907,3683xm8068,3683l8058,3695,8068,3707,8068,3683xm8097,3683l8068,3683,8068,3707,8097,3707,8107,3695,8097,3683xm7878,3474l8058,3695,8068,3683,8097,3683,7932,3481,7892,3481,7878,3474xm7902,3443l7663,3443,7868,3695,7878,3683,7907,3683,7742,3481,7702,3481,7717,3450,7907,3450,7902,3443xm7717,3450l7702,3481,7742,3481,7717,3450xm7907,3450l7717,3450,7742,3481,7883,3481,7878,3474,7927,3474,7907,3450xm7927,3474l7878,3474,7892,3481,7932,3481,7927,3474xe" filled="true" fillcolor="#92d050" stroked="false">
              <v:path arrowok="t"/>
              <v:fill type="solid"/>
            </v:shape>
            <w10:wrap type="none"/>
          </v:group>
        </w:pict>
      </w:r>
      <w:r>
        <w:rPr/>
        <w:t>Con un lápiz punta de diamante se codificaron las laminillas, se anotó en un extremo fecha y número de folio (cuestionario). Posteriormente con la laminilla codificada y limpia se realizó un gentil raspado de la mucosa vestíbular del niño y con un segundo portaobjetos se realizó el extendido de las células (Figura 10).</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31"/>
        </w:rPr>
      </w:pPr>
    </w:p>
    <w:p>
      <w:pPr>
        <w:spacing w:before="0"/>
        <w:ind w:left="1864" w:right="1703" w:firstLine="0"/>
        <w:jc w:val="left"/>
        <w:rPr>
          <w:sz w:val="11"/>
        </w:rPr>
      </w:pPr>
      <w:r>
        <w:rPr>
          <w:w w:val="105"/>
          <w:sz w:val="11"/>
        </w:rPr>
        <w:t>Fuente directa</w:t>
      </w:r>
    </w:p>
    <w:p>
      <w:pPr>
        <w:pStyle w:val="BodyText"/>
        <w:spacing w:before="1"/>
        <w:rPr>
          <w:sz w:val="11"/>
        </w:rPr>
      </w:pPr>
    </w:p>
    <w:p>
      <w:pPr>
        <w:spacing w:before="1"/>
        <w:ind w:left="1864" w:right="1703" w:firstLine="0"/>
        <w:jc w:val="left"/>
        <w:rPr>
          <w:sz w:val="15"/>
        </w:rPr>
      </w:pPr>
      <w:r>
        <w:rPr>
          <w:sz w:val="15"/>
        </w:rPr>
        <w:t>Figura 10. (1) Enjuague con agua purificada; (2) Raspado de la mucosa vestibular; (3) Extendido celular</w:t>
      </w:r>
    </w:p>
    <w:p>
      <w:pPr>
        <w:spacing w:after="0"/>
        <w:jc w:val="left"/>
        <w:rPr>
          <w:sz w:val="15"/>
        </w:rPr>
        <w:sectPr>
          <w:pgSz w:w="12240" w:h="15840"/>
          <w:pgMar w:header="0" w:footer="599" w:top="1360" w:bottom="780" w:left="0" w:right="0"/>
        </w:sectPr>
      </w:pPr>
    </w:p>
    <w:p>
      <w:pPr>
        <w:pStyle w:val="BodyText"/>
        <w:spacing w:line="360" w:lineRule="auto" w:before="54"/>
        <w:ind w:left="1702" w:right="1702"/>
        <w:jc w:val="both"/>
      </w:pPr>
      <w:r>
        <w:rPr/>
        <w:t>Los frotis se dejaron secar a temperatura ambiente y se almacenaron en cajas transportadoras para evitar su contaminación, en una bitácora de laboratorio se registró cada código de los pacientes.</w:t>
      </w:r>
    </w:p>
    <w:p>
      <w:pPr>
        <w:pStyle w:val="BodyText"/>
      </w:pPr>
    </w:p>
    <w:p>
      <w:pPr>
        <w:pStyle w:val="BodyText"/>
        <w:spacing w:before="3"/>
        <w:rPr>
          <w:sz w:val="20"/>
        </w:rPr>
      </w:pPr>
    </w:p>
    <w:p>
      <w:pPr>
        <w:pStyle w:val="Heading4"/>
        <w:spacing w:before="0"/>
        <w:ind w:left="1702"/>
        <w:jc w:val="both"/>
      </w:pPr>
      <w:r>
        <w:rPr/>
        <w:t>Procedimiento de laboratorio</w:t>
      </w:r>
    </w:p>
    <w:p>
      <w:pPr>
        <w:pStyle w:val="BodyText"/>
        <w:rPr>
          <w:b/>
        </w:rPr>
      </w:pPr>
    </w:p>
    <w:p>
      <w:pPr>
        <w:pStyle w:val="BodyText"/>
        <w:spacing w:before="7"/>
        <w:rPr>
          <w:b/>
          <w:sz w:val="28"/>
        </w:rPr>
      </w:pPr>
    </w:p>
    <w:p>
      <w:pPr>
        <w:pStyle w:val="ListParagraph"/>
        <w:numPr>
          <w:ilvl w:val="1"/>
          <w:numId w:val="30"/>
        </w:numPr>
        <w:tabs>
          <w:tab w:pos="2422" w:val="left" w:leader="none"/>
        </w:tabs>
        <w:spacing w:line="240" w:lineRule="auto" w:before="0" w:after="0"/>
        <w:ind w:left="2422" w:right="0" w:hanging="293"/>
        <w:jc w:val="left"/>
        <w:rPr>
          <w:b/>
          <w:sz w:val="24"/>
        </w:rPr>
      </w:pPr>
      <w:r>
        <w:rPr>
          <w:b/>
          <w:sz w:val="24"/>
        </w:rPr>
        <w:t>Fijación de las</w:t>
      </w:r>
      <w:r>
        <w:rPr>
          <w:b/>
          <w:spacing w:val="-5"/>
          <w:sz w:val="24"/>
        </w:rPr>
        <w:t> </w:t>
      </w:r>
      <w:r>
        <w:rPr>
          <w:b/>
          <w:sz w:val="24"/>
        </w:rPr>
        <w:t>muestras</w:t>
      </w:r>
    </w:p>
    <w:p>
      <w:pPr>
        <w:pStyle w:val="BodyText"/>
        <w:spacing w:before="3"/>
        <w:rPr>
          <w:b/>
          <w:sz w:val="29"/>
        </w:rPr>
      </w:pPr>
    </w:p>
    <w:p>
      <w:pPr>
        <w:pStyle w:val="BodyText"/>
        <w:spacing w:line="360" w:lineRule="auto"/>
        <w:ind w:left="1702" w:right="1704"/>
        <w:jc w:val="both"/>
      </w:pPr>
      <w:r>
        <w:rPr/>
        <w:t>Las muestras tomadas se llevaron al laboratorio y se colocaron en canastillas, posteriormente se sumergieron en etanol al 80%, se fijaron durante 48 horas. Transcurrido este tiempo, los frotis se dejaron secar por completo a temperatura ambiente, se volvieron a almacenar en cajas obscuras con el fin de mantenerlas libre de polvo para su posterior tinción.</w:t>
      </w:r>
    </w:p>
    <w:p>
      <w:pPr>
        <w:pStyle w:val="BodyText"/>
      </w:pPr>
    </w:p>
    <w:p>
      <w:pPr>
        <w:pStyle w:val="Heading4"/>
        <w:numPr>
          <w:ilvl w:val="1"/>
          <w:numId w:val="30"/>
        </w:numPr>
        <w:tabs>
          <w:tab w:pos="2410" w:val="left" w:leader="none"/>
        </w:tabs>
        <w:spacing w:line="240" w:lineRule="auto" w:before="198" w:after="0"/>
        <w:ind w:left="2410" w:right="0" w:hanging="281"/>
        <w:jc w:val="left"/>
      </w:pPr>
      <w:r>
        <w:rPr/>
        <w:t>Preparación del buffer de</w:t>
      </w:r>
      <w:r>
        <w:rPr>
          <w:spacing w:val="-8"/>
        </w:rPr>
        <w:t> </w:t>
      </w:r>
      <w:r>
        <w:rPr/>
        <w:t>fosfatos</w:t>
      </w:r>
    </w:p>
    <w:p>
      <w:pPr>
        <w:pStyle w:val="BodyText"/>
        <w:spacing w:before="1"/>
        <w:rPr>
          <w:b/>
          <w:sz w:val="35"/>
        </w:rPr>
      </w:pPr>
    </w:p>
    <w:p>
      <w:pPr>
        <w:pStyle w:val="BodyText"/>
        <w:ind w:left="1702"/>
        <w:jc w:val="both"/>
      </w:pPr>
      <w:r>
        <w:rPr/>
        <w:t>En una balanza analítica se pesaron 11.49 g de </w:t>
      </w:r>
      <w:r>
        <w:rPr>
          <w:sz w:val="22"/>
        </w:rPr>
        <w:t>fosfato </w:t>
      </w:r>
      <w:r>
        <w:rPr/>
        <w:t>monobásico de sodio y</w:t>
      </w:r>
    </w:p>
    <w:p>
      <w:pPr>
        <w:pStyle w:val="ListParagraph"/>
        <w:numPr>
          <w:ilvl w:val="1"/>
          <w:numId w:val="31"/>
        </w:numPr>
        <w:tabs>
          <w:tab w:pos="2239" w:val="left" w:leader="none"/>
        </w:tabs>
        <w:spacing w:line="360" w:lineRule="auto" w:before="137" w:after="0"/>
        <w:ind w:left="1702" w:right="1699" w:firstLine="0"/>
        <w:jc w:val="both"/>
        <w:rPr>
          <w:sz w:val="24"/>
        </w:rPr>
      </w:pPr>
      <w:r>
        <w:rPr>
          <w:sz w:val="24"/>
        </w:rPr>
        <w:t>g de fosfato de sodio dibásico. En un matraz Erlenmeyer se agregó un litro de agua destilada y un magneto, se colocó en una mezcladora y poco a poco se agregaron los fosfatos, hasta disolverse por completo. Se mantuvo la solución en refrigeración (4°C) por un máximo de dos semanas, para evitar que se contaminara, lo que podría propiciar falsos (Figura</w:t>
      </w:r>
      <w:r>
        <w:rPr>
          <w:spacing w:val="-17"/>
          <w:sz w:val="24"/>
        </w:rPr>
        <w:t> </w:t>
      </w:r>
      <w:r>
        <w:rPr>
          <w:sz w:val="24"/>
        </w:rPr>
        <w:t>11).</w:t>
      </w:r>
    </w:p>
    <w:p>
      <w:pPr>
        <w:pStyle w:val="BodyText"/>
        <w:spacing w:before="8"/>
        <w:rPr>
          <w:sz w:val="21"/>
        </w:rPr>
      </w:pPr>
      <w:r>
        <w:rPr/>
        <w:pict>
          <v:group style="position:absolute;margin-left:182.17247pt;margin-top:14.472945pt;width:129.1pt;height:135.6pt;mso-position-horizontal-relative:page;mso-position-vertical-relative:paragraph;z-index:2584;mso-wrap-distance-left:0;mso-wrap-distance-right:0" coordorigin="3643,289" coordsize="2582,2712">
            <v:shape style="position:absolute;left:3643;top:289;width:2582;height:2660" type="#_x0000_t75" stroked="false">
              <v:imagedata r:id="rId259" o:title=""/>
            </v:shape>
            <v:shape style="position:absolute;left:3703;top:349;width:2373;height:2452" type="#_x0000_t75" stroked="false">
              <v:imagedata r:id="rId260" o:title=""/>
            </v:shape>
            <v:shape style="position:absolute;left:3837;top:2576;width:52;height:139" coordorigin="3837,2576" coordsize="52,139" path="m3889,2607l3871,2607,3871,2715,3889,2715,3889,2607xm3889,2576l3878,2576,3875,2582,3870,2588,3855,2601,3847,2606,3837,2611,3837,2627,3843,2625,3849,2622,3862,2615,3867,2611,3871,2607,3889,2607,3889,2576xe" filled="true" fillcolor="#ffffff" stroked="false">
              <v:path arrowok="t"/>
              <v:fill type="solid"/>
            </v:shape>
            <v:shape style="position:absolute;left:3837;top:2576;width:52;height:139" coordorigin="3837,2576" coordsize="52,139" path="m3878,2576l3889,2576,3889,2715,3871,2715,3871,2607,3867,2611,3862,2615,3855,2618,3849,2622,3843,2625,3837,2627,3837,2611,3847,2606,3855,2601,3862,2595,3870,2588,3875,2582,3878,2576xe" filled="false" stroked="true" strokeweight=".746476pt" strokecolor="#d9d9d9">
              <v:path arrowok="t"/>
            </v:shape>
            <v:shape style="position:absolute;left:3675;top:2881;width:740;height:121" type="#_x0000_t202" filled="false" stroked="false">
              <v:textbox inset="0,0,0,0">
                <w:txbxContent>
                  <w:p>
                    <w:pPr>
                      <w:spacing w:line="120" w:lineRule="exact" w:before="0"/>
                      <w:ind w:left="0" w:right="-20" w:firstLine="0"/>
                      <w:jc w:val="left"/>
                      <w:rPr>
                        <w:sz w:val="12"/>
                      </w:rPr>
                    </w:pPr>
                    <w:r>
                      <w:rPr>
                        <w:spacing w:val="-4"/>
                        <w:sz w:val="12"/>
                      </w:rPr>
                      <w:t>Fuente </w:t>
                    </w:r>
                    <w:r>
                      <w:rPr>
                        <w:sz w:val="12"/>
                      </w:rPr>
                      <w:t>directa</w:t>
                    </w:r>
                  </w:p>
                </w:txbxContent>
              </v:textbox>
              <w10:wrap type="none"/>
            </v:shape>
            <w10:wrap type="topAndBottom"/>
          </v:group>
        </w:pict>
      </w:r>
      <w:r>
        <w:rPr/>
        <w:pict>
          <v:group style="position:absolute;margin-left:355.271271pt;margin-top:14.472945pt;width:117.15pt;height:133pt;mso-position-horizontal-relative:page;mso-position-vertical-relative:paragraph;z-index:2608;mso-wrap-distance-left:0;mso-wrap-distance-right:0" coordorigin="7105,289" coordsize="2343,2660">
            <v:shape style="position:absolute;left:7105;top:289;width:2343;height:2660" type="#_x0000_t75" stroked="false">
              <v:imagedata r:id="rId261" o:title=""/>
            </v:shape>
            <v:shape style="position:absolute;left:7165;top:349;width:2134;height:2452" type="#_x0000_t75" stroked="false">
              <v:imagedata r:id="rId262" o:title=""/>
            </v:shape>
            <v:shape style="position:absolute;left:7284;top:2569;width:107;height:154" type="#_x0000_t75" stroked="false">
              <v:imagedata r:id="rId263" o:title=""/>
            </v:shape>
            <w10:wrap type="topAndBottom"/>
          </v:group>
        </w:pict>
      </w:r>
    </w:p>
    <w:p>
      <w:pPr>
        <w:pStyle w:val="BodyText"/>
        <w:rPr>
          <w:sz w:val="8"/>
        </w:rPr>
      </w:pPr>
    </w:p>
    <w:p>
      <w:pPr>
        <w:spacing w:before="78"/>
        <w:ind w:left="3675" w:right="1703" w:firstLine="0"/>
        <w:jc w:val="left"/>
        <w:rPr>
          <w:sz w:val="18"/>
        </w:rPr>
      </w:pPr>
      <w:r>
        <w:rPr>
          <w:sz w:val="18"/>
        </w:rPr>
        <w:t>Figura 11. (1) Peso de fosfatos en balanza analítica; (2) Mezcla de</w:t>
      </w:r>
    </w:p>
    <w:p>
      <w:pPr>
        <w:spacing w:before="2"/>
        <w:ind w:left="3675" w:right="1703" w:firstLine="0"/>
        <w:jc w:val="left"/>
        <w:rPr>
          <w:sz w:val="18"/>
        </w:rPr>
      </w:pPr>
      <w:r>
        <w:rPr>
          <w:sz w:val="18"/>
        </w:rPr>
        <w:t>fosfatos</w:t>
      </w:r>
    </w:p>
    <w:p>
      <w:pPr>
        <w:spacing w:after="0"/>
        <w:jc w:val="left"/>
        <w:rPr>
          <w:sz w:val="18"/>
        </w:rPr>
        <w:sectPr>
          <w:pgSz w:w="12240" w:h="15840"/>
          <w:pgMar w:header="0" w:footer="599" w:top="1360" w:bottom="780" w:left="0" w:right="0"/>
        </w:sectPr>
      </w:pPr>
    </w:p>
    <w:p>
      <w:pPr>
        <w:pStyle w:val="Heading4"/>
        <w:numPr>
          <w:ilvl w:val="2"/>
          <w:numId w:val="31"/>
        </w:numPr>
        <w:tabs>
          <w:tab w:pos="2410" w:val="left" w:leader="none"/>
        </w:tabs>
        <w:spacing w:line="240" w:lineRule="auto" w:before="34" w:after="0"/>
        <w:ind w:left="2410" w:right="0" w:hanging="281"/>
        <w:jc w:val="left"/>
      </w:pPr>
      <w:r>
        <w:rPr/>
        <w:t>Tinción de las</w:t>
      </w:r>
      <w:r>
        <w:rPr>
          <w:spacing w:val="-6"/>
        </w:rPr>
        <w:t> </w:t>
      </w:r>
      <w:r>
        <w:rPr/>
        <w:t>muestras</w:t>
      </w:r>
    </w:p>
    <w:p>
      <w:pPr>
        <w:pStyle w:val="BodyText"/>
        <w:rPr>
          <w:b/>
        </w:rPr>
      </w:pPr>
    </w:p>
    <w:p>
      <w:pPr>
        <w:pStyle w:val="BodyText"/>
        <w:spacing w:before="6"/>
        <w:rPr>
          <w:b/>
          <w:sz w:val="31"/>
        </w:rPr>
      </w:pPr>
    </w:p>
    <w:p>
      <w:pPr>
        <w:pStyle w:val="BodyText"/>
        <w:spacing w:line="360" w:lineRule="auto" w:before="1"/>
        <w:ind w:left="1702" w:right="1694"/>
        <w:jc w:val="both"/>
      </w:pPr>
      <w:r>
        <w:rPr/>
        <w:t>Las muestras se tiñeron con naranja de acridina; el colorante es especifico para ácido nucleicos que emite radiaciones verdes de 525 nm, facilita la identificación de los MN y disminuye los falsos positivos</w:t>
      </w:r>
      <w:r>
        <w:rPr>
          <w:position w:val="8"/>
          <w:sz w:val="16"/>
        </w:rPr>
        <w:t>10 </w:t>
      </w:r>
      <w:r>
        <w:rPr/>
        <w:t>, y permite identificar cambios en el estado de la cromatina, mecanismo de interacción con los ácidos nucleicos se reconocen dos modos de enlace ﬂuorocromático: el primero el naranja de acridina se intercala dentro de un doble enlace de polímeros, ambos ADN y ARN da la fluorescencia verde, en contraste el naranja de acridina iónico los dímeros enlazan a un enlace simple y los ácidos nucleicos resultan en fluorescencia roja. La proporción de intensidad de la fluorescencia roja/verde, es usada como indicador de transformación de doble enlace de ADN dentro del enlace simple de ADN, induce cambios en los estados de cromatina en la célula o desnaturalización del ADN </w:t>
      </w:r>
      <w:r>
        <w:rPr>
          <w:i/>
        </w:rPr>
        <w:t>in</w:t>
      </w:r>
      <w:r>
        <w:rPr>
          <w:i/>
          <w:spacing w:val="-2"/>
        </w:rPr>
        <w:t> </w:t>
      </w:r>
      <w:r>
        <w:rPr>
          <w:i/>
        </w:rPr>
        <w:t>situ</w:t>
      </w:r>
      <w:r>
        <w:rPr>
          <w:position w:val="8"/>
          <w:sz w:val="16"/>
        </w:rPr>
        <w:t>85</w:t>
      </w:r>
      <w:r>
        <w:rPr/>
        <w:t>.</w:t>
      </w:r>
    </w:p>
    <w:p>
      <w:pPr>
        <w:pStyle w:val="BodyText"/>
        <w:spacing w:line="360" w:lineRule="auto" w:before="203"/>
        <w:ind w:left="1702" w:right="1705"/>
        <w:jc w:val="both"/>
      </w:pPr>
      <w:r>
        <w:rPr/>
        <w:t>El área de trabajo se protegió con papel estraza debido a que el colorante es mutagénico, posteriormente, en una caja Coplin se agregaron 10 ml del colorante anaranjado de acridina (solución acuosa al 0.1%) y se disolvió con el buffer de fosfatos (previamente elaborado).</w:t>
      </w:r>
    </w:p>
    <w:p>
      <w:pPr>
        <w:pStyle w:val="BodyText"/>
        <w:spacing w:line="360" w:lineRule="auto" w:before="204"/>
        <w:ind w:left="1702" w:right="1696"/>
        <w:jc w:val="both"/>
      </w:pPr>
      <w:r>
        <w:rPr/>
        <w:t>En una canastilla se colocaron los frotis, se sumergieron de 1 ½ a 2 minutos, posteriormente se enjuagaron por 3 minutos con buffer de fosfatos, fue conveniente agitar suavemente la canastilla en repetidas ocasiones para eliminar el exceso de colorante. Ya teñidas las muestras se dejaron secar en una caja obscura para evitar la exposición a la luz y mantenerlas en óptimas condiciones, hasta el momento de su uso (Figura</w:t>
      </w:r>
      <w:r>
        <w:rPr>
          <w:spacing w:val="-12"/>
        </w:rPr>
        <w:t> </w:t>
      </w:r>
      <w:r>
        <w:rPr/>
        <w:t>12).</w:t>
      </w:r>
    </w:p>
    <w:p>
      <w:pPr>
        <w:spacing w:after="0" w:line="360" w:lineRule="auto"/>
        <w:jc w:val="both"/>
        <w:sectPr>
          <w:pgSz w:w="12240" w:h="15840"/>
          <w:pgMar w:header="0" w:footer="599" w:top="1380" w:bottom="780" w:left="0" w:right="0"/>
        </w:sectPr>
      </w:pPr>
    </w:p>
    <w:p>
      <w:pPr>
        <w:pStyle w:val="BodyText"/>
        <w:ind w:left="1734"/>
        <w:rPr>
          <w:sz w:val="20"/>
        </w:rPr>
      </w:pPr>
      <w:r>
        <w:rPr>
          <w:sz w:val="20"/>
        </w:rPr>
        <w:pict>
          <v:group style="width:450.75pt;height:112.25pt;mso-position-horizontal-relative:char;mso-position-vertical-relative:line" coordorigin="0,0" coordsize="9015,2245">
            <v:shape style="position:absolute;left:3200;top:0;width:2635;height:2245" type="#_x0000_t75" stroked="false">
              <v:imagedata r:id="rId264" o:title=""/>
            </v:shape>
            <v:shape style="position:absolute;left:3250;top:50;width:2460;height:2070" type="#_x0000_t75" stroked="false">
              <v:imagedata r:id="rId265" o:title=""/>
            </v:shape>
            <v:shape style="position:absolute;left:3358;top:1913;width:80;height:128" coordorigin="3358,1913" coordsize="80,128" path="m3427,1928l3396,1928,3399,1928,3402,1929,3405,1931,3407,1932,3409,1934,3410,1936,3412,1938,3413,1940,3414,1943,3414,1946,3414,1951,3414,1954,3413,1958,3413,1961,3411,1964,3410,1968,3408,1972,3405,1976,3398,1986,3393,1991,3361,2024,3360,2025,3359,2026,3358,2028,3358,2029,3358,2031,3358,2036,3358,2037,3358,2038,3359,2039,3360,2040,3360,2040,3362,2041,3435,2041,3436,2040,3436,2040,3437,2038,3437,2037,3437,2030,3436,2029,3436,2028,3435,2027,3434,2027,3378,2027,3398,2006,3406,1998,3411,1992,3420,1980,3423,1975,3428,1966,3430,1962,3430,1957,3431,1954,3431,1951,3431,1940,3431,1937,3428,1929,3427,1928xm3401,1913l3391,1913,3387,1913,3380,1915,3377,1916,3374,1917,3371,1918,3369,1919,3367,1920,3365,1922,3363,1923,3363,1923,3362,1924,3362,1924,3361,1925,3361,1925,3361,1926,3360,1927,3360,1934,3361,1935,3361,1937,3361,1937,3362,1938,3362,1938,3363,1938,3367,1937,3368,1936,3373,1933,3375,1932,3378,1931,3382,1929,3385,1928,3388,1928,3427,1928,3425,1926,3422,1923,3419,1920,3416,1917,3411,1916,3406,1914,3401,1913xe" filled="true" fillcolor="#ffffff" stroked="false">
              <v:path arrowok="t"/>
              <v:fill type="solid"/>
            </v:shape>
            <v:shape style="position:absolute;left:3358;top:1913;width:80;height:128" coordorigin="3358,1913" coordsize="80,128" path="m3395,1913l3401,1913,3406,1914,3411,1916,3416,1917,3429,1933,3431,1937,3431,1941,3431,1946,3431,1950,3431,1954,3430,1958,3430,1962,3428,1966,3426,1971,3423,1975,3420,1980,3416,1986,3411,1992,3406,1998,3398,2006,3378,2027,3433,2027,3434,2027,3434,2027,3435,2027,3435,2027,3436,2028,3436,2028,3436,2029,3437,2030,3437,2031,3437,2034,3437,2035,3437,2036,3437,2037,3437,2038,3437,2038,3436,2039,3436,2040,3436,2040,3435,2040,3435,2041,3434,2041,3433,2041,3363,2041,3363,2041,3362,2041,3361,2041,3360,2040,3358,2037,3358,2036,3358,2035,3358,2034,3358,2032,3358,2031,3358,2030,3358,2029,3358,2028,3359,2028,3359,2027,3359,2026,3360,2025,3360,2025,3361,2024,3362,2023,3387,1997,3413,1957,3414,1954,3414,1951,3414,1948,3414,1946,3414,1943,3413,1940,3412,1938,3396,1928,3393,1928,3388,1928,3385,1928,3382,1929,3378,1931,3367,1937,3363,1938,3363,1938,3362,1938,3362,1938,3362,1938,3360,1934,3360,1933,3360,1928,3360,1928,3360,1927,3361,1926,3361,1926,3361,1925,3361,1925,3362,1924,3362,1924,3363,1923,3364,1923,3365,1922,3367,1920,3369,1919,3391,1913,3395,1913xe" filled="false" stroked="true" strokeweight=".62703pt" strokecolor="#d9d9d9">
              <v:path arrowok="t"/>
            </v:shape>
            <v:shape style="position:absolute;left:0;top:0;width:2623;height:2245" type="#_x0000_t75" stroked="false">
              <v:imagedata r:id="rId266" o:title=""/>
            </v:shape>
            <v:shape style="position:absolute;left:50;top:50;width:2447;height:2070" type="#_x0000_t75" stroked="false">
              <v:imagedata r:id="rId267" o:title=""/>
            </v:shape>
            <v:shape style="position:absolute;left:164;top:1914;width:74;height:127" coordorigin="164,1914" coordsize="74,127" path="m211,1932l194,1932,194,2027,166,2028,166,2028,165,2029,165,2030,164,2030,164,2032,164,2037,164,2038,165,2039,165,2040,166,2040,167,2041,235,2041,235,2040,236,2040,237,2039,237,2038,237,2037,237,2034,237,2031,237,2030,237,2030,236,2029,236,2028,235,2028,211,2027,211,1932xm203,1914l198,1914,197,1914,196,1915,196,1915,195,1915,166,1934,166,1934,165,1934,165,1935,164,1936,164,1937,164,1944,164,1946,164,1946,165,1947,166,1947,167,1947,168,1947,169,1946,194,1932,211,1932,211,1916,210,1915,210,1915,209,1914,208,1914,207,1914,203,1914xe" filled="true" fillcolor="#ffffff" stroked="false">
              <v:path arrowok="t"/>
              <v:fill type="solid"/>
            </v:shape>
            <v:shape style="position:absolute;left:163;top:1914;width:74;height:127" coordorigin="163,1914" coordsize="74,127" path="m203,1914l209,1915,210,1915,210,1915,211,1916,211,1916,211,1916,211,1917,211,2027,234,2027,234,2027,235,2028,235,2028,236,2028,236,2029,236,2029,237,2030,237,2030,237,2031,237,2034,237,2035,237,2037,237,2037,237,2038,237,2039,236,2039,236,2040,234,2041,167,2041,167,2041,167,2041,166,2041,166,2040,164,2035,164,2034,164,2033,194,2027,194,1932,166,1947,165,1947,165,1947,164,1946,164,1946,164,1945,164,1944,163,1943,163,1941,163,1940,163,1939,164,1938,164,1937,164,1937,164,1936,164,1936,165,1935,165,1935,165,1934,166,1934,166,1934,196,1915,196,1915,202,1914,203,1914xe" filled="false" stroked="true" strokeweight=".627128pt" strokecolor="#d9d9d9">
              <v:path arrowok="t"/>
            </v:shape>
            <v:shape style="position:absolute;left:2598;top:923;width:615;height:686" type="#_x0000_t75" stroked="false">
              <v:imagedata r:id="rId268" o:title=""/>
            </v:shape>
            <v:shape style="position:absolute;left:2824;top:1172;width:176;height:175" type="#_x0000_t75" stroked="false">
              <v:imagedata r:id="rId269" o:title=""/>
            </v:shape>
            <v:shape style="position:absolute;left:2692;top:991;width:377;height:474" coordorigin="2692,991" coordsize="377,474" path="m2880,991l2692,991,2880,1228,2692,1465,2880,1465,3069,1228,2880,991xe" filled="true" fillcolor="#205868" stroked="false">
              <v:path arrowok="t"/>
              <v:fill type="solid"/>
            </v:shape>
            <v:shape style="position:absolute;left:2653;top:973;width:440;height:512" coordorigin="2653,973" coordsize="440,512" path="m2856,1228l2653,1484,2889,1484,2895,1477,2707,1477,2692,1447,2731,1447,2895,1240,2865,1240,2856,1228xm2731,1447l2692,1447,2707,1477,2731,1447xm2871,1447l2731,1447,2707,1477,2895,1477,2913,1454,2865,1454,2871,1447xm3044,1228l2865,1454,2880,1447,2919,1447,3083,1240,3054,1240,3044,1228xm2919,1447l2880,1447,2865,1454,2913,1454,2919,1447xm2865,1217l2856,1228,2865,1240,2865,1217xm2895,1217l2865,1217,2865,1240,2895,1240,2904,1228,2895,1217xm3054,1217l3044,1228,3054,1240,3054,1217xm3083,1217l3054,1217,3054,1240,3083,1240,3092,1228,3083,1217xm2889,973l2653,973,2856,1228,2865,1217,2895,1217,2731,1010,2692,1010,2707,980,2895,980,2889,973xm2865,1003l3044,1228,3054,1217,3083,1217,2919,1010,2880,1010,2865,1003xm2707,980l2692,1010,2731,1010,2707,980xm2895,980l2707,980,2731,1010,2871,1010,2865,1003,2913,1003,2895,980xm2913,1003l2865,1003,2880,1010,2919,1010,2913,1003xe" filled="true" fillcolor="#92d050" stroked="false">
              <v:path arrowok="t"/>
              <v:fill type="solid"/>
            </v:shape>
            <v:shape style="position:absolute;left:6413;top:0;width:2602;height:2245" type="#_x0000_t75" stroked="false">
              <v:imagedata r:id="rId270" o:title=""/>
            </v:shape>
            <v:shape style="position:absolute;left:6463;top:50;width:2447;height:2070" type="#_x0000_t75" stroked="false">
              <v:imagedata r:id="rId271" o:title=""/>
            </v:shape>
            <v:shape style="position:absolute;left:5811;top:923;width:615;height:686" type="#_x0000_t75" stroked="false">
              <v:imagedata r:id="rId268" o:title=""/>
            </v:shape>
            <v:shape style="position:absolute;left:6024;top:1172;width:176;height:175" type="#_x0000_t75" stroked="false">
              <v:imagedata r:id="rId269" o:title=""/>
            </v:shape>
            <v:shape style="position:absolute;left:5905;top:991;width:377;height:474" coordorigin="5905,991" coordsize="377,474" path="m6093,991l5905,991,6093,1228,5905,1465,6093,1465,6281,1228,6093,991xe" filled="true" fillcolor="#205868" stroked="false">
              <v:path arrowok="t"/>
              <v:fill type="solid"/>
            </v:shape>
            <v:shape style="position:absolute;left:5866;top:973;width:440;height:512" coordorigin="5866,973" coordsize="440,512" path="m6069,1228l5866,1484,6102,1484,6108,1477,5920,1477,5905,1447,5944,1447,6108,1240,6078,1240,6069,1228xm5944,1447l5905,1447,5920,1477,5944,1447xm6084,1447l5944,1447,5920,1477,6108,1477,6126,1454,6078,1454,6084,1447xm6257,1228l6078,1454,6093,1447,6132,1447,6296,1240,6266,1240,6257,1228xm6132,1447l6093,1447,6078,1454,6126,1454,6132,1447xm6078,1217l6069,1228,6078,1240,6078,1217xm6108,1217l6078,1217,6078,1240,6108,1240,6117,1228,6108,1217xm6266,1217l6257,1228,6266,1240,6266,1217xm6296,1217l6266,1217,6266,1240,6296,1240,6305,1228,6296,1217xm6102,973l5866,973,6069,1228,6078,1217,6108,1217,5944,1010,5905,1010,5920,980,6108,980,6102,973xm6078,1003l6257,1228,6266,1217,6296,1217,6132,1010,6093,1010,6078,1003xm5920,980l5905,1010,5944,1010,5920,980xm6108,980l5920,980,5944,1010,6084,1010,6078,1003,6126,1003,6108,980xm6126,1003l6078,1003,6093,1010,6132,1010,6126,1003xe" filled="true" fillcolor="#92d050" stroked="false">
              <v:path arrowok="t"/>
              <v:fill type="solid"/>
            </v:shape>
          </v:group>
        </w:pict>
      </w:r>
      <w:r>
        <w:rPr>
          <w:sz w:val="20"/>
        </w:rPr>
      </w:r>
    </w:p>
    <w:p>
      <w:pPr>
        <w:spacing w:before="35"/>
        <w:ind w:left="1767" w:right="1703" w:firstLine="0"/>
        <w:jc w:val="left"/>
        <w:rPr>
          <w:sz w:val="11"/>
        </w:rPr>
      </w:pPr>
      <w:r>
        <w:rPr>
          <w:w w:val="105"/>
          <w:sz w:val="11"/>
        </w:rPr>
        <w:t>Fuente directa</w:t>
      </w:r>
    </w:p>
    <w:p>
      <w:pPr>
        <w:pStyle w:val="BodyText"/>
        <w:spacing w:before="10"/>
        <w:rPr>
          <w:sz w:val="10"/>
        </w:rPr>
      </w:pPr>
    </w:p>
    <w:p>
      <w:pPr>
        <w:spacing w:before="0"/>
        <w:ind w:left="1767" w:right="597" w:firstLine="0"/>
        <w:jc w:val="left"/>
        <w:rPr>
          <w:sz w:val="15"/>
        </w:rPr>
      </w:pPr>
      <w:r>
        <w:rPr>
          <w:sz w:val="15"/>
        </w:rPr>
        <w:t>Figura 12. (1) Tinción de las muestras con el colorante naranja de acridina; (2) Lavado de las muestras teñidas, en buffer de fosfatos;</w:t>
      </w:r>
    </w:p>
    <w:p>
      <w:pPr>
        <w:pStyle w:val="ListParagraph"/>
        <w:numPr>
          <w:ilvl w:val="0"/>
          <w:numId w:val="32"/>
        </w:numPr>
        <w:tabs>
          <w:tab w:pos="1982" w:val="left" w:leader="none"/>
        </w:tabs>
        <w:spacing w:line="240" w:lineRule="auto" w:before="16" w:after="0"/>
        <w:ind w:left="1981" w:right="0" w:hanging="214"/>
        <w:jc w:val="left"/>
        <w:rPr>
          <w:sz w:val="15"/>
        </w:rPr>
      </w:pPr>
      <w:r>
        <w:rPr>
          <w:sz w:val="15"/>
        </w:rPr>
        <w:t>Secado y </w:t>
      </w:r>
      <w:r>
        <w:rPr>
          <w:spacing w:val="2"/>
          <w:sz w:val="15"/>
        </w:rPr>
        <w:t>almacenamiento </w:t>
      </w:r>
      <w:r>
        <w:rPr>
          <w:sz w:val="15"/>
        </w:rPr>
        <w:t>de </w:t>
      </w:r>
      <w:r>
        <w:rPr>
          <w:spacing w:val="2"/>
          <w:sz w:val="15"/>
        </w:rPr>
        <w:t>las </w:t>
      </w:r>
      <w:r>
        <w:rPr>
          <w:sz w:val="15"/>
        </w:rPr>
        <w:t>muestras </w:t>
      </w:r>
      <w:r>
        <w:rPr>
          <w:spacing w:val="2"/>
          <w:sz w:val="15"/>
        </w:rPr>
        <w:t>previamente </w:t>
      </w:r>
      <w:r>
        <w:rPr>
          <w:sz w:val="15"/>
        </w:rPr>
        <w:t>teñidas y</w:t>
      </w:r>
      <w:r>
        <w:rPr>
          <w:spacing w:val="-26"/>
          <w:sz w:val="15"/>
        </w:rPr>
        <w:t> </w:t>
      </w:r>
      <w:r>
        <w:rPr>
          <w:sz w:val="15"/>
        </w:rPr>
        <w:t>lavadas.</w:t>
      </w:r>
    </w:p>
    <w:p>
      <w:pPr>
        <w:pStyle w:val="BodyText"/>
        <w:rPr>
          <w:sz w:val="20"/>
        </w:rPr>
      </w:pPr>
    </w:p>
    <w:p>
      <w:pPr>
        <w:pStyle w:val="BodyText"/>
        <w:rPr>
          <w:sz w:val="20"/>
        </w:rPr>
      </w:pPr>
    </w:p>
    <w:p>
      <w:pPr>
        <w:pStyle w:val="BodyText"/>
        <w:spacing w:before="7"/>
        <w:rPr>
          <w:sz w:val="19"/>
        </w:rPr>
      </w:pPr>
    </w:p>
    <w:p>
      <w:pPr>
        <w:pStyle w:val="Heading4"/>
        <w:spacing w:before="0"/>
        <w:ind w:left="1702"/>
        <w:jc w:val="both"/>
      </w:pPr>
      <w:r>
        <w:rPr/>
        <w:t>Procedimiento de lectura bajo el microscopio</w:t>
      </w:r>
    </w:p>
    <w:p>
      <w:pPr>
        <w:pStyle w:val="BodyText"/>
        <w:rPr>
          <w:b/>
        </w:rPr>
      </w:pPr>
    </w:p>
    <w:p>
      <w:pPr>
        <w:pStyle w:val="BodyText"/>
        <w:spacing w:before="10"/>
        <w:rPr>
          <w:b/>
          <w:sz w:val="23"/>
        </w:rPr>
      </w:pPr>
    </w:p>
    <w:p>
      <w:pPr>
        <w:pStyle w:val="ListParagraph"/>
        <w:numPr>
          <w:ilvl w:val="1"/>
          <w:numId w:val="32"/>
        </w:numPr>
        <w:tabs>
          <w:tab w:pos="2422" w:val="left" w:leader="none"/>
        </w:tabs>
        <w:spacing w:line="240" w:lineRule="auto" w:before="0" w:after="0"/>
        <w:ind w:left="2422" w:right="0" w:hanging="293"/>
        <w:jc w:val="left"/>
        <w:rPr>
          <w:rFonts w:ascii="Symbol" w:hAnsi="Symbol"/>
          <w:b/>
          <w:sz w:val="28"/>
        </w:rPr>
      </w:pPr>
      <w:r>
        <w:rPr>
          <w:b/>
          <w:sz w:val="24"/>
        </w:rPr>
        <w:t>Preparación de los</w:t>
      </w:r>
      <w:r>
        <w:rPr>
          <w:b/>
          <w:spacing w:val="-10"/>
          <w:sz w:val="24"/>
        </w:rPr>
        <w:t> </w:t>
      </w:r>
      <w:r>
        <w:rPr>
          <w:b/>
          <w:sz w:val="24"/>
        </w:rPr>
        <w:t>frotis</w:t>
      </w:r>
    </w:p>
    <w:p>
      <w:pPr>
        <w:pStyle w:val="BodyText"/>
        <w:rPr>
          <w:b/>
          <w:sz w:val="28"/>
        </w:rPr>
      </w:pPr>
    </w:p>
    <w:p>
      <w:pPr>
        <w:pStyle w:val="BodyText"/>
        <w:spacing w:line="360" w:lineRule="auto" w:before="221"/>
        <w:ind w:left="1702" w:right="1696"/>
        <w:jc w:val="both"/>
      </w:pPr>
      <w:r>
        <w:rPr/>
        <w:t>La muestra se embebió con una gota de buffer de fosfato, se colocó un cubre objetos, se envolvió en una gasa presionando suavemente para eliminar las burbujas. La muestra se llevó al microscopio (Microscopio binocular Mca. Carl Zeiss Mod. Axiostar Plus) bajo el lente 100x, se agregó una gota de aceite de inmersión y se observó en el microscopio. Se terminó la lectura de la laminilla una vez iniciado el proceso debido a que esta se contamina y se disminuye la intensidad de la tinción, lo que favorece los falsos negativos (Figura 13).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7"/>
        </w:rPr>
      </w:pPr>
    </w:p>
    <w:p>
      <w:pPr>
        <w:spacing w:before="78"/>
        <w:ind w:left="1821" w:right="1703" w:firstLine="0"/>
        <w:jc w:val="left"/>
        <w:rPr>
          <w:rFonts w:ascii="Calibri"/>
          <w:sz w:val="13"/>
        </w:rPr>
      </w:pPr>
      <w:r>
        <w:rPr/>
        <w:pict>
          <v:group style="position:absolute;margin-left:90.751472pt;margin-top:-102.623512pt;width:449.75pt;height:109.4pt;mso-position-horizontal-relative:page;mso-position-vertical-relative:paragraph;z-index:-338296" coordorigin="1815,-2052" coordsize="8995,2188">
            <v:shape style="position:absolute;left:1815;top:-2052;width:2586;height:2187" type="#_x0000_t75" stroked="false">
              <v:imagedata r:id="rId272" o:title=""/>
            </v:shape>
            <v:shape style="position:absolute;left:1865;top:-1999;width:2413;height:2001" type="#_x0000_t75" stroked="false">
              <v:imagedata r:id="rId273" o:title=""/>
            </v:shape>
            <v:shape style="position:absolute;left:5057;top:-2052;width:2598;height:2187" type="#_x0000_t75" stroked="false">
              <v:imagedata r:id="rId274" o:title=""/>
            </v:shape>
            <v:shape style="position:absolute;left:5106;top:-1999;width:2425;height:2001" type="#_x0000_t75" stroked="false">
              <v:imagedata r:id="rId275" o:title=""/>
            </v:shape>
            <v:shape style="position:absolute;left:4463;top:-1359;width:606;height:720" type="#_x0000_t75" stroked="false">
              <v:imagedata r:id="rId276" o:title=""/>
            </v:shape>
            <v:shape style="position:absolute;left:4686;top:-1092;width:173;height:187" type="#_x0000_t75" stroked="false">
              <v:imagedata r:id="rId277" o:title=""/>
            </v:shape>
            <v:shape style="position:absolute;left:4556;top:-1286;width:372;height:494" coordorigin="4556,-1286" coordsize="372,494" path="m4741,-1286l4556,-1286,4741,-1039,4556,-792,4741,-792,4927,-1039,4741,-1286xe" filled="true" fillcolor="#205868" stroked="false">
              <v:path arrowok="t"/>
              <v:fill type="solid"/>
            </v:shape>
            <v:shape style="position:absolute;left:4517;top:-1306;width:435;height:534" coordorigin="4517,-1306" coordsize="435,534" path="m4717,-1039l4517,-772,4750,-772,4756,-779,4570,-779,4556,-812,4595,-812,4756,-1026,4727,-1026,4717,-1039xm4595,-812l4556,-812,4570,-779,4595,-812xm4732,-812l4595,-812,4570,-779,4756,-779,4775,-805,4727,-805,4732,-812xm4903,-1039l4727,-805,4741,-812,4780,-812,4941,-1026,4912,-1026,4903,-1039xm4780,-812l4741,-812,4727,-805,4775,-805,4780,-812xm4727,-1051l4717,-1039,4727,-1026,4727,-1051xm4756,-1051l4727,-1051,4727,-1026,4756,-1026,4765,-1039,4756,-1051xm4912,-1051l4903,-1039,4912,-1026,4912,-1051xm4941,-1051l4912,-1051,4912,-1026,4941,-1026,4951,-1039,4941,-1051xm4727,-1273l4903,-1039,4912,-1051,4941,-1051,4780,-1266,4741,-1266,4727,-1273xm4750,-1306l4517,-1306,4717,-1039,4727,-1051,4756,-1051,4595,-1266,4556,-1266,4570,-1298,4756,-1298,4750,-1306xm4570,-1298l4556,-1266,4595,-1266,4570,-1298xm4756,-1298l4570,-1298,4595,-1266,4732,-1266,4727,-1273,4775,-1273,4756,-1298xm4775,-1273l4727,-1273,4741,-1266,4780,-1266,4775,-1273xe" filled="true" fillcolor="#92d050" stroked="false">
              <v:path arrowok="t"/>
              <v:fill type="solid"/>
            </v:shape>
            <v:shape style="position:absolute;left:8224;top:-2052;width:2586;height:2187" type="#_x0000_t75" stroked="false">
              <v:imagedata r:id="rId272" o:title=""/>
            </v:shape>
            <v:shape style="position:absolute;left:7630;top:-1359;width:606;height:720" type="#_x0000_t75" stroked="false">
              <v:imagedata r:id="rId276" o:title=""/>
            </v:shape>
            <v:shape style="position:absolute;left:7841;top:-1092;width:173;height:187" type="#_x0000_t75" stroked="false">
              <v:imagedata r:id="rId277" o:title=""/>
            </v:shape>
            <v:shape style="position:absolute;left:7723;top:-1286;width:372;height:494" coordorigin="7723,-1286" coordsize="372,494" path="m7909,-1286l7723,-1286,7909,-1039,7723,-792,7909,-792,8094,-1039,7909,-1286xe" filled="true" fillcolor="#205868" stroked="false">
              <v:path arrowok="t"/>
              <v:fill type="solid"/>
            </v:shape>
            <v:shape style="position:absolute;left:7684;top:-1306;width:435;height:534" coordorigin="7684,-1306" coordsize="435,534" path="m7885,-1039l7684,-772,7917,-772,7923,-779,7737,-779,7723,-812,7762,-812,7923,-1026,7894,-1026,7885,-1039xm7762,-812l7723,-812,7737,-779,7762,-812xm7900,-812l7762,-812,7737,-779,7923,-779,7942,-805,7894,-805,7900,-812xm8070,-1039l7894,-805,7909,-812,7948,-812,8109,-1026,8080,-1026,8070,-1039xm7948,-812l7909,-812,7894,-805,7942,-805,7948,-812xm7894,-1051l7885,-1039,7894,-1026,7894,-1051xm7923,-1051l7894,-1051,7894,-1026,7923,-1026,7932,-1039,7923,-1051xm8080,-1051l8070,-1039,8080,-1026,8080,-1051xm8109,-1051l8080,-1051,8080,-1026,8109,-1026,8118,-1039,8109,-1051xm7894,-1273l8070,-1039,8080,-1051,8109,-1051,7948,-1266,7909,-1266,7894,-1273xm7917,-1306l7684,-1306,7885,-1039,7894,-1051,7923,-1051,7762,-1266,7723,-1266,7737,-1298,7923,-1298,7917,-1306xm7737,-1298l7723,-1266,7762,-1266,7737,-1298xm7923,-1298l7737,-1298,7762,-1266,7900,-1266,7894,-1273,7942,-1273,7923,-1298xm7942,-1273l7894,-1273,7909,-1266,7948,-1266,7942,-1273xe" filled="true" fillcolor="#92d050" stroked="false">
              <v:path arrowok="t"/>
              <v:fill type="solid"/>
            </v:shape>
            <v:shape style="position:absolute;left:1970;top:-306;width:73;height:136" coordorigin="1970,-306" coordsize="73,136" path="m2017,-287l2000,-287,2000,-184,1973,-184,1972,-183,1972,-183,1971,-182,1971,-181,1971,-179,1971,-175,1971,-173,1971,-172,1972,-171,1972,-170,1973,-170,2040,-170,2041,-170,2041,-171,2042,-172,2042,-173,2043,-175,2043,-177,2043,-180,2042,-181,2042,-182,2042,-183,2041,-183,2040,-184,2017,-184,2017,-287xm2009,-306l2005,-306,2004,-305,2003,-305,2002,-305,2002,-305,2001,-304,1972,-284,1972,-284,1971,-283,1971,-282,1970,-281,1970,-274,1970,-272,1971,-271,1972,-270,1972,-270,1974,-270,1975,-271,1976,-271,2000,-287,2017,-287,2017,-304,2016,-304,2016,-305,2015,-305,2014,-305,2013,-305,2009,-306xe" filled="true" fillcolor="#ffffff" stroked="false">
              <v:path arrowok="t"/>
              <v:fill type="solid"/>
            </v:shape>
            <v:shape style="position:absolute;left:1970;top:-306;width:73;height:136" coordorigin="1970,-306" coordsize="73,136" path="m2009,-306l2010,-306,2012,-306,2013,-305,2014,-305,2016,-304,2017,-304,2017,-303,2017,-303,2017,-184,2039,-184,2040,-184,2040,-184,2041,-184,2041,-183,2042,-183,2042,-182,2042,-182,2042,-181,2043,-180,2043,-177,2043,-176,2043,-175,2042,-174,2042,-173,2042,-172,2042,-171,2041,-171,2041,-170,2041,-170,2040,-170,2040,-170,2039,-170,1974,-170,1973,-170,1973,-170,1973,-170,1972,-170,1972,-171,1972,-171,1971,-172,1971,-173,1971,-174,1971,-175,1970,-176,1970,-177,1970,-178,1973,-184,1974,-184,2000,-184,2000,-287,1976,-271,1975,-271,1974,-270,1973,-270,1972,-270,1972,-270,1971,-270,1971,-271,1970,-272,1970,-273,1970,-274,1970,-275,1970,-277,1970,-278,2002,-304,2002,-305,2004,-305,2005,-305,2005,-306,2006,-306,2007,-306,2008,-306,2009,-306xe" filled="false" stroked="true" strokeweight=".630035pt" strokecolor="#d9d9d9">
              <v:path arrowok="t"/>
            </v:shape>
            <v:shape style="position:absolute;left:5212;top:-307;width:78;height:137" coordorigin="5212,-307" coordsize="78,137" path="m5280,-291l5250,-291,5253,-290,5256,-289,5258,-288,5260,-286,5262,-284,5264,-282,5265,-280,5266,-277,5267,-275,5268,-272,5268,-266,5267,-263,5267,-259,5266,-256,5265,-252,5263,-248,5261,-244,5258,-239,5252,-229,5247,-223,5215,-188,5215,-187,5214,-186,5213,-183,5212,-183,5212,-181,5212,-175,5212,-174,5213,-173,5213,-172,5214,-171,5215,-170,5216,-170,5288,-170,5289,-171,5289,-171,5290,-172,5290,-174,5290,-182,5290,-183,5289,-184,5289,-184,5288,-185,5232,-185,5252,-207,5259,-215,5265,-222,5273,-234,5277,-240,5281,-250,5283,-255,5284,-259,5284,-263,5285,-266,5285,-277,5284,-281,5281,-289,5280,-291xm5254,-307l5245,-307,5241,-306,5234,-305,5231,-304,5228,-302,5225,-301,5223,-300,5221,-299,5219,-297,5218,-296,5217,-296,5216,-295,5216,-294,5215,-294,5215,-293,5215,-293,5215,-292,5215,-284,5215,-283,5215,-281,5215,-281,5216,-280,5216,-280,5217,-280,5221,-281,5222,-283,5227,-285,5229,-287,5232,-288,5236,-289,5239,-290,5242,-291,5280,-291,5279,-293,5276,-296,5273,-300,5269,-302,5264,-304,5260,-306,5254,-307xe" filled="true" fillcolor="#ffffff" stroked="false">
              <v:path arrowok="t"/>
              <v:fill type="solid"/>
            </v:shape>
            <v:shape style="position:absolute;left:5212;top:-307;width:79;height:137" coordorigin="5212,-307" coordsize="79,137" path="m5249,-307l5254,-307,5260,-306,5264,-304,5269,-302,5285,-276,5285,-272,5285,-267,5284,-263,5284,-259,5283,-255,5252,-207,5232,-185,5287,-185,5287,-185,5288,-185,5288,-185,5289,-184,5289,-184,5289,-183,5290,-183,5290,-182,5290,-181,5290,-178,5290,-176,5290,-175,5290,-174,5290,-173,5290,-172,5289,-172,5289,-171,5289,-171,5288,-170,5288,-170,5287,-170,5287,-170,5218,-170,5217,-170,5216,-170,5215,-170,5215,-170,5214,-171,5213,-171,5213,-172,5213,-173,5212,-174,5212,-175,5212,-176,5212,-178,5212,-179,5212,-180,5212,-181,5212,-182,5213,-183,5213,-184,5213,-185,5214,-186,5214,-186,5215,-187,5215,-188,5216,-189,5241,-217,5247,-223,5252,-229,5255,-234,5258,-239,5267,-259,5267,-263,5268,-266,5268,-269,5268,-272,5267,-275,5266,-277,5265,-280,5250,-291,5246,-291,5242,-291,5239,-290,5236,-289,5232,-288,5229,-287,5227,-285,5225,-284,5222,-283,5221,-281,5217,-280,5217,-280,5214,-285,5214,-286,5214,-288,5214,-289,5214,-290,5214,-290,5215,-291,5215,-292,5215,-292,5215,-293,5215,-293,5215,-294,5216,-294,5216,-295,5217,-296,5218,-296,5219,-297,5221,-299,5223,-300,5245,-307,5249,-307xe" filled="false" stroked="true" strokeweight=".631146pt" strokecolor="#d9d9d9">
              <v:path arrowok="t"/>
            </v:shape>
            <v:shape style="position:absolute;left:8274;top:-1999;width:2413;height:2001" type="#_x0000_t75" stroked="false">
              <v:imagedata r:id="rId278" o:title=""/>
            </v:shape>
            <w10:wrap type="none"/>
          </v:group>
        </w:pict>
      </w:r>
      <w:r>
        <w:rPr>
          <w:rFonts w:ascii="Calibri"/>
          <w:sz w:val="13"/>
        </w:rPr>
        <w:t>Fuente directa</w:t>
      </w:r>
    </w:p>
    <w:p>
      <w:pPr>
        <w:pStyle w:val="BodyText"/>
        <w:spacing w:before="8"/>
        <w:rPr>
          <w:rFonts w:ascii="Calibri"/>
          <w:sz w:val="16"/>
        </w:rPr>
      </w:pPr>
    </w:p>
    <w:p>
      <w:pPr>
        <w:spacing w:before="0"/>
        <w:ind w:left="1821" w:right="597" w:firstLine="0"/>
        <w:jc w:val="left"/>
        <w:rPr>
          <w:sz w:val="14"/>
        </w:rPr>
      </w:pPr>
      <w:r>
        <w:rPr>
          <w:sz w:val="14"/>
        </w:rPr>
        <w:t>Figura 13. (1) Muestra embebida con una gota del buffer de fosfatos; (2) Colocación del cubreobjetos y eliminación de burbujas de aire de  la</w:t>
      </w:r>
    </w:p>
    <w:p>
      <w:pPr>
        <w:spacing w:before="14"/>
        <w:ind w:left="1821" w:right="1703" w:firstLine="0"/>
        <w:jc w:val="left"/>
        <w:rPr>
          <w:sz w:val="15"/>
        </w:rPr>
      </w:pPr>
      <w:r>
        <w:rPr>
          <w:w w:val="95"/>
          <w:sz w:val="15"/>
        </w:rPr>
        <w:t>muestra con una gasa; (3) Colocación del aceite de inmersión y observación bajo el objetivo 100x.</w:t>
      </w:r>
    </w:p>
    <w:p>
      <w:pPr>
        <w:spacing w:after="0"/>
        <w:jc w:val="left"/>
        <w:rPr>
          <w:sz w:val="15"/>
        </w:rPr>
        <w:sectPr>
          <w:pgSz w:w="12240" w:h="15840"/>
          <w:pgMar w:header="0" w:footer="599" w:top="1420" w:bottom="780" w:left="0" w:right="0"/>
        </w:sectPr>
      </w:pPr>
    </w:p>
    <w:p>
      <w:pPr>
        <w:pStyle w:val="Heading4"/>
        <w:numPr>
          <w:ilvl w:val="1"/>
          <w:numId w:val="32"/>
        </w:numPr>
        <w:tabs>
          <w:tab w:pos="2410" w:val="left" w:leader="none"/>
        </w:tabs>
        <w:spacing w:line="240" w:lineRule="auto" w:before="34" w:after="0"/>
        <w:ind w:left="2410" w:right="0" w:hanging="281"/>
        <w:jc w:val="left"/>
        <w:rPr>
          <w:rFonts w:ascii="Symbol" w:hAnsi="Symbol"/>
        </w:rPr>
      </w:pPr>
      <w:r>
        <w:rPr/>
        <w:t>Análisis de las</w:t>
      </w:r>
      <w:r>
        <w:rPr>
          <w:spacing w:val="-9"/>
        </w:rPr>
        <w:t> </w:t>
      </w:r>
      <w:r>
        <w:rPr/>
        <w:t>laminillas</w:t>
      </w:r>
    </w:p>
    <w:p>
      <w:pPr>
        <w:pStyle w:val="BodyText"/>
        <w:rPr>
          <w:b/>
        </w:rPr>
      </w:pPr>
    </w:p>
    <w:p>
      <w:pPr>
        <w:pStyle w:val="BodyText"/>
        <w:spacing w:before="10"/>
        <w:rPr>
          <w:b/>
          <w:sz w:val="23"/>
        </w:rPr>
      </w:pPr>
    </w:p>
    <w:p>
      <w:pPr>
        <w:pStyle w:val="BodyText"/>
        <w:spacing w:line="360" w:lineRule="auto"/>
        <w:ind w:left="1702" w:right="1704"/>
        <w:jc w:val="both"/>
      </w:pPr>
      <w:r>
        <w:rPr/>
        <w:t>Bajo el microscopio (objetivo 100 X) se realizó el conteo de 1000 células por paciente y se registraron en una base de datos las células con micronúcleos (MN) o con alguna anormalidad nuclear (AN), de acuerdo a los criterios establecidos por Tolbert </w:t>
      </w:r>
      <w:r>
        <w:rPr>
          <w:i/>
        </w:rPr>
        <w:t>et al. </w:t>
      </w:r>
      <w:r>
        <w:rPr/>
        <w:t>(1991).</w:t>
      </w:r>
    </w:p>
    <w:p>
      <w:pPr>
        <w:pStyle w:val="BodyText"/>
      </w:pPr>
    </w:p>
    <w:p>
      <w:pPr>
        <w:pStyle w:val="BodyText"/>
        <w:spacing w:before="2"/>
        <w:rPr>
          <w:sz w:val="29"/>
        </w:rPr>
      </w:pPr>
    </w:p>
    <w:p>
      <w:pPr>
        <w:pStyle w:val="Heading4"/>
        <w:spacing w:before="1"/>
        <w:ind w:left="1702"/>
        <w:jc w:val="both"/>
      </w:pPr>
      <w:r>
        <w:rPr/>
        <w:t>Análisis estadístico</w:t>
      </w:r>
    </w:p>
    <w:p>
      <w:pPr>
        <w:pStyle w:val="BodyText"/>
        <w:spacing w:before="5"/>
        <w:rPr>
          <w:b/>
          <w:sz w:val="29"/>
        </w:rPr>
      </w:pPr>
    </w:p>
    <w:p>
      <w:pPr>
        <w:pStyle w:val="BodyText"/>
        <w:spacing w:line="360" w:lineRule="auto"/>
        <w:ind w:left="1702" w:right="1695"/>
        <w:jc w:val="both"/>
      </w:pPr>
      <w:r>
        <w:rPr/>
        <w:t>Los datos se tabularon y analizaron en el paquete SPSS v20 Inc (Chicago, USA), la normalidad de las variables se comprobó mediante la prueba de Kolmogorov- Smirnov. Las diferencias estadísticas entre la prueba de MN y anormalidades nucleares, y la diferencia entre niños expuestos y no expuestos en relación con diferentes características de la población, se llevó a cabo mediante las pruebas no paramétricas U de Mann-Whitney (para muestras independientes) y el análisis de correlación se realizó entre las variables cuantitativas edad e índice de masa corporal y MN y AN.</w:t>
      </w:r>
    </w:p>
    <w:p>
      <w:pPr>
        <w:spacing w:after="0" w:line="360" w:lineRule="auto"/>
        <w:jc w:val="both"/>
        <w:sectPr>
          <w:pgSz w:w="12240" w:h="15840"/>
          <w:pgMar w:header="0" w:footer="599" w:top="1380" w:bottom="780" w:left="0" w:right="0"/>
        </w:sectPr>
      </w:pPr>
    </w:p>
    <w:p>
      <w:pPr>
        <w:pStyle w:val="BodyText"/>
        <w:spacing w:before="4"/>
        <w:rPr>
          <w:rFonts w:ascii="Times New Roman"/>
          <w:sz w:val="17"/>
        </w:rPr>
      </w:pPr>
      <w:r>
        <w:rPr/>
        <w:pict>
          <v:group style="position:absolute;margin-left:1.56pt;margin-top:173.520004pt;width:610.450pt;height:372.75pt;mso-position-horizontal-relative:page;mso-position-vertical-relative:page;z-index:2704" coordorigin="31,3470" coordsize="12209,7455">
            <v:shape style="position:absolute;left:31;top:3470;width:12209;height:7454" type="#_x0000_t75" stroked="false">
              <v:imagedata r:id="rId280" o:title=""/>
            </v:shape>
            <v:rect style="position:absolute;left:7931;top:4518;width:3927;height:1610" filled="true" fillcolor="#ffffff" stroked="false">
              <v:fill type="solid"/>
            </v:rect>
            <v:shape style="position:absolute;left:31;top:3470;width:12209;height:7455" type="#_x0000_t202" filled="false" stroked="false">
              <v:textbox inset="0,0,0,0">
                <w:txbxContent>
                  <w:p>
                    <w:pPr>
                      <w:spacing w:before="287"/>
                      <w:ind w:left="0" w:right="448" w:firstLine="0"/>
                      <w:jc w:val="right"/>
                      <w:rPr>
                        <w:sz w:val="60"/>
                      </w:rPr>
                    </w:pPr>
                    <w:r>
                      <w:rPr>
                        <w:color w:val="0EA09E"/>
                        <w:w w:val="89"/>
                        <w:sz w:val="60"/>
                        <w:shd w:fill="FFFFFF" w:color="auto" w:val="clear"/>
                      </w:rPr>
                      <w:t> </w:t>
                    </w:r>
                    <w:r>
                      <w:rPr>
                        <w:color w:val="0EA09E"/>
                        <w:spacing w:val="52"/>
                        <w:sz w:val="60"/>
                        <w:shd w:fill="FFFFFF" w:color="auto" w:val="clear"/>
                      </w:rPr>
                      <w:t> </w:t>
                    </w:r>
                    <w:r>
                      <w:rPr>
                        <w:color w:val="0EA09E"/>
                        <w:spacing w:val="-1"/>
                        <w:w w:val="105"/>
                        <w:sz w:val="60"/>
                        <w:shd w:fill="FFFFFF" w:color="auto" w:val="clear"/>
                      </w:rPr>
                      <w:t>RESULTADOS</w:t>
                    </w:r>
                  </w:p>
                  <w:p>
                    <w:pPr>
                      <w:spacing w:line="276" w:lineRule="auto" w:before="133"/>
                      <w:ind w:left="8920" w:right="523" w:hanging="248"/>
                      <w:jc w:val="right"/>
                      <w:rPr>
                        <w:sz w:val="56"/>
                      </w:rPr>
                    </w:pPr>
                    <w:r>
                      <w:rPr>
                        <w:color w:val="0EA09E"/>
                        <w:w w:val="115"/>
                        <w:sz w:val="56"/>
                      </w:rPr>
                      <w:t>TABLAS</w:t>
                    </w:r>
                    <w:r>
                      <w:rPr>
                        <w:color w:val="0EA09E"/>
                        <w:spacing w:val="-70"/>
                        <w:w w:val="115"/>
                        <w:sz w:val="56"/>
                      </w:rPr>
                      <w:t> </w:t>
                    </w:r>
                    <w:r>
                      <w:rPr>
                        <w:color w:val="0EA09E"/>
                        <w:w w:val="115"/>
                        <w:sz w:val="56"/>
                      </w:rPr>
                      <w:t>Y</w:t>
                    </w:r>
                    <w:r>
                      <w:rPr>
                        <w:color w:val="0EA09E"/>
                        <w:w w:val="116"/>
                        <w:sz w:val="56"/>
                      </w:rPr>
                      <w:t> </w:t>
                    </w:r>
                    <w:r>
                      <w:rPr>
                        <w:color w:val="0EA09E"/>
                        <w:spacing w:val="-1"/>
                        <w:w w:val="110"/>
                        <w:sz w:val="56"/>
                      </w:rPr>
                      <w:t>FIGURAS</w:t>
                    </w:r>
                  </w:p>
                </w:txbxContent>
              </v:textbox>
              <w10:wrap type="none"/>
            </v:shape>
            <w10:wrap type="none"/>
          </v:group>
        </w:pict>
      </w:r>
    </w:p>
    <w:p>
      <w:pPr>
        <w:spacing w:after="0"/>
        <w:rPr>
          <w:rFonts w:ascii="Times New Roman"/>
          <w:sz w:val="17"/>
        </w:rPr>
        <w:sectPr>
          <w:footerReference w:type="default" r:id="rId279"/>
          <w:pgSz w:w="12240" w:h="15840"/>
          <w:pgMar w:footer="0" w:header="0" w:top="1500" w:bottom="280" w:left="0" w:right="0"/>
        </w:sectPr>
      </w:pPr>
    </w:p>
    <w:p>
      <w:pPr>
        <w:pStyle w:val="BodyText"/>
        <w:spacing w:before="4"/>
        <w:rPr>
          <w:rFonts w:ascii="Times New Roman"/>
          <w:sz w:val="11"/>
        </w:rPr>
      </w:pPr>
    </w:p>
    <w:p>
      <w:pPr>
        <w:pStyle w:val="Heading4"/>
        <w:numPr>
          <w:ilvl w:val="2"/>
          <w:numId w:val="3"/>
        </w:numPr>
        <w:tabs>
          <w:tab w:pos="2047" w:val="left" w:leader="none"/>
        </w:tabs>
        <w:spacing w:line="240" w:lineRule="auto" w:before="69" w:after="0"/>
        <w:ind w:left="2046" w:right="0" w:hanging="628"/>
        <w:jc w:val="left"/>
      </w:pPr>
      <w:r>
        <w:rPr/>
        <w:t>RESULTADOS</w:t>
      </w:r>
    </w:p>
    <w:p>
      <w:pPr>
        <w:pStyle w:val="BodyText"/>
        <w:rPr>
          <w:b/>
        </w:rPr>
      </w:pPr>
    </w:p>
    <w:p>
      <w:pPr>
        <w:pStyle w:val="BodyText"/>
        <w:rPr>
          <w:b/>
        </w:rPr>
      </w:pPr>
    </w:p>
    <w:p>
      <w:pPr>
        <w:pStyle w:val="BodyText"/>
        <w:spacing w:before="10"/>
        <w:rPr>
          <w:b/>
          <w:sz w:val="35"/>
        </w:rPr>
      </w:pPr>
    </w:p>
    <w:p>
      <w:pPr>
        <w:pStyle w:val="ListParagraph"/>
        <w:numPr>
          <w:ilvl w:val="3"/>
          <w:numId w:val="3"/>
        </w:numPr>
        <w:tabs>
          <w:tab w:pos="2139" w:val="left" w:leader="none"/>
        </w:tabs>
        <w:spacing w:line="240" w:lineRule="auto" w:before="0" w:after="0"/>
        <w:ind w:left="2138" w:right="0" w:hanging="360"/>
        <w:jc w:val="left"/>
        <w:rPr>
          <w:b/>
          <w:sz w:val="24"/>
        </w:rPr>
      </w:pPr>
      <w:r>
        <w:rPr>
          <w:b/>
          <w:sz w:val="24"/>
        </w:rPr>
        <w:t>Acuse de</w:t>
      </w:r>
      <w:r>
        <w:rPr>
          <w:b/>
          <w:spacing w:val="-3"/>
          <w:sz w:val="24"/>
        </w:rPr>
        <w:t> </w:t>
      </w:r>
      <w:r>
        <w:rPr>
          <w:b/>
          <w:sz w:val="24"/>
        </w:rPr>
        <w:t>Recibido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7"/>
        <w:rPr>
          <w:b/>
          <w:sz w:val="17"/>
        </w:rPr>
      </w:pPr>
      <w:r>
        <w:rPr/>
        <w:drawing>
          <wp:anchor distT="0" distB="0" distL="0" distR="0" allowOverlap="1" layoutInCell="1" locked="0" behindDoc="0" simplePos="0" relativeHeight="2728">
            <wp:simplePos x="0" y="0"/>
            <wp:positionH relativeFrom="page">
              <wp:posOffset>929403</wp:posOffset>
            </wp:positionH>
            <wp:positionV relativeFrom="paragraph">
              <wp:posOffset>153742</wp:posOffset>
            </wp:positionV>
            <wp:extent cx="5965135" cy="3038094"/>
            <wp:effectExtent l="0" t="0" r="0" b="0"/>
            <wp:wrapTopAndBottom/>
            <wp:docPr id="13" name="image255.jpeg" descr=""/>
            <wp:cNvGraphicFramePr>
              <a:graphicFrameLocks noChangeAspect="1"/>
            </wp:cNvGraphicFramePr>
            <a:graphic>
              <a:graphicData uri="http://schemas.openxmlformats.org/drawingml/2006/picture">
                <pic:pic>
                  <pic:nvPicPr>
                    <pic:cNvPr id="14" name="image255.jpeg"/>
                    <pic:cNvPicPr/>
                  </pic:nvPicPr>
                  <pic:blipFill>
                    <a:blip r:embed="rId281" cstate="print"/>
                    <a:stretch>
                      <a:fillRect/>
                    </a:stretch>
                  </pic:blipFill>
                  <pic:spPr>
                    <a:xfrm>
                      <a:off x="0" y="0"/>
                      <a:ext cx="5965135" cy="3038094"/>
                    </a:xfrm>
                    <a:prstGeom prst="rect">
                      <a:avLst/>
                    </a:prstGeom>
                  </pic:spPr>
                </pic:pic>
              </a:graphicData>
            </a:graphic>
          </wp:anchor>
        </w:drawing>
      </w:r>
    </w:p>
    <w:p>
      <w:pPr>
        <w:spacing w:after="0"/>
        <w:rPr>
          <w:sz w:val="17"/>
        </w:rPr>
        <w:sectPr>
          <w:pgSz w:w="12240" w:h="15840"/>
          <w:pgMar w:header="0" w:footer="0" w:top="1500" w:bottom="780" w:left="0" w:right="0"/>
        </w:sectPr>
      </w:pPr>
    </w:p>
    <w:p>
      <w:pPr>
        <w:pStyle w:val="BodyText"/>
        <w:spacing w:before="4"/>
        <w:rPr>
          <w:b/>
          <w:sz w:val="11"/>
        </w:rPr>
      </w:pPr>
    </w:p>
    <w:p>
      <w:pPr>
        <w:pStyle w:val="Heading4"/>
        <w:numPr>
          <w:ilvl w:val="3"/>
          <w:numId w:val="3"/>
        </w:numPr>
        <w:tabs>
          <w:tab w:pos="2139" w:val="left" w:leader="none"/>
        </w:tabs>
        <w:spacing w:line="240" w:lineRule="auto" w:before="69" w:after="0"/>
        <w:ind w:left="2138" w:right="0" w:hanging="360"/>
        <w:jc w:val="left"/>
      </w:pPr>
      <w:r>
        <w:rPr/>
        <w:t>Artículo</w:t>
      </w:r>
    </w:p>
    <w:p>
      <w:pPr>
        <w:pStyle w:val="BodyText"/>
        <w:rPr>
          <w:b/>
          <w:sz w:val="20"/>
        </w:rPr>
      </w:pPr>
    </w:p>
    <w:p>
      <w:pPr>
        <w:pStyle w:val="BodyText"/>
        <w:rPr>
          <w:b/>
          <w:sz w:val="20"/>
        </w:rPr>
      </w:pPr>
    </w:p>
    <w:p>
      <w:pPr>
        <w:pStyle w:val="BodyText"/>
        <w:rPr>
          <w:b/>
          <w:sz w:val="20"/>
        </w:rPr>
      </w:pPr>
    </w:p>
    <w:p>
      <w:pPr>
        <w:spacing w:before="200"/>
        <w:ind w:left="1606" w:right="1888" w:firstLine="0"/>
        <w:jc w:val="center"/>
        <w:rPr>
          <w:b/>
          <w:sz w:val="24"/>
        </w:rPr>
      </w:pPr>
      <w:r>
        <w:rPr>
          <w:b/>
          <w:sz w:val="24"/>
        </w:rPr>
        <w:t>TÍTULO</w:t>
      </w:r>
    </w:p>
    <w:p>
      <w:pPr>
        <w:pStyle w:val="BodyText"/>
        <w:spacing w:before="2"/>
        <w:rPr>
          <w:b/>
          <w:sz w:val="29"/>
        </w:rPr>
      </w:pPr>
    </w:p>
    <w:p>
      <w:pPr>
        <w:pStyle w:val="BodyText"/>
        <w:spacing w:line="360" w:lineRule="auto"/>
        <w:ind w:left="1418" w:right="1697"/>
        <w:jc w:val="both"/>
      </w:pPr>
      <w:r>
        <w:rPr/>
        <w:t>IDENTIFICACIÓN DE MICRONÚCLEOS Y ANORMALIDADES NUCLEARES EN CÉLULAS EXFOLIADAS DE MUCOSA BUCAL EN NIÑOS EXPUESTOS Y NO EXPUESTOS A PLAGUICIDAS.</w:t>
      </w:r>
    </w:p>
    <w:p>
      <w:pPr>
        <w:pStyle w:val="Heading4"/>
        <w:spacing w:before="205"/>
        <w:ind w:left="1606" w:right="1887"/>
        <w:jc w:val="center"/>
      </w:pPr>
      <w:r>
        <w:rPr/>
        <w:t>TITLE OF THE ARTICLE</w:t>
      </w:r>
    </w:p>
    <w:p>
      <w:pPr>
        <w:pStyle w:val="BodyText"/>
        <w:spacing w:before="4"/>
        <w:rPr>
          <w:b/>
          <w:sz w:val="29"/>
        </w:rPr>
      </w:pPr>
    </w:p>
    <w:p>
      <w:pPr>
        <w:pStyle w:val="BodyText"/>
        <w:spacing w:line="360" w:lineRule="auto" w:before="1"/>
        <w:ind w:left="1418" w:right="1701"/>
        <w:jc w:val="both"/>
      </w:pPr>
      <w:r>
        <w:rPr/>
        <w:t>IDENTIFICATION OF MICRONUCLEI AND NUCLEAR ABNORMALITIES IN CELLS EXFOLIATED OF BUCCAL MUCOSA IN EXPOSED AND UNEXPOSED CHILDREN TO PESTICIDES.</w:t>
      </w:r>
    </w:p>
    <w:p>
      <w:pPr>
        <w:pStyle w:val="BodyText"/>
      </w:pPr>
    </w:p>
    <w:p>
      <w:pPr>
        <w:pStyle w:val="BodyText"/>
        <w:spacing w:before="7"/>
        <w:rPr>
          <w:sz w:val="29"/>
        </w:rPr>
      </w:pPr>
    </w:p>
    <w:p>
      <w:pPr>
        <w:pStyle w:val="Heading4"/>
        <w:spacing w:before="0"/>
        <w:ind w:left="1606" w:right="1885"/>
        <w:jc w:val="center"/>
      </w:pPr>
      <w:r>
        <w:rPr/>
        <w:t>RESUMEN</w:t>
      </w:r>
    </w:p>
    <w:p>
      <w:pPr>
        <w:pStyle w:val="BodyText"/>
        <w:spacing w:before="4"/>
        <w:rPr>
          <w:b/>
          <w:sz w:val="29"/>
        </w:rPr>
      </w:pPr>
    </w:p>
    <w:p>
      <w:pPr>
        <w:pStyle w:val="BodyText"/>
        <w:spacing w:line="360" w:lineRule="auto" w:before="1"/>
        <w:ind w:left="1418" w:right="1697"/>
        <w:jc w:val="both"/>
      </w:pPr>
      <w:r>
        <w:rPr/>
        <w:t>San José, Villa Guerrero es una comunidad dedicada al cultivo de flores,  que requiere de fumigaciones con mezclas de plaguicidas. El efecto de la exposición directa e indirecta a plaguicidas en los niños debe ser monitoreado. El objetivo del estudio fue identificar la presencia de micronúcleos (MN) y anormalidades nucleares (AN) en células exfoliadas de la mucosa bucal de niños expuestos y no expuestos a plaguicidas. Frotis de la mucosa bucal, teñidos con naranja de acridina, fueron observados en un microscopio con inmunofluorescencia. Los valores de MN se encontraron dentro de parámetros normales en ambos grupos, las células binucleadas (CB) (p=0.001) prevalecieron en niños expuestos y en el grupo control la cariorrexis (CR) (p=0.006). En el grupo expuesto se observaron valores significativos de CB (p=0.01) en el Índice de Masa Corporal; MN (p=0.04) en niños con tratamiento dental; cariolisis (CL) (p=0.03) en niños con consumo de alimentos enlatados; MN (p=0.05) en niños con familiares con antecedentes de cáncer al igual que en fumadores pasivos (p=0.05). En el grupo control se observaron CB (p=0.04) en niños que no tienen higiene dental adecuada y sin uso de enjuague bucal CL (p=0.05); </w:t>
      </w:r>
      <w:r>
        <w:rPr>
          <w:spacing w:val="55"/>
        </w:rPr>
        <w:t> </w:t>
      </w:r>
      <w:r>
        <w:rPr/>
        <w:t>los</w:t>
      </w:r>
    </w:p>
    <w:p>
      <w:pPr>
        <w:spacing w:after="0" w:line="360" w:lineRule="auto"/>
        <w:jc w:val="both"/>
        <w:sectPr>
          <w:footerReference w:type="default" r:id="rId282"/>
          <w:pgSz w:w="12240" w:h="15840"/>
          <w:pgMar w:footer="599" w:header="0" w:top="1500" w:bottom="780" w:left="0" w:right="0"/>
        </w:sectPr>
      </w:pPr>
    </w:p>
    <w:p>
      <w:pPr>
        <w:pStyle w:val="BodyText"/>
        <w:spacing w:before="4"/>
        <w:rPr>
          <w:sz w:val="11"/>
        </w:rPr>
      </w:pPr>
    </w:p>
    <w:p>
      <w:pPr>
        <w:pStyle w:val="BodyText"/>
        <w:spacing w:line="360" w:lineRule="auto" w:before="69"/>
        <w:ind w:left="1418" w:right="1702"/>
        <w:jc w:val="both"/>
      </w:pPr>
      <w:r>
        <w:rPr/>
        <w:t>niños que no acuden al dentista presentaron núcleos lobulados (NL) (p=0.01) y total de anormalidades nucleares (TAN) (p=0.05); mientras que en los niños con consumo de frutas y verduras presentaron picnosis (p=0.05), CR (p=0.05) y TAN (p=0.05) y por consumo de té NL (p=0.04) y TAN (p=0.03). La presencia de AN en los niños expuestos a plaguicidas sugiere daño citogenético.</w:t>
      </w:r>
    </w:p>
    <w:p>
      <w:pPr>
        <w:pStyle w:val="BodyText"/>
        <w:spacing w:line="360" w:lineRule="auto" w:before="204"/>
        <w:ind w:left="1418" w:right="1703"/>
        <w:jc w:val="both"/>
      </w:pPr>
      <w:r>
        <w:rPr/>
        <w:t>Palabras clave: plaguicidas, niños, micronúcleos y anormalidades nucleares, células exfoliadas.</w:t>
      </w:r>
    </w:p>
    <w:p>
      <w:pPr>
        <w:pStyle w:val="BodyText"/>
      </w:pPr>
    </w:p>
    <w:p>
      <w:pPr>
        <w:pStyle w:val="Heading4"/>
        <w:spacing w:before="142"/>
        <w:ind w:left="1606" w:right="1888"/>
        <w:jc w:val="center"/>
      </w:pPr>
      <w:r>
        <w:rPr/>
        <w:t>ABSTRACT</w:t>
      </w:r>
    </w:p>
    <w:p>
      <w:pPr>
        <w:pStyle w:val="BodyText"/>
        <w:spacing w:line="360" w:lineRule="auto" w:before="137"/>
        <w:ind w:left="1418" w:right="1696"/>
        <w:jc w:val="both"/>
      </w:pPr>
      <w:r>
        <w:rPr/>
        <w:t>San Jose, Villa Guerrero is a community dedicated to the cultivation of flowers that require spraying with pesticide mixtures. The effect of direct and indirect exposure to pesticides in children should be monitored. The objective of the study was to identify the presence of micronuclei (MN) and nuclear abnormalities (AN) in exfoliated cells of oral mucosa of children exposed and not exposed to pesticides. The buccal mucosa smears, stained with acridine orange, were observed in a microscope with immunofluorescence. The values of MN were found within normal parameters in both groups, the binucleate cells (CB) (p=0.001) prevailed karyorrhexis (CR) in exposed children and the control group (p=0.006). CB significant values were observed in the exposed group (p=0.01) and body mass index; MN (p=0.04) in children with dental treatment; (CL) karyolysis (p=0.03) in children with consumption of canned foods; MN (p=0.05) in children with a family with a history of cancer to passive smoking (p=0.05). CB were observed in the group control (p=0.04) in children who do not have an adequate dental hygiene and without use mouthwash CL (p=0.05); children who do not attend the dentist had buds nuclei (NL) (p=0.01) and total nuclear abnormalities (TNA) (p=0.05); While children with consumption of fruits and vegetables had; pyknosis (p=0.05), CR (p=0.05) and TNA (p=0.05); NL (p=0.04) tea consumption and TNA (p=0.03). The presence of AN in children exposed to pesticides suggests cytogenetic damage.</w:t>
      </w:r>
    </w:p>
    <w:p>
      <w:pPr>
        <w:pStyle w:val="BodyText"/>
        <w:spacing w:line="360" w:lineRule="auto" w:before="5"/>
        <w:ind w:left="1418" w:right="1704"/>
        <w:jc w:val="both"/>
      </w:pPr>
      <w:r>
        <w:rPr/>
        <w:t>Key words</w:t>
      </w:r>
      <w:r>
        <w:rPr>
          <w:b/>
        </w:rPr>
        <w:t>: </w:t>
      </w:r>
      <w:r>
        <w:rPr/>
        <w:t>pesticide, children, micronuclei and nuclear abnormalities,  exfoliated cells.</w:t>
      </w:r>
    </w:p>
    <w:p>
      <w:pPr>
        <w:spacing w:after="0" w:line="360" w:lineRule="auto"/>
        <w:jc w:val="both"/>
        <w:sectPr>
          <w:footerReference w:type="default" r:id="rId283"/>
          <w:pgSz w:w="12240" w:h="15840"/>
          <w:pgMar w:footer="599" w:header="0" w:top="1500" w:bottom="780" w:left="0" w:right="0"/>
          <w:pgNumType w:start="71"/>
        </w:sectPr>
      </w:pPr>
    </w:p>
    <w:p>
      <w:pPr>
        <w:pStyle w:val="BodyText"/>
        <w:spacing w:before="4"/>
        <w:rPr>
          <w:sz w:val="11"/>
        </w:rPr>
      </w:pPr>
    </w:p>
    <w:p>
      <w:pPr>
        <w:pStyle w:val="Heading4"/>
        <w:ind w:left="1606" w:right="1887"/>
        <w:jc w:val="center"/>
      </w:pPr>
      <w:r>
        <w:rPr/>
        <w:t>INTRODUCCIÓN</w:t>
      </w:r>
    </w:p>
    <w:p>
      <w:pPr>
        <w:pStyle w:val="BodyText"/>
        <w:spacing w:line="360" w:lineRule="auto" w:before="137"/>
        <w:ind w:left="1418" w:right="1696"/>
        <w:jc w:val="both"/>
      </w:pPr>
      <w:r>
        <w:rPr/>
        <w:t>Un plaguicida es una mezcla de productos químicos destinados a eliminar o controlar plagas que interfieren en la producción de cultivos (USEPA 2010). Estos químicos se utilizan de forma masiva en la agricultura (Moore y Enquobahrie 2011). En 2006, el consumo de plaguicidas en México fue de 95 025 toneladas (SENER 2007), en la floricultura, su uso es indiscriminado, por tratarse de un cultivo permanente y de cosecha diaria.</w:t>
      </w:r>
    </w:p>
    <w:p>
      <w:pPr>
        <w:pStyle w:val="BodyText"/>
        <w:spacing w:line="360" w:lineRule="auto" w:before="202"/>
        <w:ind w:left="1418" w:right="1697"/>
        <w:jc w:val="both"/>
      </w:pPr>
      <w:r>
        <w:rPr/>
        <w:t>En México la superficie dedicada al cultivo de flor se estima en 15 000 hectáreas, el 88% se realiza a cielo abierto y el 12% bajo invernadero, con un volumen de producción anual de 83 377 toneladas (Ceballos 2009). El Estado de México se considera como el principal productor nacional, destacando el municipio de Villa Guerrero (SIAP 2012). Según datos del Instituto Nacional de Estadística y Geografía Conteo de Población (</w:t>
      </w:r>
      <w:hyperlink r:id="rId284">
        <w:r>
          <w:rPr>
            <w:u w:val="single"/>
          </w:rPr>
          <w:t>INEGI </w:t>
        </w:r>
      </w:hyperlink>
      <w:r>
        <w:rPr/>
        <w:t>2010), tiene una población total de 59 991 habitantes, la población económicamente activa se dedica en su gran mayoría a la producción de diferentes variedades de flores, su cultivo requiere de grandes cantidades de plaguicidas (SIAP 2012).</w:t>
      </w:r>
    </w:p>
    <w:p>
      <w:pPr>
        <w:pStyle w:val="BodyText"/>
        <w:spacing w:line="360" w:lineRule="auto" w:before="204"/>
        <w:ind w:left="1418" w:right="1695"/>
        <w:jc w:val="both"/>
      </w:pPr>
      <w:r>
        <w:rPr/>
        <w:t>En la preparación de los plaguicidas se utilizan diferentes formulaciones, incluyendo compuestos genotóxicos, a menudo de manera simultánea en mezclas complejas (Remor </w:t>
      </w:r>
      <w:r>
        <w:rPr>
          <w:i/>
        </w:rPr>
        <w:t>et al</w:t>
      </w:r>
      <w:r>
        <w:rPr/>
        <w:t>. 2009). Los agentes genotóxicos tienen el potencial de interactuar y dañar el ADN, por lo que se les ha atribuido un papel en la iniciación de tumores (Cifuentes </w:t>
      </w:r>
      <w:r>
        <w:rPr>
          <w:i/>
        </w:rPr>
        <w:t>et al</w:t>
      </w:r>
      <w:r>
        <w:rPr/>
        <w:t>. 2010), cáncer (Ding y Tian 2013), en el desarrollo de enfermedades crónicas, degenerativas y en el aumento de malformaciones congénitas (Benedetti </w:t>
      </w:r>
      <w:r>
        <w:rPr>
          <w:i/>
        </w:rPr>
        <w:t>et </w:t>
      </w:r>
      <w:r>
        <w:rPr>
          <w:i/>
        </w:rPr>
        <w:t>al</w:t>
      </w:r>
      <w:r>
        <w:rPr/>
        <w:t>. 2013); así como la aparición de trastornos en el desarrollo (Ding y Tian 2013), neurodesarrollo (Roberts y Karr 2012) y déficit de atención (London </w:t>
      </w:r>
      <w:r>
        <w:rPr>
          <w:i/>
        </w:rPr>
        <w:t>et al</w:t>
      </w:r>
      <w:r>
        <w:rPr/>
        <w:t>. 2012).</w:t>
      </w:r>
    </w:p>
    <w:p>
      <w:pPr>
        <w:pStyle w:val="BodyText"/>
        <w:spacing w:line="360" w:lineRule="auto" w:before="204"/>
        <w:ind w:left="1418" w:right="1701"/>
        <w:jc w:val="both"/>
      </w:pPr>
      <w:r>
        <w:rPr/>
        <w:t>Los niños que viven en entornos agrícolas y de floricultura son sometidos a una gran variedad de eventos que pueden conducir a la exposición acumulativa e indirecta (Vida y Moretto 2007). En comparación con los adultos, los niños son más susceptibles a los efectos adversos de los plaguicidas en el ambiente, debido a su falta  de  madurez  física,  cognitiva  y  fisiológica.  Los  niños  en  crecimiento     </w:t>
      </w:r>
      <w:r>
        <w:rPr>
          <w:spacing w:val="50"/>
        </w:rPr>
        <w:t> </w:t>
      </w:r>
      <w:r>
        <w:rPr/>
        <w:t>son</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60" w:lineRule="auto" w:before="69"/>
        <w:ind w:left="1418" w:right="1705"/>
        <w:jc w:val="both"/>
      </w:pPr>
      <w:r>
        <w:rPr/>
        <w:t>especialmente vulnerables; sus características físicas y actividades al aire libre los ponen en mayor riesgo de sufrir daños ambientales (WHO 2006).</w:t>
      </w:r>
    </w:p>
    <w:p>
      <w:pPr>
        <w:pStyle w:val="BodyText"/>
        <w:spacing w:line="360" w:lineRule="auto" w:before="204"/>
        <w:ind w:left="1418" w:right="1706"/>
        <w:jc w:val="both"/>
      </w:pPr>
      <w:r>
        <w:rPr/>
        <w:t>El monitoreo biológico en poblaciones expuestas es una herramienta de gran interés que permite estimar el riesgo genético resultante de la exposición ambiental a las sustancias químicas (Bonassi </w:t>
      </w:r>
      <w:r>
        <w:rPr>
          <w:i/>
        </w:rPr>
        <w:t>et al. </w:t>
      </w:r>
      <w:r>
        <w:rPr/>
        <w:t>2011).</w:t>
      </w:r>
    </w:p>
    <w:p>
      <w:pPr>
        <w:pStyle w:val="BodyText"/>
        <w:spacing w:line="360" w:lineRule="auto" w:before="206"/>
        <w:ind w:left="1418" w:right="1695"/>
        <w:jc w:val="both"/>
      </w:pPr>
      <w:r>
        <w:rPr/>
        <w:t>El ensayo de MN es un método no invasivo de bajo costo para medir el daño genético en células bucales exfoliadas (Bolognesi </w:t>
      </w:r>
      <w:r>
        <w:rPr>
          <w:i/>
        </w:rPr>
        <w:t>et al</w:t>
      </w:r>
      <w:r>
        <w:rPr/>
        <w:t>. 2011). La presencia de MN en la mucosa bucal se asocia con alteraciones citogéneticas en población expuesta a diversos agentes ambientales (Jyoti </w:t>
      </w:r>
      <w:r>
        <w:rPr>
          <w:i/>
        </w:rPr>
        <w:t>et al</w:t>
      </w:r>
      <w:r>
        <w:rPr/>
        <w:t>. 2013), entre ellos plaguicidas (Bortoli </w:t>
      </w:r>
      <w:r>
        <w:rPr>
          <w:i/>
        </w:rPr>
        <w:t>et al</w:t>
      </w:r>
      <w:r>
        <w:rPr/>
        <w:t>. 2009). Además de los MN en células exfoliadas existen otras AN, las que además de ser fenómenos que podrían ocurrir en procesos normales de diferenciación celular, son indicadores de daño al ADN, citotoxicidad y muerte celular: CB, NL, cromatina condensada (CC), cariorrexis (CR), picnosis (PC), y CL (Bolognesi </w:t>
      </w:r>
      <w:r>
        <w:rPr>
          <w:i/>
        </w:rPr>
        <w:t>et al</w:t>
      </w:r>
      <w:r>
        <w:rPr/>
        <w:t>. 2013, Torres-Bugarín </w:t>
      </w:r>
      <w:r>
        <w:rPr>
          <w:i/>
        </w:rPr>
        <w:t>et al</w:t>
      </w:r>
      <w:r>
        <w:rPr/>
        <w:t>.</w:t>
      </w:r>
      <w:r>
        <w:rPr>
          <w:spacing w:val="-9"/>
        </w:rPr>
        <w:t> </w:t>
      </w:r>
      <w:r>
        <w:rPr/>
        <w:t>2014).</w:t>
      </w:r>
    </w:p>
    <w:p>
      <w:pPr>
        <w:pStyle w:val="BodyText"/>
        <w:spacing w:line="360" w:lineRule="auto" w:before="206"/>
        <w:ind w:left="1418" w:right="1707"/>
        <w:jc w:val="both"/>
      </w:pPr>
      <w:r>
        <w:rPr/>
        <w:t>El propósito de este estudio fue la identificación de MN y AN en células exfoliadas de la mucosa bucal de niños expuestos y no expuestos a plaguicidas.</w:t>
      </w:r>
    </w:p>
    <w:p>
      <w:pPr>
        <w:pStyle w:val="BodyText"/>
      </w:pPr>
    </w:p>
    <w:p>
      <w:pPr>
        <w:pStyle w:val="BodyText"/>
      </w:pPr>
    </w:p>
    <w:p>
      <w:pPr>
        <w:pStyle w:val="BodyText"/>
        <w:spacing w:before="2"/>
        <w:rPr>
          <w:sz w:val="23"/>
        </w:rPr>
      </w:pPr>
    </w:p>
    <w:p>
      <w:pPr>
        <w:pStyle w:val="Heading4"/>
        <w:spacing w:before="0"/>
        <w:ind w:left="1606" w:right="1884"/>
        <w:jc w:val="center"/>
      </w:pPr>
      <w:r>
        <w:rPr/>
        <w:t>MATERIAL Y MÉTODOS</w:t>
      </w:r>
    </w:p>
    <w:p>
      <w:pPr>
        <w:pStyle w:val="BodyText"/>
        <w:spacing w:before="2"/>
        <w:rPr>
          <w:b/>
          <w:sz w:val="29"/>
        </w:rPr>
      </w:pPr>
    </w:p>
    <w:p>
      <w:pPr>
        <w:pStyle w:val="BodyText"/>
        <w:spacing w:line="360" w:lineRule="auto"/>
        <w:ind w:left="1418" w:right="1702"/>
        <w:jc w:val="both"/>
      </w:pPr>
      <w:r>
        <w:rPr/>
        <w:t>Se llevó a cabo un estudio transversal, analítico y comparativo. Se evaluaron 126 niños de ambos sexos (62 hombres y 64 mujeres) de 6 a 12 años de edad; 63 niños de la escuela primaria “Ciencia y Trabajo” de la comunidad de San José Villa Guerrero, cuya principal actividad económica es la floricultura (población expuesta a plaguicidas) y 63 niños de la escuela primaria “Axayácatl” del municipio de Mexicaltzingo, actividad económica predominante es el comercio de carne en canal (población no expuesta), con una distancia de 40.5 km entre ambas comunidades, en el Estado de México.</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60" w:lineRule="auto" w:before="69"/>
        <w:ind w:left="1418" w:right="1706"/>
        <w:jc w:val="both"/>
      </w:pPr>
      <w:r>
        <w:rPr/>
        <w:t>Los padres de los niños fueron informados previamente sobre el estudio y los que accedieron a que sus niños participaran, firmaron el consentimiento informado. Los niños dieron su asentimiento y se tomó su huella digital.</w:t>
      </w:r>
    </w:p>
    <w:p>
      <w:pPr>
        <w:pStyle w:val="BodyText"/>
        <w:spacing w:line="360" w:lineRule="auto" w:before="204"/>
        <w:ind w:left="1418" w:right="1696"/>
        <w:jc w:val="both"/>
      </w:pPr>
      <w:r>
        <w:rPr/>
        <w:t>Se realizó una entrevista cerrada registrando género, edad, tratamiento dental, hábitos alimenticios, consumo de vitaminas, antecedentes familiares de cáncer, antecedentes ginecológicos de la madre (niños con bajo peso, prematuros, abortos, muertos al nacer), hábitos tóxicos de los niños (fumador pasivo). En el grupo expuesto, además, se realizaron preguntas específicas relacionadas con la exposición a plaguicidas (ocupación de los padres, distancia del invernadero  al hogar, actividades de los niños dentro del invernadero, frecuencia de las actividades, aplicación del plaguicida, aseo personal de los niños y de los padres que trabajan en los invernaderos, lugar donde se coloca la ropa usada en el invernadero y el lavado de la misma).</w:t>
      </w:r>
    </w:p>
    <w:p>
      <w:pPr>
        <w:pStyle w:val="BodyText"/>
        <w:spacing w:line="360" w:lineRule="auto" w:before="204"/>
        <w:ind w:left="1418" w:right="1706"/>
        <w:jc w:val="both"/>
      </w:pPr>
      <w:r>
        <w:rPr/>
        <w:t>Criterios de inclusión: niños expuestos directa o indirectamente a plaguicidas, niños no expuestos a plaguicidas, aparentemente sanos, tiempo mínimo de residencia de dos años, con asentimiento de los niños y consentimiento informado de los padres.</w:t>
      </w:r>
    </w:p>
    <w:p>
      <w:pPr>
        <w:pStyle w:val="BodyText"/>
        <w:spacing w:line="360" w:lineRule="auto" w:before="204"/>
        <w:ind w:left="1418" w:right="1705"/>
        <w:jc w:val="both"/>
      </w:pPr>
      <w:r>
        <w:rPr/>
        <w:t>Criterios de exclusión: niños con enfermedades sistémicas o genéticas, consumo de medicamentos en el último mes y extendidos celulares con menos de 1000 células.</w:t>
      </w:r>
    </w:p>
    <w:p>
      <w:pPr>
        <w:pStyle w:val="BodyText"/>
        <w:spacing w:line="360" w:lineRule="auto" w:before="204"/>
        <w:ind w:left="1418" w:right="1695"/>
        <w:jc w:val="both"/>
      </w:pPr>
      <w:r>
        <w:rPr/>
        <w:t>Toma de la muestra: previo enjuague de la boca con agua purificada, se introdujo un portaobjetos de bordes esmerilados limpio y codificado a la boca del paciente y se realizó un raspado gentil de la mucosa vestibular, el extendido celular se llevó a cabo con un segundo portaobjetos. Los frotis se secaron al aire libre y se almacenaron en cajas obscuras transportadoras. Posteriormente se fijaron en etanol al 80% por 48 horas. Para la tinción se utilizó el colorante fluorescente naranja de acridina, solución acuosa al 0.1%, que tiñe el ADN y permite la diferenciación con el ARN (Jyoti </w:t>
      </w:r>
      <w:r>
        <w:rPr>
          <w:i/>
        </w:rPr>
        <w:t>et al</w:t>
      </w:r>
      <w:r>
        <w:rPr/>
        <w:t>. 2013, Torres-Bugarín </w:t>
      </w:r>
      <w:r>
        <w:rPr>
          <w:i/>
        </w:rPr>
        <w:t>et al</w:t>
      </w:r>
      <w:r>
        <w:rPr/>
        <w:t>. 2014). Los criterios utilizados para la identificación de MN y AN fueron los descritos por Bolognesi </w:t>
      </w:r>
      <w:r>
        <w:rPr>
          <w:i/>
        </w:rPr>
        <w:t>et al</w:t>
      </w:r>
      <w:r>
        <w:rPr/>
        <w:t>. (2013).</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60" w:lineRule="auto" w:before="69"/>
        <w:ind w:left="1418" w:right="1703"/>
        <w:jc w:val="both"/>
      </w:pPr>
      <w:r>
        <w:rPr/>
        <w:t>Para evitar lecturas de falsos negativos la lectura de cada laminilla se realizó en una sesión. Los portaobjetos fueron identificados, codificados y observados en un microscopio de equipado con inmunofluorescencia por un único observador (bajo el lente 100 X). Se evaluaron 1000 células por laminilla.</w:t>
      </w:r>
    </w:p>
    <w:p>
      <w:pPr>
        <w:pStyle w:val="BodyText"/>
      </w:pPr>
    </w:p>
    <w:p>
      <w:pPr>
        <w:pStyle w:val="BodyText"/>
        <w:spacing w:line="360" w:lineRule="auto" w:before="142"/>
        <w:ind w:left="1418" w:right="1698"/>
        <w:jc w:val="both"/>
      </w:pPr>
      <w:r>
        <w:rPr/>
        <w:t>El estudio se apegó a los estatutos de la Declaración de Helsinki y el proyecto fue aprobado por el Comité de Bioética de la Facultad de Odontología de la UAEMex.</w:t>
      </w:r>
    </w:p>
    <w:p>
      <w:pPr>
        <w:pStyle w:val="BodyText"/>
      </w:pPr>
    </w:p>
    <w:p>
      <w:pPr>
        <w:pStyle w:val="BodyText"/>
        <w:spacing w:line="360" w:lineRule="auto" w:before="140"/>
        <w:ind w:left="1418" w:right="1704"/>
        <w:jc w:val="both"/>
      </w:pPr>
      <w:r>
        <w:rPr>
          <w:i/>
        </w:rPr>
        <w:t>Análisis estadístico:</w:t>
      </w:r>
      <w:r>
        <w:rPr/>
        <w:t>Las diferencias estadísticas entre la prueba de MN y AN, y la diferencia entre niños expuestos y no expuestos en relación con diferentes características de la población, se llevó a cabo utilizando la prueba no paramétrica U de Mann-Whitney p≤0.05 y correlación de Spearman para las variables continuas.</w:t>
      </w:r>
    </w:p>
    <w:p>
      <w:pPr>
        <w:pStyle w:val="BodyText"/>
      </w:pPr>
    </w:p>
    <w:p>
      <w:pPr>
        <w:pStyle w:val="Heading4"/>
        <w:spacing w:before="142"/>
        <w:ind w:left="1606" w:right="1891"/>
        <w:jc w:val="center"/>
      </w:pPr>
      <w:r>
        <w:rPr/>
        <w:t>RESULTADOS</w:t>
      </w:r>
    </w:p>
    <w:p>
      <w:pPr>
        <w:pStyle w:val="BodyText"/>
        <w:spacing w:line="360" w:lineRule="auto" w:before="139"/>
        <w:ind w:left="1418" w:right="1695"/>
        <w:jc w:val="both"/>
      </w:pPr>
      <w:r>
        <w:rPr/>
        <w:t>En la población infantil potencialmente expuesta a plaguicidas, se observó diferencia significativa de CB (p=0.002) con relación a los controles, en tanto que en el grupo control prevalecieron las células con CR (p=0.006) en comparación con el grupo expuesto. Los niños expuestos a plaguicidas presentaron una baja frecuencia de MN, las cifras no fueron significativas. Mientras que la presencia de células con NL (p=0.5), PC (p=0.9), CC (p=0.1) y el TAN (p=0.8) prevalecieron en el grupo expuesto, aun cuando, no se notaron diferencias significativas (</w:t>
      </w:r>
      <w:r>
        <w:rPr>
          <w:b/>
        </w:rPr>
        <w:t>Cuadro I)</w:t>
      </w:r>
      <w:r>
        <w:rPr/>
        <w:t>.</w:t>
      </w:r>
    </w:p>
    <w:p>
      <w:pPr>
        <w:pStyle w:val="BodyText"/>
      </w:pPr>
    </w:p>
    <w:p>
      <w:pPr>
        <w:pStyle w:val="BodyText"/>
        <w:spacing w:line="360" w:lineRule="auto" w:before="142"/>
        <w:ind w:left="1418" w:right="1701"/>
        <w:jc w:val="both"/>
      </w:pPr>
      <w:r>
        <w:rPr/>
        <w:t>La floricultura fue la actividad preponderante de los padres (58/63) y de las madres (7/63) del grupo expuesto; los domicilios (58/63) se encuentran a un rango menor de 100 metros de distancia de un invernadero, invernaderos de túnel o cultivos a cielo abierto, 43/63 de los niños participan en el desbotonamiento, acarreo, empaquetamiento de la flor y limpieza del invernadero, de estos 37/43 trabajan dos o tres veces a la semana en los invernaderos. Los niños (14/63) y los padres (35/63)  no suele bañarse después de realizar las actividades en el invernadero; 21/63 niños colocanla ropa usada en el invernadero dentro de su casa; la madre lava la ropa de trabajo con la del resto de la familia en 4/63 niños y en 8/63</w:t>
      </w:r>
      <w:r>
        <w:rPr>
          <w:spacing w:val="-24"/>
        </w:rPr>
        <w:t> </w:t>
      </w:r>
      <w:r>
        <w:rPr/>
        <w:t>padres.</w:t>
      </w:r>
    </w:p>
    <w:p>
      <w:pPr>
        <w:spacing w:after="0" w:line="360" w:lineRule="auto"/>
        <w:jc w:val="both"/>
        <w:sectPr>
          <w:pgSz w:w="12240" w:h="15840"/>
          <w:pgMar w:header="0" w:footer="599" w:top="1500" w:bottom="780" w:left="0" w:right="0"/>
        </w:sectPr>
      </w:pPr>
    </w:p>
    <w:p>
      <w:pPr>
        <w:pStyle w:val="BodyText"/>
        <w:rPr>
          <w:sz w:val="20"/>
        </w:rPr>
      </w:pPr>
    </w:p>
    <w:p>
      <w:pPr>
        <w:pStyle w:val="BodyText"/>
        <w:spacing w:before="3"/>
        <w:rPr>
          <w:sz w:val="27"/>
        </w:rPr>
      </w:pPr>
    </w:p>
    <w:p>
      <w:pPr>
        <w:pStyle w:val="BodyText"/>
        <w:spacing w:line="360" w:lineRule="auto" w:before="69"/>
        <w:ind w:left="1418" w:right="1698"/>
        <w:jc w:val="both"/>
      </w:pPr>
      <w:r>
        <w:rPr/>
        <w:t>Se observaron células con CL (p=0.05) y el TAN (p=0.04) en los niños de padres dedicados a la floricultura. Además, los niños del grupo expuesto, de madres dedicadas al hogar presentaron células con CL (p=0.02).</w:t>
      </w:r>
    </w:p>
    <w:p>
      <w:pPr>
        <w:pStyle w:val="BodyText"/>
      </w:pPr>
    </w:p>
    <w:p>
      <w:pPr>
        <w:spacing w:before="139"/>
        <w:ind w:left="1418" w:right="0" w:firstLine="0"/>
        <w:jc w:val="both"/>
        <w:rPr>
          <w:i/>
          <w:sz w:val="24"/>
        </w:rPr>
      </w:pPr>
      <w:r>
        <w:rPr>
          <w:i/>
          <w:sz w:val="24"/>
        </w:rPr>
        <w:t>Factores de variabilidad grupo expuesto</w:t>
      </w:r>
    </w:p>
    <w:p>
      <w:pPr>
        <w:pStyle w:val="BodyText"/>
        <w:spacing w:line="360" w:lineRule="auto" w:before="141"/>
        <w:ind w:left="1418" w:right="1698"/>
        <w:jc w:val="both"/>
      </w:pPr>
      <w:r>
        <w:rPr/>
        <w:t>El Índice de Masa Corporal del grupo expuesto presentó valores significativos de CB (p=0.01). Los niños que recibieron tratamiento dental (amalgamas y/o resinas) presentaron células con MN (p=0.04). En los niños que consumieron alimentos enlatados se observaron células con CL (p=0.03). Los niños con antecedentes familiares de cáncer (p=0.05) y fumadores pasivos (p=0.05) presentaron MN. Las variables edad, género, consumo de vitaminas y problemas ginecológicos de las madres en el grupo expuesto, no mostraron diferencias significativas (</w:t>
      </w:r>
      <w:r>
        <w:rPr>
          <w:b/>
        </w:rPr>
        <w:t>Cuadro II</w:t>
      </w:r>
      <w:r>
        <w:rPr/>
        <w:t>).</w:t>
      </w:r>
    </w:p>
    <w:p>
      <w:pPr>
        <w:pStyle w:val="BodyText"/>
      </w:pPr>
    </w:p>
    <w:p>
      <w:pPr>
        <w:spacing w:before="139"/>
        <w:ind w:left="1418" w:right="0" w:firstLine="0"/>
        <w:jc w:val="both"/>
        <w:rPr>
          <w:i/>
          <w:sz w:val="24"/>
        </w:rPr>
      </w:pPr>
      <w:r>
        <w:rPr>
          <w:i/>
          <w:sz w:val="24"/>
        </w:rPr>
        <w:t>Factores de variabilidad grupo no expuesto</w:t>
      </w:r>
    </w:p>
    <w:p>
      <w:pPr>
        <w:pStyle w:val="BodyText"/>
        <w:spacing w:line="360" w:lineRule="auto" w:before="139"/>
        <w:ind w:left="1418" w:right="1697"/>
        <w:jc w:val="both"/>
      </w:pPr>
      <w:r>
        <w:rPr/>
        <w:t>En el </w:t>
      </w:r>
      <w:r>
        <w:rPr>
          <w:b/>
        </w:rPr>
        <w:t>cuadro III </w:t>
      </w:r>
      <w:r>
        <w:rPr/>
        <w:t>se observa los valores significativos de células BN (p=0.04) por no usar cepillo y pasta dental; células con CL (p=0.05) por no usar enjuague bucal; células con NL (p=0.01) y TAN (p=0.05) por no acudir a consulta para tratamiento dental. El consumo de frutas y verduras mostró diferencias significativas de PC (p=0.05), CR (p=0.05) y TAN (p=0.05); consumo de té se observaron valores significativos de NL (p=0.04) y TAN (p=0.03). Las variables edad, género, consumo de vitaminas, problemas de nacimiento y otros hábitos alimenticios no mostraron diferencias significativas.</w:t>
      </w:r>
    </w:p>
    <w:p>
      <w:pPr>
        <w:pStyle w:val="BodyText"/>
      </w:pPr>
    </w:p>
    <w:p>
      <w:pPr>
        <w:pStyle w:val="BodyText"/>
      </w:pPr>
    </w:p>
    <w:p>
      <w:pPr>
        <w:pStyle w:val="BodyText"/>
        <w:spacing w:before="2"/>
        <w:rPr>
          <w:sz w:val="23"/>
        </w:rPr>
      </w:pPr>
    </w:p>
    <w:p>
      <w:pPr>
        <w:pStyle w:val="Heading4"/>
        <w:spacing w:before="1"/>
        <w:ind w:left="1606" w:right="1885"/>
        <w:jc w:val="center"/>
      </w:pPr>
      <w:r>
        <w:rPr/>
        <w:t>DISCUSIÓN</w:t>
      </w:r>
    </w:p>
    <w:p>
      <w:pPr>
        <w:pStyle w:val="BodyText"/>
        <w:spacing w:before="4"/>
        <w:rPr>
          <w:b/>
          <w:sz w:val="29"/>
        </w:rPr>
      </w:pPr>
    </w:p>
    <w:p>
      <w:pPr>
        <w:pStyle w:val="BodyText"/>
        <w:spacing w:line="360" w:lineRule="auto" w:before="1"/>
        <w:ind w:left="1418" w:right="1698"/>
        <w:jc w:val="both"/>
      </w:pPr>
      <w:r>
        <w:rPr/>
        <w:t>El propósito de este estudio fue determinar la presencia de MN y AN mediante un análisis paralelo en niños de un grupo control de una escuela del Municipio de Mexicaltzingo centro cuya actividad económica preponderante es la carne de canal, aunque también el INEGI refiere cultivo de maíz y avena pero con baja producción,</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60" w:lineRule="auto" w:before="69"/>
        <w:ind w:left="1418" w:right="1695"/>
        <w:jc w:val="both"/>
      </w:pPr>
      <w:r>
        <w:rPr/>
        <w:t>los campos de cultivo se encuentran distantes a la escuela y un grupo de niños expuestos a plaguicidas, de la comunidad de San José, Villa Guerrero que es una zona florícola, con diversidad de cultivos que requieren del uso de diferentes plaguicidas para su mantenimiento, el periodo de fumigación en cada invernadero o cultivo está programado semanalmente de acuerdo al tipo de flor y plaga que puedan presentar, por lo que, la fumigación es constante, estas condiciones de exposición ambiental han sido descritas previamente (Antonio </w:t>
      </w:r>
      <w:r>
        <w:rPr>
          <w:i/>
        </w:rPr>
        <w:t>et al</w:t>
      </w:r>
      <w:r>
        <w:rPr/>
        <w:t>. 2013). Los invernaderos y los sembradíos a cielo abierto se hallan aproximadamente a 100 metros de distancia de los hogares y de la escuela primaria de la localidad, lo que sugiere que los niños, están sujetos a una exposición acumulativa de residuos de plaguicidas de acuerdo a Vida y Moretto</w:t>
      </w:r>
      <w:r>
        <w:rPr>
          <w:spacing w:val="-5"/>
        </w:rPr>
        <w:t> </w:t>
      </w:r>
      <w:r>
        <w:rPr/>
        <w:t>(2007).</w:t>
      </w:r>
    </w:p>
    <w:p>
      <w:pPr>
        <w:pStyle w:val="BodyText"/>
        <w:spacing w:line="360" w:lineRule="auto" w:before="202"/>
        <w:ind w:left="1418" w:right="1701"/>
        <w:jc w:val="both"/>
      </w:pPr>
      <w:r>
        <w:rPr/>
        <w:t>Los plaguicidas según su formulación tienen un tiempo de permanencia en el ambiente, siendo los más utilizados en nuestro medio los organofosforados con una vida media de años y los no persistentes como los carbamatos y piretroides con una vida media de días a semanas (Prieto </w:t>
      </w:r>
      <w:r>
        <w:rPr>
          <w:i/>
        </w:rPr>
        <w:t>et al</w:t>
      </w:r>
      <w:r>
        <w:rPr/>
        <w:t>. 2012). Los niños presentan un alto riesgo de exposición aun cuando no estén presentes durante las fumigaciones debido a sus actividades laborales en los invernaderos y de esparcimiento al aire libre.</w:t>
      </w:r>
    </w:p>
    <w:p>
      <w:pPr>
        <w:pStyle w:val="BodyText"/>
        <w:spacing w:line="360" w:lineRule="auto" w:before="204"/>
        <w:ind w:left="1418" w:right="1698"/>
        <w:jc w:val="both"/>
      </w:pPr>
      <w:r>
        <w:rPr/>
        <w:t>Los niños a diferencia de los adultos son más sensibles a los efectos tóxicos de los plaguicidas a causa de la inmadurez de su cuerpo (Gebara </w:t>
      </w:r>
      <w:r>
        <w:rPr>
          <w:i/>
        </w:rPr>
        <w:t>et al</w:t>
      </w:r>
      <w:r>
        <w:rPr/>
        <w:t>. 2011), de su metabolismo y las funciones del hígado (Gómez-Arroyo </w:t>
      </w:r>
      <w:r>
        <w:rPr>
          <w:i/>
        </w:rPr>
        <w:t>et al</w:t>
      </w:r>
      <w:r>
        <w:rPr/>
        <w:t>. 2013), de su frecuencia respiratoria y ritmo cardíaco (Vida y Moretto 2007). El riesgo potencial de intoxicación crónica por la exposición a plaguicidas en niños ha sido reportado (Pesticide Exposure 2012).</w:t>
      </w:r>
    </w:p>
    <w:p>
      <w:pPr>
        <w:pStyle w:val="BodyText"/>
        <w:spacing w:line="360" w:lineRule="auto" w:before="205"/>
        <w:ind w:left="1418" w:right="1694"/>
        <w:jc w:val="both"/>
      </w:pPr>
      <w:r>
        <w:rPr/>
        <w:t>En este estudio se utilizó la técnica de MN en células descamadas de la mucosa bucal debido a que es mínimamente invasiva (Ros-Llor y Lopez-Jornet 2014, Torres- Bugarín y Ramos-Ibarra 2013), y adecuada para poblaciones pediátricas (Bonassi </w:t>
      </w:r>
      <w:r>
        <w:rPr>
          <w:i/>
        </w:rPr>
        <w:t>et </w:t>
      </w:r>
      <w:r>
        <w:rPr>
          <w:i/>
        </w:rPr>
        <w:t>al</w:t>
      </w:r>
      <w:r>
        <w:rPr/>
        <w:t>. 2011), las células fueron teñidas con naranja de acridina como lo sugiere Jyoti </w:t>
      </w:r>
      <w:r>
        <w:rPr>
          <w:i/>
        </w:rPr>
        <w:t>et </w:t>
      </w:r>
      <w:r>
        <w:rPr>
          <w:i/>
        </w:rPr>
        <w:t>al</w:t>
      </w:r>
      <w:r>
        <w:rPr/>
        <w:t>. (2013).</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60" w:lineRule="auto" w:before="69"/>
        <w:ind w:left="1418" w:right="1695"/>
        <w:jc w:val="both"/>
      </w:pPr>
      <w:r>
        <w:rPr/>
        <w:t>La frecuencia de MN en el grupo expuesto y el grupo no expuesto, se encontró  dentro de los parámetros de 0 a 4 por 1000 células, referidos por Martínez- Valenzuela </w:t>
      </w:r>
      <w:r>
        <w:rPr>
          <w:i/>
        </w:rPr>
        <w:t>et al</w:t>
      </w:r>
      <w:r>
        <w:rPr/>
        <w:t>. (2009) en poblaciones sanas. Estos valores en el grupo control fueron los esperados, en tanto que la baja frecuencia de MN en los niños expuestos en este estudio, al compararla con los resultados de Benítez </w:t>
      </w:r>
      <w:r>
        <w:rPr>
          <w:i/>
        </w:rPr>
        <w:t>et al</w:t>
      </w:r>
      <w:r>
        <w:rPr/>
        <w:t>. (2010) y Bortoli </w:t>
      </w:r>
      <w:r>
        <w:rPr>
          <w:i/>
        </w:rPr>
        <w:t>et </w:t>
      </w:r>
      <w:r>
        <w:rPr>
          <w:i/>
        </w:rPr>
        <w:t>al</w:t>
      </w:r>
      <w:r>
        <w:rPr/>
        <w:t>. (2009) puede deberse a que los autores utilizaron la tinción con Giemsa, Bonassi </w:t>
      </w:r>
      <w:r>
        <w:rPr>
          <w:i/>
        </w:rPr>
        <w:t>et al</w:t>
      </w:r>
      <w:r>
        <w:rPr/>
        <w:t>. (2011) explican que la tinción con Giemsa no es específica para ADN y los MN se pueden confundir con bacterias o fragmentos no nucleares como los gránulos de queratohialina, dando resultados falsos-negativos. Además, debe considerarse que las características de las poblaciones expuestas a plaguicidas, varían de un lugar a otro (Pastor 2002, Martínez-Valenzuela 2009), incluyendo el uso de distintos compuestos, o mezclas (Remor </w:t>
      </w:r>
      <w:r>
        <w:rPr>
          <w:i/>
        </w:rPr>
        <w:t>et al</w:t>
      </w:r>
      <w:r>
        <w:rPr/>
        <w:t>. 2009), la frecuencia de aplicación de los plaguicidas según el tipo de cultivo (Lucero </w:t>
      </w:r>
      <w:r>
        <w:rPr>
          <w:i/>
        </w:rPr>
        <w:t>et al</w:t>
      </w:r>
      <w:r>
        <w:rPr/>
        <w:t>. 2000), las condiciones ambientales, particularmente el clima cálido y húmedo (Piperakis </w:t>
      </w:r>
      <w:r>
        <w:rPr>
          <w:i/>
        </w:rPr>
        <w:t>et al</w:t>
      </w:r>
      <w:r>
        <w:rPr/>
        <w:t>. 2006), en el caso de las personas expuestas ocupacionalmente, el uso de protección durante la preparación y aplicación de los plaguicidas (Costa </w:t>
      </w:r>
      <w:r>
        <w:rPr>
          <w:i/>
        </w:rPr>
        <w:t>et al</w:t>
      </w:r>
      <w:r>
        <w:rPr/>
        <w:t>. 2007), si el trabajo es realizado en invernaderos y/o a cielo abierto (Costa </w:t>
      </w:r>
      <w:r>
        <w:rPr>
          <w:i/>
        </w:rPr>
        <w:t>et al</w:t>
      </w:r>
      <w:r>
        <w:rPr/>
        <w:t>. 2007), si la vía de contacto es dérmica y si se utilizan plaguicidas con baja toxicidad (Lidén 2011), estos factores pueden influir en la formación y cantidad de MN en individuos expuestos a</w:t>
      </w:r>
      <w:r>
        <w:rPr>
          <w:spacing w:val="-16"/>
        </w:rPr>
        <w:t> </w:t>
      </w:r>
      <w:r>
        <w:rPr/>
        <w:t>plaguicidas.</w:t>
      </w:r>
    </w:p>
    <w:p>
      <w:pPr>
        <w:pStyle w:val="BodyText"/>
      </w:pPr>
    </w:p>
    <w:p>
      <w:pPr>
        <w:pStyle w:val="BodyText"/>
        <w:spacing w:line="360" w:lineRule="auto" w:before="142"/>
        <w:ind w:left="1418" w:right="1700"/>
        <w:jc w:val="both"/>
      </w:pPr>
      <w:r>
        <w:rPr/>
        <w:t>El riesgo de alteraciones citogenéticas, aumenta cuando el contacto es por vía oral (Holland </w:t>
      </w:r>
      <w:r>
        <w:rPr>
          <w:i/>
        </w:rPr>
        <w:t>et al</w:t>
      </w:r>
      <w:r>
        <w:rPr/>
        <w:t>. 2008), principalmente en países subdesarrollados donde los protocolos de protección no se siguen y se utilizan mezclas plaguicidas potencialmente tóxicos (Martínez-Valenzuela </w:t>
      </w:r>
      <w:r>
        <w:rPr>
          <w:i/>
        </w:rPr>
        <w:t>et al</w:t>
      </w:r>
      <w:r>
        <w:rPr/>
        <w:t>. 2007) lo que ha dado lugar a resultados controvertidos en la identificación de MN y AN en individuos expuestos directamente e indirectamente a plaguicidas (Bortoli </w:t>
      </w:r>
      <w:r>
        <w:rPr>
          <w:i/>
        </w:rPr>
        <w:t>et al</w:t>
      </w:r>
      <w:r>
        <w:rPr/>
        <w:t>.</w:t>
      </w:r>
      <w:r>
        <w:rPr>
          <w:spacing w:val="-19"/>
        </w:rPr>
        <w:t> </w:t>
      </w:r>
      <w:r>
        <w:rPr/>
        <w:t>2009).</w:t>
      </w:r>
    </w:p>
    <w:p>
      <w:pPr>
        <w:pStyle w:val="BodyText"/>
      </w:pPr>
    </w:p>
    <w:p>
      <w:pPr>
        <w:pStyle w:val="BodyText"/>
        <w:spacing w:line="360" w:lineRule="auto" w:before="144"/>
        <w:ind w:left="1418" w:right="1695"/>
        <w:jc w:val="both"/>
      </w:pPr>
      <w:r>
        <w:rPr/>
        <w:t>La búsqueda de MN en células de la mucosa bucal y en linfocitos de sangre periférica, en agricultores no siempre ha sido exitosa (Scarpato </w:t>
      </w:r>
      <w:r>
        <w:rPr>
          <w:i/>
        </w:rPr>
        <w:t>et al</w:t>
      </w:r>
      <w:r>
        <w:rPr/>
        <w:t>. 1996, Lucero </w:t>
      </w:r>
      <w:r>
        <w:rPr>
          <w:i/>
        </w:rPr>
        <w:t>et </w:t>
      </w:r>
      <w:r>
        <w:rPr>
          <w:i/>
        </w:rPr>
        <w:t>al. </w:t>
      </w:r>
      <w:r>
        <w:rPr/>
        <w:t>2000, Pastor </w:t>
      </w:r>
      <w:r>
        <w:rPr>
          <w:i/>
        </w:rPr>
        <w:t>et al</w:t>
      </w:r>
      <w:r>
        <w:rPr/>
        <w:t>. 2001, Piperakis </w:t>
      </w:r>
      <w:r>
        <w:rPr>
          <w:i/>
        </w:rPr>
        <w:t>et al</w:t>
      </w:r>
      <w:r>
        <w:rPr/>
        <w:t>. 2006, Remor </w:t>
      </w:r>
      <w:r>
        <w:rPr>
          <w:i/>
        </w:rPr>
        <w:t>et al</w:t>
      </w:r>
      <w:r>
        <w:rPr/>
        <w:t>. 2009). Pastor </w:t>
      </w:r>
      <w:r>
        <w:rPr>
          <w:i/>
        </w:rPr>
        <w:t>et al</w:t>
      </w:r>
      <w:r>
        <w:rPr/>
        <w:t>. (2001), en trabajadores que manipulan plaguicidas no encontraron MN y AN, sin</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60" w:lineRule="auto" w:before="69"/>
        <w:ind w:left="1418" w:right="1694"/>
        <w:jc w:val="both"/>
      </w:pPr>
      <w:r>
        <w:rPr/>
        <w:t>embargo, detectaron reducción del índice de bloqueo de la proliferación de citoquininas, lo que indica contacto con sustancias citotóxicas, que pueden afectar la cinética de la proliferación celular. Además, Remor </w:t>
      </w:r>
      <w:r>
        <w:rPr>
          <w:i/>
        </w:rPr>
        <w:t>et al</w:t>
      </w:r>
      <w:r>
        <w:rPr/>
        <w:t>. (2009) demostró una disminución en la actividad de acetilcolinesterasa y de la dehidrasa del ácido delta- aminolevulínico (ALA-D) en sangre</w:t>
      </w:r>
      <w:r>
        <w:rPr>
          <w:b/>
        </w:rPr>
        <w:t>, </w:t>
      </w:r>
      <w:r>
        <w:rPr/>
        <w:t>así como un incremento en daño del ADN mediante el ensayo cometa.</w:t>
      </w:r>
    </w:p>
    <w:p>
      <w:pPr>
        <w:pStyle w:val="BodyText"/>
      </w:pPr>
    </w:p>
    <w:p>
      <w:pPr>
        <w:pStyle w:val="BodyText"/>
        <w:spacing w:line="360" w:lineRule="auto" w:before="142"/>
        <w:ind w:left="1418" w:right="1699"/>
        <w:jc w:val="both"/>
      </w:pPr>
      <w:r>
        <w:rPr/>
        <w:t>Algunos reportes en la literatura refieren un incremento significativo de MN y AN en trabajadores expuestos a plaguicidas (Gómez-Arroyo </w:t>
      </w:r>
      <w:r>
        <w:rPr>
          <w:i/>
        </w:rPr>
        <w:t>et al</w:t>
      </w:r>
      <w:r>
        <w:rPr/>
        <w:t>. 2013) y en población infantil expuesta indirectamente (Benítez </w:t>
      </w:r>
      <w:r>
        <w:rPr>
          <w:i/>
        </w:rPr>
        <w:t>et al</w:t>
      </w:r>
      <w:r>
        <w:rPr/>
        <w:t>. 2010)</w:t>
      </w:r>
    </w:p>
    <w:p>
      <w:pPr>
        <w:pStyle w:val="BodyText"/>
      </w:pPr>
    </w:p>
    <w:p>
      <w:pPr>
        <w:pStyle w:val="BodyText"/>
        <w:spacing w:line="360" w:lineRule="auto" w:before="144"/>
        <w:ind w:left="1418" w:right="1695"/>
        <w:jc w:val="both"/>
      </w:pPr>
      <w:r>
        <w:rPr/>
        <w:t>Los resultados de este estudio no muestran valores significativos en el número de  MN al contrastarlo con el grupo control, probablemente debido a que los niños no están directamente expuestos a las fumigaciones vía dérmica. La actividad de los niños en el invernadero y la frecuencia con que asisten, no revelaron diferencias significativas en el número de MN y AN. Un hallazgo similar se observa en los niños que dejan su ropa en el invernadero y que queda expuesta a las fumigaciones constantes. A pesar de que esta situación significa un riesgo potencialmente alto de exposición, ya que los componentes de un gran número de plaguicidas pueden ser absorbidos por la piel sana, particularmente cuando se encuentra caliente o sudorosa (momento en que los poros están más dilatados) (Lidén 2011) esto es factible debido al clima cálido y húmedo característico de la Localidad de San José (Piperakis </w:t>
      </w:r>
      <w:r>
        <w:rPr>
          <w:i/>
        </w:rPr>
        <w:t>et al</w:t>
      </w:r>
      <w:r>
        <w:rPr/>
        <w:t>. 2006). Además, el plaguicida es absorbido con mayor rapidez si la formulación es líquida, aceitosa o si la piel está inflamada o tiene cortes o abrasiones (Lidén 2011), eventos comunes en los niños durante el desbotonamiento de la flor, en este caso es probable que los residuos de los plaguicidas en las flores sean un factor de exposición</w:t>
      </w:r>
      <w:r>
        <w:rPr>
          <w:spacing w:val="-9"/>
        </w:rPr>
        <w:t> </w:t>
      </w:r>
      <w:r>
        <w:rPr/>
        <w:t>indirecta.</w:t>
      </w:r>
    </w:p>
    <w:p>
      <w:pPr>
        <w:pStyle w:val="BodyText"/>
      </w:pPr>
    </w:p>
    <w:p>
      <w:pPr>
        <w:pStyle w:val="BodyText"/>
        <w:spacing w:line="360" w:lineRule="auto" w:before="142"/>
        <w:ind w:left="1418" w:right="1700"/>
        <w:jc w:val="both"/>
      </w:pPr>
      <w:r>
        <w:rPr/>
        <w:t>Las AN: CB, NL, PC, CC y TAN, fueron más frecuentes en el grupo expuesto,  aunque solo las CB mostraron valores significativos, resultados similares fueron referidos por Benítez </w:t>
      </w:r>
      <w:r>
        <w:rPr>
          <w:i/>
        </w:rPr>
        <w:t>et al. </w:t>
      </w:r>
      <w:r>
        <w:rPr/>
        <w:t>(2010). Las CB son indicadoras de fallas en la </w:t>
      </w:r>
      <w:r>
        <w:rPr>
          <w:spacing w:val="62"/>
        </w:rPr>
        <w:t> </w:t>
      </w:r>
      <w:r>
        <w:rPr/>
        <w:t>citocinesis</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60" w:lineRule="auto" w:before="69"/>
        <w:ind w:left="1418" w:right="1695"/>
        <w:jc w:val="both"/>
      </w:pPr>
      <w:r>
        <w:rPr/>
        <w:t>y susceptibilidad a aneuploidía que está asociada a un incremento en el riesgo de cáncer y enfermedades neurodegenerativas (Thomas </w:t>
      </w:r>
      <w:r>
        <w:rPr>
          <w:i/>
        </w:rPr>
        <w:t>et al</w:t>
      </w:r>
      <w:r>
        <w:rPr/>
        <w:t>. 2008, Bonassi </w:t>
      </w:r>
      <w:r>
        <w:rPr>
          <w:i/>
        </w:rPr>
        <w:t>et al</w:t>
      </w:r>
      <w:r>
        <w:rPr/>
        <w:t>.  2011, Rezende </w:t>
      </w:r>
      <w:r>
        <w:rPr>
          <w:i/>
        </w:rPr>
        <w:t>et al</w:t>
      </w:r>
      <w:r>
        <w:rPr/>
        <w:t>. 2011, Bolognesi </w:t>
      </w:r>
      <w:r>
        <w:rPr>
          <w:i/>
        </w:rPr>
        <w:t>et al</w:t>
      </w:r>
      <w:r>
        <w:rPr/>
        <w:t>.</w:t>
      </w:r>
      <w:r>
        <w:rPr>
          <w:spacing w:val="-17"/>
        </w:rPr>
        <w:t> </w:t>
      </w:r>
      <w:r>
        <w:rPr/>
        <w:t>2011).</w:t>
      </w:r>
    </w:p>
    <w:p>
      <w:pPr>
        <w:pStyle w:val="BodyText"/>
      </w:pPr>
    </w:p>
    <w:p>
      <w:pPr>
        <w:pStyle w:val="BodyText"/>
        <w:spacing w:line="360" w:lineRule="auto" w:before="144"/>
        <w:ind w:left="1418" w:right="1695"/>
        <w:jc w:val="both"/>
      </w:pPr>
      <w:r>
        <w:rPr/>
        <w:t>Aun cuando las fumigaciones de plantíos a cielo abierto ofrecen un menor riesgo que los ambientes cerrados, los niños por sus actividades al aire libre pueden tener contacto con las gotitas del aerosol suspendidas en el aire y expliquen la presencia de AN. Los niños cuyos padres se dedican a la floricultura presentaron valores estadísticamente significativos en células con CL y el TAN, Ergene </w:t>
      </w:r>
      <w:r>
        <w:rPr>
          <w:i/>
        </w:rPr>
        <w:t>et al</w:t>
      </w:r>
      <w:r>
        <w:rPr/>
        <w:t>. (2007) reportaron hallazgos similares, que sugieren la posibilidad de exposición indirecta, puesto que los padres llevan la ropa de trabajo al hogar. Este hecho se confirma al notar que los niños de las madres dedicadas al hogar presentaron valores significativos de CL, el mecanismo de formación de la CL, no se ha clarificado, es posible que se asocie con un efecto acumulativo de factores de riesgo, entre ellos: cercanía a los invernaderos (Bernardi 2015) y áreas de cultivo a cielo abierto (Pastor </w:t>
      </w:r>
      <w:r>
        <w:rPr>
          <w:i/>
        </w:rPr>
        <w:t>et al</w:t>
      </w:r>
      <w:r>
        <w:rPr/>
        <w:t>. 2001), los niños que laboran en el invernadero frecuentemente, falta de cuidados dentales (atención dental e higiene deficiente) (Bastos-Aires </w:t>
      </w:r>
      <w:r>
        <w:rPr>
          <w:i/>
        </w:rPr>
        <w:t>et al</w:t>
      </w:r>
      <w:r>
        <w:rPr/>
        <w:t>. 2013), antecedentes de cáncer en familiares (Weichenthal </w:t>
      </w:r>
      <w:r>
        <w:rPr>
          <w:i/>
        </w:rPr>
        <w:t>et al.</w:t>
      </w:r>
      <w:r>
        <w:rPr/>
        <w:t>1989), antecedentes de bajo peso al nacer (Acosta-Maldonado </w:t>
      </w:r>
      <w:r>
        <w:rPr>
          <w:i/>
        </w:rPr>
        <w:t>et al.</w:t>
      </w:r>
      <w:r>
        <w:rPr/>
        <w:t>2009), fumador pasivo (Jindal </w:t>
      </w:r>
      <w:r>
        <w:rPr>
          <w:i/>
        </w:rPr>
        <w:t>et al</w:t>
      </w:r>
      <w:r>
        <w:rPr/>
        <w:t>. 2013) probable exposición indirecta a plaguicidas por lavado deficiente de frutasy verduras (Mantovani </w:t>
      </w:r>
      <w:r>
        <w:rPr>
          <w:i/>
        </w:rPr>
        <w:t>et al</w:t>
      </w:r>
      <w:r>
        <w:rPr/>
        <w:t>.</w:t>
      </w:r>
      <w:r>
        <w:rPr>
          <w:spacing w:val="-15"/>
        </w:rPr>
        <w:t> </w:t>
      </w:r>
      <w:r>
        <w:rPr/>
        <w:t>2008).</w:t>
      </w:r>
    </w:p>
    <w:p>
      <w:pPr>
        <w:pStyle w:val="BodyText"/>
      </w:pPr>
    </w:p>
    <w:p>
      <w:pPr>
        <w:pStyle w:val="BodyText"/>
        <w:spacing w:line="360" w:lineRule="auto" w:before="144"/>
        <w:ind w:left="1418" w:right="1696"/>
        <w:jc w:val="both"/>
      </w:pPr>
      <w:r>
        <w:rPr/>
        <w:t>Aunque, los efectos adversos por exposición de plaguicidas en dosis bajas son poco claros, Burns </w:t>
      </w:r>
      <w:r>
        <w:rPr>
          <w:i/>
        </w:rPr>
        <w:t>et al</w:t>
      </w:r>
      <w:r>
        <w:rPr/>
        <w:t>. (2013) y Bolognesi </w:t>
      </w:r>
      <w:r>
        <w:rPr>
          <w:i/>
        </w:rPr>
        <w:t>et al</w:t>
      </w:r>
      <w:r>
        <w:rPr/>
        <w:t>. (2011) sugieren que las diferencias interindividuales en la capacidad de activar o desintoxicar sustancias genotóxicas y reparar el daño producido al ADN manifiestan susceptibilidad diferencial a la exposición de plaguicidas.</w:t>
      </w:r>
    </w:p>
    <w:p>
      <w:pPr>
        <w:spacing w:after="0" w:line="360" w:lineRule="auto"/>
        <w:jc w:val="both"/>
        <w:sectPr>
          <w:footerReference w:type="default" r:id="rId285"/>
          <w:pgSz w:w="12240" w:h="15840"/>
          <w:pgMar w:footer="599" w:header="0" w:top="1500" w:bottom="780" w:left="0" w:right="0"/>
        </w:sectPr>
      </w:pPr>
    </w:p>
    <w:p>
      <w:pPr>
        <w:pStyle w:val="BodyText"/>
        <w:spacing w:before="4"/>
        <w:rPr>
          <w:sz w:val="11"/>
        </w:rPr>
      </w:pPr>
    </w:p>
    <w:p>
      <w:pPr>
        <w:pStyle w:val="BodyText"/>
        <w:spacing w:line="360" w:lineRule="auto" w:before="69"/>
        <w:ind w:left="1418" w:right="1706"/>
        <w:jc w:val="both"/>
      </w:pPr>
      <w:r>
        <w:rPr/>
        <w:t>Los resultados reportados en la literatura acerca de la influencia de factores de variabilidad que pueden intervenir en el aumento o disminución de la frecuencia de MN y AN son poco concluyentes (Gajski </w:t>
      </w:r>
      <w:r>
        <w:rPr>
          <w:i/>
        </w:rPr>
        <w:t>et al</w:t>
      </w:r>
      <w:r>
        <w:rPr/>
        <w:t>. 2013).</w:t>
      </w:r>
    </w:p>
    <w:p>
      <w:pPr>
        <w:pStyle w:val="BodyText"/>
        <w:spacing w:line="360" w:lineRule="auto" w:before="206"/>
        <w:ind w:left="1418" w:right="1695"/>
        <w:jc w:val="both"/>
      </w:pPr>
      <w:r>
        <w:rPr/>
        <w:t>En el grupo expuesto se notaron valores estadísticamente significativos: de células con MN en los niños a los que se les ha realizado un tratamiento con resina y/o amalgama, en el mes en que se obtuvieron las muestras. Rezende </w:t>
      </w:r>
      <w:r>
        <w:rPr>
          <w:i/>
        </w:rPr>
        <w:t>et al</w:t>
      </w:r>
      <w:r>
        <w:rPr/>
        <w:t>. (2011), sugieren que la combinación de iónomero de vidrio, óxido de cinc y eugenol con resina incrementa la frecuencia de MN y CB en células exfoliadas de los niños, en tanto que en el grupo control solo se reportó este tipo de tratamiento en un niño</w:t>
      </w:r>
    </w:p>
    <w:p>
      <w:pPr>
        <w:pStyle w:val="BodyText"/>
        <w:spacing w:line="360" w:lineRule="auto" w:before="204"/>
        <w:ind w:left="1418" w:right="1696"/>
        <w:jc w:val="both"/>
      </w:pPr>
      <w:r>
        <w:rPr/>
        <w:t>En el grupo expuesto no se observaron diferencias significativas de MN o AN, la mayoría de los niños, aunque no acuden al dentista en forma regular, tienen una higiene apropiada sin el uso de enjuague bucal, mientras que en el grupo control, se observó diferencia significativa de CB en los niños con higiene dental deficiente, CL en los que no usan enjuague bucal y NL y TAN en los que no han asistido a consulta dental, estos hallazgos pueden explicarse considerando que los procesos inflamatorios de las encías por deficiente cuidado dental inducen el desarrollo de MN y AN (Bastos-Aires </w:t>
      </w:r>
      <w:r>
        <w:rPr>
          <w:i/>
        </w:rPr>
        <w:t>et al. </w:t>
      </w:r>
      <w:r>
        <w:rPr/>
        <w:t>2013).</w:t>
      </w:r>
    </w:p>
    <w:p>
      <w:pPr>
        <w:pStyle w:val="BodyText"/>
        <w:spacing w:line="360" w:lineRule="auto" w:before="206"/>
        <w:ind w:left="1418" w:right="1698"/>
        <w:jc w:val="both"/>
      </w:pPr>
      <w:r>
        <w:rPr/>
        <w:t>En el grupo control se observaron valores estadísticamente significativos de células con cariorrexis, que según Bolognesi </w:t>
      </w:r>
      <w:r>
        <w:rPr>
          <w:i/>
        </w:rPr>
        <w:t>et al</w:t>
      </w:r>
      <w:r>
        <w:rPr/>
        <w:t>. (2013), se deben a la exposición a genotóxicos desconocidos, acitotoxinas presentes en el ambiente, a la existencia de defectos genéticos capaces de inducir daño en el genoma y en la morfología celular.</w:t>
      </w:r>
    </w:p>
    <w:p>
      <w:pPr>
        <w:pStyle w:val="BodyText"/>
        <w:spacing w:line="360" w:lineRule="auto" w:before="204"/>
        <w:ind w:left="1418" w:right="1693"/>
        <w:jc w:val="both"/>
      </w:pPr>
      <w:r>
        <w:rPr/>
        <w:t>El consumo de alimentos enlatados mostró valores significativos de células con CL en el grupo expuesto, esto puede deberse a que los envases de los alimentos y bebidas enlatadas tienen un revestimiento protector de plástico, que contiene Bisfenol-A (BPA), este es conocido como un disruptor endocrino (Xin </w:t>
      </w:r>
      <w:r>
        <w:rPr>
          <w:i/>
        </w:rPr>
        <w:t>et al</w:t>
      </w:r>
      <w:r>
        <w:rPr/>
        <w:t>. 2014). Tiwari </w:t>
      </w:r>
      <w:r>
        <w:rPr>
          <w:i/>
        </w:rPr>
        <w:t>et al</w:t>
      </w:r>
      <w:r>
        <w:rPr/>
        <w:t>. (2012) </w:t>
      </w:r>
      <w:r>
        <w:rPr>
          <w:i/>
        </w:rPr>
        <w:t>in vivo </w:t>
      </w:r>
      <w:r>
        <w:rPr/>
        <w:t>e </w:t>
      </w:r>
      <w:r>
        <w:rPr>
          <w:i/>
        </w:rPr>
        <w:t>in vitro </w:t>
      </w:r>
      <w:r>
        <w:rPr/>
        <w:t>en ratones, observaron que la exposición a BPA se asoció con un aumento significativo en la frecuencia de MN. Los niños del grupo control no presentaron CL ni otro tipo de AN debido al bajo consumo de estos productos.</w:t>
      </w:r>
    </w:p>
    <w:p>
      <w:pPr>
        <w:spacing w:after="0" w:line="360" w:lineRule="auto"/>
        <w:jc w:val="both"/>
        <w:sectPr>
          <w:footerReference w:type="default" r:id="rId286"/>
          <w:pgSz w:w="12240" w:h="15840"/>
          <w:pgMar w:footer="599" w:header="0" w:top="1500" w:bottom="780" w:left="0" w:right="0"/>
          <w:pgNumType w:start="81"/>
        </w:sectPr>
      </w:pPr>
    </w:p>
    <w:p>
      <w:pPr>
        <w:pStyle w:val="BodyText"/>
        <w:spacing w:before="4"/>
        <w:rPr>
          <w:sz w:val="11"/>
        </w:rPr>
      </w:pPr>
    </w:p>
    <w:p>
      <w:pPr>
        <w:pStyle w:val="BodyText"/>
        <w:spacing w:line="360" w:lineRule="auto" w:before="69"/>
        <w:ind w:left="1418" w:right="1695"/>
        <w:jc w:val="both"/>
      </w:pPr>
      <w:r>
        <w:rPr/>
        <w:t>El consumo de embutidos en ambos grupos no mostró diferencias significativas en la presenciad de MN y AN. Se ha considerado que el uso generalizado de los conservadores en los alimentos causa graves problemas de salud. Goc </w:t>
      </w:r>
      <w:r>
        <w:rPr>
          <w:i/>
        </w:rPr>
        <w:t>et al</w:t>
      </w:r>
      <w:r>
        <w:rPr/>
        <w:t>. (2010) encontraron valores significativos de MN en médula ósea, de ratones sometidos a una dosis de 400 mg/kg de Devocil, que es utilizado en el procesamiento del queso y embutidos.</w:t>
      </w:r>
    </w:p>
    <w:p>
      <w:pPr>
        <w:pStyle w:val="BodyText"/>
        <w:spacing w:line="360" w:lineRule="auto" w:before="204"/>
        <w:ind w:left="1418" w:right="1700"/>
        <w:jc w:val="both"/>
      </w:pPr>
      <w:r>
        <w:rPr/>
        <w:t>Bonassi et al. (2011) notaron una baja frecuencia de MN en los sujetos con una dieta diaria de frutas y verduras, el efecto antioxidante de estos alimentos se asocia disminución de daño en el ADN. En los niños del grupo expuesto que consumen frutas y verduras de forma regular, y que son lavadas apropiadamente, no se detectó un aumento en la frecuencia de MN o AN, sin embargo, en los niños del grupo  control se observaron valores significativos de PC, CR, TAN, estos resultados contradictorios pueden deberse a la presencia de plaguicidas en las frutas y verduras que no fueron lavadas correctamente. Mantovani </w:t>
      </w:r>
      <w:r>
        <w:rPr>
          <w:i/>
        </w:rPr>
        <w:t>et al</w:t>
      </w:r>
      <w:r>
        <w:rPr/>
        <w:t>. (2008) concluyen que la dieta es una vía de exposición a agroquímicos, ya que detectaron la presencia de más de un plaguicida en un 26.7% de sus</w:t>
      </w:r>
      <w:r>
        <w:rPr>
          <w:spacing w:val="-13"/>
        </w:rPr>
        <w:t> </w:t>
      </w:r>
      <w:r>
        <w:rPr/>
        <w:t>muestras.</w:t>
      </w:r>
    </w:p>
    <w:p>
      <w:pPr>
        <w:pStyle w:val="BodyText"/>
        <w:spacing w:line="360" w:lineRule="auto" w:before="204"/>
        <w:ind w:left="1418" w:right="1696"/>
        <w:jc w:val="both"/>
      </w:pPr>
      <w:r>
        <w:rPr/>
        <w:t>El consumo de café y café con leche a altos niveles (5 tazas o más) se ha relacionado con un aumento en el número de MN y AN (Castro </w:t>
      </w:r>
      <w:r>
        <w:rPr>
          <w:i/>
        </w:rPr>
        <w:t>et al</w:t>
      </w:r>
      <w:r>
        <w:rPr/>
        <w:t>. 2004), en el estudio los niños de ambos grupos consumen estos productos, sin detectarse una frecuencia alta de MN y</w:t>
      </w:r>
      <w:r>
        <w:rPr>
          <w:spacing w:val="-11"/>
        </w:rPr>
        <w:t> </w:t>
      </w:r>
      <w:r>
        <w:rPr/>
        <w:t>AN.</w:t>
      </w:r>
    </w:p>
    <w:p>
      <w:pPr>
        <w:pStyle w:val="BodyText"/>
      </w:pPr>
    </w:p>
    <w:p>
      <w:pPr>
        <w:pStyle w:val="BodyText"/>
        <w:spacing w:line="360" w:lineRule="auto" w:before="142"/>
        <w:ind w:left="1418" w:right="1696"/>
        <w:jc w:val="both"/>
      </w:pPr>
      <w:r>
        <w:rPr/>
        <w:t>En ambos grupos los niños consumen té aunque no especifican cual, solo los niños del grupo control mostraron evidencia de NL y TAN en una diferencia significativa, el té en cualquiera de sus variedades contiene catequinas, sustancias con actividad antioxidante, antiviral</w:t>
      </w:r>
      <w:r>
        <w:rPr>
          <w:color w:val="333333"/>
        </w:rPr>
        <w:t>. </w:t>
      </w:r>
      <w:r>
        <w:rPr/>
        <w:t>Además, las catequinas del té verde suprimen la actividad genotóxica de diferentes agentes carcinógenos, disminuyendo la frecuencia de MN. (Ogura </w:t>
      </w:r>
      <w:r>
        <w:rPr>
          <w:i/>
        </w:rPr>
        <w:t>et al</w:t>
      </w:r>
      <w:r>
        <w:rPr/>
        <w:t>. 2008).</w:t>
      </w:r>
    </w:p>
    <w:p>
      <w:pPr>
        <w:pStyle w:val="BodyText"/>
      </w:pPr>
    </w:p>
    <w:p>
      <w:pPr>
        <w:pStyle w:val="BodyText"/>
        <w:spacing w:line="360" w:lineRule="auto" w:before="144"/>
        <w:ind w:left="1418" w:right="1705"/>
        <w:jc w:val="both"/>
      </w:pPr>
      <w:r>
        <w:rPr/>
        <w:t>La elección y la cantidad en la ingesta de alimentos y suplementos tienen una fuerte influencia sobre la concentración celular de micronutrientes necesarios en la  síntesis</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60" w:lineRule="auto" w:before="69"/>
        <w:ind w:left="1418" w:right="1698"/>
        <w:jc w:val="both"/>
      </w:pPr>
      <w:r>
        <w:rPr/>
        <w:t>y reparación del ADN, no obstante la aparición de MN también puede deberse al exceso o deficiencia nutricional (Fenech </w:t>
      </w:r>
      <w:r>
        <w:rPr>
          <w:i/>
        </w:rPr>
        <w:t>et al</w:t>
      </w:r>
      <w:r>
        <w:rPr/>
        <w:t>. 2011), en el grupo expuesto, solo dos niños cursaron con desnutrición, 29/63 se encontraron en el percentil más bajo al límite del peso notándose una relación entre el IMC y CB. Cervantes et al. (2014) en su estudio mencionan que los niños con desnutrición sufren daño al ADN. Mientras que en el grupo control se notó sobrepeso sin detectarse asociación con la frecuencia de MN y AN, a pesar de que Torres-Bugarín (2008), detectaron en personas obesas cifras significativas de</w:t>
      </w:r>
      <w:r>
        <w:rPr>
          <w:spacing w:val="-14"/>
        </w:rPr>
        <w:t> </w:t>
      </w:r>
      <w:r>
        <w:rPr/>
        <w:t>MN.</w:t>
      </w:r>
    </w:p>
    <w:p>
      <w:pPr>
        <w:pStyle w:val="BodyText"/>
        <w:spacing w:line="360" w:lineRule="auto" w:before="205"/>
        <w:ind w:left="1418" w:right="1700"/>
        <w:jc w:val="both"/>
      </w:pPr>
      <w:r>
        <w:rPr/>
        <w:t>Al comparar el consumo de pescado en ambos grupos, aunque es mayor en el grupo control, no se observó un incremento en la frecuencia de MN y AN en el grupo expuesto. Se ha reportado que los ácidos grasos omega-3 presentes en el pescado ejercen protección celular contra el daño citogenético (Pastor </w:t>
      </w:r>
      <w:r>
        <w:rPr>
          <w:i/>
        </w:rPr>
        <w:t>et al</w:t>
      </w:r>
      <w:r>
        <w:rPr/>
        <w:t>. 2001).</w:t>
      </w:r>
    </w:p>
    <w:p>
      <w:pPr>
        <w:pStyle w:val="BodyText"/>
      </w:pPr>
    </w:p>
    <w:p>
      <w:pPr>
        <w:pStyle w:val="BodyText"/>
        <w:spacing w:line="360" w:lineRule="auto" w:before="144"/>
        <w:ind w:left="1418" w:right="1695"/>
        <w:jc w:val="both"/>
      </w:pPr>
      <w:r>
        <w:rPr/>
        <w:t>En las familias de los niños expuestos con historia familiar de cáncer, se detectaron MN, con valores estadísticamente significativos al contrastarlo con niños sin dichos antecedentes. Es posible que el cáncer en los familiares del grupo de los niños expuestos se relacione con un efecto acumulativo de los plaguicidas, o debido a cambios en los mecanismos epigenéticos presentes desde el desarrollo intrauterino por la exposición a plaguicidas. La desregulación epigenética da lugar a enfermedades que pueden manifestarse en la infancia, la vida adulta e incluso por herencia transgeracional como síndromes neurológicos y cáncer (Magnarelli </w:t>
      </w:r>
      <w:r>
        <w:rPr>
          <w:i/>
        </w:rPr>
        <w:t>et al</w:t>
      </w:r>
      <w:r>
        <w:rPr/>
        <w:t>. 2014,  Coskun </w:t>
      </w:r>
      <w:r>
        <w:rPr>
          <w:i/>
        </w:rPr>
        <w:t>et al</w:t>
      </w:r>
      <w:r>
        <w:rPr/>
        <w:t>. 2011).</w:t>
      </w:r>
    </w:p>
    <w:p>
      <w:pPr>
        <w:pStyle w:val="BodyText"/>
      </w:pPr>
    </w:p>
    <w:p>
      <w:pPr>
        <w:pStyle w:val="BodyText"/>
        <w:spacing w:line="360" w:lineRule="auto" w:before="144"/>
        <w:ind w:left="1418" w:right="1696"/>
        <w:jc w:val="both"/>
      </w:pPr>
      <w:r>
        <w:rPr/>
        <w:t>La historia ginecológica de las madres no reveló valores significativos, en la formación de MN y AN en los niños. Las mujeres embarazadas constituyen un grupo de alto riesgo ya que en los bebes la exposición se inicia desde la vida intrauterina, provocando abortos, amenaza de parto prematuro, muerte perinatal, (Magnarelli </w:t>
      </w:r>
      <w:r>
        <w:rPr>
          <w:i/>
        </w:rPr>
        <w:t>et  </w:t>
      </w:r>
      <w:r>
        <w:rPr>
          <w:i/>
        </w:rPr>
        <w:t>al</w:t>
      </w:r>
      <w:r>
        <w:rPr/>
        <w:t>. 2014) y en la infancia alteraciones cognitivas y conductuales (Roberts </w:t>
      </w:r>
      <w:r>
        <w:rPr>
          <w:i/>
        </w:rPr>
        <w:t>et al</w:t>
      </w:r>
      <w:r>
        <w:rPr/>
        <w:t>. 2012), los plaguicidas atraviesan  la placenta y son  capaces de  inducir alteraciones en   </w:t>
      </w:r>
      <w:r>
        <w:rPr>
          <w:spacing w:val="62"/>
        </w:rPr>
        <w:t> </w:t>
      </w:r>
      <w:r>
        <w:rPr/>
        <w:t>el</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57" w:lineRule="auto" w:before="69"/>
        <w:ind w:left="1418" w:right="1699"/>
        <w:jc w:val="both"/>
      </w:pPr>
      <w:r>
        <w:rPr/>
        <w:t>desarrollo de las estructuras placentarias al alterar el sistema colinérgico placentario (Acosta-Maldonado </w:t>
      </w:r>
      <w:r>
        <w:rPr>
          <w:i/>
        </w:rPr>
        <w:t>et al</w:t>
      </w:r>
      <w:r>
        <w:rPr/>
        <w:t>. 2009).</w:t>
      </w:r>
    </w:p>
    <w:p>
      <w:pPr>
        <w:pStyle w:val="BodyText"/>
        <w:spacing w:line="360" w:lineRule="auto" w:before="209"/>
        <w:ind w:left="1418" w:right="1695"/>
        <w:jc w:val="both"/>
      </w:pPr>
      <w:r>
        <w:rPr/>
        <w:t>Algunos de los niños que participaron en el estudio son fumadores pasivos, en el grupo expuesto se notó un aumento estadísticamente significativo en la frecuencia  de MN. El hábito de fumar y la exposición a los componentes del humo del cigarro influyen en la frecuencia de daño citogenético (Jindal </w:t>
      </w:r>
      <w:r>
        <w:rPr>
          <w:i/>
        </w:rPr>
        <w:t>et al</w:t>
      </w:r>
      <w:r>
        <w:rPr/>
        <w:t>. 2013). El uso de tabaco y el contacto de plaguicidas aumenta la frecuencia de MN y AN (Ergene </w:t>
      </w:r>
      <w:r>
        <w:rPr>
          <w:i/>
        </w:rPr>
        <w:t>et al</w:t>
      </w:r>
      <w:r>
        <w:rPr/>
        <w:t>. 2007) aunque no siempre con diferencias significativas (Piperakis </w:t>
      </w:r>
      <w:r>
        <w:rPr>
          <w:i/>
        </w:rPr>
        <w:t>et al</w:t>
      </w:r>
      <w:r>
        <w:rPr/>
        <w:t>.</w:t>
      </w:r>
      <w:r>
        <w:rPr>
          <w:spacing w:val="-21"/>
        </w:rPr>
        <w:t> </w:t>
      </w:r>
      <w:r>
        <w:rPr/>
        <w:t>2006).</w:t>
      </w:r>
    </w:p>
    <w:p>
      <w:pPr>
        <w:pStyle w:val="BodyText"/>
        <w:spacing w:line="360" w:lineRule="auto" w:before="207"/>
        <w:ind w:left="1418" w:right="1698"/>
        <w:jc w:val="both"/>
      </w:pPr>
      <w:r>
        <w:rPr/>
        <w:t>El papel de la edad y el género aún son inconsistentes en su influencia sobre la frecuencia de MN y AN (Gajsky </w:t>
      </w:r>
      <w:r>
        <w:rPr>
          <w:i/>
        </w:rPr>
        <w:t>et al</w:t>
      </w:r>
      <w:r>
        <w:rPr/>
        <w:t>. 2013). En ambos grupos no se presentaron diferencias significativas considerando estos factores.</w:t>
      </w:r>
    </w:p>
    <w:p>
      <w:pPr>
        <w:pStyle w:val="BodyText"/>
      </w:pPr>
    </w:p>
    <w:p>
      <w:pPr>
        <w:pStyle w:val="BodyText"/>
        <w:spacing w:before="10"/>
        <w:rPr>
          <w:sz w:val="29"/>
        </w:rPr>
      </w:pPr>
    </w:p>
    <w:p>
      <w:pPr>
        <w:pStyle w:val="Heading4"/>
        <w:spacing w:before="0"/>
        <w:ind w:left="1606" w:right="1886"/>
        <w:jc w:val="center"/>
      </w:pPr>
      <w:r>
        <w:rPr/>
        <w:t>CONCLUSIONES</w:t>
      </w:r>
    </w:p>
    <w:p>
      <w:pPr>
        <w:pStyle w:val="BodyText"/>
        <w:spacing w:before="2"/>
        <w:rPr>
          <w:b/>
          <w:sz w:val="29"/>
        </w:rPr>
      </w:pPr>
    </w:p>
    <w:p>
      <w:pPr>
        <w:pStyle w:val="BodyText"/>
        <w:spacing w:line="360" w:lineRule="auto"/>
        <w:ind w:left="1418" w:right="1699"/>
        <w:jc w:val="both"/>
      </w:pPr>
      <w:r>
        <w:rPr/>
        <w:t>Los resultados del estudio sugieren daño citogenético por exposición a plaguicidas y factores de variabilidad en los niños del grupo expuesto, a pesar de que el número  de MN se encontró dentro de los parámetros normales, su frecuencia y las AN fueron mayores en el grupo expuesto, además de asociación de MN y de AN con algunos factores de variablidad, debe ser</w:t>
      </w:r>
      <w:r>
        <w:rPr>
          <w:spacing w:val="-20"/>
        </w:rPr>
        <w:t> </w:t>
      </w:r>
      <w:r>
        <w:rPr/>
        <w:t>investigada.</w:t>
      </w:r>
    </w:p>
    <w:p>
      <w:pPr>
        <w:pStyle w:val="BodyText"/>
        <w:spacing w:line="360" w:lineRule="auto" w:before="204"/>
        <w:ind w:left="1418" w:right="1698"/>
        <w:jc w:val="both"/>
      </w:pPr>
      <w:r>
        <w:rPr/>
        <w:t>Se requieren estudios de biomonitoreo para evaluar el efecto de la exposición  crónica a plaguicidas directa e indirecta, en las habilidades cognitivas y conductuales de los niños; en la prevalencia de alteraciones ginecológicas, en el desarrollo de cáncer. Y el análisis del papel de los factores de variabilidad identificado el tipo de plaguicida y mezclas utilizadas, mediante el uso de biomarcadores como el ensayo cometa, el análisis de los niveles de glucocorticoides, de los niveles de actividad de  la enzima Paraxonasa</w:t>
      </w:r>
      <w:r>
        <w:rPr>
          <w:spacing w:val="-13"/>
        </w:rPr>
        <w:t> </w:t>
      </w:r>
      <w:r>
        <w:rPr/>
        <w:t>1.</w:t>
      </w:r>
    </w:p>
    <w:p>
      <w:pPr>
        <w:spacing w:after="0" w:line="360" w:lineRule="auto"/>
        <w:jc w:val="both"/>
        <w:sectPr>
          <w:pgSz w:w="12240" w:h="15840"/>
          <w:pgMar w:header="0" w:footer="599" w:top="1500" w:bottom="780" w:left="0" w:right="0"/>
        </w:sectPr>
      </w:pPr>
    </w:p>
    <w:p>
      <w:pPr>
        <w:pStyle w:val="BodyText"/>
        <w:spacing w:before="4"/>
        <w:rPr>
          <w:sz w:val="11"/>
        </w:rPr>
      </w:pPr>
    </w:p>
    <w:p>
      <w:pPr>
        <w:pStyle w:val="Heading4"/>
        <w:ind w:left="1606" w:right="1889"/>
        <w:jc w:val="center"/>
      </w:pPr>
      <w:r>
        <w:rPr/>
        <w:t>LIMITACIONES DEL ESTUDIO</w:t>
      </w:r>
    </w:p>
    <w:p>
      <w:pPr>
        <w:pStyle w:val="BodyText"/>
        <w:spacing w:before="4"/>
        <w:rPr>
          <w:b/>
          <w:sz w:val="29"/>
        </w:rPr>
      </w:pPr>
    </w:p>
    <w:p>
      <w:pPr>
        <w:pStyle w:val="BodyText"/>
        <w:spacing w:line="360" w:lineRule="auto" w:before="1"/>
        <w:ind w:left="1418" w:right="1697"/>
        <w:jc w:val="both"/>
      </w:pPr>
      <w:r>
        <w:rPr/>
        <w:t>El estudio tienen un carácter exploratorio, la muestra no es lo suficientemente representativa para generalizar los resultados, los hallazgos sugieren la existencia de daño citogenético en los niños expuestos a plaguicidas, por lo que se considera la necesidad de ampliar la muestra, incluir niños con malformaciones, adolescentes, mujeres embarazadas y adultos de localidades agrícolas y floricultoras del Estado de México.</w:t>
      </w:r>
    </w:p>
    <w:p>
      <w:pPr>
        <w:pStyle w:val="Heading4"/>
        <w:spacing w:before="205"/>
        <w:ind w:left="1606" w:right="1891"/>
        <w:jc w:val="center"/>
      </w:pPr>
      <w:r>
        <w:rPr/>
        <w:t>REFERENCIAS</w:t>
      </w:r>
    </w:p>
    <w:p>
      <w:pPr>
        <w:pStyle w:val="BodyText"/>
        <w:rPr>
          <w:b/>
        </w:rPr>
      </w:pPr>
    </w:p>
    <w:p>
      <w:pPr>
        <w:pStyle w:val="BodyText"/>
        <w:rPr>
          <w:b/>
        </w:rPr>
      </w:pPr>
    </w:p>
    <w:p>
      <w:pPr>
        <w:pStyle w:val="ListParagraph"/>
        <w:numPr>
          <w:ilvl w:val="0"/>
          <w:numId w:val="33"/>
        </w:numPr>
        <w:tabs>
          <w:tab w:pos="1703" w:val="left" w:leader="none"/>
        </w:tabs>
        <w:spacing w:line="357" w:lineRule="auto" w:before="200" w:after="0"/>
        <w:ind w:left="1702" w:right="1696" w:hanging="284"/>
        <w:jc w:val="both"/>
        <w:rPr>
          <w:sz w:val="24"/>
        </w:rPr>
      </w:pPr>
      <w:r>
        <w:rPr>
          <w:sz w:val="24"/>
        </w:rPr>
        <w:t>Acosta-Maldonado B., Sánchez-Ramírez B., Reza-López S. y Levario-Carrillo M. (2009). Effects of exposure to pesticides during pregnancy on placental maturity and weight of newborns: A cross-sectional pilot study in women from the Chihuahua State, Mexico. Human and Experimental Toxicology 28,</w:t>
      </w:r>
      <w:r>
        <w:rPr>
          <w:spacing w:val="-24"/>
          <w:sz w:val="24"/>
        </w:rPr>
        <w:t> </w:t>
      </w:r>
      <w:r>
        <w:rPr>
          <w:sz w:val="24"/>
        </w:rPr>
        <w:t>451-459.</w:t>
      </w:r>
    </w:p>
    <w:p>
      <w:pPr>
        <w:pStyle w:val="ListParagraph"/>
        <w:numPr>
          <w:ilvl w:val="0"/>
          <w:numId w:val="33"/>
        </w:numPr>
        <w:tabs>
          <w:tab w:pos="1703" w:val="left" w:leader="none"/>
        </w:tabs>
        <w:spacing w:line="240" w:lineRule="auto" w:before="8" w:after="0"/>
        <w:ind w:left="1702" w:right="0" w:hanging="284"/>
        <w:jc w:val="both"/>
        <w:rPr>
          <w:sz w:val="24"/>
        </w:rPr>
      </w:pPr>
      <w:r>
        <w:rPr>
          <w:sz w:val="24"/>
        </w:rPr>
        <w:t>Antonio K. R. M., Blanco J. M., Escamilla M. C. N., Juárez C. A. P., y Shilman    </w:t>
      </w:r>
      <w:r>
        <w:rPr>
          <w:spacing w:val="8"/>
          <w:sz w:val="24"/>
        </w:rPr>
        <w:t> </w:t>
      </w:r>
      <w:r>
        <w:rPr>
          <w:sz w:val="24"/>
        </w:rPr>
        <w:t>A.</w:t>
      </w:r>
    </w:p>
    <w:p>
      <w:pPr>
        <w:pStyle w:val="BodyText"/>
        <w:spacing w:line="360" w:lineRule="auto" w:before="135"/>
        <w:ind w:left="1702" w:right="1704"/>
        <w:jc w:val="both"/>
      </w:pPr>
      <w:r>
        <w:rPr/>
        <w:t>H. (2013). Predictores ocupacionales de las concentraciones de Dialquilfosfatos (DAPs) en floricultores de Morelos y Estado de México. Instituto Nacional de Salud Pública 2-25.</w:t>
      </w:r>
    </w:p>
    <w:p>
      <w:pPr>
        <w:pStyle w:val="ListParagraph"/>
        <w:numPr>
          <w:ilvl w:val="0"/>
          <w:numId w:val="33"/>
        </w:numPr>
        <w:tabs>
          <w:tab w:pos="1703" w:val="left" w:leader="none"/>
        </w:tabs>
        <w:spacing w:line="355" w:lineRule="auto" w:before="3" w:after="0"/>
        <w:ind w:left="1702" w:right="1699" w:hanging="284"/>
        <w:jc w:val="both"/>
        <w:rPr>
          <w:sz w:val="24"/>
        </w:rPr>
      </w:pPr>
      <w:r>
        <w:rPr>
          <w:sz w:val="24"/>
        </w:rPr>
        <w:t>Bastos-Aires D., Azevedo A., Pereira M. L., Pérez-Mongiovi D. y Teixeira  A. (2013). Preliminary study of micronuclei levels in oral exfoliated cells from patients with periodontitis. Journal of Dental Sciences 8,</w:t>
      </w:r>
      <w:r>
        <w:rPr>
          <w:spacing w:val="-16"/>
          <w:sz w:val="24"/>
        </w:rPr>
        <w:t> </w:t>
      </w:r>
      <w:r>
        <w:rPr>
          <w:sz w:val="24"/>
        </w:rPr>
        <w:t>200-204.</w:t>
      </w:r>
    </w:p>
    <w:p>
      <w:pPr>
        <w:pStyle w:val="ListParagraph"/>
        <w:numPr>
          <w:ilvl w:val="0"/>
          <w:numId w:val="33"/>
        </w:numPr>
        <w:tabs>
          <w:tab w:pos="1703" w:val="left" w:leader="none"/>
        </w:tabs>
        <w:spacing w:line="357" w:lineRule="auto" w:before="11" w:after="0"/>
        <w:ind w:left="1702" w:right="1700" w:hanging="284"/>
        <w:jc w:val="both"/>
        <w:rPr>
          <w:sz w:val="24"/>
        </w:rPr>
      </w:pPr>
      <w:r>
        <w:rPr>
          <w:sz w:val="24"/>
        </w:rPr>
        <w:t>Benedetti D., Nunes E., Sarmento M., Porto C., Iochims S. C. E., Ferraz D. J. y Silva J. (2013). Genetic damage in soybean workers exposed to pesticides: Evaluation with the comet and buccal micronucleus cytome assays. Mutation Research 752,</w:t>
      </w:r>
      <w:r>
        <w:rPr>
          <w:spacing w:val="-5"/>
          <w:sz w:val="24"/>
        </w:rPr>
        <w:t> </w:t>
      </w:r>
      <w:r>
        <w:rPr>
          <w:sz w:val="24"/>
        </w:rPr>
        <w:t>28-33.</w:t>
      </w:r>
    </w:p>
    <w:p>
      <w:pPr>
        <w:pStyle w:val="ListParagraph"/>
        <w:numPr>
          <w:ilvl w:val="0"/>
          <w:numId w:val="33"/>
        </w:numPr>
        <w:tabs>
          <w:tab w:pos="1703" w:val="left" w:leader="none"/>
        </w:tabs>
        <w:spacing w:line="240" w:lineRule="auto" w:before="6" w:after="0"/>
        <w:ind w:left="1702" w:right="0" w:hanging="284"/>
        <w:jc w:val="both"/>
        <w:rPr>
          <w:sz w:val="24"/>
        </w:rPr>
      </w:pPr>
      <w:r>
        <w:rPr>
          <w:sz w:val="24"/>
        </w:rPr>
        <w:t>Benitez L. S., Macchi M. L., Fernández V., Franco D., Ferro E., Mojoli A.,…  </w:t>
      </w:r>
      <w:r>
        <w:rPr>
          <w:spacing w:val="31"/>
          <w:sz w:val="24"/>
        </w:rPr>
        <w:t> </w:t>
      </w:r>
      <w:r>
        <w:rPr>
          <w:sz w:val="24"/>
        </w:rPr>
        <w:t>Sales</w:t>
      </w:r>
    </w:p>
    <w:p>
      <w:pPr>
        <w:pStyle w:val="BodyText"/>
        <w:spacing w:line="357" w:lineRule="auto" w:before="137"/>
        <w:ind w:left="1702" w:right="1700"/>
        <w:jc w:val="both"/>
      </w:pPr>
      <w:r>
        <w:rPr/>
        <w:t>L. (2010). Daño celular en una población infantil potencialmente expuesta a pesticidas</w:t>
      </w:r>
      <w:r>
        <w:rPr>
          <w:i/>
        </w:rPr>
        <w:t>. </w:t>
      </w:r>
      <w:r>
        <w:rPr/>
        <w:t>BASE investigaciones sociales 131, 1-25.</w:t>
      </w:r>
    </w:p>
    <w:p>
      <w:pPr>
        <w:spacing w:after="0" w:line="357" w:lineRule="auto"/>
        <w:jc w:val="both"/>
        <w:sectPr>
          <w:pgSz w:w="12240" w:h="15840"/>
          <w:pgMar w:header="0" w:footer="599" w:top="1500" w:bottom="780" w:left="0" w:right="0"/>
        </w:sectPr>
      </w:pPr>
    </w:p>
    <w:p>
      <w:pPr>
        <w:pStyle w:val="BodyText"/>
        <w:spacing w:before="7"/>
        <w:rPr>
          <w:sz w:val="12"/>
        </w:rPr>
      </w:pPr>
    </w:p>
    <w:p>
      <w:pPr>
        <w:pStyle w:val="ListParagraph"/>
        <w:numPr>
          <w:ilvl w:val="0"/>
          <w:numId w:val="33"/>
        </w:numPr>
        <w:tabs>
          <w:tab w:pos="1703" w:val="left" w:leader="none"/>
        </w:tabs>
        <w:spacing w:line="355" w:lineRule="auto" w:before="55" w:after="0"/>
        <w:ind w:left="1702" w:right="1695" w:hanging="284"/>
        <w:jc w:val="both"/>
        <w:rPr>
          <w:sz w:val="24"/>
        </w:rPr>
      </w:pPr>
      <w:r>
        <w:rPr>
          <w:sz w:val="24"/>
        </w:rPr>
        <w:t>Bernardi N., Gentile N., Mañas F., Méndez A., Gorla N. y Aiassa D. (2015). Assessment of the level of damage to the genetic material of children exposed to pesticides in the province of Córdoba. Arch. Argent. Pediatr.</w:t>
      </w:r>
      <w:r>
        <w:rPr>
          <w:spacing w:val="-22"/>
          <w:sz w:val="24"/>
        </w:rPr>
        <w:t> </w:t>
      </w:r>
      <w:r>
        <w:rPr>
          <w:sz w:val="24"/>
        </w:rPr>
        <w:t>113,126-132.</w:t>
      </w:r>
    </w:p>
    <w:p>
      <w:pPr>
        <w:pStyle w:val="ListParagraph"/>
        <w:numPr>
          <w:ilvl w:val="0"/>
          <w:numId w:val="33"/>
        </w:numPr>
        <w:tabs>
          <w:tab w:pos="1703" w:val="left" w:leader="none"/>
        </w:tabs>
        <w:spacing w:line="348" w:lineRule="auto" w:before="11" w:after="0"/>
        <w:ind w:left="1702" w:right="1697" w:hanging="284"/>
        <w:jc w:val="both"/>
        <w:rPr>
          <w:sz w:val="24"/>
        </w:rPr>
      </w:pPr>
      <w:r>
        <w:rPr>
          <w:sz w:val="24"/>
        </w:rPr>
        <w:t>Bolognesi C., Creus A., Ostrosky-Wegman P., y Marcos R. (2011). Micronuclei and pesticide exposure</w:t>
      </w:r>
      <w:r>
        <w:rPr>
          <w:i/>
          <w:sz w:val="24"/>
        </w:rPr>
        <w:t>. </w:t>
      </w:r>
      <w:r>
        <w:rPr>
          <w:sz w:val="24"/>
        </w:rPr>
        <w:t>Mutagenesis 26,</w:t>
      </w:r>
      <w:r>
        <w:rPr>
          <w:spacing w:val="-12"/>
          <w:sz w:val="24"/>
        </w:rPr>
        <w:t> </w:t>
      </w:r>
      <w:r>
        <w:rPr>
          <w:sz w:val="24"/>
        </w:rPr>
        <w:t>19-26.</w:t>
      </w:r>
    </w:p>
    <w:p>
      <w:pPr>
        <w:pStyle w:val="ListParagraph"/>
        <w:numPr>
          <w:ilvl w:val="0"/>
          <w:numId w:val="33"/>
        </w:numPr>
        <w:tabs>
          <w:tab w:pos="1703" w:val="left" w:leader="none"/>
        </w:tabs>
        <w:spacing w:line="357" w:lineRule="auto" w:before="21" w:after="0"/>
        <w:ind w:left="1702" w:right="1696" w:hanging="284"/>
        <w:jc w:val="both"/>
        <w:rPr>
          <w:sz w:val="24"/>
        </w:rPr>
      </w:pPr>
      <w:r>
        <w:rPr>
          <w:sz w:val="24"/>
        </w:rPr>
        <w:t>Bolognesi C., Knasmuelles S., Nersesyan A., Thomas P. y Fenech M. (2013). The HUMNx scoring criteria for different cell types and nuclear anomalies in the buccal micronucleus cytome assay – An update and expanded photogallery</w:t>
      </w:r>
      <w:r>
        <w:rPr>
          <w:i/>
          <w:sz w:val="24"/>
        </w:rPr>
        <w:t>. </w:t>
      </w:r>
      <w:r>
        <w:rPr>
          <w:sz w:val="24"/>
        </w:rPr>
        <w:t>Mutat. Res. 753,</w:t>
      </w:r>
      <w:r>
        <w:rPr>
          <w:spacing w:val="-6"/>
          <w:sz w:val="24"/>
        </w:rPr>
        <w:t> </w:t>
      </w:r>
      <w:r>
        <w:rPr>
          <w:sz w:val="24"/>
        </w:rPr>
        <w:t>100-113.</w:t>
      </w:r>
    </w:p>
    <w:p>
      <w:pPr>
        <w:pStyle w:val="ListParagraph"/>
        <w:numPr>
          <w:ilvl w:val="0"/>
          <w:numId w:val="33"/>
        </w:numPr>
        <w:tabs>
          <w:tab w:pos="1703" w:val="left" w:leader="none"/>
        </w:tabs>
        <w:spacing w:line="357" w:lineRule="auto" w:before="6" w:after="0"/>
        <w:ind w:left="1702" w:right="1695" w:hanging="284"/>
        <w:jc w:val="both"/>
        <w:rPr>
          <w:sz w:val="24"/>
        </w:rPr>
      </w:pPr>
      <w:r>
        <w:rPr>
          <w:sz w:val="24"/>
        </w:rPr>
        <w:t>Bonassi S., Coskun E., Ceppi M., Lando C., Bolognesi C., Burgaz S. y Fenech M. (2011). The HUman Micronucleus Project on exfoliated buccal cells (HUMNXL):  the role of life-style, host factors, occupational exposures, health status, and assay protocol. Mutat. Res. 728,</w:t>
      </w:r>
      <w:r>
        <w:rPr>
          <w:spacing w:val="-9"/>
          <w:sz w:val="24"/>
        </w:rPr>
        <w:t> </w:t>
      </w:r>
      <w:r>
        <w:rPr>
          <w:sz w:val="24"/>
        </w:rPr>
        <w:t>88-97.</w:t>
      </w:r>
    </w:p>
    <w:p>
      <w:pPr>
        <w:pStyle w:val="ListParagraph"/>
        <w:numPr>
          <w:ilvl w:val="0"/>
          <w:numId w:val="33"/>
        </w:numPr>
        <w:tabs>
          <w:tab w:pos="1703" w:val="left" w:leader="none"/>
        </w:tabs>
        <w:spacing w:line="355" w:lineRule="auto" w:before="6" w:after="0"/>
        <w:ind w:left="1702" w:right="1701" w:hanging="284"/>
        <w:jc w:val="both"/>
        <w:rPr>
          <w:sz w:val="24"/>
        </w:rPr>
      </w:pPr>
      <w:r>
        <w:rPr>
          <w:sz w:val="24"/>
        </w:rPr>
        <w:t>Bortoli M. G., Azevedo B. M. y Silva B. L. (2009). Cytogenetic biomonitoring of Brazilian workers exposed to pesticides: Micronucleus analysis in buccal epithelial cells of soybean growers. Mutat. Res. 675,</w:t>
      </w:r>
      <w:r>
        <w:rPr>
          <w:spacing w:val="-15"/>
          <w:sz w:val="24"/>
        </w:rPr>
        <w:t> </w:t>
      </w:r>
      <w:r>
        <w:rPr>
          <w:sz w:val="24"/>
        </w:rPr>
        <w:t>1-4.</w:t>
      </w:r>
    </w:p>
    <w:p>
      <w:pPr>
        <w:pStyle w:val="ListParagraph"/>
        <w:numPr>
          <w:ilvl w:val="0"/>
          <w:numId w:val="33"/>
        </w:numPr>
        <w:tabs>
          <w:tab w:pos="1703" w:val="left" w:leader="none"/>
        </w:tabs>
        <w:spacing w:line="357" w:lineRule="auto" w:before="9" w:after="0"/>
        <w:ind w:left="1702" w:right="1703" w:hanging="284"/>
        <w:jc w:val="both"/>
        <w:rPr>
          <w:sz w:val="24"/>
        </w:rPr>
      </w:pPr>
      <w:r>
        <w:rPr>
          <w:sz w:val="24"/>
        </w:rPr>
        <w:t>Burns C. J., Mclntosh L. J., Mink P. J., Jurek A. M. y Li A. A. (2013). Pesticide Exposure and Neurodevelopmental Outcomes: Review of the Epidemiologic and Animal Studies</w:t>
      </w:r>
      <w:r>
        <w:rPr>
          <w:i/>
          <w:sz w:val="24"/>
        </w:rPr>
        <w:t>. </w:t>
      </w:r>
      <w:r>
        <w:rPr>
          <w:sz w:val="24"/>
        </w:rPr>
        <w:t>Journal of Toxicology and Environmental Health, Part B: Critical Reviews 16,</w:t>
      </w:r>
      <w:r>
        <w:rPr>
          <w:spacing w:val="-3"/>
          <w:sz w:val="24"/>
        </w:rPr>
        <w:t> </w:t>
      </w:r>
      <w:r>
        <w:rPr>
          <w:sz w:val="24"/>
        </w:rPr>
        <w:t>3-4.</w:t>
      </w:r>
    </w:p>
    <w:p>
      <w:pPr>
        <w:pStyle w:val="ListParagraph"/>
        <w:numPr>
          <w:ilvl w:val="0"/>
          <w:numId w:val="33"/>
        </w:numPr>
        <w:tabs>
          <w:tab w:pos="1703" w:val="left" w:leader="none"/>
        </w:tabs>
        <w:spacing w:line="355" w:lineRule="auto" w:before="8" w:after="0"/>
        <w:ind w:left="1702" w:right="1702" w:hanging="284"/>
        <w:jc w:val="both"/>
        <w:rPr>
          <w:sz w:val="24"/>
        </w:rPr>
      </w:pPr>
      <w:r>
        <w:rPr>
          <w:sz w:val="24"/>
        </w:rPr>
        <w:t>Castro R., Ramírez V. y Cuenca P. (2004). Micronúcleos y otras anormalidades nucleares en el epitelio oral de mujeres expuestas y no expuestas ocupacionalmente a plaguicidas. Rev. Biol. Trop 52,</w:t>
      </w:r>
      <w:r>
        <w:rPr>
          <w:spacing w:val="-17"/>
          <w:sz w:val="24"/>
        </w:rPr>
        <w:t> </w:t>
      </w:r>
      <w:r>
        <w:rPr>
          <w:sz w:val="24"/>
        </w:rPr>
        <w:t>611-621.</w:t>
      </w:r>
    </w:p>
    <w:p>
      <w:pPr>
        <w:pStyle w:val="ListParagraph"/>
        <w:numPr>
          <w:ilvl w:val="0"/>
          <w:numId w:val="33"/>
        </w:numPr>
        <w:tabs>
          <w:tab w:pos="1703" w:val="left" w:leader="none"/>
        </w:tabs>
        <w:spacing w:line="355" w:lineRule="auto" w:before="8" w:after="0"/>
        <w:ind w:left="1702" w:right="1696" w:hanging="284"/>
        <w:jc w:val="both"/>
        <w:rPr>
          <w:sz w:val="24"/>
        </w:rPr>
      </w:pPr>
      <w:r>
        <w:rPr>
          <w:sz w:val="24"/>
        </w:rPr>
        <w:t>Ceballos G., List R., Garduño G., López C. R., Muñozcano Q. M. J., Collado E. y San R. J. E. (2009). La diversidad biológica del Estado de México. Estudio de Estado. Primera</w:t>
      </w:r>
      <w:r>
        <w:rPr>
          <w:spacing w:val="-10"/>
          <w:sz w:val="24"/>
        </w:rPr>
        <w:t> </w:t>
      </w:r>
      <w:r>
        <w:rPr>
          <w:sz w:val="24"/>
        </w:rPr>
        <w:t>Edición.</w:t>
      </w:r>
    </w:p>
    <w:p>
      <w:pPr>
        <w:pStyle w:val="ListParagraph"/>
        <w:numPr>
          <w:ilvl w:val="0"/>
          <w:numId w:val="33"/>
        </w:numPr>
        <w:tabs>
          <w:tab w:pos="1703" w:val="left" w:leader="none"/>
        </w:tabs>
        <w:spacing w:line="355" w:lineRule="auto" w:before="8" w:after="0"/>
        <w:ind w:left="1702" w:right="1697" w:hanging="284"/>
        <w:jc w:val="both"/>
        <w:rPr>
          <w:sz w:val="24"/>
        </w:rPr>
      </w:pPr>
      <w:r>
        <w:rPr>
          <w:sz w:val="24"/>
        </w:rPr>
        <w:t>Cervantes R. E., Rodríguez C. I., Graniel G. J. y Ortiz M. A. R. (2014). Evaluación de la frecuencia y tipo de micronúcleos en niños con desnutrición moderada y grave.  Rev. Int. Contam. Ambie. 30,</w:t>
      </w:r>
      <w:r>
        <w:rPr>
          <w:spacing w:val="-13"/>
          <w:sz w:val="24"/>
        </w:rPr>
        <w:t> </w:t>
      </w:r>
      <w:r>
        <w:rPr>
          <w:sz w:val="24"/>
        </w:rPr>
        <w:t>23-35.</w:t>
      </w:r>
    </w:p>
    <w:p>
      <w:pPr>
        <w:spacing w:after="0" w:line="355" w:lineRule="auto"/>
        <w:jc w:val="both"/>
        <w:rPr>
          <w:sz w:val="24"/>
        </w:rPr>
        <w:sectPr>
          <w:pgSz w:w="12240" w:h="15840"/>
          <w:pgMar w:header="0" w:footer="599" w:top="1500" w:bottom="780" w:left="0" w:right="0"/>
        </w:sectPr>
      </w:pPr>
    </w:p>
    <w:p>
      <w:pPr>
        <w:pStyle w:val="BodyText"/>
        <w:spacing w:before="7"/>
        <w:rPr>
          <w:sz w:val="12"/>
        </w:rPr>
      </w:pPr>
    </w:p>
    <w:p>
      <w:pPr>
        <w:pStyle w:val="ListParagraph"/>
        <w:numPr>
          <w:ilvl w:val="0"/>
          <w:numId w:val="33"/>
        </w:numPr>
        <w:tabs>
          <w:tab w:pos="1703" w:val="left" w:leader="none"/>
        </w:tabs>
        <w:spacing w:line="355" w:lineRule="auto" w:before="55" w:after="0"/>
        <w:ind w:left="1702" w:right="1696" w:hanging="284"/>
        <w:jc w:val="both"/>
        <w:rPr>
          <w:sz w:val="24"/>
        </w:rPr>
      </w:pPr>
      <w:r>
        <w:rPr>
          <w:sz w:val="24"/>
        </w:rPr>
        <w:t>Cifuentes E., Trasande L., Ramirez M. y Landrigan P. J. (2010). A qualitative analysis of environmental policy and children’s health in Mexico</w:t>
      </w:r>
      <w:r>
        <w:rPr>
          <w:i/>
          <w:sz w:val="24"/>
        </w:rPr>
        <w:t>. </w:t>
      </w:r>
      <w:r>
        <w:rPr>
          <w:sz w:val="24"/>
        </w:rPr>
        <w:t>Environmental Health 9,</w:t>
      </w:r>
      <w:r>
        <w:rPr>
          <w:spacing w:val="-4"/>
          <w:sz w:val="24"/>
        </w:rPr>
        <w:t> </w:t>
      </w:r>
      <w:r>
        <w:rPr>
          <w:sz w:val="24"/>
        </w:rPr>
        <w:t>1-11.</w:t>
      </w:r>
    </w:p>
    <w:p>
      <w:pPr>
        <w:pStyle w:val="ListParagraph"/>
        <w:numPr>
          <w:ilvl w:val="0"/>
          <w:numId w:val="33"/>
        </w:numPr>
        <w:tabs>
          <w:tab w:pos="1703" w:val="left" w:leader="none"/>
        </w:tabs>
        <w:spacing w:line="355" w:lineRule="auto" w:before="11" w:after="0"/>
        <w:ind w:left="1702" w:right="1700" w:hanging="284"/>
        <w:jc w:val="both"/>
        <w:rPr>
          <w:sz w:val="24"/>
        </w:rPr>
      </w:pPr>
      <w:r>
        <w:rPr>
          <w:sz w:val="24"/>
        </w:rPr>
        <w:t>Coskun M., Cayir A. y Ozdemir O. (2011). Frequencies of micronuclei (MNi), nucleoplasmic bridges (NPBs), and nuclear buds (NBUDs) in farmer exposed to pesticides in Canakkale, Turkey. Environmental International 37,</w:t>
      </w:r>
      <w:r>
        <w:rPr>
          <w:spacing w:val="-32"/>
          <w:sz w:val="24"/>
        </w:rPr>
        <w:t> </w:t>
      </w:r>
      <w:r>
        <w:rPr>
          <w:sz w:val="24"/>
        </w:rPr>
        <w:t>93.96.</w:t>
      </w:r>
    </w:p>
    <w:p>
      <w:pPr>
        <w:pStyle w:val="ListParagraph"/>
        <w:numPr>
          <w:ilvl w:val="0"/>
          <w:numId w:val="33"/>
        </w:numPr>
        <w:tabs>
          <w:tab w:pos="1703" w:val="left" w:leader="none"/>
        </w:tabs>
        <w:spacing w:line="355" w:lineRule="auto" w:before="8" w:after="0"/>
        <w:ind w:left="1702" w:right="1701" w:hanging="284"/>
        <w:jc w:val="both"/>
        <w:rPr>
          <w:sz w:val="24"/>
        </w:rPr>
      </w:pPr>
      <w:r>
        <w:rPr>
          <w:sz w:val="24"/>
        </w:rPr>
        <w:t>Costa C., Silva S., Coelho P., Roma-Torres J., Teixeira J. P. y Mayan O. (2007). Micronucleus analysis in a Portuguese population exposed to pesticides: Preliminary survey</w:t>
      </w:r>
      <w:r>
        <w:rPr>
          <w:i/>
          <w:sz w:val="24"/>
        </w:rPr>
        <w:t>. </w:t>
      </w:r>
      <w:r>
        <w:rPr>
          <w:sz w:val="24"/>
        </w:rPr>
        <w:t>Int. J. Hyg. Environ.-Health 210,</w:t>
      </w:r>
      <w:r>
        <w:rPr>
          <w:spacing w:val="-19"/>
          <w:sz w:val="24"/>
        </w:rPr>
        <w:t> </w:t>
      </w:r>
      <w:r>
        <w:rPr>
          <w:sz w:val="24"/>
        </w:rPr>
        <w:t>415–418.</w:t>
      </w:r>
    </w:p>
    <w:p>
      <w:pPr>
        <w:pStyle w:val="ListParagraph"/>
        <w:numPr>
          <w:ilvl w:val="0"/>
          <w:numId w:val="33"/>
        </w:numPr>
        <w:tabs>
          <w:tab w:pos="1703" w:val="left" w:leader="none"/>
        </w:tabs>
        <w:spacing w:line="350" w:lineRule="auto" w:before="11" w:after="0"/>
        <w:ind w:left="1702" w:right="1706" w:hanging="284"/>
        <w:jc w:val="both"/>
        <w:rPr>
          <w:sz w:val="24"/>
        </w:rPr>
      </w:pPr>
      <w:r>
        <w:rPr>
          <w:sz w:val="24"/>
        </w:rPr>
        <w:t>Ding G. y Tian Y. (2013).Organophosphate pesticide exposure and child health in China</w:t>
      </w:r>
      <w:r>
        <w:rPr>
          <w:i/>
          <w:sz w:val="24"/>
        </w:rPr>
        <w:t>. </w:t>
      </w:r>
      <w:r>
        <w:rPr>
          <w:sz w:val="24"/>
        </w:rPr>
        <w:t>Environ. Sci. Pollut. Res.</w:t>
      </w:r>
      <w:r>
        <w:rPr>
          <w:spacing w:val="-9"/>
          <w:sz w:val="24"/>
        </w:rPr>
        <w:t> </w:t>
      </w:r>
      <w:r>
        <w:rPr>
          <w:sz w:val="24"/>
        </w:rPr>
        <w:t>2117-8.</w:t>
      </w:r>
    </w:p>
    <w:p>
      <w:pPr>
        <w:pStyle w:val="ListParagraph"/>
        <w:numPr>
          <w:ilvl w:val="0"/>
          <w:numId w:val="33"/>
        </w:numPr>
        <w:tabs>
          <w:tab w:pos="1703" w:val="left" w:leader="none"/>
        </w:tabs>
        <w:spacing w:line="357" w:lineRule="auto" w:before="16" w:after="0"/>
        <w:ind w:left="1702" w:right="1701" w:hanging="284"/>
        <w:jc w:val="both"/>
        <w:rPr>
          <w:sz w:val="24"/>
        </w:rPr>
      </w:pPr>
      <w:r>
        <w:rPr>
          <w:sz w:val="24"/>
        </w:rPr>
        <w:t>Ergene S., Çelik A., Çavaş T. y Kaya F. (2007). Genotoxic biomonitoring study of population residing in pesticide contaminated regions in Göksu Delta:  Micronucleus, chromosomal aberrations and sister chromatid exchanges. Environ. Int. 33,</w:t>
      </w:r>
      <w:r>
        <w:rPr>
          <w:spacing w:val="-6"/>
          <w:sz w:val="24"/>
        </w:rPr>
        <w:t> </w:t>
      </w:r>
      <w:r>
        <w:rPr>
          <w:sz w:val="24"/>
        </w:rPr>
        <w:t>877–885.</w:t>
      </w:r>
    </w:p>
    <w:p>
      <w:pPr>
        <w:pStyle w:val="ListParagraph"/>
        <w:numPr>
          <w:ilvl w:val="0"/>
          <w:numId w:val="33"/>
        </w:numPr>
        <w:tabs>
          <w:tab w:pos="1703" w:val="left" w:leader="none"/>
        </w:tabs>
        <w:spacing w:line="352" w:lineRule="auto" w:before="8" w:after="0"/>
        <w:ind w:left="1702" w:right="1701" w:hanging="284"/>
        <w:jc w:val="both"/>
        <w:rPr>
          <w:sz w:val="24"/>
        </w:rPr>
      </w:pPr>
      <w:r>
        <w:rPr>
          <w:sz w:val="24"/>
        </w:rPr>
        <w:t>Fenech M. y Bonassi S. (2011). The effect of age, gender, diet and lifestyle on DNA damage measured using micronucleus frequency in human peripheral blood lymphocytes</w:t>
      </w:r>
      <w:r>
        <w:rPr>
          <w:i/>
          <w:sz w:val="24"/>
        </w:rPr>
        <w:t>. </w:t>
      </w:r>
      <w:r>
        <w:rPr>
          <w:sz w:val="24"/>
        </w:rPr>
        <w:t>Mutagenesis 26,</w:t>
      </w:r>
      <w:r>
        <w:rPr>
          <w:spacing w:val="-8"/>
          <w:sz w:val="24"/>
        </w:rPr>
        <w:t> </w:t>
      </w:r>
      <w:r>
        <w:rPr>
          <w:sz w:val="24"/>
        </w:rPr>
        <w:t>43-49.</w:t>
      </w:r>
    </w:p>
    <w:p>
      <w:pPr>
        <w:pStyle w:val="ListParagraph"/>
        <w:numPr>
          <w:ilvl w:val="0"/>
          <w:numId w:val="33"/>
        </w:numPr>
        <w:tabs>
          <w:tab w:pos="1703" w:val="left" w:leader="none"/>
        </w:tabs>
        <w:spacing w:line="355" w:lineRule="auto" w:before="16" w:after="0"/>
        <w:ind w:left="1702" w:right="1696" w:hanging="284"/>
        <w:jc w:val="both"/>
        <w:rPr>
          <w:sz w:val="24"/>
        </w:rPr>
      </w:pPr>
      <w:r>
        <w:rPr>
          <w:sz w:val="24"/>
        </w:rPr>
        <w:t>Gajski G., Geric M, Orescanin V. y Garaj-Vrhovac V. (2013). Cytogenetic status of healthy Children assessed with the alkaline comet assay and the cytokionesis- block micronucleus cytome assay</w:t>
      </w:r>
      <w:r>
        <w:rPr>
          <w:i/>
          <w:sz w:val="24"/>
        </w:rPr>
        <w:t>. </w:t>
      </w:r>
      <w:r>
        <w:rPr>
          <w:sz w:val="24"/>
        </w:rPr>
        <w:t>Mutation Research 750,</w:t>
      </w:r>
      <w:r>
        <w:rPr>
          <w:spacing w:val="-16"/>
          <w:sz w:val="24"/>
        </w:rPr>
        <w:t> </w:t>
      </w:r>
      <w:r>
        <w:rPr>
          <w:sz w:val="24"/>
        </w:rPr>
        <w:t>55-62.</w:t>
      </w:r>
    </w:p>
    <w:p>
      <w:pPr>
        <w:pStyle w:val="ListParagraph"/>
        <w:numPr>
          <w:ilvl w:val="0"/>
          <w:numId w:val="33"/>
        </w:numPr>
        <w:tabs>
          <w:tab w:pos="1703" w:val="left" w:leader="none"/>
        </w:tabs>
        <w:spacing w:line="355" w:lineRule="auto" w:before="11" w:after="0"/>
        <w:ind w:left="1702" w:right="1697" w:hanging="284"/>
        <w:jc w:val="both"/>
        <w:rPr>
          <w:sz w:val="24"/>
        </w:rPr>
      </w:pPr>
      <w:r>
        <w:rPr>
          <w:sz w:val="24"/>
        </w:rPr>
        <w:t>Gebara A. B., Ciscato C. H. P., Monteiro S. H. y Souza G. S. (2011). Pesticide residues in some commodities: dietary risk for Children. Bull. Environ. Contam. Toxicol. 86,</w:t>
      </w:r>
      <w:r>
        <w:rPr>
          <w:spacing w:val="-8"/>
          <w:sz w:val="24"/>
        </w:rPr>
        <w:t> </w:t>
      </w:r>
      <w:r>
        <w:rPr>
          <w:sz w:val="24"/>
        </w:rPr>
        <w:t>506-510.</w:t>
      </w:r>
    </w:p>
    <w:p>
      <w:pPr>
        <w:pStyle w:val="ListParagraph"/>
        <w:numPr>
          <w:ilvl w:val="0"/>
          <w:numId w:val="33"/>
        </w:numPr>
        <w:tabs>
          <w:tab w:pos="1703" w:val="left" w:leader="none"/>
        </w:tabs>
        <w:spacing w:line="355" w:lineRule="auto" w:before="9" w:after="0"/>
        <w:ind w:left="1702" w:right="1701" w:hanging="284"/>
        <w:jc w:val="both"/>
        <w:rPr>
          <w:sz w:val="24"/>
        </w:rPr>
      </w:pPr>
      <w:r>
        <w:rPr>
          <w:sz w:val="24"/>
        </w:rPr>
        <w:t>Goc R. P. y Kaymak F. (2010). Chromosome aberrations, micronucleus and sperm head abnormalities in mice treated with Delvocid, a food preservative. Food and Chemical Toxicology 48,</w:t>
      </w:r>
      <w:r>
        <w:rPr>
          <w:spacing w:val="-7"/>
          <w:sz w:val="24"/>
        </w:rPr>
        <w:t> </w:t>
      </w:r>
      <w:r>
        <w:rPr>
          <w:sz w:val="24"/>
        </w:rPr>
        <w:t>789–797</w:t>
      </w:r>
    </w:p>
    <w:p>
      <w:pPr>
        <w:pStyle w:val="ListParagraph"/>
        <w:numPr>
          <w:ilvl w:val="0"/>
          <w:numId w:val="33"/>
        </w:numPr>
        <w:tabs>
          <w:tab w:pos="1703" w:val="left" w:leader="none"/>
        </w:tabs>
        <w:spacing w:line="355" w:lineRule="auto" w:before="8" w:after="0"/>
        <w:ind w:left="1702" w:right="1695" w:hanging="284"/>
        <w:jc w:val="both"/>
        <w:rPr>
          <w:sz w:val="24"/>
        </w:rPr>
      </w:pPr>
      <w:r>
        <w:rPr>
          <w:sz w:val="24"/>
        </w:rPr>
        <w:t>Gómez-Arroyo S., Martínez-Valenzuela C., Calvo-González S., Villalobos-Pietrini R., Waliszewski S. M., Calderon-Segura M. E.,…Lagarda-Escarrega A. (2013). Assessing the genotoxic risk for mexican children who are in residential   </w:t>
      </w:r>
      <w:r>
        <w:rPr>
          <w:spacing w:val="6"/>
          <w:sz w:val="24"/>
        </w:rPr>
        <w:t> </w:t>
      </w:r>
      <w:r>
        <w:rPr>
          <w:sz w:val="24"/>
        </w:rPr>
        <w:t>proximity</w:t>
      </w:r>
    </w:p>
    <w:p>
      <w:pPr>
        <w:spacing w:after="0" w:line="355" w:lineRule="auto"/>
        <w:jc w:val="both"/>
        <w:rPr>
          <w:sz w:val="24"/>
        </w:rPr>
        <w:sectPr>
          <w:pgSz w:w="12240" w:h="15840"/>
          <w:pgMar w:header="0" w:footer="599" w:top="1500" w:bottom="780" w:left="0" w:right="0"/>
        </w:sectPr>
      </w:pPr>
    </w:p>
    <w:p>
      <w:pPr>
        <w:pStyle w:val="BodyText"/>
        <w:spacing w:before="4"/>
        <w:rPr>
          <w:sz w:val="11"/>
        </w:rPr>
      </w:pPr>
    </w:p>
    <w:p>
      <w:pPr>
        <w:pStyle w:val="BodyText"/>
        <w:spacing w:line="357" w:lineRule="auto" w:before="69"/>
        <w:ind w:left="1702" w:right="1703"/>
        <w:rPr>
          <w:i/>
        </w:rPr>
      </w:pPr>
      <w:r>
        <w:rPr/>
        <w:t>to agricultural areas with intense aerial pesticide applications. Rev. Int. Contam. Ambie. 29, 217-225</w:t>
      </w:r>
      <w:r>
        <w:rPr>
          <w:i/>
        </w:rPr>
        <w:t>.</w:t>
      </w:r>
    </w:p>
    <w:p>
      <w:pPr>
        <w:pStyle w:val="ListParagraph"/>
        <w:numPr>
          <w:ilvl w:val="0"/>
          <w:numId w:val="33"/>
        </w:numPr>
        <w:tabs>
          <w:tab w:pos="1703" w:val="left" w:leader="none"/>
        </w:tabs>
        <w:spacing w:line="357" w:lineRule="auto" w:before="11" w:after="0"/>
        <w:ind w:left="1702" w:right="1702" w:hanging="284"/>
        <w:jc w:val="both"/>
        <w:rPr>
          <w:sz w:val="24"/>
        </w:rPr>
      </w:pPr>
      <w:r>
        <w:rPr>
          <w:sz w:val="24"/>
        </w:rPr>
        <w:t>Holland N., Bolognesi C., Kirsch-Volders M., Bonassi S., Zeiger E., Knasmueller S. y Fenech M. (2008). The micronucleus assay in human buccal cells as a toolbiomonitoring DNA damage: The HUMN project perspective on current status and knowledge gaps. Mutation research 659,</w:t>
      </w:r>
      <w:r>
        <w:rPr>
          <w:spacing w:val="-15"/>
          <w:sz w:val="24"/>
        </w:rPr>
        <w:t> </w:t>
      </w:r>
      <w:r>
        <w:rPr>
          <w:sz w:val="24"/>
        </w:rPr>
        <w:t>93-108.</w:t>
      </w:r>
    </w:p>
    <w:p>
      <w:pPr>
        <w:pStyle w:val="ListParagraph"/>
        <w:numPr>
          <w:ilvl w:val="0"/>
          <w:numId w:val="33"/>
        </w:numPr>
        <w:tabs>
          <w:tab w:pos="1703" w:val="left" w:leader="none"/>
        </w:tabs>
        <w:spacing w:line="352" w:lineRule="auto" w:before="6" w:after="0"/>
        <w:ind w:left="1702" w:right="1698" w:hanging="284"/>
        <w:jc w:val="both"/>
        <w:rPr>
          <w:sz w:val="24"/>
        </w:rPr>
      </w:pPr>
      <w:r>
        <w:rPr>
          <w:sz w:val="24"/>
        </w:rPr>
        <w:t>INEGI (2010). </w:t>
      </w:r>
      <w:hyperlink r:id="rId287">
        <w:r>
          <w:rPr>
            <w:sz w:val="24"/>
            <w:u w:val="single"/>
          </w:rPr>
          <w:t>Prontuario de información geográfica municipal de los Estados </w:t>
        </w:r>
      </w:hyperlink>
      <w:hyperlink r:id="rId287">
        <w:r>
          <w:rPr>
            <w:sz w:val="24"/>
            <w:u w:val="single"/>
          </w:rPr>
          <w:t>Unidos Mexicanos Villa Guerrero, México</w:t>
        </w:r>
      </w:hyperlink>
      <w:r>
        <w:rPr>
          <w:sz w:val="24"/>
        </w:rPr>
        <w:t>.</w:t>
      </w:r>
      <w:r>
        <w:rPr>
          <w:spacing w:val="55"/>
          <w:sz w:val="24"/>
        </w:rPr>
        <w:t> </w:t>
      </w:r>
      <w:r>
        <w:rPr>
          <w:sz w:val="24"/>
        </w:rPr>
        <w:t>01/06/2015.</w:t>
      </w:r>
    </w:p>
    <w:p>
      <w:pPr>
        <w:pStyle w:val="ListParagraph"/>
        <w:numPr>
          <w:ilvl w:val="0"/>
          <w:numId w:val="33"/>
        </w:numPr>
        <w:tabs>
          <w:tab w:pos="1703" w:val="left" w:leader="none"/>
        </w:tabs>
        <w:spacing w:line="355" w:lineRule="auto" w:before="12" w:after="0"/>
        <w:ind w:left="1702" w:right="1697" w:hanging="284"/>
        <w:jc w:val="both"/>
        <w:rPr>
          <w:sz w:val="24"/>
        </w:rPr>
      </w:pPr>
      <w:r>
        <w:rPr>
          <w:sz w:val="24"/>
        </w:rPr>
        <w:t>Jindal S., Chauhan I. y Kaur H. G. (2013). Alterarion in buccal mucosal cells due to the effect of tobacco and alcohol by assessing the silver-stained nucleolar organizer regions and micronuclei. J. Cytol. 30,</w:t>
      </w:r>
      <w:r>
        <w:rPr>
          <w:spacing w:val="-17"/>
          <w:sz w:val="24"/>
        </w:rPr>
        <w:t> </w:t>
      </w:r>
      <w:r>
        <w:rPr>
          <w:sz w:val="24"/>
        </w:rPr>
        <w:t>174-178.</w:t>
      </w:r>
    </w:p>
    <w:p>
      <w:pPr>
        <w:pStyle w:val="ListParagraph"/>
        <w:numPr>
          <w:ilvl w:val="0"/>
          <w:numId w:val="33"/>
        </w:numPr>
        <w:tabs>
          <w:tab w:pos="1703" w:val="left" w:leader="none"/>
        </w:tabs>
        <w:spacing w:line="357" w:lineRule="auto" w:before="8" w:after="0"/>
        <w:ind w:left="1702" w:right="1699" w:hanging="284"/>
        <w:jc w:val="both"/>
        <w:rPr>
          <w:sz w:val="24"/>
        </w:rPr>
      </w:pPr>
      <w:r>
        <w:rPr>
          <w:sz w:val="24"/>
        </w:rPr>
        <w:t>Jyoti S., Khan S., Afzal M., Naz F., y Siddique Y. H. (2013). Evaluation of micronucleus frequency by acridine orange fluorescent staining in buccal epithelial cells of oral submucosus fibrosis (OSMF) patients. The Egyptian Journal of Medical Human Genetics 14,</w:t>
      </w:r>
      <w:r>
        <w:rPr>
          <w:spacing w:val="-11"/>
          <w:sz w:val="24"/>
        </w:rPr>
        <w:t> </w:t>
      </w:r>
      <w:r>
        <w:rPr>
          <w:sz w:val="24"/>
        </w:rPr>
        <w:t>189–193.</w:t>
      </w:r>
    </w:p>
    <w:p>
      <w:pPr>
        <w:pStyle w:val="ListParagraph"/>
        <w:numPr>
          <w:ilvl w:val="0"/>
          <w:numId w:val="33"/>
        </w:numPr>
        <w:tabs>
          <w:tab w:pos="1703" w:val="left" w:leader="none"/>
        </w:tabs>
        <w:spacing w:line="350" w:lineRule="auto" w:before="8" w:after="0"/>
        <w:ind w:left="1702" w:right="1694" w:hanging="284"/>
        <w:jc w:val="both"/>
        <w:rPr>
          <w:sz w:val="24"/>
        </w:rPr>
      </w:pPr>
      <w:r>
        <w:rPr>
          <w:sz w:val="24"/>
        </w:rPr>
        <w:t>Lidén C. (2011). Pesticides. En J.D. Johansen et al. (eds.), Contact Dermatitis 927- 936.</w:t>
      </w:r>
    </w:p>
    <w:p>
      <w:pPr>
        <w:pStyle w:val="ListParagraph"/>
        <w:numPr>
          <w:ilvl w:val="0"/>
          <w:numId w:val="33"/>
        </w:numPr>
        <w:tabs>
          <w:tab w:pos="1703" w:val="left" w:leader="none"/>
        </w:tabs>
        <w:spacing w:line="355" w:lineRule="auto" w:before="16" w:after="0"/>
        <w:ind w:left="1702" w:right="1694" w:hanging="284"/>
        <w:jc w:val="both"/>
        <w:rPr>
          <w:sz w:val="24"/>
        </w:rPr>
      </w:pPr>
      <w:r>
        <w:rPr>
          <w:sz w:val="24"/>
        </w:rPr>
        <w:t>London L., Beseler Ch., Bouchard M. F., y Bellinger D. (2012). Neurobehavioral and neurodevelopmental effects of pesticide exposures</w:t>
      </w:r>
      <w:r>
        <w:rPr>
          <w:i/>
          <w:sz w:val="24"/>
        </w:rPr>
        <w:t>. </w:t>
      </w:r>
      <w:r>
        <w:rPr>
          <w:sz w:val="24"/>
        </w:rPr>
        <w:t>NeuroToxicology 33, 887- 896.</w:t>
      </w:r>
    </w:p>
    <w:p>
      <w:pPr>
        <w:pStyle w:val="ListParagraph"/>
        <w:numPr>
          <w:ilvl w:val="0"/>
          <w:numId w:val="33"/>
        </w:numPr>
        <w:tabs>
          <w:tab w:pos="1703" w:val="left" w:leader="none"/>
        </w:tabs>
        <w:spacing w:line="357" w:lineRule="auto" w:before="11" w:after="0"/>
        <w:ind w:left="1702" w:right="1698" w:hanging="284"/>
        <w:jc w:val="both"/>
        <w:rPr>
          <w:sz w:val="24"/>
        </w:rPr>
      </w:pPr>
      <w:r>
        <w:rPr>
          <w:sz w:val="24"/>
        </w:rPr>
        <w:t>Lucero L., Pastor S., Durbán R., Gómez C., Parrón T., Creus A. y Marcos R. (2000). Cytogenetic biomonitoring of Spanish greenhouses workers exposed to pesticides: micronuclei analysis in peripheral blood lymphocytes and buccal epitelial cells. Mutation Research 464,</w:t>
      </w:r>
      <w:r>
        <w:rPr>
          <w:spacing w:val="-16"/>
          <w:sz w:val="24"/>
        </w:rPr>
        <w:t> </w:t>
      </w:r>
      <w:r>
        <w:rPr>
          <w:sz w:val="24"/>
        </w:rPr>
        <w:t>255-262.</w:t>
      </w:r>
    </w:p>
    <w:p>
      <w:pPr>
        <w:pStyle w:val="ListParagraph"/>
        <w:numPr>
          <w:ilvl w:val="0"/>
          <w:numId w:val="33"/>
        </w:numPr>
        <w:tabs>
          <w:tab w:pos="1703" w:val="left" w:leader="none"/>
        </w:tabs>
        <w:spacing w:line="355" w:lineRule="auto" w:before="9" w:after="0"/>
        <w:ind w:left="1702" w:right="1700" w:hanging="284"/>
        <w:jc w:val="both"/>
        <w:rPr>
          <w:sz w:val="24"/>
        </w:rPr>
      </w:pPr>
      <w:r>
        <w:rPr>
          <w:sz w:val="24"/>
        </w:rPr>
        <w:t>Magnarelli G., Guinazu N. y Rovedatti M. G. (2014). Exposición ambiental a plaguicidas en la vida intrauterina: mecanismos toxicológicos involucrados en los efectos a corto y largo plazo. CIENCIA E INVESTIGACIÓN 64,</w:t>
      </w:r>
      <w:r>
        <w:rPr>
          <w:spacing w:val="-16"/>
          <w:sz w:val="24"/>
        </w:rPr>
        <w:t> </w:t>
      </w:r>
      <w:r>
        <w:rPr>
          <w:sz w:val="24"/>
        </w:rPr>
        <w:t>23-38</w:t>
      </w:r>
    </w:p>
    <w:p>
      <w:pPr>
        <w:pStyle w:val="ListParagraph"/>
        <w:numPr>
          <w:ilvl w:val="0"/>
          <w:numId w:val="33"/>
        </w:numPr>
        <w:tabs>
          <w:tab w:pos="1703" w:val="left" w:leader="none"/>
        </w:tabs>
        <w:spacing w:line="355" w:lineRule="auto" w:before="11" w:after="0"/>
        <w:ind w:left="1702" w:right="1698" w:hanging="284"/>
        <w:jc w:val="both"/>
        <w:rPr>
          <w:sz w:val="24"/>
        </w:rPr>
      </w:pPr>
      <w:r>
        <w:rPr>
          <w:sz w:val="24"/>
        </w:rPr>
        <w:t>Mantovani A., Maranghi F., La C. R., Tiboni G. M., Clementi M. (2008). The role of toxicology to characterize biomarkers for agrochemicals with potential endocrine activities. ReproductiveToxicology 26,</w:t>
      </w:r>
      <w:r>
        <w:rPr>
          <w:spacing w:val="-9"/>
          <w:sz w:val="24"/>
        </w:rPr>
        <w:t> </w:t>
      </w:r>
      <w:r>
        <w:rPr>
          <w:sz w:val="24"/>
        </w:rPr>
        <w:t>1–7</w:t>
      </w:r>
    </w:p>
    <w:p>
      <w:pPr>
        <w:spacing w:after="0" w:line="355" w:lineRule="auto"/>
        <w:jc w:val="both"/>
        <w:rPr>
          <w:sz w:val="24"/>
        </w:rPr>
        <w:sectPr>
          <w:pgSz w:w="12240" w:h="15840"/>
          <w:pgMar w:header="0" w:footer="599" w:top="1500" w:bottom="780" w:left="0" w:right="0"/>
        </w:sectPr>
      </w:pPr>
    </w:p>
    <w:p>
      <w:pPr>
        <w:pStyle w:val="BodyText"/>
        <w:spacing w:before="7"/>
        <w:rPr>
          <w:sz w:val="12"/>
        </w:rPr>
      </w:pPr>
    </w:p>
    <w:p>
      <w:pPr>
        <w:pStyle w:val="ListParagraph"/>
        <w:numPr>
          <w:ilvl w:val="0"/>
          <w:numId w:val="33"/>
        </w:numPr>
        <w:tabs>
          <w:tab w:pos="1703" w:val="left" w:leader="none"/>
        </w:tabs>
        <w:spacing w:line="350" w:lineRule="auto" w:before="55" w:after="0"/>
        <w:ind w:left="1702" w:right="1705" w:hanging="284"/>
        <w:jc w:val="both"/>
        <w:rPr>
          <w:sz w:val="24"/>
        </w:rPr>
      </w:pPr>
      <w:r>
        <w:rPr>
          <w:sz w:val="24"/>
        </w:rPr>
        <w:t>Martínez C. V. y Gómez S. A. (2007). Riesgo genotóxico por exposición a plaguicidas en trabajadores agrícolas. Rev. Int. Contam. Ambient. 23,</w:t>
      </w:r>
      <w:r>
        <w:rPr>
          <w:spacing w:val="-18"/>
          <w:sz w:val="24"/>
        </w:rPr>
        <w:t> </w:t>
      </w:r>
      <w:r>
        <w:rPr>
          <w:sz w:val="24"/>
        </w:rPr>
        <w:t>1-25.</w:t>
      </w:r>
    </w:p>
    <w:p>
      <w:pPr>
        <w:pStyle w:val="ListParagraph"/>
        <w:numPr>
          <w:ilvl w:val="0"/>
          <w:numId w:val="33"/>
        </w:numPr>
        <w:tabs>
          <w:tab w:pos="1703" w:val="left" w:leader="none"/>
        </w:tabs>
        <w:spacing w:line="357" w:lineRule="auto" w:before="14" w:after="0"/>
        <w:ind w:left="1702" w:right="1695" w:hanging="284"/>
        <w:jc w:val="both"/>
        <w:rPr>
          <w:sz w:val="24"/>
        </w:rPr>
      </w:pPr>
      <w:r>
        <w:rPr>
          <w:sz w:val="24"/>
        </w:rPr>
        <w:t>Martínez-Valenzuela C., Gómez-Arroyo S., Villalobos-Pietrini R., Waliszewski S., Calderón-Segura M. E., Féliz-Gastélum R. y Álvarez-Torres A. (2009). Genotoxic biomonitoring of agricultural workers exposed to pesticides in the north of Sinaloa State, Mexico. Environmental International 35,</w:t>
      </w:r>
      <w:r>
        <w:rPr>
          <w:spacing w:val="-19"/>
          <w:sz w:val="24"/>
        </w:rPr>
        <w:t> </w:t>
      </w:r>
      <w:r>
        <w:rPr>
          <w:sz w:val="24"/>
        </w:rPr>
        <w:t>1155-1159.</w:t>
      </w:r>
    </w:p>
    <w:p>
      <w:pPr>
        <w:pStyle w:val="ListParagraph"/>
        <w:numPr>
          <w:ilvl w:val="0"/>
          <w:numId w:val="33"/>
        </w:numPr>
        <w:tabs>
          <w:tab w:pos="1703" w:val="left" w:leader="none"/>
        </w:tabs>
        <w:spacing w:line="355" w:lineRule="auto" w:before="6" w:after="0"/>
        <w:ind w:left="1702" w:right="1705" w:hanging="284"/>
        <w:jc w:val="both"/>
        <w:rPr>
          <w:sz w:val="24"/>
        </w:rPr>
      </w:pPr>
      <w:r>
        <w:rPr>
          <w:sz w:val="24"/>
        </w:rPr>
        <w:t>Martínez-Valenzuela M. C. (2009). Evaluación del daño genotóxico en personas ocupacionalmente expuestas a plaguicidas en las Grullas, municipio de Ahome, Sinaloa. Tesis</w:t>
      </w:r>
      <w:r>
        <w:rPr>
          <w:spacing w:val="-7"/>
          <w:sz w:val="24"/>
        </w:rPr>
        <w:t> </w:t>
      </w:r>
      <w:r>
        <w:rPr>
          <w:sz w:val="24"/>
        </w:rPr>
        <w:t>Doctoral.</w:t>
      </w:r>
    </w:p>
    <w:p>
      <w:pPr>
        <w:pStyle w:val="ListParagraph"/>
        <w:numPr>
          <w:ilvl w:val="0"/>
          <w:numId w:val="33"/>
        </w:numPr>
        <w:tabs>
          <w:tab w:pos="1703" w:val="left" w:leader="none"/>
        </w:tabs>
        <w:spacing w:line="355" w:lineRule="auto" w:before="8" w:after="0"/>
        <w:ind w:left="1702" w:right="1694" w:hanging="284"/>
        <w:jc w:val="both"/>
        <w:rPr>
          <w:sz w:val="24"/>
        </w:rPr>
      </w:pPr>
      <w:r>
        <w:rPr>
          <w:sz w:val="24"/>
        </w:rPr>
        <w:t>Moore A., y Enquobahrie D. A. (2011). Paternal occupational exposure to pesticides and risk of neuroblastoma among Children: a meta-analysis. Cancer Causes Control 22,</w:t>
      </w:r>
      <w:r>
        <w:rPr>
          <w:spacing w:val="-8"/>
          <w:sz w:val="24"/>
        </w:rPr>
        <w:t> </w:t>
      </w:r>
      <w:r>
        <w:rPr>
          <w:sz w:val="24"/>
        </w:rPr>
        <w:t>1529-1536.</w:t>
      </w:r>
    </w:p>
    <w:p>
      <w:pPr>
        <w:pStyle w:val="ListParagraph"/>
        <w:numPr>
          <w:ilvl w:val="0"/>
          <w:numId w:val="33"/>
        </w:numPr>
        <w:tabs>
          <w:tab w:pos="1703" w:val="left" w:leader="none"/>
        </w:tabs>
        <w:spacing w:line="355" w:lineRule="auto" w:before="11" w:after="0"/>
        <w:ind w:left="1702" w:right="1703" w:hanging="284"/>
        <w:jc w:val="both"/>
        <w:rPr>
          <w:sz w:val="24"/>
        </w:rPr>
      </w:pPr>
      <w:r>
        <w:rPr>
          <w:sz w:val="24"/>
        </w:rPr>
        <w:t>Ogura R. Ikeda N. Yuki K. Morita O. Saigo K. Blackstock C. Nishiyama N. Kasamatsu T. (2008). Genotoxicity studies on green tea catechin. Food and Chemical Toxicology 46,</w:t>
      </w:r>
      <w:r>
        <w:rPr>
          <w:spacing w:val="-9"/>
          <w:sz w:val="24"/>
        </w:rPr>
        <w:t> </w:t>
      </w:r>
      <w:r>
        <w:rPr>
          <w:sz w:val="24"/>
        </w:rPr>
        <w:t>2190–2200.</w:t>
      </w:r>
    </w:p>
    <w:p>
      <w:pPr>
        <w:pStyle w:val="ListParagraph"/>
        <w:numPr>
          <w:ilvl w:val="0"/>
          <w:numId w:val="33"/>
        </w:numPr>
        <w:tabs>
          <w:tab w:pos="1703" w:val="left" w:leader="none"/>
        </w:tabs>
        <w:spacing w:line="355" w:lineRule="auto" w:before="11" w:after="0"/>
        <w:ind w:left="1702" w:right="1704" w:hanging="284"/>
        <w:jc w:val="both"/>
        <w:rPr>
          <w:sz w:val="24"/>
        </w:rPr>
      </w:pPr>
      <w:r>
        <w:rPr>
          <w:sz w:val="24"/>
        </w:rPr>
        <w:t>Pastor B. S. (2002). Biomonitorización citogenética de cuatro poblaciones agrícolas europeas, expuestas a plaguicidas mediante el ensayo de micronúcleos. Tesis</w:t>
      </w:r>
      <w:r>
        <w:rPr>
          <w:spacing w:val="-1"/>
          <w:sz w:val="24"/>
        </w:rPr>
        <w:t> </w:t>
      </w:r>
      <w:r>
        <w:rPr>
          <w:sz w:val="24"/>
        </w:rPr>
        <w:t>Doctoral.</w:t>
      </w:r>
    </w:p>
    <w:p>
      <w:pPr>
        <w:pStyle w:val="ListParagraph"/>
        <w:numPr>
          <w:ilvl w:val="0"/>
          <w:numId w:val="33"/>
        </w:numPr>
        <w:tabs>
          <w:tab w:pos="1703" w:val="left" w:leader="none"/>
        </w:tabs>
        <w:spacing w:line="355" w:lineRule="auto" w:before="11" w:after="0"/>
        <w:ind w:left="1702" w:right="1699" w:hanging="284"/>
        <w:jc w:val="both"/>
        <w:rPr>
          <w:sz w:val="24"/>
        </w:rPr>
      </w:pPr>
      <w:r>
        <w:rPr>
          <w:sz w:val="24"/>
        </w:rPr>
        <w:t>Pastor S., Gutiérrez S., Creus A., Cebuska-Wasilewska A. y Marcos R. (2001). Micronuclei in peripheral blood lymphocytes and buccal epithelial cells of Polish farmers exposed to pesticides. Mutat. Res. 495,</w:t>
      </w:r>
      <w:r>
        <w:rPr>
          <w:spacing w:val="-18"/>
          <w:sz w:val="24"/>
        </w:rPr>
        <w:t> </w:t>
      </w:r>
      <w:r>
        <w:rPr>
          <w:sz w:val="24"/>
        </w:rPr>
        <w:t>147–156.</w:t>
      </w:r>
    </w:p>
    <w:p>
      <w:pPr>
        <w:pStyle w:val="ListParagraph"/>
        <w:numPr>
          <w:ilvl w:val="0"/>
          <w:numId w:val="33"/>
        </w:numPr>
        <w:tabs>
          <w:tab w:pos="1703" w:val="left" w:leader="none"/>
        </w:tabs>
        <w:spacing w:line="350" w:lineRule="auto" w:before="8" w:after="0"/>
        <w:ind w:left="1702" w:right="1701" w:hanging="284"/>
        <w:jc w:val="both"/>
        <w:rPr>
          <w:sz w:val="24"/>
        </w:rPr>
      </w:pPr>
      <w:r>
        <w:rPr>
          <w:sz w:val="24"/>
        </w:rPr>
        <w:t>Pesticide Exposure in Children. (2012). Council on Environmental Health. Pediatrics,</w:t>
      </w:r>
      <w:r>
        <w:rPr>
          <w:spacing w:val="-7"/>
          <w:sz w:val="24"/>
        </w:rPr>
        <w:t> </w:t>
      </w:r>
      <w:r>
        <w:rPr>
          <w:sz w:val="24"/>
        </w:rPr>
        <w:t>E1757.</w:t>
      </w:r>
    </w:p>
    <w:p>
      <w:pPr>
        <w:pStyle w:val="ListParagraph"/>
        <w:numPr>
          <w:ilvl w:val="0"/>
          <w:numId w:val="33"/>
        </w:numPr>
        <w:tabs>
          <w:tab w:pos="1703" w:val="left" w:leader="none"/>
        </w:tabs>
        <w:spacing w:line="355" w:lineRule="auto" w:before="16" w:after="0"/>
        <w:ind w:left="1702" w:right="1703" w:hanging="284"/>
        <w:jc w:val="both"/>
        <w:rPr>
          <w:sz w:val="24"/>
        </w:rPr>
      </w:pPr>
      <w:r>
        <w:rPr>
          <w:sz w:val="24"/>
        </w:rPr>
        <w:t>Piperakis S. M., Kontogianni K., Piperakis M. M., Marcos R. y Tsilimigaki S. (2006). Effects of pesticides on occupationally exposed humans. TheScientificWorldJOURNAL 6,</w:t>
      </w:r>
      <w:r>
        <w:rPr>
          <w:spacing w:val="-14"/>
          <w:sz w:val="24"/>
        </w:rPr>
        <w:t> </w:t>
      </w:r>
      <w:r>
        <w:rPr>
          <w:sz w:val="24"/>
        </w:rPr>
        <w:t>1211-1220.</w:t>
      </w:r>
    </w:p>
    <w:p>
      <w:pPr>
        <w:pStyle w:val="ListParagraph"/>
        <w:numPr>
          <w:ilvl w:val="0"/>
          <w:numId w:val="33"/>
        </w:numPr>
        <w:tabs>
          <w:tab w:pos="1703" w:val="left" w:leader="none"/>
        </w:tabs>
        <w:spacing w:line="355" w:lineRule="auto" w:before="8" w:after="0"/>
        <w:ind w:left="1702" w:right="1704" w:hanging="284"/>
        <w:jc w:val="both"/>
        <w:rPr>
          <w:sz w:val="24"/>
        </w:rPr>
      </w:pPr>
      <w:r>
        <w:rPr>
          <w:sz w:val="24"/>
        </w:rPr>
        <w:t>Prieto G. F., Cortés A. S. Y., Gaytan O. J. C., Ceruelo H. A. y Vazquez A. P. (2012). Pesticides: classification, uses and toxicity. Measures of exposure and genotoxic risks. </w:t>
      </w:r>
      <w:r>
        <w:rPr>
          <w:i/>
          <w:sz w:val="24"/>
        </w:rPr>
        <w:t>J. Res. Environ. Sci. Toxicol</w:t>
      </w:r>
      <w:r>
        <w:rPr>
          <w:sz w:val="24"/>
        </w:rPr>
        <w:t>. 11,</w:t>
      </w:r>
      <w:r>
        <w:rPr>
          <w:spacing w:val="-19"/>
          <w:sz w:val="24"/>
        </w:rPr>
        <w:t> </w:t>
      </w:r>
      <w:r>
        <w:rPr>
          <w:sz w:val="24"/>
        </w:rPr>
        <w:t>279-293.</w:t>
      </w:r>
    </w:p>
    <w:p>
      <w:pPr>
        <w:spacing w:after="0" w:line="355" w:lineRule="auto"/>
        <w:jc w:val="both"/>
        <w:rPr>
          <w:sz w:val="24"/>
        </w:rPr>
        <w:sectPr>
          <w:pgSz w:w="12240" w:h="15840"/>
          <w:pgMar w:header="0" w:footer="599" w:top="1500" w:bottom="780" w:left="0" w:right="0"/>
        </w:sectPr>
      </w:pPr>
    </w:p>
    <w:p>
      <w:pPr>
        <w:pStyle w:val="BodyText"/>
        <w:spacing w:before="7"/>
        <w:rPr>
          <w:sz w:val="12"/>
        </w:rPr>
      </w:pPr>
    </w:p>
    <w:p>
      <w:pPr>
        <w:pStyle w:val="ListParagraph"/>
        <w:numPr>
          <w:ilvl w:val="0"/>
          <w:numId w:val="33"/>
        </w:numPr>
        <w:tabs>
          <w:tab w:pos="1703" w:val="left" w:leader="none"/>
        </w:tabs>
        <w:spacing w:line="240" w:lineRule="auto" w:before="55" w:after="0"/>
        <w:ind w:left="1702" w:right="0" w:hanging="284"/>
        <w:jc w:val="left"/>
        <w:rPr>
          <w:sz w:val="24"/>
        </w:rPr>
      </w:pPr>
      <w:r>
        <w:rPr>
          <w:color w:val="221F1F"/>
          <w:sz w:val="24"/>
        </w:rPr>
        <w:t>Remor A. P., Caprini T. C., Alves M. D., Pimentel D. G., Dahlström H. V., Marlei</w:t>
      </w:r>
      <w:r>
        <w:rPr>
          <w:color w:val="221F1F"/>
          <w:spacing w:val="65"/>
          <w:sz w:val="24"/>
        </w:rPr>
        <w:t> </w:t>
      </w:r>
      <w:r>
        <w:rPr>
          <w:color w:val="221F1F"/>
          <w:sz w:val="24"/>
        </w:rPr>
        <w:t>B.</w:t>
      </w:r>
    </w:p>
    <w:p>
      <w:pPr>
        <w:pStyle w:val="BodyText"/>
        <w:spacing w:line="357" w:lineRule="auto" w:before="135"/>
        <w:ind w:left="1702" w:right="1703"/>
      </w:pPr>
      <w:r>
        <w:rPr>
          <w:color w:val="221F1F"/>
        </w:rPr>
        <w:t>J. </w:t>
      </w:r>
      <w:r>
        <w:rPr/>
        <w:t>(2009). Occupational exposure of farm workers to pesticides: Biochemical parameters and evaluation of genotoxicity</w:t>
      </w:r>
      <w:r>
        <w:rPr>
          <w:i/>
        </w:rPr>
        <w:t>. </w:t>
      </w:r>
      <w:r>
        <w:rPr/>
        <w:t>Environ. Int. 35, 273-278.</w:t>
      </w:r>
    </w:p>
    <w:p>
      <w:pPr>
        <w:pStyle w:val="ListParagraph"/>
        <w:numPr>
          <w:ilvl w:val="0"/>
          <w:numId w:val="33"/>
        </w:numPr>
        <w:tabs>
          <w:tab w:pos="1703" w:val="left" w:leader="none"/>
        </w:tabs>
        <w:spacing w:line="355" w:lineRule="auto" w:before="11" w:after="0"/>
        <w:ind w:left="1702" w:right="1696" w:hanging="284"/>
        <w:jc w:val="both"/>
        <w:rPr>
          <w:sz w:val="24"/>
        </w:rPr>
      </w:pPr>
      <w:r>
        <w:rPr>
          <w:sz w:val="24"/>
        </w:rPr>
        <w:t>Rezende E. F., Mendes-Costa M. C., Campideli F. J. y Oliveira R. A. (2011). Nuclear anomalies in the buccal cells of children under dental treatment. RSBO 8, 182-8.</w:t>
      </w:r>
    </w:p>
    <w:p>
      <w:pPr>
        <w:pStyle w:val="ListParagraph"/>
        <w:numPr>
          <w:ilvl w:val="0"/>
          <w:numId w:val="33"/>
        </w:numPr>
        <w:tabs>
          <w:tab w:pos="1703" w:val="left" w:leader="none"/>
        </w:tabs>
        <w:spacing w:line="352" w:lineRule="auto" w:before="6" w:after="0"/>
        <w:ind w:left="1702" w:right="1697" w:hanging="284"/>
        <w:jc w:val="both"/>
        <w:rPr>
          <w:sz w:val="24"/>
        </w:rPr>
      </w:pPr>
      <w:r>
        <w:rPr>
          <w:sz w:val="24"/>
        </w:rPr>
        <w:t>Roberts R. J., y Karr C. J. (2012). Pesticide exposure in children</w:t>
      </w:r>
      <w:r>
        <w:rPr>
          <w:i/>
          <w:sz w:val="24"/>
        </w:rPr>
        <w:t>. </w:t>
      </w:r>
      <w:r>
        <w:rPr>
          <w:sz w:val="24"/>
        </w:rPr>
        <w:t>Pediatrics 130, e1765-e1788.</w:t>
      </w:r>
    </w:p>
    <w:p>
      <w:pPr>
        <w:pStyle w:val="ListParagraph"/>
        <w:numPr>
          <w:ilvl w:val="0"/>
          <w:numId w:val="33"/>
        </w:numPr>
        <w:tabs>
          <w:tab w:pos="1703" w:val="left" w:leader="none"/>
        </w:tabs>
        <w:spacing w:line="355" w:lineRule="auto" w:before="14" w:after="0"/>
        <w:ind w:left="1702" w:right="1698" w:hanging="284"/>
        <w:jc w:val="both"/>
        <w:rPr>
          <w:sz w:val="24"/>
        </w:rPr>
      </w:pPr>
      <w:r>
        <w:rPr>
          <w:sz w:val="24"/>
        </w:rPr>
        <w:t>Ros-Llor I., y Lopez-Jornet P. (2014). Cytogenetic analysis of oral mucosa cells, induced by chlorhexidine, essential oils in ethanolic solution and triclosan mouthwashes</w:t>
      </w:r>
      <w:r>
        <w:rPr>
          <w:i/>
          <w:sz w:val="24"/>
        </w:rPr>
        <w:t>. </w:t>
      </w:r>
      <w:r>
        <w:rPr>
          <w:sz w:val="24"/>
        </w:rPr>
        <w:t>Environmental Research 132,</w:t>
      </w:r>
      <w:r>
        <w:rPr>
          <w:spacing w:val="-16"/>
          <w:sz w:val="24"/>
        </w:rPr>
        <w:t> </w:t>
      </w:r>
      <w:r>
        <w:rPr>
          <w:sz w:val="24"/>
        </w:rPr>
        <w:t>140-145.</w:t>
      </w:r>
    </w:p>
    <w:p>
      <w:pPr>
        <w:pStyle w:val="ListParagraph"/>
        <w:numPr>
          <w:ilvl w:val="0"/>
          <w:numId w:val="33"/>
        </w:numPr>
        <w:tabs>
          <w:tab w:pos="1703" w:val="left" w:leader="none"/>
        </w:tabs>
        <w:spacing w:line="355" w:lineRule="auto" w:before="11" w:after="0"/>
        <w:ind w:left="1702" w:right="1703" w:hanging="284"/>
        <w:jc w:val="both"/>
        <w:rPr>
          <w:sz w:val="24"/>
        </w:rPr>
      </w:pPr>
      <w:r>
        <w:rPr>
          <w:sz w:val="24"/>
        </w:rPr>
        <w:t>Scarpato R., Migliore L., Angotzi G., Fedi A., Miligi L. y Loprieno N. (1996). Cytogenetic monitoring of a group of Italian floriculturists: no evidence of DNA damage related to pesticide exposure. Mutation Research 367,</w:t>
      </w:r>
      <w:r>
        <w:rPr>
          <w:spacing w:val="-27"/>
          <w:sz w:val="24"/>
        </w:rPr>
        <w:t> </w:t>
      </w:r>
      <w:r>
        <w:rPr>
          <w:sz w:val="24"/>
        </w:rPr>
        <w:t>73-82</w:t>
      </w:r>
    </w:p>
    <w:p>
      <w:pPr>
        <w:pStyle w:val="ListParagraph"/>
        <w:numPr>
          <w:ilvl w:val="0"/>
          <w:numId w:val="33"/>
        </w:numPr>
        <w:tabs>
          <w:tab w:pos="1703" w:val="left" w:leader="none"/>
        </w:tabs>
        <w:spacing w:line="350" w:lineRule="auto" w:before="8" w:after="0"/>
        <w:ind w:left="1702" w:right="1698" w:hanging="284"/>
        <w:jc w:val="both"/>
        <w:rPr>
          <w:sz w:val="24"/>
        </w:rPr>
      </w:pPr>
      <w:r>
        <w:rPr>
          <w:sz w:val="24"/>
        </w:rPr>
        <w:t>SENER (2007). Anuario estadístico de la industria petroquímica. Secretaría de Energía. México, D.F.</w:t>
      </w:r>
      <w:r>
        <w:rPr>
          <w:spacing w:val="-10"/>
          <w:sz w:val="24"/>
        </w:rPr>
        <w:t> </w:t>
      </w:r>
      <w:r>
        <w:rPr>
          <w:sz w:val="24"/>
        </w:rPr>
        <w:t>pp.289.</w:t>
      </w:r>
    </w:p>
    <w:p>
      <w:pPr>
        <w:pStyle w:val="ListParagraph"/>
        <w:numPr>
          <w:ilvl w:val="0"/>
          <w:numId w:val="33"/>
        </w:numPr>
        <w:tabs>
          <w:tab w:pos="1703" w:val="left" w:leader="none"/>
        </w:tabs>
        <w:spacing w:line="348" w:lineRule="auto" w:before="17" w:after="0"/>
        <w:ind w:left="1702" w:right="1700" w:hanging="284"/>
        <w:jc w:val="both"/>
        <w:rPr>
          <w:sz w:val="24"/>
        </w:rPr>
      </w:pPr>
      <w:r>
        <w:rPr>
          <w:sz w:val="24"/>
        </w:rPr>
        <w:t>SIAP (2012). La floricultura en México. Estadísticas del Sector Agroalimentario y Pesquero. Servicio de Información Agroalimentaria y Pesquera. </w:t>
      </w:r>
      <w:r>
        <w:rPr>
          <w:i/>
          <w:sz w:val="24"/>
        </w:rPr>
        <w:t>DISEMINA </w:t>
      </w:r>
      <w:r>
        <w:rPr>
          <w:sz w:val="24"/>
        </w:rPr>
        <w:t>No.</w:t>
      </w:r>
      <w:r>
        <w:rPr>
          <w:spacing w:val="-21"/>
          <w:sz w:val="24"/>
        </w:rPr>
        <w:t> </w:t>
      </w:r>
      <w:r>
        <w:rPr>
          <w:sz w:val="24"/>
        </w:rPr>
        <w:t>89.</w:t>
      </w:r>
    </w:p>
    <w:p>
      <w:pPr>
        <w:pStyle w:val="ListParagraph"/>
        <w:numPr>
          <w:ilvl w:val="0"/>
          <w:numId w:val="33"/>
        </w:numPr>
        <w:tabs>
          <w:tab w:pos="1703" w:val="left" w:leader="none"/>
        </w:tabs>
        <w:spacing w:line="355" w:lineRule="auto" w:before="21" w:after="0"/>
        <w:ind w:left="1702" w:right="1702" w:hanging="284"/>
        <w:jc w:val="both"/>
        <w:rPr>
          <w:sz w:val="24"/>
        </w:rPr>
      </w:pPr>
      <w:r>
        <w:rPr>
          <w:sz w:val="24"/>
        </w:rPr>
        <w:t>Thomas P., Harvey S., Gruner T. y Fenech M. (2008). The buccal cytome and micronucleus frequency is substantially altered in Down’s syndrome and normal ageing compared to young healthy controls. Mutation Research 638,</w:t>
      </w:r>
      <w:r>
        <w:rPr>
          <w:spacing w:val="-20"/>
          <w:sz w:val="24"/>
        </w:rPr>
        <w:t> </w:t>
      </w:r>
      <w:r>
        <w:rPr>
          <w:sz w:val="24"/>
        </w:rPr>
        <w:t>37-47.</w:t>
      </w:r>
    </w:p>
    <w:p>
      <w:pPr>
        <w:pStyle w:val="ListParagraph"/>
        <w:numPr>
          <w:ilvl w:val="0"/>
          <w:numId w:val="33"/>
        </w:numPr>
        <w:tabs>
          <w:tab w:pos="1703" w:val="left" w:leader="none"/>
        </w:tabs>
        <w:spacing w:line="355" w:lineRule="auto" w:before="11" w:after="0"/>
        <w:ind w:left="1702" w:right="1698" w:hanging="284"/>
        <w:jc w:val="both"/>
        <w:rPr>
          <w:sz w:val="24"/>
        </w:rPr>
      </w:pPr>
      <w:r>
        <w:rPr>
          <w:sz w:val="24"/>
        </w:rPr>
        <w:t>Tiwari D., Kamble J., Chilgunde S., Patil P., Maru G., Kawle D.,…Vanage G. (2012). </w:t>
      </w:r>
      <w:hyperlink r:id="rId289">
        <w:r>
          <w:rPr>
            <w:sz w:val="24"/>
          </w:rPr>
          <w:t>Clastogenic and mutagenic effects of bisphenol A: An endocrine</w:t>
        </w:r>
      </w:hyperlink>
      <w:r>
        <w:rPr>
          <w:sz w:val="24"/>
        </w:rPr>
        <w:t> </w:t>
      </w:r>
      <w:hyperlink r:id="rId289">
        <w:r>
          <w:rPr>
            <w:sz w:val="24"/>
          </w:rPr>
          <w:t>disruptor</w:t>
        </w:r>
      </w:hyperlink>
      <w:r>
        <w:rPr>
          <w:sz w:val="24"/>
        </w:rPr>
        <w:t>.Genetic Toxicology and Environmental Mutagenesis 743,</w:t>
      </w:r>
      <w:r>
        <w:rPr>
          <w:spacing w:val="-25"/>
          <w:sz w:val="24"/>
        </w:rPr>
        <w:t> </w:t>
      </w:r>
      <w:r>
        <w:rPr>
          <w:sz w:val="24"/>
        </w:rPr>
        <w:t>83-90.</w:t>
      </w:r>
    </w:p>
    <w:p>
      <w:pPr>
        <w:pStyle w:val="ListParagraph"/>
        <w:numPr>
          <w:ilvl w:val="0"/>
          <w:numId w:val="33"/>
        </w:numPr>
        <w:tabs>
          <w:tab w:pos="1703" w:val="left" w:leader="none"/>
        </w:tabs>
        <w:spacing w:line="357" w:lineRule="auto" w:before="9" w:after="0"/>
        <w:ind w:left="1702" w:right="1694" w:hanging="284"/>
        <w:jc w:val="both"/>
        <w:rPr>
          <w:sz w:val="24"/>
        </w:rPr>
      </w:pPr>
      <w:r>
        <w:rPr>
          <w:sz w:val="24"/>
        </w:rPr>
        <w:t>Torres-Bugarín O. y Torres M. B. M. G. (2008). Genotoxicidad asociada al índice de masa corporal, evaluada por medio de la prueba de micronúcleos en mucosa bucal. Avances en la Investigación Científica en el CUCBA. ISBN 978-607-00- 2083-4</w:t>
      </w:r>
    </w:p>
    <w:p>
      <w:pPr>
        <w:spacing w:after="0" w:line="357" w:lineRule="auto"/>
        <w:jc w:val="both"/>
        <w:rPr>
          <w:sz w:val="24"/>
        </w:rPr>
        <w:sectPr>
          <w:footerReference w:type="default" r:id="rId288"/>
          <w:pgSz w:w="12240" w:h="15840"/>
          <w:pgMar w:footer="599" w:header="0" w:top="1500" w:bottom="780" w:left="0" w:right="0"/>
        </w:sectPr>
      </w:pPr>
    </w:p>
    <w:p>
      <w:pPr>
        <w:pStyle w:val="BodyText"/>
        <w:spacing w:before="7"/>
        <w:rPr>
          <w:sz w:val="12"/>
        </w:rPr>
      </w:pPr>
    </w:p>
    <w:p>
      <w:pPr>
        <w:pStyle w:val="ListParagraph"/>
        <w:numPr>
          <w:ilvl w:val="0"/>
          <w:numId w:val="33"/>
        </w:numPr>
        <w:tabs>
          <w:tab w:pos="1703" w:val="left" w:leader="none"/>
        </w:tabs>
        <w:spacing w:line="355" w:lineRule="auto" w:before="55" w:after="0"/>
        <w:ind w:left="1702" w:right="1699" w:hanging="284"/>
        <w:jc w:val="both"/>
        <w:rPr>
          <w:sz w:val="24"/>
        </w:rPr>
      </w:pPr>
      <w:r>
        <w:rPr>
          <w:sz w:val="24"/>
        </w:rPr>
        <w:t>Torres-Bugarín O. y Ramos-Ibarra M. L. (2013). Utility micronucleus test and nuclear abnormalities in exfoliated cells of oral mucosa in the evaluation of genotoxic and cytotoxic damage. Int. J. Morphol. 31,</w:t>
      </w:r>
      <w:r>
        <w:rPr>
          <w:spacing w:val="-19"/>
          <w:sz w:val="24"/>
        </w:rPr>
        <w:t> </w:t>
      </w:r>
      <w:r>
        <w:rPr>
          <w:sz w:val="24"/>
        </w:rPr>
        <w:t>650-657.</w:t>
      </w:r>
    </w:p>
    <w:p>
      <w:pPr>
        <w:pStyle w:val="ListParagraph"/>
        <w:numPr>
          <w:ilvl w:val="0"/>
          <w:numId w:val="33"/>
        </w:numPr>
        <w:tabs>
          <w:tab w:pos="1703" w:val="left" w:leader="none"/>
        </w:tabs>
        <w:spacing w:line="240" w:lineRule="auto" w:before="11" w:after="0"/>
        <w:ind w:left="1702" w:right="0" w:hanging="284"/>
        <w:jc w:val="left"/>
        <w:rPr>
          <w:sz w:val="24"/>
        </w:rPr>
      </w:pPr>
      <w:r>
        <w:rPr>
          <w:sz w:val="24"/>
        </w:rPr>
        <w:t>Torres-Bugarín O., Zavala-Cerna M. G., Nava A., Flores-García A. y</w:t>
      </w:r>
      <w:r>
        <w:rPr>
          <w:spacing w:val="37"/>
          <w:sz w:val="24"/>
        </w:rPr>
        <w:t> </w:t>
      </w:r>
      <w:r>
        <w:rPr>
          <w:sz w:val="24"/>
        </w:rPr>
        <w:t>Ramos-Ibarra</w:t>
      </w:r>
    </w:p>
    <w:p>
      <w:pPr>
        <w:pStyle w:val="ListParagraph"/>
        <w:numPr>
          <w:ilvl w:val="0"/>
          <w:numId w:val="34"/>
        </w:numPr>
        <w:tabs>
          <w:tab w:pos="2060" w:val="left" w:leader="none"/>
        </w:tabs>
        <w:spacing w:line="360" w:lineRule="auto" w:before="135" w:after="0"/>
        <w:ind w:left="1702" w:right="1699" w:firstLine="0"/>
        <w:jc w:val="left"/>
        <w:rPr>
          <w:sz w:val="24"/>
        </w:rPr>
      </w:pPr>
      <w:r>
        <w:rPr>
          <w:sz w:val="24"/>
        </w:rPr>
        <w:t>L. (2014). Potential uses, limitations, and basic procedures of micronuclei and nuclear abnormalities in buccal cells. Disease Markers 13</w:t>
      </w:r>
      <w:r>
        <w:rPr>
          <w:spacing w:val="-22"/>
          <w:sz w:val="24"/>
        </w:rPr>
        <w:t> </w:t>
      </w:r>
      <w:r>
        <w:rPr>
          <w:sz w:val="24"/>
        </w:rPr>
        <w:t>pages.</w:t>
      </w:r>
    </w:p>
    <w:p>
      <w:pPr>
        <w:pStyle w:val="ListParagraph"/>
        <w:numPr>
          <w:ilvl w:val="0"/>
          <w:numId w:val="33"/>
        </w:numPr>
        <w:tabs>
          <w:tab w:pos="1703" w:val="left" w:leader="none"/>
        </w:tabs>
        <w:spacing w:line="350" w:lineRule="auto" w:before="3" w:after="0"/>
        <w:ind w:left="1702" w:right="1702" w:hanging="284"/>
        <w:jc w:val="both"/>
        <w:rPr>
          <w:sz w:val="24"/>
        </w:rPr>
      </w:pPr>
      <w:r>
        <w:rPr>
          <w:sz w:val="24"/>
        </w:rPr>
        <w:t>USEPA (2010). Types of Pesticides, </w:t>
      </w:r>
      <w:r>
        <w:rPr>
          <w:color w:val="111111"/>
          <w:sz w:val="24"/>
        </w:rPr>
        <w:t>United States Environmental Protection Agency [en línea] </w:t>
      </w:r>
      <w:hyperlink r:id="rId291">
        <w:r>
          <w:rPr>
            <w:sz w:val="24"/>
            <w:u w:val="single"/>
          </w:rPr>
          <w:t>http://www.epa.gov/pesticides/about/types.htm.</w:t>
        </w:r>
        <w:r>
          <w:rPr>
            <w:spacing w:val="-30"/>
            <w:sz w:val="24"/>
            <w:u w:val="single"/>
          </w:rPr>
          <w:t> </w:t>
        </w:r>
        <w:r>
          <w:rPr>
            <w:sz w:val="24"/>
            <w:u w:val="single"/>
          </w:rPr>
          <w:t>30/05/2014</w:t>
        </w:r>
      </w:hyperlink>
    </w:p>
    <w:p>
      <w:pPr>
        <w:pStyle w:val="ListParagraph"/>
        <w:numPr>
          <w:ilvl w:val="0"/>
          <w:numId w:val="33"/>
        </w:numPr>
        <w:tabs>
          <w:tab w:pos="1703" w:val="left" w:leader="none"/>
        </w:tabs>
        <w:spacing w:line="348" w:lineRule="auto" w:before="17" w:after="0"/>
        <w:ind w:left="1702" w:right="1704" w:hanging="284"/>
        <w:jc w:val="both"/>
        <w:rPr>
          <w:sz w:val="24"/>
        </w:rPr>
      </w:pPr>
      <w:r>
        <w:rPr>
          <w:sz w:val="24"/>
        </w:rPr>
        <w:t>Vida P. y Moretto A. (2007). Pesticide exposure pathways among children of agricultural workers</w:t>
      </w:r>
      <w:r>
        <w:rPr>
          <w:i/>
          <w:sz w:val="24"/>
        </w:rPr>
        <w:t>. </w:t>
      </w:r>
      <w:r>
        <w:rPr>
          <w:sz w:val="24"/>
        </w:rPr>
        <w:t>Public. Health 15,</w:t>
      </w:r>
      <w:r>
        <w:rPr>
          <w:spacing w:val="-14"/>
          <w:sz w:val="24"/>
        </w:rPr>
        <w:t> </w:t>
      </w:r>
      <w:r>
        <w:rPr>
          <w:sz w:val="24"/>
        </w:rPr>
        <w:t>289–299.</w:t>
      </w:r>
    </w:p>
    <w:p>
      <w:pPr>
        <w:pStyle w:val="ListParagraph"/>
        <w:numPr>
          <w:ilvl w:val="0"/>
          <w:numId w:val="33"/>
        </w:numPr>
        <w:tabs>
          <w:tab w:pos="1703" w:val="left" w:leader="none"/>
        </w:tabs>
        <w:spacing w:line="357" w:lineRule="auto" w:before="21" w:after="0"/>
        <w:ind w:left="1702" w:right="1695" w:hanging="284"/>
        <w:jc w:val="both"/>
        <w:rPr>
          <w:sz w:val="24"/>
        </w:rPr>
      </w:pPr>
      <w:r>
        <w:rPr>
          <w:sz w:val="24"/>
        </w:rPr>
        <w:t>Weichenthal M., Roser M., Ehlert U., Frenzer S., Breitbart E. y Riidiger H.W. (1989). Increased numbers of spontaneous micronuclei in blood lymphocytes and cultures fibroblasts of individuals with familial cutaneous malignant melanoma. J. Cancer Res. Clin. Oncol.  115,</w:t>
      </w:r>
      <w:r>
        <w:rPr>
          <w:spacing w:val="-15"/>
          <w:sz w:val="24"/>
        </w:rPr>
        <w:t> </w:t>
      </w:r>
      <w:r>
        <w:rPr>
          <w:sz w:val="24"/>
        </w:rPr>
        <w:t>26z1~268</w:t>
      </w:r>
    </w:p>
    <w:p>
      <w:pPr>
        <w:pStyle w:val="ListParagraph"/>
        <w:numPr>
          <w:ilvl w:val="0"/>
          <w:numId w:val="33"/>
        </w:numPr>
        <w:tabs>
          <w:tab w:pos="1703" w:val="left" w:leader="none"/>
        </w:tabs>
        <w:spacing w:line="355" w:lineRule="auto" w:before="6" w:after="0"/>
        <w:ind w:left="1702" w:right="1701" w:hanging="284"/>
        <w:jc w:val="both"/>
        <w:rPr>
          <w:sz w:val="24"/>
        </w:rPr>
      </w:pPr>
      <w:r>
        <w:rPr>
          <w:sz w:val="24"/>
        </w:rPr>
        <w:t>WHO (2006). Principles for evaluating health risks in children associated with exposure to chemicals. Environmental Health Criteria 237. International Program of Chemical Safety. World Health</w:t>
      </w:r>
      <w:r>
        <w:rPr>
          <w:spacing w:val="-15"/>
          <w:sz w:val="24"/>
        </w:rPr>
        <w:t> </w:t>
      </w:r>
      <w:r>
        <w:rPr>
          <w:sz w:val="24"/>
        </w:rPr>
        <w:t>Organization.</w:t>
      </w:r>
    </w:p>
    <w:p>
      <w:pPr>
        <w:pStyle w:val="ListParagraph"/>
        <w:numPr>
          <w:ilvl w:val="0"/>
          <w:numId w:val="33"/>
        </w:numPr>
        <w:tabs>
          <w:tab w:pos="1703" w:val="left" w:leader="none"/>
        </w:tabs>
        <w:spacing w:line="355" w:lineRule="auto" w:before="8" w:after="0"/>
        <w:ind w:left="1702" w:right="1695" w:hanging="284"/>
        <w:jc w:val="both"/>
        <w:rPr>
          <w:sz w:val="24"/>
        </w:rPr>
      </w:pPr>
      <w:r>
        <w:rPr>
          <w:sz w:val="24"/>
        </w:rPr>
        <w:t>Xin F., Jian L., Liu X., Geng Ch., Wang </w:t>
      </w:r>
      <w:r>
        <w:rPr>
          <w:spacing w:val="2"/>
          <w:sz w:val="24"/>
        </w:rPr>
        <w:t>W., </w:t>
      </w:r>
      <w:r>
        <w:rPr>
          <w:sz w:val="24"/>
        </w:rPr>
        <w:t>Zhong L.,… Chen M. (2014).  </w:t>
      </w:r>
      <w:hyperlink r:id="rId292">
        <w:r>
          <w:rPr>
            <w:sz w:val="24"/>
          </w:rPr>
          <w:t>Bisphenol A induces oxidative stress-associated DNA damage in INS-1 cells</w:t>
        </w:r>
      </w:hyperlink>
      <w:r>
        <w:rPr>
          <w:sz w:val="24"/>
        </w:rPr>
        <w:t>. Genetic Toxicology and Environmental Mutagenesis 769,</w:t>
      </w:r>
      <w:r>
        <w:rPr>
          <w:spacing w:val="-26"/>
          <w:sz w:val="24"/>
        </w:rPr>
        <w:t> </w:t>
      </w:r>
      <w:r>
        <w:rPr>
          <w:sz w:val="24"/>
        </w:rPr>
        <w:t>29.33.</w:t>
      </w:r>
    </w:p>
    <w:p>
      <w:pPr>
        <w:spacing w:after="0" w:line="355" w:lineRule="auto"/>
        <w:jc w:val="both"/>
        <w:rPr>
          <w:sz w:val="24"/>
        </w:rPr>
        <w:sectPr>
          <w:footerReference w:type="default" r:id="rId290"/>
          <w:pgSz w:w="12240" w:h="15840"/>
          <w:pgMar w:footer="599" w:header="0" w:top="1500" w:bottom="780" w:left="0" w:right="0"/>
          <w:pgNumType w:start="91"/>
        </w:sectPr>
      </w:pPr>
    </w:p>
    <w:p>
      <w:pPr>
        <w:pStyle w:val="BodyText"/>
        <w:spacing w:before="1"/>
        <w:rPr>
          <w:sz w:val="11"/>
        </w:rPr>
      </w:pPr>
    </w:p>
    <w:p>
      <w:pPr>
        <w:pStyle w:val="Heading4"/>
        <w:spacing w:before="70"/>
        <w:ind w:left="1846" w:right="1703"/>
      </w:pPr>
      <w:r>
        <w:rPr/>
        <w:t>CUADROS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9"/>
        </w:rPr>
      </w:pPr>
    </w:p>
    <w:p>
      <w:pPr>
        <w:spacing w:before="0"/>
        <w:ind w:left="1606" w:right="1465" w:firstLine="0"/>
        <w:jc w:val="center"/>
        <w:rPr>
          <w:rFonts w:ascii="Calibri" w:hAnsi="Calibri"/>
          <w:sz w:val="19"/>
        </w:rPr>
      </w:pPr>
      <w:r>
        <w:rPr>
          <w:rFonts w:ascii="Calibri" w:hAnsi="Calibri"/>
          <w:b/>
          <w:sz w:val="19"/>
        </w:rPr>
        <w:t>CUADRO I. </w:t>
      </w:r>
      <w:r>
        <w:rPr>
          <w:rFonts w:ascii="Calibri" w:hAnsi="Calibri"/>
          <w:sz w:val="19"/>
        </w:rPr>
        <w:t>MICRONÚCLEOS Y ANORMALIDADES NUCLEARES EN CÉLULAS DE</w:t>
      </w:r>
    </w:p>
    <w:p>
      <w:pPr>
        <w:spacing w:before="0"/>
        <w:ind w:left="1606" w:right="1458" w:firstLine="0"/>
        <w:jc w:val="center"/>
        <w:rPr>
          <w:rFonts w:ascii="Calibri" w:hAnsi="Calibri"/>
          <w:sz w:val="18"/>
        </w:rPr>
      </w:pPr>
      <w:r>
        <w:rPr>
          <w:rFonts w:ascii="Calibri" w:hAnsi="Calibri"/>
          <w:w w:val="105"/>
          <w:sz w:val="18"/>
        </w:rPr>
        <w:t>MUCOSA BUCAL DE NIÑOS EXPUESTOS Y NO EXPUESTOS A PLAGUICIDAS</w:t>
      </w:r>
    </w:p>
    <w:p>
      <w:pPr>
        <w:pStyle w:val="BodyText"/>
        <w:spacing w:after="1"/>
        <w:rPr>
          <w:rFonts w:ascii="Calibri"/>
          <w:sz w:val="13"/>
        </w:rPr>
      </w:pPr>
    </w:p>
    <w:tbl>
      <w:tblPr>
        <w:tblW w:w="0" w:type="auto"/>
        <w:jc w:val="left"/>
        <w:tblInd w:w="3320" w:type="dxa"/>
        <w:tblBorders>
          <w:top w:val="single" w:sz="14" w:space="0" w:color="000000"/>
          <w:left w:val="single" w:sz="14" w:space="0" w:color="000000"/>
          <w:bottom w:val="single" w:sz="14" w:space="0" w:color="000000"/>
          <w:right w:val="single" w:sz="14" w:space="0" w:color="000000"/>
          <w:insideH w:val="single" w:sz="14" w:space="0" w:color="000000"/>
          <w:insideV w:val="single" w:sz="14" w:space="0" w:color="000000"/>
        </w:tblBorders>
        <w:tblLayout w:type="fixed"/>
        <w:tblCellMar>
          <w:top w:w="0" w:type="dxa"/>
          <w:left w:w="0" w:type="dxa"/>
          <w:bottom w:w="0" w:type="dxa"/>
          <w:right w:w="0" w:type="dxa"/>
        </w:tblCellMar>
        <w:tblLook w:val="01E0"/>
      </w:tblPr>
      <w:tblGrid>
        <w:gridCol w:w="1820"/>
        <w:gridCol w:w="1432"/>
        <w:gridCol w:w="1570"/>
        <w:gridCol w:w="1088"/>
      </w:tblGrid>
      <w:tr>
        <w:trPr>
          <w:trHeight w:val="553" w:hRule="exact"/>
        </w:trPr>
        <w:tc>
          <w:tcPr>
            <w:tcW w:w="1820" w:type="dxa"/>
            <w:tcBorders>
              <w:left w:val="nil"/>
              <w:right w:val="nil"/>
            </w:tcBorders>
          </w:tcPr>
          <w:p>
            <w:pPr>
              <w:pStyle w:val="TableParagraph"/>
              <w:spacing w:before="59"/>
              <w:ind w:left="57" w:right="141"/>
              <w:rPr>
                <w:b/>
                <w:sz w:val="14"/>
              </w:rPr>
            </w:pPr>
            <w:r>
              <w:rPr>
                <w:b/>
                <w:w w:val="105"/>
                <w:sz w:val="14"/>
              </w:rPr>
              <w:t>Variables</w:t>
            </w:r>
          </w:p>
        </w:tc>
        <w:tc>
          <w:tcPr>
            <w:tcW w:w="1432" w:type="dxa"/>
            <w:tcBorders>
              <w:left w:val="nil"/>
              <w:right w:val="nil"/>
            </w:tcBorders>
          </w:tcPr>
          <w:p>
            <w:pPr>
              <w:pStyle w:val="TableParagraph"/>
              <w:spacing w:before="59"/>
              <w:ind w:left="133" w:right="138"/>
              <w:rPr>
                <w:b/>
                <w:sz w:val="14"/>
              </w:rPr>
            </w:pPr>
            <w:r>
              <w:rPr>
                <w:b/>
                <w:sz w:val="14"/>
              </w:rPr>
              <w:t>Niños expuestos</w:t>
            </w:r>
          </w:p>
          <w:p>
            <w:pPr>
              <w:pStyle w:val="TableParagraph"/>
              <w:spacing w:before="110"/>
              <w:ind w:left="133" w:right="128"/>
              <w:rPr>
                <w:b/>
                <w:sz w:val="14"/>
              </w:rPr>
            </w:pPr>
            <w:r>
              <w:rPr>
                <w:b/>
                <w:w w:val="105"/>
                <w:sz w:val="14"/>
              </w:rPr>
              <w:t>n = 63</w:t>
            </w:r>
          </w:p>
        </w:tc>
        <w:tc>
          <w:tcPr>
            <w:tcW w:w="1570" w:type="dxa"/>
            <w:tcBorders>
              <w:left w:val="nil"/>
              <w:right w:val="nil"/>
            </w:tcBorders>
          </w:tcPr>
          <w:p>
            <w:pPr>
              <w:pStyle w:val="TableParagraph"/>
              <w:spacing w:before="59"/>
              <w:ind w:left="112" w:right="21"/>
              <w:rPr>
                <w:b/>
                <w:sz w:val="14"/>
              </w:rPr>
            </w:pPr>
            <w:r>
              <w:rPr>
                <w:b/>
                <w:w w:val="105"/>
                <w:sz w:val="14"/>
              </w:rPr>
              <w:t>Niños no expuestos</w:t>
            </w:r>
          </w:p>
          <w:p>
            <w:pPr>
              <w:pStyle w:val="TableParagraph"/>
              <w:spacing w:before="110"/>
              <w:ind w:left="103" w:right="21"/>
              <w:rPr>
                <w:b/>
                <w:sz w:val="14"/>
              </w:rPr>
            </w:pPr>
            <w:r>
              <w:rPr>
                <w:b/>
                <w:w w:val="105"/>
                <w:sz w:val="14"/>
              </w:rPr>
              <w:t>n = 63</w:t>
            </w:r>
          </w:p>
        </w:tc>
        <w:tc>
          <w:tcPr>
            <w:tcW w:w="1088" w:type="dxa"/>
            <w:tcBorders>
              <w:left w:val="nil"/>
              <w:right w:val="nil"/>
            </w:tcBorders>
          </w:tcPr>
          <w:p>
            <w:pPr>
              <w:pStyle w:val="TableParagraph"/>
              <w:spacing w:before="59"/>
              <w:ind w:left="77" w:right="63"/>
              <w:rPr>
                <w:b/>
                <w:sz w:val="14"/>
              </w:rPr>
            </w:pPr>
            <w:r>
              <w:rPr>
                <w:b/>
                <w:w w:val="105"/>
                <w:sz w:val="14"/>
              </w:rPr>
              <w:t>Significancia</w:t>
            </w:r>
          </w:p>
        </w:tc>
      </w:tr>
      <w:tr>
        <w:trPr>
          <w:trHeight w:val="321" w:hRule="exact"/>
        </w:trPr>
        <w:tc>
          <w:tcPr>
            <w:tcW w:w="1820" w:type="dxa"/>
            <w:tcBorders>
              <w:left w:val="nil"/>
              <w:bottom w:val="nil"/>
              <w:right w:val="nil"/>
            </w:tcBorders>
          </w:tcPr>
          <w:p>
            <w:pPr>
              <w:pStyle w:val="TableParagraph"/>
              <w:spacing w:before="109"/>
              <w:ind w:left="64" w:right="141"/>
              <w:rPr>
                <w:b/>
                <w:sz w:val="14"/>
              </w:rPr>
            </w:pPr>
            <w:r>
              <w:rPr>
                <w:b/>
                <w:w w:val="105"/>
                <w:sz w:val="14"/>
              </w:rPr>
              <w:t>Micronúcleo</w:t>
            </w:r>
          </w:p>
        </w:tc>
        <w:tc>
          <w:tcPr>
            <w:tcW w:w="1432" w:type="dxa"/>
            <w:tcBorders>
              <w:left w:val="nil"/>
              <w:bottom w:val="nil"/>
              <w:right w:val="nil"/>
            </w:tcBorders>
          </w:tcPr>
          <w:p>
            <w:pPr>
              <w:pStyle w:val="TableParagraph"/>
              <w:spacing w:before="107"/>
              <w:ind w:left="133" w:right="136"/>
              <w:rPr>
                <w:sz w:val="14"/>
              </w:rPr>
            </w:pPr>
            <w:r>
              <w:rPr>
                <w:w w:val="105"/>
                <w:sz w:val="14"/>
              </w:rPr>
              <w:t>0.3 </w:t>
            </w:r>
            <w:r>
              <w:rPr>
                <w:rFonts w:ascii="Calibri" w:hAnsi="Calibri"/>
                <w:w w:val="105"/>
                <w:sz w:val="14"/>
              </w:rPr>
              <w:t>± </w:t>
            </w:r>
            <w:r>
              <w:rPr>
                <w:w w:val="105"/>
                <w:sz w:val="14"/>
              </w:rPr>
              <w:t>0.5</w:t>
            </w:r>
          </w:p>
        </w:tc>
        <w:tc>
          <w:tcPr>
            <w:tcW w:w="1570" w:type="dxa"/>
            <w:tcBorders>
              <w:left w:val="nil"/>
              <w:bottom w:val="nil"/>
              <w:right w:val="nil"/>
            </w:tcBorders>
          </w:tcPr>
          <w:p>
            <w:pPr>
              <w:pStyle w:val="TableParagraph"/>
              <w:spacing w:before="107"/>
              <w:ind w:left="558"/>
              <w:jc w:val="left"/>
              <w:rPr>
                <w:sz w:val="14"/>
              </w:rPr>
            </w:pPr>
            <w:r>
              <w:rPr>
                <w:w w:val="105"/>
                <w:sz w:val="14"/>
              </w:rPr>
              <w:t>0.4 </w:t>
            </w:r>
            <w:r>
              <w:rPr>
                <w:rFonts w:ascii="Calibri" w:hAnsi="Calibri"/>
                <w:w w:val="105"/>
                <w:sz w:val="14"/>
              </w:rPr>
              <w:t>± </w:t>
            </w:r>
            <w:r>
              <w:rPr>
                <w:w w:val="105"/>
                <w:sz w:val="14"/>
              </w:rPr>
              <w:t>0.7</w:t>
            </w:r>
          </w:p>
        </w:tc>
        <w:tc>
          <w:tcPr>
            <w:tcW w:w="1088" w:type="dxa"/>
            <w:tcBorders>
              <w:left w:val="nil"/>
              <w:bottom w:val="nil"/>
              <w:right w:val="nil"/>
            </w:tcBorders>
          </w:tcPr>
          <w:p>
            <w:pPr>
              <w:pStyle w:val="TableParagraph"/>
              <w:spacing w:before="109"/>
              <w:ind w:left="67" w:right="63"/>
              <w:rPr>
                <w:sz w:val="14"/>
              </w:rPr>
            </w:pPr>
            <w:r>
              <w:rPr>
                <w:w w:val="105"/>
                <w:sz w:val="14"/>
              </w:rPr>
              <w:t>0.4</w:t>
            </w:r>
          </w:p>
        </w:tc>
      </w:tr>
      <w:tr>
        <w:trPr>
          <w:trHeight w:val="338" w:hRule="exact"/>
        </w:trPr>
        <w:tc>
          <w:tcPr>
            <w:tcW w:w="1820" w:type="dxa"/>
            <w:tcBorders>
              <w:top w:val="nil"/>
              <w:left w:val="nil"/>
              <w:bottom w:val="nil"/>
              <w:right w:val="nil"/>
            </w:tcBorders>
          </w:tcPr>
          <w:p>
            <w:pPr>
              <w:pStyle w:val="TableParagraph"/>
              <w:spacing w:before="9"/>
              <w:jc w:val="left"/>
              <w:rPr>
                <w:rFonts w:ascii="Calibri"/>
                <w:sz w:val="11"/>
              </w:rPr>
            </w:pPr>
          </w:p>
          <w:p>
            <w:pPr>
              <w:pStyle w:val="TableParagraph"/>
              <w:spacing w:before="0"/>
              <w:ind w:left="67" w:right="141"/>
              <w:rPr>
                <w:b/>
                <w:sz w:val="14"/>
              </w:rPr>
            </w:pPr>
            <w:r>
              <w:rPr>
                <w:b/>
                <w:sz w:val="14"/>
              </w:rPr>
              <w:t>Célula Binucleada</w:t>
            </w:r>
          </w:p>
        </w:tc>
        <w:tc>
          <w:tcPr>
            <w:tcW w:w="1432" w:type="dxa"/>
            <w:tcBorders>
              <w:top w:val="nil"/>
              <w:left w:val="nil"/>
              <w:bottom w:val="nil"/>
              <w:right w:val="nil"/>
            </w:tcBorders>
          </w:tcPr>
          <w:p>
            <w:pPr>
              <w:pStyle w:val="TableParagraph"/>
              <w:spacing w:before="142"/>
              <w:ind w:left="133" w:right="136"/>
              <w:rPr>
                <w:sz w:val="14"/>
              </w:rPr>
            </w:pPr>
            <w:r>
              <w:rPr>
                <w:w w:val="105"/>
                <w:sz w:val="14"/>
              </w:rPr>
              <w:t>3.1 </w:t>
            </w:r>
            <w:r>
              <w:rPr>
                <w:rFonts w:ascii="Calibri" w:hAnsi="Calibri"/>
                <w:w w:val="105"/>
                <w:sz w:val="14"/>
              </w:rPr>
              <w:t>± </w:t>
            </w:r>
            <w:r>
              <w:rPr>
                <w:w w:val="105"/>
                <w:sz w:val="14"/>
              </w:rPr>
              <w:t>2.6</w:t>
            </w:r>
          </w:p>
        </w:tc>
        <w:tc>
          <w:tcPr>
            <w:tcW w:w="1570" w:type="dxa"/>
            <w:tcBorders>
              <w:top w:val="nil"/>
              <w:left w:val="nil"/>
              <w:bottom w:val="nil"/>
              <w:right w:val="nil"/>
            </w:tcBorders>
          </w:tcPr>
          <w:p>
            <w:pPr>
              <w:pStyle w:val="TableParagraph"/>
              <w:spacing w:before="142"/>
              <w:ind w:left="558"/>
              <w:jc w:val="left"/>
              <w:rPr>
                <w:sz w:val="14"/>
              </w:rPr>
            </w:pPr>
            <w:r>
              <w:rPr>
                <w:w w:val="105"/>
                <w:sz w:val="14"/>
              </w:rPr>
              <w:t>1.7 </w:t>
            </w:r>
            <w:r>
              <w:rPr>
                <w:rFonts w:ascii="Calibri" w:hAnsi="Calibri"/>
                <w:w w:val="105"/>
                <w:sz w:val="14"/>
              </w:rPr>
              <w:t>± </w:t>
            </w:r>
            <w:r>
              <w:rPr>
                <w:w w:val="105"/>
                <w:sz w:val="14"/>
              </w:rPr>
              <w:t>1.8</w:t>
            </w:r>
          </w:p>
        </w:tc>
        <w:tc>
          <w:tcPr>
            <w:tcW w:w="1088" w:type="dxa"/>
            <w:tcBorders>
              <w:top w:val="nil"/>
              <w:left w:val="nil"/>
              <w:bottom w:val="nil"/>
              <w:right w:val="nil"/>
            </w:tcBorders>
            <w:shd w:val="clear" w:color="auto" w:fill="D9D9D9"/>
          </w:tcPr>
          <w:p>
            <w:pPr>
              <w:pStyle w:val="TableParagraph"/>
              <w:spacing w:before="9"/>
              <w:jc w:val="left"/>
              <w:rPr>
                <w:rFonts w:ascii="Calibri"/>
                <w:sz w:val="11"/>
              </w:rPr>
            </w:pPr>
          </w:p>
          <w:p>
            <w:pPr>
              <w:pStyle w:val="TableParagraph"/>
              <w:spacing w:before="0"/>
              <w:ind w:left="77" w:right="63"/>
              <w:rPr>
                <w:b/>
                <w:sz w:val="14"/>
              </w:rPr>
            </w:pPr>
            <w:r>
              <w:rPr>
                <w:b/>
                <w:w w:val="105"/>
                <w:sz w:val="14"/>
              </w:rPr>
              <w:t>0.002*</w:t>
            </w:r>
          </w:p>
        </w:tc>
      </w:tr>
      <w:tr>
        <w:trPr>
          <w:trHeight w:val="404" w:hRule="exact"/>
        </w:trPr>
        <w:tc>
          <w:tcPr>
            <w:tcW w:w="1820" w:type="dxa"/>
            <w:tcBorders>
              <w:top w:val="nil"/>
              <w:left w:val="nil"/>
              <w:bottom w:val="nil"/>
              <w:right w:val="nil"/>
            </w:tcBorders>
          </w:tcPr>
          <w:p>
            <w:pPr>
              <w:pStyle w:val="TableParagraph"/>
              <w:spacing w:before="10"/>
              <w:jc w:val="left"/>
              <w:rPr>
                <w:rFonts w:ascii="Calibri"/>
                <w:sz w:val="11"/>
              </w:rPr>
            </w:pPr>
          </w:p>
          <w:p>
            <w:pPr>
              <w:pStyle w:val="TableParagraph"/>
              <w:spacing w:before="0"/>
              <w:ind w:left="52" w:right="141"/>
              <w:rPr>
                <w:b/>
                <w:sz w:val="14"/>
              </w:rPr>
            </w:pPr>
            <w:r>
              <w:rPr>
                <w:b/>
                <w:w w:val="105"/>
                <w:sz w:val="14"/>
              </w:rPr>
              <w:t>Núcleo Lobulado</w:t>
            </w:r>
          </w:p>
        </w:tc>
        <w:tc>
          <w:tcPr>
            <w:tcW w:w="1432" w:type="dxa"/>
            <w:tcBorders>
              <w:top w:val="nil"/>
              <w:left w:val="nil"/>
              <w:bottom w:val="nil"/>
              <w:right w:val="nil"/>
            </w:tcBorders>
          </w:tcPr>
          <w:p>
            <w:pPr>
              <w:pStyle w:val="TableParagraph"/>
              <w:spacing w:before="142"/>
              <w:ind w:left="133" w:right="128"/>
              <w:rPr>
                <w:sz w:val="14"/>
              </w:rPr>
            </w:pPr>
            <w:r>
              <w:rPr>
                <w:w w:val="105"/>
                <w:sz w:val="14"/>
              </w:rPr>
              <w:t>17.7 </w:t>
            </w:r>
            <w:r>
              <w:rPr>
                <w:rFonts w:ascii="Calibri" w:hAnsi="Calibri"/>
                <w:w w:val="105"/>
                <w:sz w:val="14"/>
              </w:rPr>
              <w:t>± </w:t>
            </w:r>
            <w:r>
              <w:rPr>
                <w:w w:val="105"/>
                <w:sz w:val="14"/>
              </w:rPr>
              <w:t>14.5</w:t>
            </w:r>
          </w:p>
        </w:tc>
        <w:tc>
          <w:tcPr>
            <w:tcW w:w="1570" w:type="dxa"/>
            <w:tcBorders>
              <w:top w:val="nil"/>
              <w:left w:val="nil"/>
              <w:bottom w:val="nil"/>
              <w:right w:val="nil"/>
            </w:tcBorders>
          </w:tcPr>
          <w:p>
            <w:pPr>
              <w:pStyle w:val="TableParagraph"/>
              <w:spacing w:before="142"/>
              <w:ind w:left="514"/>
              <w:jc w:val="left"/>
              <w:rPr>
                <w:sz w:val="14"/>
              </w:rPr>
            </w:pPr>
            <w:r>
              <w:rPr>
                <w:w w:val="105"/>
                <w:sz w:val="14"/>
              </w:rPr>
              <w:t>16.6 </w:t>
            </w:r>
            <w:r>
              <w:rPr>
                <w:rFonts w:ascii="Calibri" w:hAnsi="Calibri"/>
                <w:w w:val="105"/>
                <w:sz w:val="14"/>
              </w:rPr>
              <w:t>± </w:t>
            </w:r>
            <w:r>
              <w:rPr>
                <w:w w:val="105"/>
                <w:sz w:val="14"/>
              </w:rPr>
              <w:t>9.3</w:t>
            </w:r>
          </w:p>
        </w:tc>
        <w:tc>
          <w:tcPr>
            <w:tcW w:w="1088" w:type="dxa"/>
            <w:tcBorders>
              <w:top w:val="nil"/>
              <w:left w:val="nil"/>
              <w:bottom w:val="nil"/>
              <w:right w:val="nil"/>
            </w:tcBorders>
          </w:tcPr>
          <w:p>
            <w:pPr>
              <w:pStyle w:val="TableParagraph"/>
              <w:spacing w:before="10"/>
              <w:jc w:val="left"/>
              <w:rPr>
                <w:rFonts w:ascii="Calibri"/>
                <w:sz w:val="11"/>
              </w:rPr>
            </w:pPr>
          </w:p>
          <w:p>
            <w:pPr>
              <w:pStyle w:val="TableParagraph"/>
              <w:spacing w:before="0"/>
              <w:ind w:left="67" w:right="63"/>
              <w:rPr>
                <w:sz w:val="14"/>
              </w:rPr>
            </w:pPr>
            <w:r>
              <w:rPr>
                <w:w w:val="105"/>
                <w:sz w:val="14"/>
              </w:rPr>
              <w:t>0.5</w:t>
            </w:r>
          </w:p>
        </w:tc>
      </w:tr>
      <w:tr>
        <w:trPr>
          <w:trHeight w:val="339" w:hRule="exact"/>
        </w:trPr>
        <w:tc>
          <w:tcPr>
            <w:tcW w:w="1820" w:type="dxa"/>
            <w:tcBorders>
              <w:top w:val="nil"/>
              <w:left w:val="nil"/>
              <w:bottom w:val="nil"/>
              <w:right w:val="nil"/>
            </w:tcBorders>
          </w:tcPr>
          <w:p>
            <w:pPr>
              <w:pStyle w:val="TableParagraph"/>
              <w:spacing w:before="79"/>
              <w:ind w:left="56" w:right="141"/>
              <w:rPr>
                <w:b/>
                <w:sz w:val="14"/>
              </w:rPr>
            </w:pPr>
            <w:r>
              <w:rPr>
                <w:b/>
                <w:w w:val="105"/>
                <w:sz w:val="14"/>
              </w:rPr>
              <w:t>Picnosis</w:t>
            </w:r>
          </w:p>
        </w:tc>
        <w:tc>
          <w:tcPr>
            <w:tcW w:w="1432" w:type="dxa"/>
            <w:tcBorders>
              <w:top w:val="nil"/>
              <w:left w:val="nil"/>
              <w:bottom w:val="nil"/>
              <w:right w:val="nil"/>
            </w:tcBorders>
          </w:tcPr>
          <w:p>
            <w:pPr>
              <w:pStyle w:val="TableParagraph"/>
              <w:spacing w:before="77"/>
              <w:ind w:left="133" w:right="136"/>
              <w:rPr>
                <w:sz w:val="14"/>
              </w:rPr>
            </w:pPr>
            <w:r>
              <w:rPr>
                <w:w w:val="105"/>
                <w:sz w:val="14"/>
              </w:rPr>
              <w:t>9.3 </w:t>
            </w:r>
            <w:r>
              <w:rPr>
                <w:rFonts w:ascii="Calibri" w:hAnsi="Calibri"/>
                <w:w w:val="105"/>
                <w:sz w:val="14"/>
              </w:rPr>
              <w:t>± </w:t>
            </w:r>
            <w:r>
              <w:rPr>
                <w:w w:val="105"/>
                <w:sz w:val="14"/>
              </w:rPr>
              <w:t>6.7</w:t>
            </w:r>
          </w:p>
        </w:tc>
        <w:tc>
          <w:tcPr>
            <w:tcW w:w="1570" w:type="dxa"/>
            <w:tcBorders>
              <w:top w:val="nil"/>
              <w:left w:val="nil"/>
              <w:bottom w:val="nil"/>
              <w:right w:val="nil"/>
            </w:tcBorders>
          </w:tcPr>
          <w:p>
            <w:pPr>
              <w:pStyle w:val="TableParagraph"/>
              <w:spacing w:before="77"/>
              <w:ind w:left="558"/>
              <w:jc w:val="left"/>
              <w:rPr>
                <w:sz w:val="14"/>
              </w:rPr>
            </w:pPr>
            <w:r>
              <w:rPr>
                <w:w w:val="105"/>
                <w:sz w:val="14"/>
              </w:rPr>
              <w:t>9.2 </w:t>
            </w:r>
            <w:r>
              <w:rPr>
                <w:rFonts w:ascii="Calibri" w:hAnsi="Calibri"/>
                <w:w w:val="105"/>
                <w:sz w:val="14"/>
              </w:rPr>
              <w:t>± </w:t>
            </w:r>
            <w:r>
              <w:rPr>
                <w:w w:val="105"/>
                <w:sz w:val="14"/>
              </w:rPr>
              <w:t>6.2</w:t>
            </w:r>
          </w:p>
        </w:tc>
        <w:tc>
          <w:tcPr>
            <w:tcW w:w="1088" w:type="dxa"/>
            <w:tcBorders>
              <w:top w:val="nil"/>
              <w:left w:val="nil"/>
              <w:bottom w:val="nil"/>
              <w:right w:val="nil"/>
            </w:tcBorders>
          </w:tcPr>
          <w:p>
            <w:pPr>
              <w:pStyle w:val="TableParagraph"/>
              <w:spacing w:before="79"/>
              <w:ind w:left="67" w:right="63"/>
              <w:rPr>
                <w:sz w:val="14"/>
              </w:rPr>
            </w:pPr>
            <w:r>
              <w:rPr>
                <w:w w:val="105"/>
                <w:sz w:val="14"/>
              </w:rPr>
              <w:t>0.9</w:t>
            </w:r>
          </w:p>
        </w:tc>
      </w:tr>
      <w:tr>
        <w:trPr>
          <w:trHeight w:val="271" w:hRule="exact"/>
        </w:trPr>
        <w:tc>
          <w:tcPr>
            <w:tcW w:w="1820" w:type="dxa"/>
            <w:tcBorders>
              <w:top w:val="nil"/>
              <w:left w:val="nil"/>
              <w:bottom w:val="nil"/>
              <w:right w:val="nil"/>
            </w:tcBorders>
          </w:tcPr>
          <w:p>
            <w:pPr>
              <w:pStyle w:val="TableParagraph"/>
              <w:spacing w:before="79"/>
              <w:ind w:left="67" w:right="141"/>
              <w:rPr>
                <w:b/>
                <w:sz w:val="14"/>
              </w:rPr>
            </w:pPr>
            <w:r>
              <w:rPr>
                <w:b/>
                <w:sz w:val="14"/>
              </w:rPr>
              <w:t>Cromatina Condensada</w:t>
            </w:r>
          </w:p>
        </w:tc>
        <w:tc>
          <w:tcPr>
            <w:tcW w:w="1432" w:type="dxa"/>
            <w:tcBorders>
              <w:top w:val="nil"/>
              <w:left w:val="nil"/>
              <w:bottom w:val="nil"/>
              <w:right w:val="nil"/>
            </w:tcBorders>
          </w:tcPr>
          <w:p>
            <w:pPr>
              <w:pStyle w:val="TableParagraph"/>
              <w:spacing w:before="77"/>
              <w:ind w:left="133" w:right="136"/>
              <w:rPr>
                <w:sz w:val="14"/>
              </w:rPr>
            </w:pPr>
            <w:r>
              <w:rPr>
                <w:w w:val="105"/>
                <w:sz w:val="14"/>
              </w:rPr>
              <w:t>7.8 </w:t>
            </w:r>
            <w:r>
              <w:rPr>
                <w:rFonts w:ascii="Calibri" w:hAnsi="Calibri"/>
                <w:w w:val="105"/>
                <w:sz w:val="14"/>
              </w:rPr>
              <w:t>± </w:t>
            </w:r>
            <w:r>
              <w:rPr>
                <w:w w:val="105"/>
                <w:sz w:val="14"/>
              </w:rPr>
              <w:t>9.9</w:t>
            </w:r>
          </w:p>
        </w:tc>
        <w:tc>
          <w:tcPr>
            <w:tcW w:w="1570" w:type="dxa"/>
            <w:tcBorders>
              <w:top w:val="nil"/>
              <w:left w:val="nil"/>
              <w:bottom w:val="nil"/>
              <w:right w:val="nil"/>
            </w:tcBorders>
          </w:tcPr>
          <w:p>
            <w:pPr>
              <w:pStyle w:val="TableParagraph"/>
              <w:spacing w:before="77"/>
              <w:ind w:left="558"/>
              <w:jc w:val="left"/>
              <w:rPr>
                <w:sz w:val="14"/>
              </w:rPr>
            </w:pPr>
            <w:r>
              <w:rPr>
                <w:w w:val="105"/>
                <w:sz w:val="14"/>
              </w:rPr>
              <w:t>5.2 </w:t>
            </w:r>
            <w:r>
              <w:rPr>
                <w:rFonts w:ascii="Calibri" w:hAnsi="Calibri"/>
                <w:w w:val="105"/>
                <w:sz w:val="14"/>
              </w:rPr>
              <w:t>± </w:t>
            </w:r>
            <w:r>
              <w:rPr>
                <w:w w:val="105"/>
                <w:sz w:val="14"/>
              </w:rPr>
              <w:t>6.2</w:t>
            </w:r>
          </w:p>
        </w:tc>
        <w:tc>
          <w:tcPr>
            <w:tcW w:w="1088" w:type="dxa"/>
            <w:tcBorders>
              <w:top w:val="nil"/>
              <w:left w:val="nil"/>
              <w:bottom w:val="nil"/>
              <w:right w:val="nil"/>
            </w:tcBorders>
          </w:tcPr>
          <w:p>
            <w:pPr>
              <w:pStyle w:val="TableParagraph"/>
              <w:spacing w:before="79"/>
              <w:ind w:left="67" w:right="63"/>
              <w:rPr>
                <w:sz w:val="14"/>
              </w:rPr>
            </w:pPr>
            <w:r>
              <w:rPr>
                <w:w w:val="105"/>
                <w:sz w:val="14"/>
              </w:rPr>
              <w:t>0.1</w:t>
            </w:r>
          </w:p>
        </w:tc>
      </w:tr>
      <w:tr>
        <w:trPr>
          <w:trHeight w:val="338" w:hRule="exact"/>
        </w:trPr>
        <w:tc>
          <w:tcPr>
            <w:tcW w:w="1820" w:type="dxa"/>
            <w:tcBorders>
              <w:top w:val="nil"/>
              <w:left w:val="nil"/>
              <w:bottom w:val="nil"/>
              <w:right w:val="nil"/>
            </w:tcBorders>
          </w:tcPr>
          <w:p>
            <w:pPr>
              <w:pStyle w:val="TableParagraph"/>
              <w:spacing w:before="0"/>
              <w:jc w:val="left"/>
              <w:rPr>
                <w:rFonts w:ascii="Calibri"/>
                <w:sz w:val="12"/>
              </w:rPr>
            </w:pPr>
          </w:p>
          <w:p>
            <w:pPr>
              <w:pStyle w:val="TableParagraph"/>
              <w:spacing w:before="0"/>
              <w:ind w:left="56" w:right="141"/>
              <w:rPr>
                <w:b/>
                <w:sz w:val="14"/>
              </w:rPr>
            </w:pPr>
            <w:r>
              <w:rPr>
                <w:b/>
                <w:w w:val="105"/>
                <w:sz w:val="14"/>
              </w:rPr>
              <w:t>Cariorrexis</w:t>
            </w:r>
          </w:p>
        </w:tc>
        <w:tc>
          <w:tcPr>
            <w:tcW w:w="1432" w:type="dxa"/>
            <w:tcBorders>
              <w:top w:val="nil"/>
              <w:left w:val="nil"/>
              <w:bottom w:val="nil"/>
              <w:right w:val="nil"/>
            </w:tcBorders>
          </w:tcPr>
          <w:p>
            <w:pPr>
              <w:pStyle w:val="TableParagraph"/>
              <w:spacing w:before="10"/>
              <w:jc w:val="left"/>
              <w:rPr>
                <w:rFonts w:ascii="Calibri"/>
                <w:sz w:val="11"/>
              </w:rPr>
            </w:pPr>
          </w:p>
          <w:p>
            <w:pPr>
              <w:pStyle w:val="TableParagraph"/>
              <w:spacing w:before="0"/>
              <w:ind w:left="133" w:right="136"/>
              <w:rPr>
                <w:sz w:val="14"/>
              </w:rPr>
            </w:pPr>
            <w:r>
              <w:rPr>
                <w:w w:val="105"/>
                <w:sz w:val="14"/>
              </w:rPr>
              <w:t>1.1 </w:t>
            </w:r>
            <w:r>
              <w:rPr>
                <w:rFonts w:ascii="Calibri" w:hAnsi="Calibri"/>
                <w:w w:val="105"/>
                <w:sz w:val="14"/>
              </w:rPr>
              <w:t>± </w:t>
            </w:r>
            <w:r>
              <w:rPr>
                <w:w w:val="105"/>
                <w:sz w:val="14"/>
              </w:rPr>
              <w:t>1.8</w:t>
            </w:r>
          </w:p>
        </w:tc>
        <w:tc>
          <w:tcPr>
            <w:tcW w:w="1570" w:type="dxa"/>
            <w:tcBorders>
              <w:top w:val="nil"/>
              <w:left w:val="nil"/>
              <w:bottom w:val="nil"/>
              <w:right w:val="nil"/>
            </w:tcBorders>
          </w:tcPr>
          <w:p>
            <w:pPr>
              <w:pStyle w:val="TableParagraph"/>
              <w:spacing w:before="10"/>
              <w:jc w:val="left"/>
              <w:rPr>
                <w:rFonts w:ascii="Calibri"/>
                <w:sz w:val="11"/>
              </w:rPr>
            </w:pPr>
          </w:p>
          <w:p>
            <w:pPr>
              <w:pStyle w:val="TableParagraph"/>
              <w:spacing w:before="0"/>
              <w:ind w:left="558"/>
              <w:jc w:val="left"/>
              <w:rPr>
                <w:sz w:val="14"/>
              </w:rPr>
            </w:pPr>
            <w:r>
              <w:rPr>
                <w:w w:val="105"/>
                <w:sz w:val="14"/>
              </w:rPr>
              <w:t>2.2 </w:t>
            </w:r>
            <w:r>
              <w:rPr>
                <w:rFonts w:ascii="Calibri" w:hAnsi="Calibri"/>
                <w:w w:val="105"/>
                <w:sz w:val="14"/>
              </w:rPr>
              <w:t>± </w:t>
            </w:r>
            <w:r>
              <w:rPr>
                <w:w w:val="105"/>
                <w:sz w:val="14"/>
              </w:rPr>
              <w:t>2.6</w:t>
            </w:r>
          </w:p>
        </w:tc>
        <w:tc>
          <w:tcPr>
            <w:tcW w:w="1088" w:type="dxa"/>
            <w:tcBorders>
              <w:top w:val="nil"/>
              <w:left w:val="nil"/>
              <w:bottom w:val="nil"/>
              <w:right w:val="nil"/>
            </w:tcBorders>
            <w:shd w:val="clear" w:color="auto" w:fill="D9D9D9"/>
          </w:tcPr>
          <w:p>
            <w:pPr>
              <w:pStyle w:val="TableParagraph"/>
              <w:spacing w:before="0"/>
              <w:jc w:val="left"/>
              <w:rPr>
                <w:rFonts w:ascii="Calibri"/>
                <w:sz w:val="12"/>
              </w:rPr>
            </w:pPr>
          </w:p>
          <w:p>
            <w:pPr>
              <w:pStyle w:val="TableParagraph"/>
              <w:spacing w:before="0"/>
              <w:ind w:left="76" w:right="63"/>
              <w:rPr>
                <w:b/>
                <w:sz w:val="14"/>
              </w:rPr>
            </w:pPr>
            <w:r>
              <w:rPr>
                <w:b/>
                <w:w w:val="105"/>
                <w:sz w:val="14"/>
              </w:rPr>
              <w:t>0.006*</w:t>
            </w:r>
          </w:p>
        </w:tc>
      </w:tr>
      <w:tr>
        <w:trPr>
          <w:trHeight w:val="682" w:hRule="exact"/>
        </w:trPr>
        <w:tc>
          <w:tcPr>
            <w:tcW w:w="1820" w:type="dxa"/>
            <w:tcBorders>
              <w:top w:val="nil"/>
              <w:left w:val="nil"/>
              <w:right w:val="nil"/>
            </w:tcBorders>
          </w:tcPr>
          <w:p>
            <w:pPr>
              <w:pStyle w:val="TableParagraph"/>
              <w:spacing w:line="270" w:lineRule="atLeast" w:before="106"/>
              <w:ind w:left="542" w:right="616"/>
              <w:rPr>
                <w:b/>
                <w:sz w:val="14"/>
              </w:rPr>
            </w:pPr>
            <w:r>
              <w:rPr>
                <w:b/>
                <w:sz w:val="14"/>
              </w:rPr>
              <w:t>Cariolisis </w:t>
            </w:r>
            <w:r>
              <w:rPr>
                <w:b/>
                <w:w w:val="105"/>
                <w:sz w:val="14"/>
              </w:rPr>
              <w:t>TAN</w:t>
            </w:r>
          </w:p>
        </w:tc>
        <w:tc>
          <w:tcPr>
            <w:tcW w:w="1432" w:type="dxa"/>
            <w:tcBorders>
              <w:top w:val="nil"/>
              <w:left w:val="nil"/>
              <w:right w:val="nil"/>
            </w:tcBorders>
          </w:tcPr>
          <w:p>
            <w:pPr>
              <w:pStyle w:val="TableParagraph"/>
              <w:spacing w:before="11"/>
              <w:jc w:val="left"/>
              <w:rPr>
                <w:rFonts w:ascii="Calibri"/>
                <w:sz w:val="11"/>
              </w:rPr>
            </w:pPr>
          </w:p>
          <w:p>
            <w:pPr>
              <w:pStyle w:val="TableParagraph"/>
              <w:spacing w:before="0"/>
              <w:ind w:left="362"/>
              <w:jc w:val="left"/>
              <w:rPr>
                <w:sz w:val="14"/>
              </w:rPr>
            </w:pPr>
            <w:r>
              <w:rPr>
                <w:w w:val="105"/>
                <w:sz w:val="14"/>
              </w:rPr>
              <w:t>11.2 </w:t>
            </w:r>
            <w:r>
              <w:rPr>
                <w:rFonts w:ascii="Calibri" w:hAnsi="Calibri"/>
                <w:w w:val="105"/>
                <w:sz w:val="14"/>
              </w:rPr>
              <w:t>± </w:t>
            </w:r>
            <w:r>
              <w:rPr>
                <w:w w:val="105"/>
                <w:sz w:val="14"/>
              </w:rPr>
              <w:t>10.4</w:t>
            </w:r>
          </w:p>
          <w:p>
            <w:pPr>
              <w:pStyle w:val="TableParagraph"/>
              <w:spacing w:before="9"/>
              <w:jc w:val="left"/>
              <w:rPr>
                <w:rFonts w:ascii="Calibri"/>
                <w:sz w:val="13"/>
              </w:rPr>
            </w:pPr>
          </w:p>
          <w:p>
            <w:pPr>
              <w:pStyle w:val="TableParagraph"/>
              <w:spacing w:before="0"/>
              <w:ind w:left="362"/>
              <w:jc w:val="left"/>
              <w:rPr>
                <w:sz w:val="14"/>
              </w:rPr>
            </w:pPr>
            <w:r>
              <w:rPr>
                <w:w w:val="105"/>
                <w:sz w:val="14"/>
              </w:rPr>
              <w:t>50.4 </w:t>
            </w:r>
            <w:r>
              <w:rPr>
                <w:rFonts w:ascii="Calibri" w:hAnsi="Calibri"/>
                <w:w w:val="105"/>
                <w:sz w:val="14"/>
              </w:rPr>
              <w:t>± </w:t>
            </w:r>
            <w:r>
              <w:rPr>
                <w:w w:val="105"/>
                <w:sz w:val="14"/>
              </w:rPr>
              <w:t>28.0</w:t>
            </w:r>
          </w:p>
        </w:tc>
        <w:tc>
          <w:tcPr>
            <w:tcW w:w="1570" w:type="dxa"/>
            <w:tcBorders>
              <w:top w:val="nil"/>
              <w:left w:val="nil"/>
              <w:right w:val="nil"/>
            </w:tcBorders>
          </w:tcPr>
          <w:p>
            <w:pPr>
              <w:pStyle w:val="TableParagraph"/>
              <w:spacing w:before="11"/>
              <w:jc w:val="left"/>
              <w:rPr>
                <w:rFonts w:ascii="Calibri"/>
                <w:sz w:val="11"/>
              </w:rPr>
            </w:pPr>
          </w:p>
          <w:p>
            <w:pPr>
              <w:pStyle w:val="TableParagraph"/>
              <w:spacing w:before="0"/>
              <w:ind w:left="469"/>
              <w:jc w:val="left"/>
              <w:rPr>
                <w:sz w:val="14"/>
              </w:rPr>
            </w:pPr>
            <w:r>
              <w:rPr>
                <w:w w:val="105"/>
                <w:sz w:val="14"/>
              </w:rPr>
              <w:t>12.5 </w:t>
            </w:r>
            <w:r>
              <w:rPr>
                <w:rFonts w:ascii="Calibri" w:hAnsi="Calibri"/>
                <w:w w:val="105"/>
                <w:sz w:val="14"/>
              </w:rPr>
              <w:t>± </w:t>
            </w:r>
            <w:r>
              <w:rPr>
                <w:w w:val="105"/>
                <w:sz w:val="14"/>
              </w:rPr>
              <w:t>11.9</w:t>
            </w:r>
          </w:p>
          <w:p>
            <w:pPr>
              <w:pStyle w:val="TableParagraph"/>
              <w:spacing w:before="9"/>
              <w:jc w:val="left"/>
              <w:rPr>
                <w:rFonts w:ascii="Calibri"/>
                <w:sz w:val="13"/>
              </w:rPr>
            </w:pPr>
          </w:p>
          <w:p>
            <w:pPr>
              <w:pStyle w:val="TableParagraph"/>
              <w:spacing w:before="0"/>
              <w:ind w:left="469"/>
              <w:jc w:val="left"/>
              <w:rPr>
                <w:sz w:val="14"/>
              </w:rPr>
            </w:pPr>
            <w:r>
              <w:rPr>
                <w:w w:val="105"/>
                <w:sz w:val="14"/>
              </w:rPr>
              <w:t>47.6 </w:t>
            </w:r>
            <w:r>
              <w:rPr>
                <w:rFonts w:ascii="Calibri" w:hAnsi="Calibri"/>
                <w:w w:val="105"/>
                <w:sz w:val="14"/>
              </w:rPr>
              <w:t>± </w:t>
            </w:r>
            <w:r>
              <w:rPr>
                <w:w w:val="105"/>
                <w:sz w:val="14"/>
              </w:rPr>
              <w:t>21.0</w:t>
            </w:r>
          </w:p>
        </w:tc>
        <w:tc>
          <w:tcPr>
            <w:tcW w:w="1088" w:type="dxa"/>
            <w:tcBorders>
              <w:top w:val="nil"/>
              <w:left w:val="nil"/>
              <w:right w:val="nil"/>
            </w:tcBorders>
          </w:tcPr>
          <w:p>
            <w:pPr>
              <w:pStyle w:val="TableParagraph"/>
              <w:spacing w:before="1"/>
              <w:jc w:val="left"/>
              <w:rPr>
                <w:rFonts w:ascii="Calibri"/>
                <w:sz w:val="12"/>
              </w:rPr>
            </w:pPr>
          </w:p>
          <w:p>
            <w:pPr>
              <w:pStyle w:val="TableParagraph"/>
              <w:spacing w:before="0"/>
              <w:ind w:left="67" w:right="63"/>
              <w:rPr>
                <w:sz w:val="14"/>
              </w:rPr>
            </w:pPr>
            <w:r>
              <w:rPr>
                <w:w w:val="105"/>
                <w:sz w:val="14"/>
              </w:rPr>
              <w:t>0.5</w:t>
            </w:r>
          </w:p>
          <w:p>
            <w:pPr>
              <w:pStyle w:val="TableParagraph"/>
              <w:spacing w:before="7"/>
              <w:jc w:val="left"/>
              <w:rPr>
                <w:rFonts w:ascii="Calibri"/>
                <w:sz w:val="14"/>
              </w:rPr>
            </w:pPr>
          </w:p>
          <w:p>
            <w:pPr>
              <w:pStyle w:val="TableParagraph"/>
              <w:spacing w:before="0"/>
              <w:ind w:left="67" w:right="63"/>
              <w:rPr>
                <w:sz w:val="14"/>
              </w:rPr>
            </w:pPr>
            <w:r>
              <w:rPr>
                <w:w w:val="105"/>
                <w:sz w:val="14"/>
              </w:rPr>
              <w:t>0.8</w:t>
            </w:r>
          </w:p>
        </w:tc>
      </w:tr>
    </w:tbl>
    <w:p>
      <w:pPr>
        <w:spacing w:line="252" w:lineRule="auto" w:before="0"/>
        <w:ind w:left="3338" w:right="6687" w:firstLine="0"/>
        <w:jc w:val="left"/>
        <w:rPr>
          <w:sz w:val="12"/>
        </w:rPr>
      </w:pPr>
      <w:r>
        <w:rPr>
          <w:sz w:val="12"/>
        </w:rPr>
        <w:t>Total de Anormalidades Nucleares (TAN) Los datos están expresados en M </w:t>
      </w:r>
      <w:r>
        <w:rPr>
          <w:rFonts w:ascii="Calibri" w:hAnsi="Calibri"/>
          <w:sz w:val="12"/>
        </w:rPr>
        <w:t>± </w:t>
      </w:r>
      <w:r>
        <w:rPr>
          <w:sz w:val="12"/>
        </w:rPr>
        <w:t>DE</w:t>
      </w:r>
    </w:p>
    <w:p>
      <w:pPr>
        <w:spacing w:line="133" w:lineRule="exact" w:before="0"/>
        <w:ind w:left="3338" w:right="1703" w:firstLine="0"/>
        <w:jc w:val="left"/>
        <w:rPr>
          <w:sz w:val="12"/>
        </w:rPr>
      </w:pPr>
      <w:r>
        <w:rPr>
          <w:sz w:val="12"/>
        </w:rPr>
        <w:t>*U de Mann-Whitney</w:t>
      </w:r>
    </w:p>
    <w:p>
      <w:pPr>
        <w:spacing w:after="0" w:line="133" w:lineRule="exact"/>
        <w:jc w:val="left"/>
        <w:rPr>
          <w:sz w:val="12"/>
        </w:rPr>
        <w:sectPr>
          <w:pgSz w:w="12240" w:h="15840"/>
          <w:pgMar w:header="0" w:footer="599" w:top="1500" w:bottom="780" w:left="0" w:right="0"/>
        </w:sectPr>
      </w:pPr>
    </w:p>
    <w:p>
      <w:pPr>
        <w:pStyle w:val="BodyText"/>
        <w:spacing w:before="7"/>
        <w:rPr>
          <w:sz w:val="21"/>
        </w:rPr>
      </w:pPr>
      <w:r>
        <w:rPr/>
        <w:pict>
          <v:rect style="position:absolute;margin-left:184.135483pt;margin-top:279.517181pt;width:36.075558pt;height:10.097094pt;mso-position-horizontal-relative:page;mso-position-vertical-relative:page;z-index:-338200" filled="true" fillcolor="#d9d9d9" stroked="false">
            <v:fill type="solid"/>
            <w10:wrap type="none"/>
          </v:rect>
        </w:pict>
      </w:r>
      <w:r>
        <w:rPr/>
        <w:pict>
          <v:rect style="position:absolute;margin-left:184.135483pt;margin-top:548.604736pt;width:36.075558pt;height:9.592239pt;mso-position-horizontal-relative:page;mso-position-vertical-relative:page;z-index:-338176" filled="true" fillcolor="#d9d9d9" stroked="false">
            <v:fill type="solid"/>
            <w10:wrap type="none"/>
          </v:rect>
        </w:pict>
      </w:r>
    </w:p>
    <w:p>
      <w:pPr>
        <w:pStyle w:val="Heading1"/>
        <w:spacing w:before="43"/>
        <w:ind w:left="2058" w:right="2195"/>
      </w:pPr>
      <w:r>
        <w:rPr>
          <w:b/>
          <w:w w:val="95"/>
        </w:rPr>
        <w:t>CUADRO</w:t>
      </w:r>
      <w:r>
        <w:rPr>
          <w:b/>
          <w:spacing w:val="-42"/>
          <w:w w:val="95"/>
        </w:rPr>
        <w:t> </w:t>
      </w:r>
      <w:r>
        <w:rPr>
          <w:b/>
          <w:w w:val="95"/>
        </w:rPr>
        <w:t>II</w:t>
      </w:r>
      <w:r>
        <w:rPr>
          <w:w w:val="95"/>
        </w:rPr>
        <w:t>.</w:t>
      </w:r>
      <w:r>
        <w:rPr>
          <w:spacing w:val="-42"/>
          <w:w w:val="95"/>
        </w:rPr>
        <w:t> </w:t>
      </w:r>
      <w:r>
        <w:rPr>
          <w:spacing w:val="-5"/>
          <w:w w:val="95"/>
        </w:rPr>
        <w:t>FACTORES</w:t>
      </w:r>
      <w:r>
        <w:rPr>
          <w:spacing w:val="-41"/>
          <w:w w:val="95"/>
        </w:rPr>
        <w:t> </w:t>
      </w:r>
      <w:r>
        <w:rPr>
          <w:w w:val="95"/>
        </w:rPr>
        <w:t>DE</w:t>
      </w:r>
      <w:r>
        <w:rPr>
          <w:spacing w:val="-45"/>
          <w:w w:val="95"/>
        </w:rPr>
        <w:t> </w:t>
      </w:r>
      <w:r>
        <w:rPr>
          <w:w w:val="95"/>
        </w:rPr>
        <w:t>VARIABILIDAD</w:t>
      </w:r>
      <w:r>
        <w:rPr>
          <w:spacing w:val="-41"/>
          <w:w w:val="95"/>
        </w:rPr>
        <w:t> </w:t>
      </w:r>
      <w:r>
        <w:rPr>
          <w:spacing w:val="-3"/>
          <w:w w:val="95"/>
        </w:rPr>
        <w:t>INFLUYENTES</w:t>
      </w:r>
      <w:r>
        <w:rPr>
          <w:spacing w:val="-41"/>
          <w:w w:val="95"/>
        </w:rPr>
        <w:t> </w:t>
      </w:r>
      <w:r>
        <w:rPr>
          <w:w w:val="95"/>
        </w:rPr>
        <w:t>EN</w:t>
      </w:r>
      <w:r>
        <w:rPr>
          <w:spacing w:val="-44"/>
          <w:w w:val="95"/>
        </w:rPr>
        <w:t> </w:t>
      </w:r>
      <w:r>
        <w:rPr>
          <w:w w:val="95"/>
        </w:rPr>
        <w:t>LA</w:t>
      </w:r>
      <w:r>
        <w:rPr>
          <w:spacing w:val="-43"/>
          <w:w w:val="95"/>
        </w:rPr>
        <w:t> </w:t>
      </w:r>
      <w:r>
        <w:rPr>
          <w:w w:val="95"/>
        </w:rPr>
        <w:t>FORMACIÓN</w:t>
      </w:r>
      <w:r>
        <w:rPr>
          <w:spacing w:val="-44"/>
          <w:w w:val="95"/>
        </w:rPr>
        <w:t> </w:t>
      </w:r>
      <w:r>
        <w:rPr>
          <w:w w:val="95"/>
        </w:rPr>
        <w:t>DE </w:t>
      </w:r>
      <w:r>
        <w:rPr>
          <w:w w:val="90"/>
        </w:rPr>
        <w:t>MICRONÚCLEOS Y ANORMALIDADES </w:t>
      </w:r>
      <w:r>
        <w:rPr>
          <w:spacing w:val="-3"/>
          <w:w w:val="90"/>
        </w:rPr>
        <w:t>NUCLEARES </w:t>
      </w:r>
      <w:r>
        <w:rPr>
          <w:w w:val="90"/>
        </w:rPr>
        <w:t>DEL GRUPO </w:t>
      </w:r>
      <w:r>
        <w:rPr>
          <w:spacing w:val="34"/>
          <w:w w:val="90"/>
        </w:rPr>
        <w:t> </w:t>
      </w:r>
      <w:r>
        <w:rPr>
          <w:spacing w:val="-3"/>
          <w:w w:val="90"/>
        </w:rPr>
        <w:t>EXPUESTO</w:t>
      </w:r>
    </w:p>
    <w:p>
      <w:pPr>
        <w:pStyle w:val="BodyText"/>
        <w:spacing w:before="2"/>
        <w:rPr>
          <w:rFonts w:ascii="Calibri"/>
          <w:sz w:val="11"/>
        </w:rPr>
      </w:pPr>
    </w:p>
    <w:tbl>
      <w:tblPr>
        <w:tblW w:w="0" w:type="auto"/>
        <w:jc w:val="left"/>
        <w:tblInd w:w="155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917"/>
        <w:gridCol w:w="981"/>
        <w:gridCol w:w="852"/>
        <w:gridCol w:w="905"/>
        <w:gridCol w:w="1752"/>
        <w:gridCol w:w="803"/>
        <w:gridCol w:w="796"/>
        <w:gridCol w:w="874"/>
      </w:tblGrid>
      <w:tr>
        <w:trPr>
          <w:trHeight w:val="272" w:hRule="exact"/>
        </w:trPr>
        <w:tc>
          <w:tcPr>
            <w:tcW w:w="1917" w:type="dxa"/>
            <w:tcBorders>
              <w:left w:val="nil"/>
              <w:bottom w:val="nil"/>
              <w:right w:val="nil"/>
            </w:tcBorders>
          </w:tcPr>
          <w:p>
            <w:pPr>
              <w:pStyle w:val="TableParagraph"/>
              <w:spacing w:before="52"/>
              <w:ind w:right="469"/>
              <w:jc w:val="right"/>
              <w:rPr>
                <w:b/>
                <w:sz w:val="15"/>
              </w:rPr>
            </w:pPr>
            <w:r>
              <w:rPr>
                <w:b/>
                <w:w w:val="90"/>
                <w:sz w:val="15"/>
              </w:rPr>
              <w:t>Factores de</w:t>
            </w:r>
          </w:p>
        </w:tc>
        <w:tc>
          <w:tcPr>
            <w:tcW w:w="981" w:type="dxa"/>
            <w:tcBorders>
              <w:left w:val="nil"/>
              <w:bottom w:val="nil"/>
              <w:right w:val="nil"/>
            </w:tcBorders>
          </w:tcPr>
          <w:p>
            <w:pPr/>
          </w:p>
        </w:tc>
        <w:tc>
          <w:tcPr>
            <w:tcW w:w="852" w:type="dxa"/>
            <w:tcBorders>
              <w:left w:val="nil"/>
              <w:bottom w:val="nil"/>
              <w:right w:val="nil"/>
            </w:tcBorders>
          </w:tcPr>
          <w:p>
            <w:pPr/>
          </w:p>
        </w:tc>
        <w:tc>
          <w:tcPr>
            <w:tcW w:w="905" w:type="dxa"/>
            <w:tcBorders>
              <w:left w:val="nil"/>
              <w:bottom w:val="nil"/>
              <w:right w:val="nil"/>
            </w:tcBorders>
          </w:tcPr>
          <w:p>
            <w:pPr/>
          </w:p>
        </w:tc>
        <w:tc>
          <w:tcPr>
            <w:tcW w:w="1752" w:type="dxa"/>
            <w:tcBorders>
              <w:left w:val="nil"/>
              <w:bottom w:val="nil"/>
              <w:right w:val="nil"/>
            </w:tcBorders>
          </w:tcPr>
          <w:p>
            <w:pPr>
              <w:pStyle w:val="TableParagraph"/>
              <w:spacing w:before="72"/>
              <w:ind w:left="42" w:right="76"/>
              <w:rPr>
                <w:b/>
                <w:sz w:val="15"/>
              </w:rPr>
            </w:pPr>
            <w:r>
              <w:rPr>
                <w:b/>
                <w:sz w:val="15"/>
              </w:rPr>
              <w:t>Significancia</w:t>
            </w:r>
          </w:p>
        </w:tc>
        <w:tc>
          <w:tcPr>
            <w:tcW w:w="2473" w:type="dxa"/>
            <w:gridSpan w:val="3"/>
            <w:tcBorders>
              <w:left w:val="nil"/>
              <w:bottom w:val="nil"/>
              <w:right w:val="nil"/>
            </w:tcBorders>
          </w:tcPr>
          <w:p>
            <w:pPr/>
          </w:p>
        </w:tc>
      </w:tr>
      <w:tr>
        <w:trPr>
          <w:trHeight w:val="283" w:hRule="exact"/>
        </w:trPr>
        <w:tc>
          <w:tcPr>
            <w:tcW w:w="1917" w:type="dxa"/>
            <w:tcBorders>
              <w:top w:val="nil"/>
              <w:left w:val="nil"/>
              <w:bottom w:val="nil"/>
              <w:right w:val="nil"/>
            </w:tcBorders>
          </w:tcPr>
          <w:p>
            <w:pPr>
              <w:pStyle w:val="TableParagraph"/>
              <w:spacing w:line="170" w:lineRule="exact" w:before="0"/>
              <w:ind w:right="462"/>
              <w:jc w:val="right"/>
              <w:rPr>
                <w:b/>
                <w:sz w:val="15"/>
              </w:rPr>
            </w:pPr>
            <w:r>
              <w:rPr>
                <w:b/>
                <w:w w:val="90"/>
                <w:sz w:val="15"/>
              </w:rPr>
              <w:t>Variabilidad</w:t>
            </w:r>
          </w:p>
        </w:tc>
        <w:tc>
          <w:tcPr>
            <w:tcW w:w="981" w:type="dxa"/>
            <w:tcBorders>
              <w:top w:val="nil"/>
              <w:left w:val="nil"/>
              <w:bottom w:val="nil"/>
              <w:right w:val="nil"/>
            </w:tcBorders>
          </w:tcPr>
          <w:p>
            <w:pPr>
              <w:pStyle w:val="TableParagraph"/>
              <w:spacing w:before="13"/>
              <w:ind w:left="464"/>
              <w:jc w:val="left"/>
              <w:rPr>
                <w:b/>
                <w:sz w:val="15"/>
              </w:rPr>
            </w:pPr>
            <w:r>
              <w:rPr>
                <w:b/>
                <w:sz w:val="15"/>
              </w:rPr>
              <w:t>MN</w:t>
            </w:r>
          </w:p>
        </w:tc>
        <w:tc>
          <w:tcPr>
            <w:tcW w:w="852" w:type="dxa"/>
            <w:tcBorders>
              <w:top w:val="nil"/>
              <w:left w:val="nil"/>
              <w:bottom w:val="nil"/>
              <w:right w:val="nil"/>
            </w:tcBorders>
          </w:tcPr>
          <w:p>
            <w:pPr>
              <w:pStyle w:val="TableParagraph"/>
              <w:spacing w:before="13"/>
              <w:ind w:left="265" w:right="330"/>
              <w:rPr>
                <w:b/>
                <w:sz w:val="15"/>
              </w:rPr>
            </w:pPr>
            <w:r>
              <w:rPr>
                <w:b/>
                <w:sz w:val="15"/>
              </w:rPr>
              <w:t>BN</w:t>
            </w:r>
          </w:p>
        </w:tc>
        <w:tc>
          <w:tcPr>
            <w:tcW w:w="905" w:type="dxa"/>
            <w:tcBorders>
              <w:top w:val="nil"/>
              <w:left w:val="nil"/>
              <w:bottom w:val="nil"/>
              <w:right w:val="nil"/>
            </w:tcBorders>
          </w:tcPr>
          <w:p>
            <w:pPr>
              <w:pStyle w:val="TableParagraph"/>
              <w:spacing w:before="13"/>
              <w:ind w:left="332" w:right="332"/>
              <w:rPr>
                <w:b/>
                <w:sz w:val="15"/>
              </w:rPr>
            </w:pPr>
            <w:r>
              <w:rPr>
                <w:b/>
                <w:sz w:val="15"/>
              </w:rPr>
              <w:t>NL</w:t>
            </w:r>
          </w:p>
        </w:tc>
        <w:tc>
          <w:tcPr>
            <w:tcW w:w="1752" w:type="dxa"/>
            <w:tcBorders>
              <w:top w:val="nil"/>
              <w:left w:val="nil"/>
              <w:bottom w:val="nil"/>
              <w:right w:val="nil"/>
            </w:tcBorders>
          </w:tcPr>
          <w:p>
            <w:pPr>
              <w:pStyle w:val="TableParagraph"/>
              <w:tabs>
                <w:tab w:pos="915" w:val="left" w:leader="none"/>
              </w:tabs>
              <w:spacing w:before="13"/>
              <w:ind w:left="42"/>
              <w:rPr>
                <w:b/>
                <w:sz w:val="15"/>
              </w:rPr>
            </w:pPr>
            <w:r>
              <w:rPr>
                <w:b/>
                <w:sz w:val="15"/>
              </w:rPr>
              <w:t>PC</w:t>
              <w:tab/>
              <w:t>CC</w:t>
            </w:r>
          </w:p>
        </w:tc>
        <w:tc>
          <w:tcPr>
            <w:tcW w:w="803" w:type="dxa"/>
            <w:tcBorders>
              <w:top w:val="nil"/>
              <w:left w:val="nil"/>
              <w:bottom w:val="nil"/>
              <w:right w:val="nil"/>
            </w:tcBorders>
          </w:tcPr>
          <w:p>
            <w:pPr>
              <w:pStyle w:val="TableParagraph"/>
              <w:spacing w:before="13"/>
              <w:ind w:left="290" w:right="272"/>
              <w:rPr>
                <w:b/>
                <w:sz w:val="15"/>
              </w:rPr>
            </w:pPr>
            <w:r>
              <w:rPr>
                <w:b/>
                <w:sz w:val="15"/>
              </w:rPr>
              <w:t>CL</w:t>
            </w:r>
          </w:p>
        </w:tc>
        <w:tc>
          <w:tcPr>
            <w:tcW w:w="796" w:type="dxa"/>
            <w:tcBorders>
              <w:top w:val="nil"/>
              <w:left w:val="nil"/>
              <w:bottom w:val="nil"/>
              <w:right w:val="nil"/>
            </w:tcBorders>
          </w:tcPr>
          <w:p>
            <w:pPr>
              <w:pStyle w:val="TableParagraph"/>
              <w:spacing w:before="13"/>
              <w:ind w:left="271" w:right="268"/>
              <w:rPr>
                <w:b/>
                <w:sz w:val="15"/>
              </w:rPr>
            </w:pPr>
            <w:r>
              <w:rPr>
                <w:b/>
                <w:sz w:val="15"/>
              </w:rPr>
              <w:t>CR</w:t>
            </w:r>
          </w:p>
        </w:tc>
        <w:tc>
          <w:tcPr>
            <w:tcW w:w="874" w:type="dxa"/>
            <w:tcBorders>
              <w:top w:val="nil"/>
              <w:left w:val="nil"/>
              <w:bottom w:val="nil"/>
              <w:right w:val="nil"/>
            </w:tcBorders>
          </w:tcPr>
          <w:p>
            <w:pPr>
              <w:pStyle w:val="TableParagraph"/>
              <w:spacing w:before="13"/>
              <w:ind w:left="294"/>
              <w:jc w:val="left"/>
              <w:rPr>
                <w:b/>
                <w:sz w:val="15"/>
              </w:rPr>
            </w:pPr>
            <w:r>
              <w:rPr>
                <w:b/>
                <w:sz w:val="15"/>
              </w:rPr>
              <w:t>TAN</w:t>
            </w:r>
          </w:p>
        </w:tc>
      </w:tr>
    </w:tbl>
    <w:tbl>
      <w:tblPr>
        <w:tblW w:w="0" w:type="auto"/>
        <w:jc w:val="left"/>
        <w:tblInd w:w="153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236"/>
        <w:gridCol w:w="957"/>
        <w:gridCol w:w="944"/>
        <w:gridCol w:w="6743"/>
      </w:tblGrid>
      <w:tr>
        <w:trPr>
          <w:trHeight w:val="202" w:hRule="exact"/>
        </w:trPr>
        <w:tc>
          <w:tcPr>
            <w:tcW w:w="1193" w:type="dxa"/>
            <w:gridSpan w:val="2"/>
            <w:tcBorders>
              <w:left w:val="nil"/>
              <w:bottom w:val="dotted" w:sz="4" w:space="0" w:color="000000"/>
              <w:right w:val="dotted" w:sz="4" w:space="0" w:color="000000"/>
            </w:tcBorders>
          </w:tcPr>
          <w:p>
            <w:pPr>
              <w:pStyle w:val="TableParagraph"/>
              <w:spacing w:line="165" w:lineRule="exact" w:before="0"/>
              <w:ind w:left="276" w:right="278"/>
              <w:rPr>
                <w:b/>
                <w:sz w:val="15"/>
              </w:rPr>
            </w:pPr>
            <w:r>
              <w:rPr>
                <w:b/>
                <w:sz w:val="15"/>
              </w:rPr>
              <w:t>Edad</w:t>
            </w:r>
          </w:p>
        </w:tc>
        <w:tc>
          <w:tcPr>
            <w:tcW w:w="944" w:type="dxa"/>
            <w:tcBorders>
              <w:left w:val="dotted" w:sz="4" w:space="0" w:color="000000"/>
              <w:bottom w:val="dotted" w:sz="4" w:space="0" w:color="000000"/>
              <w:right w:val="dotted" w:sz="4" w:space="0" w:color="000000"/>
            </w:tcBorders>
          </w:tcPr>
          <w:p>
            <w:pPr>
              <w:pStyle w:val="TableParagraph"/>
              <w:spacing w:line="153" w:lineRule="exact" w:before="0"/>
              <w:ind w:left="134" w:right="141"/>
              <w:rPr>
                <w:sz w:val="14"/>
              </w:rPr>
            </w:pPr>
            <w:r>
              <w:rPr>
                <w:sz w:val="14"/>
              </w:rPr>
              <w:t>8.4 </w:t>
            </w:r>
            <w:r>
              <w:rPr>
                <w:rFonts w:ascii="Times New Roman" w:hAnsi="Times New Roman"/>
                <w:sz w:val="14"/>
              </w:rPr>
              <w:t>± </w:t>
            </w:r>
            <w:r>
              <w:rPr>
                <w:sz w:val="14"/>
              </w:rPr>
              <w:t>1.8</w:t>
            </w:r>
          </w:p>
        </w:tc>
        <w:tc>
          <w:tcPr>
            <w:tcW w:w="6743" w:type="dxa"/>
            <w:tcBorders>
              <w:left w:val="dotted" w:sz="4" w:space="0" w:color="000000"/>
              <w:bottom w:val="dotted" w:sz="4" w:space="0" w:color="000000"/>
              <w:right w:val="nil"/>
            </w:tcBorders>
          </w:tcPr>
          <w:p>
            <w:pPr>
              <w:pStyle w:val="TableParagraph"/>
              <w:tabs>
                <w:tab w:pos="797" w:val="left" w:leader="none"/>
                <w:tab w:pos="1707" w:val="left" w:leader="none"/>
                <w:tab w:pos="2623" w:val="left" w:leader="none"/>
                <w:tab w:pos="3496" w:val="left" w:leader="none"/>
                <w:tab w:pos="4323" w:val="left" w:leader="none"/>
                <w:tab w:pos="5116" w:val="left" w:leader="none"/>
                <w:tab w:pos="5956" w:val="left" w:leader="none"/>
              </w:tabs>
              <w:spacing w:line="153" w:lineRule="exact" w:before="0"/>
              <w:ind w:right="79"/>
              <w:rPr>
                <w:sz w:val="14"/>
              </w:rPr>
            </w:pPr>
            <w:r>
              <w:rPr>
                <w:sz w:val="14"/>
              </w:rPr>
              <w:t>0.2†</w:t>
              <w:tab/>
              <w:t>0.6†</w:t>
              <w:tab/>
              <w:t>0.8†</w:t>
              <w:tab/>
              <w:t>0.5†</w:t>
              <w:tab/>
              <w:t>0.1†</w:t>
              <w:tab/>
              <w:t>0.2†</w:t>
              <w:tab/>
              <w:t>0.2†</w:t>
              <w:tab/>
              <w:t>0.2†</w:t>
            </w:r>
          </w:p>
        </w:tc>
      </w:tr>
      <w:tr>
        <w:trPr>
          <w:trHeight w:val="212" w:hRule="exact"/>
        </w:trPr>
        <w:tc>
          <w:tcPr>
            <w:tcW w:w="1193" w:type="dxa"/>
            <w:gridSpan w:val="2"/>
            <w:tcBorders>
              <w:top w:val="dotted" w:sz="4" w:space="0" w:color="000000"/>
              <w:left w:val="nil"/>
              <w:bottom w:val="dotted" w:sz="4" w:space="0" w:color="000000"/>
              <w:right w:val="dotted" w:sz="4" w:space="0" w:color="000000"/>
            </w:tcBorders>
          </w:tcPr>
          <w:p>
            <w:pPr>
              <w:pStyle w:val="TableParagraph"/>
              <w:spacing w:before="5"/>
              <w:ind w:left="272" w:right="279"/>
              <w:rPr>
                <w:b/>
                <w:sz w:val="15"/>
              </w:rPr>
            </w:pPr>
            <w:r>
              <w:rPr>
                <w:b/>
                <w:sz w:val="15"/>
              </w:rPr>
              <w:t>IMC</w:t>
            </w:r>
          </w:p>
        </w:tc>
        <w:tc>
          <w:tcPr>
            <w:tcW w:w="944" w:type="dxa"/>
            <w:tcBorders>
              <w:top w:val="dotted" w:sz="4" w:space="0" w:color="000000"/>
              <w:left w:val="dotted" w:sz="4" w:space="0" w:color="000000"/>
              <w:bottom w:val="dotted" w:sz="4" w:space="0" w:color="000000"/>
              <w:right w:val="dotted" w:sz="4" w:space="0" w:color="000000"/>
            </w:tcBorders>
          </w:tcPr>
          <w:p>
            <w:pPr>
              <w:pStyle w:val="TableParagraph"/>
              <w:spacing w:before="4"/>
              <w:ind w:left="134" w:right="141"/>
              <w:rPr>
                <w:sz w:val="14"/>
              </w:rPr>
            </w:pPr>
            <w:r>
              <w:rPr>
                <w:sz w:val="14"/>
              </w:rPr>
              <w:t>16.5 </w:t>
            </w:r>
            <w:r>
              <w:rPr>
                <w:rFonts w:ascii="Times New Roman" w:hAnsi="Times New Roman"/>
                <w:sz w:val="14"/>
              </w:rPr>
              <w:t>± </w:t>
            </w:r>
            <w:r>
              <w:rPr>
                <w:sz w:val="14"/>
              </w:rPr>
              <w:t>1.8</w:t>
            </w:r>
          </w:p>
        </w:tc>
        <w:tc>
          <w:tcPr>
            <w:tcW w:w="6743" w:type="dxa"/>
            <w:tcBorders>
              <w:top w:val="dotted" w:sz="4" w:space="0" w:color="000000"/>
              <w:left w:val="dotted" w:sz="4" w:space="0" w:color="000000"/>
              <w:bottom w:val="dotted" w:sz="4" w:space="0" w:color="000000"/>
              <w:right w:val="nil"/>
            </w:tcBorders>
          </w:tcPr>
          <w:p>
            <w:pPr>
              <w:pStyle w:val="TableParagraph"/>
              <w:tabs>
                <w:tab w:pos="490" w:val="left" w:leader="none"/>
                <w:tab w:pos="760" w:val="left" w:leader="none"/>
                <w:tab w:pos="1359" w:val="left" w:leader="none"/>
                <w:tab w:pos="1707" w:val="left" w:leader="none"/>
                <w:tab w:pos="2623" w:val="left" w:leader="none"/>
                <w:tab w:pos="3496" w:val="left" w:leader="none"/>
                <w:tab w:pos="4323" w:val="left" w:leader="none"/>
                <w:tab w:pos="5116" w:val="left" w:leader="none"/>
                <w:tab w:pos="5956" w:val="left" w:leader="none"/>
              </w:tabs>
              <w:spacing w:before="4"/>
              <w:ind w:right="78"/>
              <w:rPr>
                <w:sz w:val="14"/>
              </w:rPr>
            </w:pPr>
            <w:r>
              <w:rPr>
                <w:sz w:val="14"/>
              </w:rPr>
              <w:t>0.4†</w:t>
              <w:tab/>
            </w:r>
            <w:r>
              <w:rPr>
                <w:b/>
                <w:sz w:val="14"/>
                <w:shd w:fill="D9D9D9" w:color="auto" w:val="clear"/>
              </w:rPr>
              <w:tab/>
              <w:t>0.01†</w:t>
              <w:tab/>
            </w:r>
            <w:r>
              <w:rPr>
                <w:b/>
                <w:sz w:val="14"/>
              </w:rPr>
              <w:tab/>
            </w:r>
            <w:r>
              <w:rPr>
                <w:sz w:val="14"/>
              </w:rPr>
              <w:t>0.8†</w:t>
              <w:tab/>
              <w:t>0.8†</w:t>
              <w:tab/>
              <w:t>0.9†</w:t>
              <w:tab/>
              <w:t>0.7†</w:t>
              <w:tab/>
              <w:t>0.2†</w:t>
              <w:tab/>
              <w:t>0.7†</w:t>
            </w:r>
          </w:p>
        </w:tc>
      </w:tr>
      <w:tr>
        <w:trPr>
          <w:trHeight w:val="576" w:hRule="exact"/>
        </w:trPr>
        <w:tc>
          <w:tcPr>
            <w:tcW w:w="1193" w:type="dxa"/>
            <w:gridSpan w:val="2"/>
            <w:tcBorders>
              <w:top w:val="dotted" w:sz="4" w:space="0" w:color="000000"/>
              <w:left w:val="nil"/>
              <w:bottom w:val="dotted" w:sz="4" w:space="0" w:color="000000"/>
              <w:right w:val="dotted" w:sz="4" w:space="0" w:color="000000"/>
            </w:tcBorders>
          </w:tcPr>
          <w:p>
            <w:pPr>
              <w:pStyle w:val="TableParagraph"/>
              <w:spacing w:before="4"/>
              <w:jc w:val="left"/>
              <w:rPr>
                <w:rFonts w:ascii="Calibri"/>
                <w:sz w:val="16"/>
              </w:rPr>
            </w:pPr>
          </w:p>
          <w:p>
            <w:pPr>
              <w:pStyle w:val="TableParagraph"/>
              <w:spacing w:before="0"/>
              <w:ind w:left="350" w:right="203"/>
              <w:jc w:val="left"/>
              <w:rPr>
                <w:b/>
                <w:sz w:val="15"/>
              </w:rPr>
            </w:pPr>
            <w:r>
              <w:rPr>
                <w:b/>
                <w:sz w:val="15"/>
              </w:rPr>
              <w:t>Género</w:t>
            </w:r>
          </w:p>
        </w:tc>
        <w:tc>
          <w:tcPr>
            <w:tcW w:w="944" w:type="dxa"/>
            <w:tcBorders>
              <w:top w:val="dotted" w:sz="4" w:space="0" w:color="000000"/>
              <w:left w:val="dotted" w:sz="4" w:space="0" w:color="000000"/>
              <w:bottom w:val="dotted" w:sz="4" w:space="0" w:color="000000"/>
              <w:right w:val="dotted" w:sz="4" w:space="0" w:color="000000"/>
            </w:tcBorders>
          </w:tcPr>
          <w:p>
            <w:pPr>
              <w:pStyle w:val="TableParagraph"/>
              <w:spacing w:line="157" w:lineRule="exact" w:before="38"/>
              <w:ind w:left="67"/>
              <w:jc w:val="left"/>
              <w:rPr>
                <w:sz w:val="14"/>
              </w:rPr>
            </w:pPr>
            <w:r>
              <w:rPr>
                <w:w w:val="92"/>
                <w:sz w:val="14"/>
              </w:rPr>
              <w:t>♀</w:t>
            </w:r>
          </w:p>
          <w:p>
            <w:pPr>
              <w:pStyle w:val="TableParagraph"/>
              <w:spacing w:line="134" w:lineRule="exact" w:before="0"/>
              <w:ind w:right="12"/>
              <w:jc w:val="right"/>
              <w:rPr>
                <w:b/>
                <w:sz w:val="12"/>
              </w:rPr>
            </w:pPr>
            <w:r>
              <w:rPr>
                <w:b/>
                <w:w w:val="92"/>
                <w:sz w:val="12"/>
              </w:rPr>
              <w:t>p</w:t>
            </w:r>
          </w:p>
          <w:p>
            <w:pPr>
              <w:pStyle w:val="TableParagraph"/>
              <w:spacing w:before="8"/>
              <w:ind w:left="67"/>
              <w:jc w:val="left"/>
              <w:rPr>
                <w:sz w:val="14"/>
              </w:rPr>
            </w:pPr>
            <w:r>
              <w:rPr>
                <w:w w:val="92"/>
                <w:sz w:val="14"/>
              </w:rPr>
              <w:t>♂</w:t>
            </w:r>
          </w:p>
        </w:tc>
        <w:tc>
          <w:tcPr>
            <w:tcW w:w="6743" w:type="dxa"/>
            <w:tcBorders>
              <w:top w:val="dotted" w:sz="4" w:space="0" w:color="000000"/>
              <w:left w:val="dotted" w:sz="4" w:space="0" w:color="000000"/>
              <w:bottom w:val="dotted" w:sz="4" w:space="0" w:color="000000"/>
              <w:right w:val="nil"/>
            </w:tcBorders>
          </w:tcPr>
          <w:p>
            <w:pPr>
              <w:pStyle w:val="TableParagraph"/>
              <w:tabs>
                <w:tab w:pos="797" w:val="left" w:leader="none"/>
                <w:tab w:pos="1633" w:val="left" w:leader="none"/>
                <w:tab w:pos="2622" w:val="left" w:leader="none"/>
                <w:tab w:pos="3495" w:val="left" w:leader="none"/>
                <w:tab w:pos="4323" w:val="left" w:leader="none"/>
                <w:tab w:pos="5079" w:val="left" w:leader="none"/>
                <w:tab w:pos="5882" w:val="left" w:leader="none"/>
              </w:tabs>
              <w:spacing w:line="159" w:lineRule="exact" w:before="0"/>
              <w:ind w:right="5"/>
              <w:rPr>
                <w:sz w:val="14"/>
              </w:rPr>
            </w:pPr>
            <w:r>
              <w:rPr>
                <w:sz w:val="14"/>
              </w:rPr>
              <w:t>0.3</w:t>
            </w:r>
            <w:r>
              <w:rPr>
                <w:spacing w:val="-17"/>
                <w:sz w:val="14"/>
              </w:rPr>
              <w:t> </w:t>
            </w:r>
            <w:r>
              <w:rPr>
                <w:rFonts w:ascii="Times New Roman" w:hAnsi="Times New Roman"/>
                <w:sz w:val="14"/>
              </w:rPr>
              <w:t>±</w:t>
            </w:r>
            <w:r>
              <w:rPr>
                <w:rFonts w:ascii="Times New Roman" w:hAnsi="Times New Roman"/>
                <w:spacing w:val="-12"/>
                <w:sz w:val="14"/>
              </w:rPr>
              <w:t> </w:t>
            </w:r>
            <w:r>
              <w:rPr>
                <w:sz w:val="14"/>
              </w:rPr>
              <w:t>0.5</w:t>
              <w:tab/>
              <w:t>3.3</w:t>
            </w:r>
            <w:r>
              <w:rPr>
                <w:spacing w:val="-17"/>
                <w:sz w:val="14"/>
              </w:rPr>
              <w:t> </w:t>
            </w:r>
            <w:r>
              <w:rPr>
                <w:rFonts w:ascii="Times New Roman" w:hAnsi="Times New Roman"/>
                <w:sz w:val="14"/>
              </w:rPr>
              <w:t>±</w:t>
            </w:r>
            <w:r>
              <w:rPr>
                <w:rFonts w:ascii="Times New Roman" w:hAnsi="Times New Roman"/>
                <w:spacing w:val="-12"/>
                <w:sz w:val="14"/>
              </w:rPr>
              <w:t> </w:t>
            </w:r>
            <w:r>
              <w:rPr>
                <w:sz w:val="14"/>
              </w:rPr>
              <w:t>2.2</w:t>
              <w:tab/>
              <w:t>15.3</w:t>
            </w:r>
            <w:r>
              <w:rPr>
                <w:spacing w:val="-18"/>
                <w:sz w:val="14"/>
              </w:rPr>
              <w:t> </w:t>
            </w:r>
            <w:r>
              <w:rPr>
                <w:rFonts w:ascii="Times New Roman" w:hAnsi="Times New Roman"/>
                <w:sz w:val="14"/>
              </w:rPr>
              <w:t>±</w:t>
            </w:r>
            <w:r>
              <w:rPr>
                <w:rFonts w:ascii="Times New Roman" w:hAnsi="Times New Roman"/>
                <w:spacing w:val="-14"/>
                <w:sz w:val="14"/>
              </w:rPr>
              <w:t> </w:t>
            </w:r>
            <w:r>
              <w:rPr>
                <w:sz w:val="14"/>
              </w:rPr>
              <w:t>12.0</w:t>
              <w:tab/>
              <w:t>9.1</w:t>
            </w:r>
            <w:r>
              <w:rPr>
                <w:spacing w:val="-16"/>
                <w:sz w:val="14"/>
              </w:rPr>
              <w:t> </w:t>
            </w:r>
            <w:r>
              <w:rPr>
                <w:rFonts w:ascii="Times New Roman" w:hAnsi="Times New Roman"/>
                <w:sz w:val="14"/>
              </w:rPr>
              <w:t>±</w:t>
            </w:r>
            <w:r>
              <w:rPr>
                <w:rFonts w:ascii="Times New Roman" w:hAnsi="Times New Roman"/>
                <w:spacing w:val="-12"/>
                <w:sz w:val="14"/>
              </w:rPr>
              <w:t> </w:t>
            </w:r>
            <w:r>
              <w:rPr>
                <w:sz w:val="14"/>
              </w:rPr>
              <w:t>5.9</w:t>
              <w:tab/>
              <w:t>6.6</w:t>
            </w:r>
            <w:r>
              <w:rPr>
                <w:spacing w:val="-16"/>
                <w:sz w:val="14"/>
              </w:rPr>
              <w:t> </w:t>
            </w:r>
            <w:r>
              <w:rPr>
                <w:rFonts w:ascii="Times New Roman" w:hAnsi="Times New Roman"/>
                <w:sz w:val="14"/>
              </w:rPr>
              <w:t>±</w:t>
            </w:r>
            <w:r>
              <w:rPr>
                <w:rFonts w:ascii="Times New Roman" w:hAnsi="Times New Roman"/>
                <w:spacing w:val="-12"/>
                <w:sz w:val="14"/>
              </w:rPr>
              <w:t> </w:t>
            </w:r>
            <w:r>
              <w:rPr>
                <w:sz w:val="14"/>
              </w:rPr>
              <w:t>7.4</w:t>
              <w:tab/>
              <w:t>1.1</w:t>
            </w:r>
            <w:r>
              <w:rPr>
                <w:spacing w:val="-16"/>
                <w:sz w:val="14"/>
              </w:rPr>
              <w:t> </w:t>
            </w:r>
            <w:r>
              <w:rPr>
                <w:rFonts w:ascii="Times New Roman" w:hAnsi="Times New Roman"/>
                <w:sz w:val="14"/>
              </w:rPr>
              <w:t>±</w:t>
            </w:r>
            <w:r>
              <w:rPr>
                <w:rFonts w:ascii="Times New Roman" w:hAnsi="Times New Roman"/>
                <w:spacing w:val="-12"/>
                <w:sz w:val="14"/>
              </w:rPr>
              <w:t> </w:t>
            </w:r>
            <w:r>
              <w:rPr>
                <w:sz w:val="14"/>
              </w:rPr>
              <w:t>2.1</w:t>
              <w:tab/>
              <w:t>11.0</w:t>
            </w:r>
            <w:r>
              <w:rPr>
                <w:spacing w:val="-17"/>
                <w:sz w:val="14"/>
              </w:rPr>
              <w:t> </w:t>
            </w:r>
            <w:r>
              <w:rPr>
                <w:rFonts w:ascii="Times New Roman" w:hAnsi="Times New Roman"/>
                <w:sz w:val="14"/>
              </w:rPr>
              <w:t>±</w:t>
            </w:r>
            <w:r>
              <w:rPr>
                <w:rFonts w:ascii="Times New Roman" w:hAnsi="Times New Roman"/>
                <w:spacing w:val="-13"/>
                <w:sz w:val="14"/>
              </w:rPr>
              <w:t> </w:t>
            </w:r>
            <w:r>
              <w:rPr>
                <w:sz w:val="14"/>
              </w:rPr>
              <w:t>8.3</w:t>
              <w:tab/>
            </w:r>
            <w:r>
              <w:rPr>
                <w:w w:val="95"/>
                <w:sz w:val="14"/>
              </w:rPr>
              <w:t>46.7 </w:t>
            </w:r>
            <w:r>
              <w:rPr>
                <w:rFonts w:ascii="Times New Roman" w:hAnsi="Times New Roman"/>
                <w:w w:val="95"/>
                <w:sz w:val="14"/>
              </w:rPr>
              <w:t>±</w:t>
            </w:r>
            <w:r>
              <w:rPr>
                <w:rFonts w:ascii="Times New Roman" w:hAnsi="Times New Roman"/>
                <w:spacing w:val="-21"/>
                <w:w w:val="95"/>
                <w:sz w:val="14"/>
              </w:rPr>
              <w:t> </w:t>
            </w:r>
            <w:r>
              <w:rPr>
                <w:w w:val="95"/>
                <w:sz w:val="14"/>
              </w:rPr>
              <w:t>21.0</w:t>
            </w:r>
          </w:p>
          <w:p>
            <w:pPr>
              <w:pStyle w:val="TableParagraph"/>
              <w:tabs>
                <w:tab w:pos="788" w:val="left" w:leader="none"/>
                <w:tab w:pos="1698" w:val="left" w:leader="none"/>
                <w:tab w:pos="2613" w:val="left" w:leader="none"/>
                <w:tab w:pos="3486" w:val="left" w:leader="none"/>
                <w:tab w:pos="4323" w:val="left" w:leader="none"/>
                <w:tab w:pos="5116" w:val="left" w:leader="none"/>
                <w:tab w:pos="5947" w:val="left" w:leader="none"/>
              </w:tabs>
              <w:spacing w:before="33"/>
              <w:ind w:right="73"/>
              <w:rPr>
                <w:sz w:val="14"/>
              </w:rPr>
            </w:pPr>
            <w:r>
              <w:rPr>
                <w:sz w:val="14"/>
              </w:rPr>
              <w:t>0.9*</w:t>
              <w:tab/>
              <w:t>0.2*</w:t>
              <w:tab/>
              <w:t>0.4*</w:t>
              <w:tab/>
              <w:t>0.8*</w:t>
              <w:tab/>
              <w:t>0.6*</w:t>
              <w:tab/>
              <w:t>0.5*</w:t>
              <w:tab/>
              <w:t>0.5*</w:t>
              <w:tab/>
              <w:t>0.6*</w:t>
            </w:r>
          </w:p>
          <w:p>
            <w:pPr>
              <w:pStyle w:val="TableParagraph"/>
              <w:tabs>
                <w:tab w:pos="797" w:val="left" w:leader="none"/>
                <w:tab w:pos="1633" w:val="left" w:leader="none"/>
                <w:tab w:pos="2622" w:val="left" w:leader="none"/>
                <w:tab w:pos="3458" w:val="left" w:leader="none"/>
                <w:tab w:pos="4323" w:val="left" w:leader="none"/>
                <w:tab w:pos="5042" w:val="left" w:leader="none"/>
              </w:tabs>
              <w:spacing w:before="34"/>
              <w:ind w:right="5"/>
              <w:rPr>
                <w:sz w:val="14"/>
              </w:rPr>
            </w:pPr>
            <w:r>
              <w:rPr>
                <w:sz w:val="14"/>
              </w:rPr>
              <w:t>0.3</w:t>
            </w:r>
            <w:r>
              <w:rPr>
                <w:spacing w:val="-17"/>
                <w:sz w:val="14"/>
              </w:rPr>
              <w:t> </w:t>
            </w:r>
            <w:r>
              <w:rPr>
                <w:rFonts w:ascii="Times New Roman" w:hAnsi="Times New Roman"/>
                <w:sz w:val="14"/>
              </w:rPr>
              <w:t>±</w:t>
            </w:r>
            <w:r>
              <w:rPr>
                <w:rFonts w:ascii="Times New Roman" w:hAnsi="Times New Roman"/>
                <w:spacing w:val="-12"/>
                <w:sz w:val="14"/>
              </w:rPr>
              <w:t> </w:t>
            </w:r>
            <w:r>
              <w:rPr>
                <w:sz w:val="14"/>
              </w:rPr>
              <w:t>0.5</w:t>
              <w:tab/>
              <w:t>2.9</w:t>
            </w:r>
            <w:r>
              <w:rPr>
                <w:spacing w:val="-16"/>
                <w:sz w:val="14"/>
              </w:rPr>
              <w:t> </w:t>
            </w:r>
            <w:r>
              <w:rPr>
                <w:rFonts w:ascii="Times New Roman" w:hAnsi="Times New Roman"/>
                <w:sz w:val="14"/>
              </w:rPr>
              <w:t>±</w:t>
            </w:r>
            <w:r>
              <w:rPr>
                <w:rFonts w:ascii="Times New Roman" w:hAnsi="Times New Roman"/>
                <w:spacing w:val="-12"/>
                <w:sz w:val="14"/>
              </w:rPr>
              <w:t> </w:t>
            </w:r>
            <w:r>
              <w:rPr>
                <w:sz w:val="14"/>
              </w:rPr>
              <w:t>2.9</w:t>
              <w:tab/>
              <w:t>19.3</w:t>
            </w:r>
            <w:r>
              <w:rPr>
                <w:spacing w:val="-18"/>
                <w:sz w:val="14"/>
              </w:rPr>
              <w:t> </w:t>
            </w:r>
            <w:r>
              <w:rPr>
                <w:rFonts w:ascii="Times New Roman" w:hAnsi="Times New Roman"/>
                <w:sz w:val="14"/>
              </w:rPr>
              <w:t>±</w:t>
            </w:r>
            <w:r>
              <w:rPr>
                <w:rFonts w:ascii="Times New Roman" w:hAnsi="Times New Roman"/>
                <w:spacing w:val="-14"/>
                <w:sz w:val="14"/>
              </w:rPr>
              <w:t> </w:t>
            </w:r>
            <w:r>
              <w:rPr>
                <w:sz w:val="14"/>
              </w:rPr>
              <w:t>16.1</w:t>
              <w:tab/>
              <w:t>9.4</w:t>
            </w:r>
            <w:r>
              <w:rPr>
                <w:spacing w:val="-16"/>
                <w:sz w:val="14"/>
              </w:rPr>
              <w:t> </w:t>
            </w:r>
            <w:r>
              <w:rPr>
                <w:rFonts w:ascii="Times New Roman" w:hAnsi="Times New Roman"/>
                <w:sz w:val="14"/>
              </w:rPr>
              <w:t>±</w:t>
            </w:r>
            <w:r>
              <w:rPr>
                <w:rFonts w:ascii="Times New Roman" w:hAnsi="Times New Roman"/>
                <w:spacing w:val="-12"/>
                <w:sz w:val="14"/>
              </w:rPr>
              <w:t> </w:t>
            </w:r>
            <w:r>
              <w:rPr>
                <w:sz w:val="14"/>
              </w:rPr>
              <w:t>7.3</w:t>
              <w:tab/>
              <w:t>8.7</w:t>
            </w:r>
            <w:r>
              <w:rPr>
                <w:spacing w:val="-17"/>
                <w:sz w:val="14"/>
              </w:rPr>
              <w:t> </w:t>
            </w:r>
            <w:r>
              <w:rPr>
                <w:rFonts w:ascii="Times New Roman" w:hAnsi="Times New Roman"/>
                <w:sz w:val="14"/>
              </w:rPr>
              <w:t>±</w:t>
            </w:r>
            <w:r>
              <w:rPr>
                <w:rFonts w:ascii="Times New Roman" w:hAnsi="Times New Roman"/>
                <w:spacing w:val="-14"/>
                <w:sz w:val="14"/>
              </w:rPr>
              <w:t> </w:t>
            </w:r>
            <w:r>
              <w:rPr>
                <w:sz w:val="14"/>
              </w:rPr>
              <w:t>11.4</w:t>
              <w:tab/>
              <w:t>1.1</w:t>
            </w:r>
            <w:r>
              <w:rPr>
                <w:spacing w:val="-16"/>
                <w:sz w:val="14"/>
              </w:rPr>
              <w:t> </w:t>
            </w:r>
            <w:r>
              <w:rPr>
                <w:rFonts w:ascii="Times New Roman" w:hAnsi="Times New Roman"/>
                <w:sz w:val="14"/>
              </w:rPr>
              <w:t>±</w:t>
            </w:r>
            <w:r>
              <w:rPr>
                <w:rFonts w:ascii="Times New Roman" w:hAnsi="Times New Roman"/>
                <w:spacing w:val="-12"/>
                <w:sz w:val="14"/>
              </w:rPr>
              <w:t> </w:t>
            </w:r>
            <w:r>
              <w:rPr>
                <w:sz w:val="14"/>
              </w:rPr>
              <w:t>1.6</w:t>
              <w:tab/>
              <w:t>11.3 </w:t>
            </w:r>
            <w:r>
              <w:rPr>
                <w:rFonts w:ascii="Times New Roman" w:hAnsi="Times New Roman"/>
                <w:sz w:val="14"/>
              </w:rPr>
              <w:t>± </w:t>
            </w:r>
            <w:r>
              <w:rPr>
                <w:sz w:val="14"/>
              </w:rPr>
              <w:t>11.8 </w:t>
            </w:r>
            <w:r>
              <w:rPr>
                <w:spacing w:val="2"/>
                <w:sz w:val="14"/>
              </w:rPr>
              <w:t> </w:t>
            </w:r>
            <w:r>
              <w:rPr>
                <w:sz w:val="14"/>
              </w:rPr>
              <w:t>53.0 </w:t>
            </w:r>
            <w:r>
              <w:rPr>
                <w:rFonts w:ascii="Times New Roman" w:hAnsi="Times New Roman"/>
                <w:sz w:val="14"/>
              </w:rPr>
              <w:t>± </w:t>
            </w:r>
            <w:r>
              <w:rPr>
                <w:sz w:val="14"/>
              </w:rPr>
              <w:t>32.1</w:t>
            </w:r>
          </w:p>
        </w:tc>
      </w:tr>
      <w:tr>
        <w:trPr>
          <w:trHeight w:val="616" w:hRule="exact"/>
        </w:trPr>
        <w:tc>
          <w:tcPr>
            <w:tcW w:w="1193" w:type="dxa"/>
            <w:gridSpan w:val="2"/>
            <w:tcBorders>
              <w:top w:val="dotted" w:sz="4" w:space="0" w:color="000000"/>
              <w:left w:val="nil"/>
              <w:bottom w:val="dotted" w:sz="4" w:space="0" w:color="000000"/>
              <w:right w:val="dotted" w:sz="4" w:space="0" w:color="000000"/>
            </w:tcBorders>
          </w:tcPr>
          <w:p>
            <w:pPr>
              <w:pStyle w:val="TableParagraph"/>
              <w:spacing w:line="280" w:lineRule="auto" w:before="8"/>
              <w:ind w:left="285" w:right="278" w:firstLine="175"/>
              <w:jc w:val="left"/>
              <w:rPr>
                <w:b/>
                <w:sz w:val="15"/>
              </w:rPr>
            </w:pPr>
            <w:r>
              <w:rPr>
                <w:b/>
                <w:sz w:val="15"/>
              </w:rPr>
              <w:t>Uso </w:t>
            </w:r>
            <w:r>
              <w:rPr>
                <w:b/>
                <w:w w:val="95"/>
                <w:sz w:val="15"/>
              </w:rPr>
              <w:t>de</w:t>
            </w:r>
            <w:r>
              <w:rPr>
                <w:b/>
                <w:spacing w:val="-30"/>
                <w:w w:val="95"/>
                <w:sz w:val="15"/>
              </w:rPr>
              <w:t> </w:t>
            </w:r>
            <w:r>
              <w:rPr>
                <w:b/>
                <w:spacing w:val="-3"/>
                <w:w w:val="95"/>
                <w:sz w:val="15"/>
              </w:rPr>
              <w:t>cepillo</w:t>
            </w:r>
          </w:p>
          <w:p>
            <w:pPr>
              <w:pStyle w:val="TableParagraph"/>
              <w:spacing w:before="11"/>
              <w:ind w:left="387" w:right="203"/>
              <w:jc w:val="left"/>
              <w:rPr>
                <w:b/>
                <w:sz w:val="15"/>
              </w:rPr>
            </w:pPr>
            <w:r>
              <w:rPr>
                <w:b/>
                <w:sz w:val="15"/>
              </w:rPr>
              <w:t>dental</w:t>
            </w:r>
          </w:p>
        </w:tc>
        <w:tc>
          <w:tcPr>
            <w:tcW w:w="944" w:type="dxa"/>
            <w:tcBorders>
              <w:top w:val="dotted" w:sz="4" w:space="0" w:color="000000"/>
              <w:left w:val="dotted" w:sz="4" w:space="0" w:color="000000"/>
              <w:bottom w:val="dotted" w:sz="4" w:space="0" w:color="000000"/>
              <w:right w:val="dotted" w:sz="4" w:space="0" w:color="000000"/>
            </w:tcBorders>
          </w:tcPr>
          <w:p>
            <w:pPr>
              <w:pStyle w:val="TableParagraph"/>
              <w:spacing w:before="5"/>
              <w:ind w:left="9"/>
              <w:jc w:val="left"/>
              <w:rPr>
                <w:sz w:val="12"/>
              </w:rPr>
            </w:pPr>
            <w:r>
              <w:rPr>
                <w:sz w:val="12"/>
              </w:rPr>
              <w:t>Si</w:t>
            </w:r>
          </w:p>
          <w:p>
            <w:pPr>
              <w:pStyle w:val="TableParagraph"/>
              <w:spacing w:before="57"/>
              <w:ind w:right="12"/>
              <w:jc w:val="right"/>
              <w:rPr>
                <w:b/>
                <w:sz w:val="12"/>
              </w:rPr>
            </w:pPr>
            <w:r>
              <w:rPr>
                <w:b/>
                <w:w w:val="92"/>
                <w:sz w:val="12"/>
              </w:rPr>
              <w:t>p</w:t>
            </w:r>
          </w:p>
          <w:p>
            <w:pPr>
              <w:pStyle w:val="TableParagraph"/>
              <w:spacing w:before="57"/>
              <w:ind w:left="9"/>
              <w:jc w:val="left"/>
              <w:rPr>
                <w:sz w:val="12"/>
              </w:rPr>
            </w:pPr>
            <w:r>
              <w:rPr>
                <w:sz w:val="12"/>
              </w:rPr>
              <w:t>No</w:t>
            </w:r>
          </w:p>
        </w:tc>
        <w:tc>
          <w:tcPr>
            <w:tcW w:w="6743" w:type="dxa"/>
            <w:tcBorders>
              <w:top w:val="dotted" w:sz="4" w:space="0" w:color="000000"/>
              <w:left w:val="dotted" w:sz="4" w:space="0" w:color="000000"/>
              <w:bottom w:val="dotted" w:sz="4" w:space="0" w:color="000000"/>
              <w:right w:val="nil"/>
            </w:tcBorders>
          </w:tcPr>
          <w:p>
            <w:pPr>
              <w:pStyle w:val="TableParagraph"/>
              <w:tabs>
                <w:tab w:pos="797" w:val="left" w:leader="none"/>
                <w:tab w:pos="1633" w:val="left" w:leader="none"/>
                <w:tab w:pos="2622" w:val="left" w:leader="none"/>
                <w:tab w:pos="3495" w:val="left" w:leader="none"/>
                <w:tab w:pos="4323" w:val="left" w:leader="none"/>
                <w:tab w:pos="5079" w:val="left" w:leader="none"/>
                <w:tab w:pos="5882" w:val="left" w:leader="none"/>
              </w:tabs>
              <w:spacing w:before="7"/>
              <w:ind w:right="5"/>
              <w:rPr>
                <w:sz w:val="14"/>
              </w:rPr>
            </w:pPr>
            <w:r>
              <w:rPr>
                <w:sz w:val="14"/>
              </w:rPr>
              <w:t>0.3</w:t>
            </w:r>
            <w:r>
              <w:rPr>
                <w:spacing w:val="-17"/>
                <w:sz w:val="14"/>
              </w:rPr>
              <w:t> </w:t>
            </w:r>
            <w:r>
              <w:rPr>
                <w:rFonts w:ascii="Times New Roman" w:hAnsi="Times New Roman"/>
                <w:sz w:val="14"/>
              </w:rPr>
              <w:t>±</w:t>
            </w:r>
            <w:r>
              <w:rPr>
                <w:rFonts w:ascii="Times New Roman" w:hAnsi="Times New Roman"/>
                <w:spacing w:val="-12"/>
                <w:sz w:val="14"/>
              </w:rPr>
              <w:t> </w:t>
            </w:r>
            <w:r>
              <w:rPr>
                <w:sz w:val="14"/>
              </w:rPr>
              <w:t>0.5</w:t>
              <w:tab/>
            </w:r>
            <w:r>
              <w:rPr>
                <w:b/>
                <w:sz w:val="14"/>
              </w:rPr>
              <w:t>2.0</w:t>
            </w:r>
            <w:r>
              <w:rPr>
                <w:b/>
                <w:spacing w:val="-16"/>
                <w:sz w:val="14"/>
              </w:rPr>
              <w:t> </w:t>
            </w:r>
            <w:r>
              <w:rPr>
                <w:rFonts w:ascii="Times New Roman" w:hAnsi="Times New Roman"/>
                <w:sz w:val="14"/>
              </w:rPr>
              <w:t>±</w:t>
            </w:r>
            <w:r>
              <w:rPr>
                <w:rFonts w:ascii="Times New Roman" w:hAnsi="Times New Roman"/>
                <w:spacing w:val="-12"/>
                <w:sz w:val="14"/>
              </w:rPr>
              <w:t> </w:t>
            </w:r>
            <w:r>
              <w:rPr>
                <w:sz w:val="14"/>
              </w:rPr>
              <w:t>2.6</w:t>
              <w:tab/>
              <w:t>17.6</w:t>
            </w:r>
            <w:r>
              <w:rPr>
                <w:spacing w:val="-18"/>
                <w:sz w:val="14"/>
              </w:rPr>
              <w:t> </w:t>
            </w:r>
            <w:r>
              <w:rPr>
                <w:rFonts w:ascii="Times New Roman" w:hAnsi="Times New Roman"/>
                <w:sz w:val="14"/>
              </w:rPr>
              <w:t>±</w:t>
            </w:r>
            <w:r>
              <w:rPr>
                <w:rFonts w:ascii="Times New Roman" w:hAnsi="Times New Roman"/>
                <w:spacing w:val="-14"/>
                <w:sz w:val="14"/>
              </w:rPr>
              <w:t> </w:t>
            </w:r>
            <w:r>
              <w:rPr>
                <w:sz w:val="14"/>
              </w:rPr>
              <w:t>14.4</w:t>
              <w:tab/>
              <w:t>9.2</w:t>
            </w:r>
            <w:r>
              <w:rPr>
                <w:spacing w:val="-16"/>
                <w:sz w:val="14"/>
              </w:rPr>
              <w:t> </w:t>
            </w:r>
            <w:r>
              <w:rPr>
                <w:rFonts w:ascii="Times New Roman" w:hAnsi="Times New Roman"/>
                <w:sz w:val="14"/>
              </w:rPr>
              <w:t>±</w:t>
            </w:r>
            <w:r>
              <w:rPr>
                <w:rFonts w:ascii="Times New Roman" w:hAnsi="Times New Roman"/>
                <w:spacing w:val="-12"/>
                <w:sz w:val="14"/>
              </w:rPr>
              <w:t> </w:t>
            </w:r>
            <w:r>
              <w:rPr>
                <w:sz w:val="14"/>
              </w:rPr>
              <w:t>6.9</w:t>
              <w:tab/>
              <w:t>7.6</w:t>
            </w:r>
            <w:r>
              <w:rPr>
                <w:spacing w:val="-16"/>
                <w:sz w:val="14"/>
              </w:rPr>
              <w:t> </w:t>
            </w:r>
            <w:r>
              <w:rPr>
                <w:rFonts w:ascii="Times New Roman" w:hAnsi="Times New Roman"/>
                <w:sz w:val="14"/>
              </w:rPr>
              <w:t>±</w:t>
            </w:r>
            <w:r>
              <w:rPr>
                <w:rFonts w:ascii="Times New Roman" w:hAnsi="Times New Roman"/>
                <w:spacing w:val="-12"/>
                <w:sz w:val="14"/>
              </w:rPr>
              <w:t> </w:t>
            </w:r>
            <w:r>
              <w:rPr>
                <w:sz w:val="14"/>
              </w:rPr>
              <w:t>9.4</w:t>
              <w:tab/>
              <w:t>0.9</w:t>
            </w:r>
            <w:r>
              <w:rPr>
                <w:spacing w:val="-16"/>
                <w:sz w:val="14"/>
              </w:rPr>
              <w:t> </w:t>
            </w:r>
            <w:r>
              <w:rPr>
                <w:rFonts w:ascii="Times New Roman" w:hAnsi="Times New Roman"/>
                <w:sz w:val="14"/>
              </w:rPr>
              <w:t>±</w:t>
            </w:r>
            <w:r>
              <w:rPr>
                <w:rFonts w:ascii="Times New Roman" w:hAnsi="Times New Roman"/>
                <w:spacing w:val="-12"/>
                <w:sz w:val="14"/>
              </w:rPr>
              <w:t> </w:t>
            </w:r>
            <w:r>
              <w:rPr>
                <w:sz w:val="14"/>
              </w:rPr>
              <w:t>1.5</w:t>
              <w:tab/>
              <w:t>10.0</w:t>
            </w:r>
            <w:r>
              <w:rPr>
                <w:spacing w:val="-17"/>
                <w:sz w:val="14"/>
              </w:rPr>
              <w:t> </w:t>
            </w:r>
            <w:r>
              <w:rPr>
                <w:rFonts w:ascii="Times New Roman" w:hAnsi="Times New Roman"/>
                <w:sz w:val="14"/>
              </w:rPr>
              <w:t>±</w:t>
            </w:r>
            <w:r>
              <w:rPr>
                <w:rFonts w:ascii="Times New Roman" w:hAnsi="Times New Roman"/>
                <w:spacing w:val="-13"/>
                <w:sz w:val="14"/>
              </w:rPr>
              <w:t> </w:t>
            </w:r>
            <w:r>
              <w:rPr>
                <w:sz w:val="14"/>
              </w:rPr>
              <w:t>0.4</w:t>
              <w:tab/>
            </w:r>
            <w:r>
              <w:rPr>
                <w:w w:val="95"/>
                <w:sz w:val="14"/>
              </w:rPr>
              <w:t>48.5 </w:t>
            </w:r>
            <w:r>
              <w:rPr>
                <w:rFonts w:ascii="Times New Roman" w:hAnsi="Times New Roman"/>
                <w:w w:val="95"/>
                <w:sz w:val="14"/>
              </w:rPr>
              <w:t>±</w:t>
            </w:r>
            <w:r>
              <w:rPr>
                <w:rFonts w:ascii="Times New Roman" w:hAnsi="Times New Roman"/>
                <w:spacing w:val="-22"/>
                <w:w w:val="95"/>
                <w:sz w:val="14"/>
              </w:rPr>
              <w:t> </w:t>
            </w:r>
            <w:r>
              <w:rPr>
                <w:w w:val="95"/>
                <w:sz w:val="14"/>
              </w:rPr>
              <w:t>25.3</w:t>
            </w:r>
          </w:p>
          <w:p>
            <w:pPr>
              <w:pStyle w:val="TableParagraph"/>
              <w:tabs>
                <w:tab w:pos="788" w:val="left" w:leader="none"/>
                <w:tab w:pos="1698" w:val="left" w:leader="none"/>
                <w:tab w:pos="2613" w:val="left" w:leader="none"/>
                <w:tab w:pos="3486" w:val="left" w:leader="none"/>
                <w:tab w:pos="4323" w:val="left" w:leader="none"/>
                <w:tab w:pos="5116" w:val="left" w:leader="none"/>
                <w:tab w:pos="5947" w:val="left" w:leader="none"/>
              </w:tabs>
              <w:spacing w:before="33"/>
              <w:ind w:right="73"/>
              <w:rPr>
                <w:sz w:val="14"/>
              </w:rPr>
            </w:pPr>
            <w:r>
              <w:rPr>
                <w:sz w:val="14"/>
              </w:rPr>
              <w:t>0.3*</w:t>
              <w:tab/>
              <w:t>0.4*</w:t>
              <w:tab/>
              <w:t>0.9*</w:t>
              <w:tab/>
              <w:t>0.7*</w:t>
              <w:tab/>
              <w:t>0.7*</w:t>
              <w:tab/>
              <w:t>0.4*</w:t>
              <w:tab/>
              <w:t>0.1*</w:t>
              <w:tab/>
              <w:t>0.3*</w:t>
            </w:r>
          </w:p>
          <w:p>
            <w:pPr>
              <w:pStyle w:val="TableParagraph"/>
              <w:tabs>
                <w:tab w:pos="797" w:val="left" w:leader="none"/>
                <w:tab w:pos="1633" w:val="left" w:leader="none"/>
                <w:tab w:pos="2622" w:val="left" w:leader="none"/>
                <w:tab w:pos="3458" w:val="left" w:leader="none"/>
                <w:tab w:pos="4323" w:val="left" w:leader="none"/>
                <w:tab w:pos="5042" w:val="left" w:leader="none"/>
              </w:tabs>
              <w:spacing w:before="34"/>
              <w:ind w:right="5"/>
              <w:rPr>
                <w:sz w:val="14"/>
              </w:rPr>
            </w:pPr>
            <w:r>
              <w:rPr>
                <w:sz w:val="14"/>
              </w:rPr>
              <w:t>0.4</w:t>
            </w:r>
            <w:r>
              <w:rPr>
                <w:spacing w:val="-17"/>
                <w:sz w:val="14"/>
              </w:rPr>
              <w:t> </w:t>
            </w:r>
            <w:r>
              <w:rPr>
                <w:rFonts w:ascii="Times New Roman" w:hAnsi="Times New Roman"/>
                <w:sz w:val="14"/>
              </w:rPr>
              <w:t>±</w:t>
            </w:r>
            <w:r>
              <w:rPr>
                <w:rFonts w:ascii="Times New Roman" w:hAnsi="Times New Roman"/>
                <w:spacing w:val="-12"/>
                <w:sz w:val="14"/>
              </w:rPr>
              <w:t> </w:t>
            </w:r>
            <w:r>
              <w:rPr>
                <w:sz w:val="14"/>
              </w:rPr>
              <w:t>0.5</w:t>
              <w:tab/>
              <w:t>3.5</w:t>
            </w:r>
            <w:r>
              <w:rPr>
                <w:spacing w:val="-16"/>
                <w:sz w:val="14"/>
              </w:rPr>
              <w:t> </w:t>
            </w:r>
            <w:r>
              <w:rPr>
                <w:rFonts w:ascii="Times New Roman" w:hAnsi="Times New Roman"/>
                <w:sz w:val="14"/>
              </w:rPr>
              <w:t>±</w:t>
            </w:r>
            <w:r>
              <w:rPr>
                <w:rFonts w:ascii="Times New Roman" w:hAnsi="Times New Roman"/>
                <w:spacing w:val="-12"/>
                <w:sz w:val="14"/>
              </w:rPr>
              <w:t> </w:t>
            </w:r>
            <w:r>
              <w:rPr>
                <w:sz w:val="14"/>
              </w:rPr>
              <w:t>2.5</w:t>
              <w:tab/>
              <w:t>18.0</w:t>
            </w:r>
            <w:r>
              <w:rPr>
                <w:spacing w:val="-18"/>
                <w:sz w:val="14"/>
              </w:rPr>
              <w:t> </w:t>
            </w:r>
            <w:r>
              <w:rPr>
                <w:rFonts w:ascii="Times New Roman" w:hAnsi="Times New Roman"/>
                <w:sz w:val="14"/>
              </w:rPr>
              <w:t>±</w:t>
            </w:r>
            <w:r>
              <w:rPr>
                <w:rFonts w:ascii="Times New Roman" w:hAnsi="Times New Roman"/>
                <w:spacing w:val="-14"/>
                <w:sz w:val="14"/>
              </w:rPr>
              <w:t> </w:t>
            </w:r>
            <w:r>
              <w:rPr>
                <w:sz w:val="14"/>
              </w:rPr>
              <w:t>15.7</w:t>
              <w:tab/>
              <w:t>9.4</w:t>
            </w:r>
            <w:r>
              <w:rPr>
                <w:spacing w:val="-16"/>
                <w:sz w:val="14"/>
              </w:rPr>
              <w:t> </w:t>
            </w:r>
            <w:r>
              <w:rPr>
                <w:rFonts w:ascii="Times New Roman" w:hAnsi="Times New Roman"/>
                <w:sz w:val="14"/>
              </w:rPr>
              <w:t>±</w:t>
            </w:r>
            <w:r>
              <w:rPr>
                <w:rFonts w:ascii="Times New Roman" w:hAnsi="Times New Roman"/>
                <w:spacing w:val="-12"/>
                <w:sz w:val="14"/>
              </w:rPr>
              <w:t> </w:t>
            </w:r>
            <w:r>
              <w:rPr>
                <w:sz w:val="14"/>
              </w:rPr>
              <w:t>5.9</w:t>
              <w:tab/>
              <w:t>9.1</w:t>
            </w:r>
            <w:r>
              <w:rPr>
                <w:spacing w:val="-17"/>
                <w:sz w:val="14"/>
              </w:rPr>
              <w:t> </w:t>
            </w:r>
            <w:r>
              <w:rPr>
                <w:rFonts w:ascii="Times New Roman" w:hAnsi="Times New Roman"/>
                <w:sz w:val="14"/>
              </w:rPr>
              <w:t>±</w:t>
            </w:r>
            <w:r>
              <w:rPr>
                <w:rFonts w:ascii="Times New Roman" w:hAnsi="Times New Roman"/>
                <w:spacing w:val="-14"/>
                <w:sz w:val="14"/>
              </w:rPr>
              <w:t> </w:t>
            </w:r>
            <w:r>
              <w:rPr>
                <w:sz w:val="14"/>
              </w:rPr>
              <w:t>12.4</w:t>
              <w:tab/>
              <w:t>2.1</w:t>
            </w:r>
            <w:r>
              <w:rPr>
                <w:spacing w:val="-16"/>
                <w:sz w:val="14"/>
              </w:rPr>
              <w:t> </w:t>
            </w:r>
            <w:r>
              <w:rPr>
                <w:rFonts w:ascii="Times New Roman" w:hAnsi="Times New Roman"/>
                <w:sz w:val="14"/>
              </w:rPr>
              <w:t>±</w:t>
            </w:r>
            <w:r>
              <w:rPr>
                <w:rFonts w:ascii="Times New Roman" w:hAnsi="Times New Roman"/>
                <w:spacing w:val="-12"/>
                <w:sz w:val="14"/>
              </w:rPr>
              <w:t> </w:t>
            </w:r>
            <w:r>
              <w:rPr>
                <w:sz w:val="14"/>
              </w:rPr>
              <w:t>2.8</w:t>
              <w:tab/>
              <w:t>16.8 </w:t>
            </w:r>
            <w:r>
              <w:rPr>
                <w:rFonts w:ascii="Times New Roman" w:hAnsi="Times New Roman"/>
                <w:sz w:val="14"/>
              </w:rPr>
              <w:t>± </w:t>
            </w:r>
            <w:r>
              <w:rPr>
                <w:sz w:val="14"/>
              </w:rPr>
              <w:t>13.5 </w:t>
            </w:r>
            <w:r>
              <w:rPr>
                <w:spacing w:val="2"/>
                <w:sz w:val="14"/>
              </w:rPr>
              <w:t> </w:t>
            </w:r>
            <w:r>
              <w:rPr>
                <w:sz w:val="14"/>
              </w:rPr>
              <w:t>59.2 </w:t>
            </w:r>
            <w:r>
              <w:rPr>
                <w:rFonts w:ascii="Times New Roman" w:hAnsi="Times New Roman"/>
                <w:sz w:val="14"/>
              </w:rPr>
              <w:t>± </w:t>
            </w:r>
            <w:r>
              <w:rPr>
                <w:sz w:val="14"/>
              </w:rPr>
              <w:t>38.6</w:t>
            </w:r>
          </w:p>
        </w:tc>
      </w:tr>
      <w:tr>
        <w:trPr>
          <w:trHeight w:val="586" w:hRule="exact"/>
        </w:trPr>
        <w:tc>
          <w:tcPr>
            <w:tcW w:w="1193" w:type="dxa"/>
            <w:gridSpan w:val="2"/>
            <w:tcBorders>
              <w:top w:val="dotted" w:sz="4" w:space="0" w:color="000000"/>
              <w:left w:val="nil"/>
              <w:bottom w:val="dotted" w:sz="4" w:space="0" w:color="000000"/>
              <w:right w:val="dotted" w:sz="4" w:space="0" w:color="000000"/>
            </w:tcBorders>
          </w:tcPr>
          <w:p>
            <w:pPr>
              <w:pStyle w:val="TableParagraph"/>
              <w:spacing w:before="5"/>
              <w:ind w:left="295" w:right="203"/>
              <w:jc w:val="left"/>
              <w:rPr>
                <w:b/>
                <w:sz w:val="15"/>
              </w:rPr>
            </w:pPr>
            <w:r>
              <w:rPr>
                <w:b/>
                <w:sz w:val="15"/>
              </w:rPr>
              <w:t>Consulta</w:t>
            </w:r>
          </w:p>
          <w:p>
            <w:pPr>
              <w:pStyle w:val="TableParagraph"/>
              <w:spacing w:before="30"/>
              <w:ind w:left="387" w:right="203"/>
              <w:jc w:val="left"/>
              <w:rPr>
                <w:b/>
                <w:sz w:val="15"/>
              </w:rPr>
            </w:pPr>
            <w:r>
              <w:rPr>
                <w:b/>
                <w:sz w:val="15"/>
              </w:rPr>
              <w:t>dental</w:t>
            </w:r>
          </w:p>
        </w:tc>
        <w:tc>
          <w:tcPr>
            <w:tcW w:w="944" w:type="dxa"/>
            <w:tcBorders>
              <w:top w:val="dotted" w:sz="4" w:space="0" w:color="000000"/>
              <w:left w:val="dotted" w:sz="4" w:space="0" w:color="000000"/>
              <w:bottom w:val="dotted" w:sz="4" w:space="0" w:color="000000"/>
              <w:right w:val="dotted" w:sz="4" w:space="0" w:color="000000"/>
            </w:tcBorders>
          </w:tcPr>
          <w:p>
            <w:pPr>
              <w:pStyle w:val="TableParagraph"/>
              <w:spacing w:before="3"/>
              <w:ind w:left="9"/>
              <w:jc w:val="left"/>
              <w:rPr>
                <w:sz w:val="12"/>
              </w:rPr>
            </w:pPr>
            <w:r>
              <w:rPr>
                <w:sz w:val="12"/>
              </w:rPr>
              <w:t>Si</w:t>
            </w:r>
          </w:p>
          <w:p>
            <w:pPr>
              <w:pStyle w:val="TableParagraph"/>
              <w:spacing w:before="57"/>
              <w:ind w:right="15"/>
              <w:jc w:val="right"/>
              <w:rPr>
                <w:b/>
                <w:sz w:val="12"/>
              </w:rPr>
            </w:pPr>
            <w:r>
              <w:rPr>
                <w:b/>
                <w:w w:val="92"/>
                <w:sz w:val="12"/>
              </w:rPr>
              <w:t>P</w:t>
            </w:r>
          </w:p>
          <w:p>
            <w:pPr>
              <w:pStyle w:val="TableParagraph"/>
              <w:spacing w:before="57"/>
              <w:ind w:left="9"/>
              <w:jc w:val="left"/>
              <w:rPr>
                <w:sz w:val="12"/>
              </w:rPr>
            </w:pPr>
            <w:r>
              <w:rPr>
                <w:sz w:val="12"/>
              </w:rPr>
              <w:t>No</w:t>
            </w:r>
          </w:p>
        </w:tc>
        <w:tc>
          <w:tcPr>
            <w:tcW w:w="6743" w:type="dxa"/>
            <w:tcBorders>
              <w:top w:val="dotted" w:sz="4" w:space="0" w:color="000000"/>
              <w:left w:val="dotted" w:sz="4" w:space="0" w:color="000000"/>
              <w:bottom w:val="dotted" w:sz="4" w:space="0" w:color="000000"/>
              <w:right w:val="nil"/>
            </w:tcBorders>
          </w:tcPr>
          <w:p>
            <w:pPr>
              <w:pStyle w:val="TableParagraph"/>
              <w:tabs>
                <w:tab w:pos="797" w:val="left" w:leader="none"/>
                <w:tab w:pos="1707" w:val="left" w:leader="none"/>
                <w:tab w:pos="2622" w:val="left" w:leader="none"/>
                <w:tab w:pos="3495" w:val="left" w:leader="none"/>
                <w:tab w:pos="4323" w:val="left" w:leader="none"/>
                <w:tab w:pos="5042" w:val="left" w:leader="none"/>
              </w:tabs>
              <w:spacing w:before="4"/>
              <w:ind w:right="5"/>
              <w:rPr>
                <w:sz w:val="14"/>
              </w:rPr>
            </w:pPr>
            <w:r>
              <w:rPr>
                <w:sz w:val="14"/>
              </w:rPr>
              <w:t>0.6</w:t>
            </w:r>
            <w:r>
              <w:rPr>
                <w:spacing w:val="-17"/>
                <w:sz w:val="14"/>
              </w:rPr>
              <w:t> </w:t>
            </w:r>
            <w:r>
              <w:rPr>
                <w:rFonts w:ascii="Times New Roman" w:hAnsi="Times New Roman"/>
                <w:sz w:val="14"/>
              </w:rPr>
              <w:t>±</w:t>
            </w:r>
            <w:r>
              <w:rPr>
                <w:rFonts w:ascii="Times New Roman" w:hAnsi="Times New Roman"/>
                <w:spacing w:val="-12"/>
                <w:sz w:val="14"/>
              </w:rPr>
              <w:t> </w:t>
            </w:r>
            <w:r>
              <w:rPr>
                <w:sz w:val="14"/>
              </w:rPr>
              <w:t>0.5</w:t>
              <w:tab/>
              <w:t>2.6</w:t>
            </w:r>
            <w:r>
              <w:rPr>
                <w:spacing w:val="-16"/>
                <w:sz w:val="14"/>
              </w:rPr>
              <w:t> </w:t>
            </w:r>
            <w:r>
              <w:rPr>
                <w:rFonts w:ascii="Times New Roman" w:hAnsi="Times New Roman"/>
                <w:sz w:val="14"/>
              </w:rPr>
              <w:t>±</w:t>
            </w:r>
            <w:r>
              <w:rPr>
                <w:rFonts w:ascii="Times New Roman" w:hAnsi="Times New Roman"/>
                <w:spacing w:val="-12"/>
                <w:sz w:val="14"/>
              </w:rPr>
              <w:t> </w:t>
            </w:r>
            <w:r>
              <w:rPr>
                <w:sz w:val="14"/>
              </w:rPr>
              <w:t>2.5</w:t>
              <w:tab/>
            </w:r>
            <w:r>
              <w:rPr>
                <w:b/>
                <w:sz w:val="14"/>
              </w:rPr>
              <w:t>9.6</w:t>
            </w:r>
            <w:r>
              <w:rPr>
                <w:b/>
                <w:spacing w:val="-16"/>
                <w:sz w:val="14"/>
              </w:rPr>
              <w:t> </w:t>
            </w:r>
            <w:r>
              <w:rPr>
                <w:rFonts w:ascii="Times New Roman" w:hAnsi="Times New Roman"/>
                <w:sz w:val="14"/>
              </w:rPr>
              <w:t>±</w:t>
            </w:r>
            <w:r>
              <w:rPr>
                <w:rFonts w:ascii="Times New Roman" w:hAnsi="Times New Roman"/>
                <w:spacing w:val="-12"/>
                <w:sz w:val="14"/>
              </w:rPr>
              <w:t> </w:t>
            </w:r>
            <w:r>
              <w:rPr>
                <w:sz w:val="14"/>
              </w:rPr>
              <w:t>3.7</w:t>
              <w:tab/>
              <w:t>3.3</w:t>
            </w:r>
            <w:r>
              <w:rPr>
                <w:spacing w:val="-16"/>
                <w:sz w:val="14"/>
              </w:rPr>
              <w:t> </w:t>
            </w:r>
            <w:r>
              <w:rPr>
                <w:rFonts w:ascii="Times New Roman" w:hAnsi="Times New Roman"/>
                <w:sz w:val="14"/>
              </w:rPr>
              <w:t>±</w:t>
            </w:r>
            <w:r>
              <w:rPr>
                <w:rFonts w:ascii="Times New Roman" w:hAnsi="Times New Roman"/>
                <w:spacing w:val="-12"/>
                <w:sz w:val="14"/>
              </w:rPr>
              <w:t> </w:t>
            </w:r>
            <w:r>
              <w:rPr>
                <w:sz w:val="14"/>
              </w:rPr>
              <w:t>3.2</w:t>
              <w:tab/>
              <w:t>4.3</w:t>
            </w:r>
            <w:r>
              <w:rPr>
                <w:spacing w:val="-16"/>
                <w:sz w:val="14"/>
              </w:rPr>
              <w:t> </w:t>
            </w:r>
            <w:r>
              <w:rPr>
                <w:rFonts w:ascii="Times New Roman" w:hAnsi="Times New Roman"/>
                <w:sz w:val="14"/>
              </w:rPr>
              <w:t>±</w:t>
            </w:r>
            <w:r>
              <w:rPr>
                <w:rFonts w:ascii="Times New Roman" w:hAnsi="Times New Roman"/>
                <w:spacing w:val="-12"/>
                <w:sz w:val="14"/>
              </w:rPr>
              <w:t> </w:t>
            </w:r>
            <w:r>
              <w:rPr>
                <w:sz w:val="14"/>
              </w:rPr>
              <w:t>2.0</w:t>
              <w:tab/>
              <w:t>0.3</w:t>
            </w:r>
            <w:r>
              <w:rPr>
                <w:spacing w:val="-16"/>
                <w:sz w:val="14"/>
              </w:rPr>
              <w:t> </w:t>
            </w:r>
            <w:r>
              <w:rPr>
                <w:rFonts w:ascii="Times New Roman" w:hAnsi="Times New Roman"/>
                <w:sz w:val="14"/>
              </w:rPr>
              <w:t>±</w:t>
            </w:r>
            <w:r>
              <w:rPr>
                <w:rFonts w:ascii="Times New Roman" w:hAnsi="Times New Roman"/>
                <w:spacing w:val="-12"/>
                <w:sz w:val="14"/>
              </w:rPr>
              <w:t> </w:t>
            </w:r>
            <w:r>
              <w:rPr>
                <w:sz w:val="14"/>
              </w:rPr>
              <w:t>0.5</w:t>
              <w:tab/>
              <w:t>20.0 </w:t>
            </w:r>
            <w:r>
              <w:rPr>
                <w:rFonts w:ascii="Times New Roman" w:hAnsi="Times New Roman"/>
                <w:sz w:val="14"/>
              </w:rPr>
              <w:t>± </w:t>
            </w:r>
            <w:r>
              <w:rPr>
                <w:sz w:val="14"/>
              </w:rPr>
              <w:t>19.6 </w:t>
            </w:r>
            <w:r>
              <w:rPr>
                <w:spacing w:val="2"/>
                <w:sz w:val="14"/>
              </w:rPr>
              <w:t> </w:t>
            </w:r>
            <w:r>
              <w:rPr>
                <w:sz w:val="14"/>
              </w:rPr>
              <w:t>40.3 </w:t>
            </w:r>
            <w:r>
              <w:rPr>
                <w:rFonts w:ascii="Times New Roman" w:hAnsi="Times New Roman"/>
                <w:sz w:val="14"/>
              </w:rPr>
              <w:t>± </w:t>
            </w:r>
            <w:r>
              <w:rPr>
                <w:sz w:val="14"/>
              </w:rPr>
              <w:t>18.1</w:t>
            </w:r>
          </w:p>
          <w:p>
            <w:pPr>
              <w:pStyle w:val="TableParagraph"/>
              <w:tabs>
                <w:tab w:pos="788" w:val="left" w:leader="none"/>
                <w:tab w:pos="1698" w:val="left" w:leader="none"/>
                <w:tab w:pos="2576" w:val="left" w:leader="none"/>
                <w:tab w:pos="3486" w:val="left" w:leader="none"/>
                <w:tab w:pos="4323" w:val="left" w:leader="none"/>
                <w:tab w:pos="5116" w:val="left" w:leader="none"/>
                <w:tab w:pos="5947" w:val="left" w:leader="none"/>
              </w:tabs>
              <w:spacing w:before="33"/>
              <w:ind w:right="73"/>
              <w:rPr>
                <w:sz w:val="14"/>
              </w:rPr>
            </w:pPr>
            <w:r>
              <w:rPr>
                <w:sz w:val="14"/>
              </w:rPr>
              <w:t>0.2*</w:t>
              <w:tab/>
              <w:t>0.8*</w:t>
              <w:tab/>
              <w:t>0.4*</w:t>
              <w:tab/>
              <w:t>0.09*</w:t>
              <w:tab/>
              <w:t>0.8*</w:t>
              <w:tab/>
              <w:t>0.4*</w:t>
              <w:tab/>
              <w:t>0.3*</w:t>
              <w:tab/>
              <w:t>0.6*</w:t>
            </w:r>
          </w:p>
          <w:p>
            <w:pPr>
              <w:pStyle w:val="TableParagraph"/>
              <w:tabs>
                <w:tab w:pos="797" w:val="left" w:leader="none"/>
                <w:tab w:pos="1633" w:val="left" w:leader="none"/>
                <w:tab w:pos="2622" w:val="left" w:leader="none"/>
                <w:tab w:pos="3458" w:val="left" w:leader="none"/>
                <w:tab w:pos="4323" w:val="left" w:leader="none"/>
                <w:tab w:pos="5079" w:val="left" w:leader="none"/>
                <w:tab w:pos="5882" w:val="left" w:leader="none"/>
              </w:tabs>
              <w:spacing w:before="34"/>
              <w:ind w:right="5"/>
              <w:rPr>
                <w:sz w:val="14"/>
              </w:rPr>
            </w:pPr>
            <w:r>
              <w:rPr>
                <w:sz w:val="14"/>
              </w:rPr>
              <w:t>0.3</w:t>
            </w:r>
            <w:r>
              <w:rPr>
                <w:spacing w:val="-17"/>
                <w:sz w:val="14"/>
              </w:rPr>
              <w:t> </w:t>
            </w:r>
            <w:r>
              <w:rPr>
                <w:rFonts w:ascii="Times New Roman" w:hAnsi="Times New Roman"/>
                <w:sz w:val="14"/>
              </w:rPr>
              <w:t>±</w:t>
            </w:r>
            <w:r>
              <w:rPr>
                <w:rFonts w:ascii="Times New Roman" w:hAnsi="Times New Roman"/>
                <w:spacing w:val="-12"/>
                <w:sz w:val="14"/>
              </w:rPr>
              <w:t> </w:t>
            </w:r>
            <w:r>
              <w:rPr>
                <w:sz w:val="14"/>
              </w:rPr>
              <w:t>0.5</w:t>
              <w:tab/>
              <w:t>3.1</w:t>
            </w:r>
            <w:r>
              <w:rPr>
                <w:spacing w:val="-16"/>
                <w:sz w:val="14"/>
              </w:rPr>
              <w:t> </w:t>
            </w:r>
            <w:r>
              <w:rPr>
                <w:rFonts w:ascii="Times New Roman" w:hAnsi="Times New Roman"/>
                <w:sz w:val="14"/>
              </w:rPr>
              <w:t>±</w:t>
            </w:r>
            <w:r>
              <w:rPr>
                <w:rFonts w:ascii="Times New Roman" w:hAnsi="Times New Roman"/>
                <w:spacing w:val="-12"/>
                <w:sz w:val="14"/>
              </w:rPr>
              <w:t> </w:t>
            </w:r>
            <w:r>
              <w:rPr>
                <w:sz w:val="14"/>
              </w:rPr>
              <w:t>2.6</w:t>
              <w:tab/>
              <w:t>18.1</w:t>
            </w:r>
            <w:r>
              <w:rPr>
                <w:spacing w:val="-18"/>
                <w:sz w:val="14"/>
              </w:rPr>
              <w:t> </w:t>
            </w:r>
            <w:r>
              <w:rPr>
                <w:rFonts w:ascii="Times New Roman" w:hAnsi="Times New Roman"/>
                <w:sz w:val="14"/>
              </w:rPr>
              <w:t>±</w:t>
            </w:r>
            <w:r>
              <w:rPr>
                <w:rFonts w:ascii="Times New Roman" w:hAnsi="Times New Roman"/>
                <w:spacing w:val="-14"/>
                <w:sz w:val="14"/>
              </w:rPr>
              <w:t> </w:t>
            </w:r>
            <w:r>
              <w:rPr>
                <w:sz w:val="14"/>
              </w:rPr>
              <w:t>14.8</w:t>
              <w:tab/>
              <w:t>9.6</w:t>
            </w:r>
            <w:r>
              <w:rPr>
                <w:spacing w:val="-16"/>
                <w:sz w:val="14"/>
              </w:rPr>
              <w:t> </w:t>
            </w:r>
            <w:r>
              <w:rPr>
                <w:rFonts w:ascii="Times New Roman" w:hAnsi="Times New Roman"/>
                <w:sz w:val="14"/>
              </w:rPr>
              <w:t>±</w:t>
            </w:r>
            <w:r>
              <w:rPr>
                <w:rFonts w:ascii="Times New Roman" w:hAnsi="Times New Roman"/>
                <w:spacing w:val="-12"/>
                <w:sz w:val="14"/>
              </w:rPr>
              <w:t> </w:t>
            </w:r>
            <w:r>
              <w:rPr>
                <w:sz w:val="14"/>
              </w:rPr>
              <w:t>6.7</w:t>
              <w:tab/>
              <w:t>8.0</w:t>
            </w:r>
            <w:r>
              <w:rPr>
                <w:spacing w:val="-17"/>
                <w:sz w:val="14"/>
              </w:rPr>
              <w:t> </w:t>
            </w:r>
            <w:r>
              <w:rPr>
                <w:rFonts w:ascii="Times New Roman" w:hAnsi="Times New Roman"/>
                <w:sz w:val="14"/>
              </w:rPr>
              <w:t>±</w:t>
            </w:r>
            <w:r>
              <w:rPr>
                <w:rFonts w:ascii="Times New Roman" w:hAnsi="Times New Roman"/>
                <w:spacing w:val="-14"/>
                <w:sz w:val="14"/>
              </w:rPr>
              <w:t> </w:t>
            </w:r>
            <w:r>
              <w:rPr>
                <w:sz w:val="14"/>
              </w:rPr>
              <w:t>10.1</w:t>
              <w:tab/>
              <w:t>1.2</w:t>
            </w:r>
            <w:r>
              <w:rPr>
                <w:spacing w:val="-16"/>
                <w:sz w:val="14"/>
              </w:rPr>
              <w:t> </w:t>
            </w:r>
            <w:r>
              <w:rPr>
                <w:rFonts w:ascii="Times New Roman" w:hAnsi="Times New Roman"/>
                <w:sz w:val="14"/>
              </w:rPr>
              <w:t>±</w:t>
            </w:r>
            <w:r>
              <w:rPr>
                <w:rFonts w:ascii="Times New Roman" w:hAnsi="Times New Roman"/>
                <w:spacing w:val="-12"/>
                <w:sz w:val="14"/>
              </w:rPr>
              <w:t> </w:t>
            </w:r>
            <w:r>
              <w:rPr>
                <w:sz w:val="14"/>
              </w:rPr>
              <w:t>1.9</w:t>
              <w:tab/>
              <w:t>10.8</w:t>
            </w:r>
            <w:r>
              <w:rPr>
                <w:spacing w:val="-17"/>
                <w:sz w:val="14"/>
              </w:rPr>
              <w:t> </w:t>
            </w:r>
            <w:r>
              <w:rPr>
                <w:rFonts w:ascii="Times New Roman" w:hAnsi="Times New Roman"/>
                <w:sz w:val="14"/>
              </w:rPr>
              <w:t>±</w:t>
            </w:r>
            <w:r>
              <w:rPr>
                <w:rFonts w:ascii="Times New Roman" w:hAnsi="Times New Roman"/>
                <w:spacing w:val="-14"/>
                <w:sz w:val="14"/>
              </w:rPr>
              <w:t> </w:t>
            </w:r>
            <w:r>
              <w:rPr>
                <w:sz w:val="14"/>
              </w:rPr>
              <w:t>9.9</w:t>
              <w:tab/>
            </w:r>
            <w:r>
              <w:rPr>
                <w:w w:val="95"/>
                <w:sz w:val="14"/>
              </w:rPr>
              <w:t>50.9 </w:t>
            </w:r>
            <w:r>
              <w:rPr>
                <w:rFonts w:ascii="Times New Roman" w:hAnsi="Times New Roman"/>
                <w:w w:val="95"/>
                <w:sz w:val="14"/>
              </w:rPr>
              <w:t>±</w:t>
            </w:r>
            <w:r>
              <w:rPr>
                <w:rFonts w:ascii="Times New Roman" w:hAnsi="Times New Roman"/>
                <w:spacing w:val="-22"/>
                <w:w w:val="95"/>
                <w:sz w:val="14"/>
              </w:rPr>
              <w:t> </w:t>
            </w:r>
            <w:r>
              <w:rPr>
                <w:w w:val="95"/>
                <w:sz w:val="14"/>
              </w:rPr>
              <w:t>28.4</w:t>
            </w:r>
          </w:p>
        </w:tc>
      </w:tr>
      <w:tr>
        <w:trPr>
          <w:trHeight w:val="586" w:hRule="exact"/>
        </w:trPr>
        <w:tc>
          <w:tcPr>
            <w:tcW w:w="1193" w:type="dxa"/>
            <w:gridSpan w:val="2"/>
            <w:tcBorders>
              <w:top w:val="dotted" w:sz="4" w:space="0" w:color="000000"/>
              <w:left w:val="nil"/>
              <w:bottom w:val="dotted" w:sz="4" w:space="0" w:color="000000"/>
              <w:right w:val="dotted" w:sz="4" w:space="0" w:color="000000"/>
            </w:tcBorders>
          </w:tcPr>
          <w:p>
            <w:pPr>
              <w:pStyle w:val="TableParagraph"/>
              <w:spacing w:line="280" w:lineRule="auto" w:before="5"/>
              <w:ind w:left="406" w:right="203" w:hanging="213"/>
              <w:jc w:val="left"/>
              <w:rPr>
                <w:b/>
                <w:sz w:val="15"/>
              </w:rPr>
            </w:pPr>
            <w:r>
              <w:rPr>
                <w:b/>
                <w:w w:val="90"/>
                <w:sz w:val="15"/>
              </w:rPr>
              <w:t>Tratamiento </w:t>
            </w:r>
            <w:r>
              <w:rPr>
                <w:b/>
                <w:sz w:val="15"/>
              </w:rPr>
              <w:t>dental</w:t>
            </w:r>
          </w:p>
        </w:tc>
        <w:tc>
          <w:tcPr>
            <w:tcW w:w="944" w:type="dxa"/>
            <w:tcBorders>
              <w:top w:val="dotted" w:sz="4" w:space="0" w:color="000000"/>
              <w:left w:val="dotted" w:sz="4" w:space="0" w:color="000000"/>
              <w:bottom w:val="dotted" w:sz="4" w:space="0" w:color="000000"/>
              <w:right w:val="dotted" w:sz="4" w:space="0" w:color="000000"/>
            </w:tcBorders>
          </w:tcPr>
          <w:p>
            <w:pPr>
              <w:pStyle w:val="TableParagraph"/>
              <w:spacing w:before="3"/>
              <w:ind w:left="9"/>
              <w:jc w:val="left"/>
              <w:rPr>
                <w:sz w:val="12"/>
              </w:rPr>
            </w:pPr>
            <w:r>
              <w:rPr>
                <w:sz w:val="12"/>
              </w:rPr>
              <w:t>Si</w:t>
            </w:r>
          </w:p>
          <w:p>
            <w:pPr>
              <w:pStyle w:val="TableParagraph"/>
              <w:spacing w:before="57"/>
              <w:ind w:right="15"/>
              <w:jc w:val="right"/>
              <w:rPr>
                <w:b/>
                <w:sz w:val="12"/>
              </w:rPr>
            </w:pPr>
            <w:r>
              <w:rPr>
                <w:b/>
                <w:w w:val="92"/>
                <w:sz w:val="12"/>
              </w:rPr>
              <w:t>P</w:t>
            </w:r>
          </w:p>
          <w:p>
            <w:pPr>
              <w:pStyle w:val="TableParagraph"/>
              <w:spacing w:before="57"/>
              <w:ind w:left="9"/>
              <w:jc w:val="left"/>
              <w:rPr>
                <w:sz w:val="12"/>
              </w:rPr>
            </w:pPr>
            <w:r>
              <w:rPr>
                <w:sz w:val="12"/>
              </w:rPr>
              <w:t>Ninguno</w:t>
            </w:r>
          </w:p>
        </w:tc>
        <w:tc>
          <w:tcPr>
            <w:tcW w:w="6743" w:type="dxa"/>
            <w:tcBorders>
              <w:top w:val="dotted" w:sz="4" w:space="0" w:color="000000"/>
              <w:left w:val="dotted" w:sz="4" w:space="0" w:color="000000"/>
              <w:bottom w:val="dotted" w:sz="4" w:space="0" w:color="000000"/>
              <w:right w:val="nil"/>
            </w:tcBorders>
          </w:tcPr>
          <w:p>
            <w:pPr>
              <w:pStyle w:val="TableParagraph"/>
              <w:tabs>
                <w:tab w:pos="797" w:val="left" w:leader="none"/>
                <w:tab w:pos="1707" w:val="left" w:leader="none"/>
                <w:tab w:pos="2622" w:val="left" w:leader="none"/>
                <w:tab w:pos="3495" w:val="left" w:leader="none"/>
                <w:tab w:pos="4323" w:val="left" w:leader="none"/>
                <w:tab w:pos="5042" w:val="left" w:leader="none"/>
              </w:tabs>
              <w:spacing w:before="4"/>
              <w:ind w:right="5"/>
              <w:rPr>
                <w:sz w:val="14"/>
              </w:rPr>
            </w:pPr>
            <w:r>
              <w:rPr>
                <w:sz w:val="14"/>
              </w:rPr>
              <w:t>1.0</w:t>
            </w:r>
            <w:r>
              <w:rPr>
                <w:spacing w:val="-17"/>
                <w:sz w:val="14"/>
              </w:rPr>
              <w:t> </w:t>
            </w:r>
            <w:r>
              <w:rPr>
                <w:rFonts w:ascii="Times New Roman" w:hAnsi="Times New Roman"/>
                <w:sz w:val="14"/>
              </w:rPr>
              <w:t>±</w:t>
            </w:r>
            <w:r>
              <w:rPr>
                <w:rFonts w:ascii="Times New Roman" w:hAnsi="Times New Roman"/>
                <w:spacing w:val="-12"/>
                <w:sz w:val="14"/>
              </w:rPr>
              <w:t> </w:t>
            </w:r>
            <w:r>
              <w:rPr>
                <w:sz w:val="14"/>
              </w:rPr>
              <w:t>0.0</w:t>
              <w:tab/>
              <w:t>2.5</w:t>
            </w:r>
            <w:r>
              <w:rPr>
                <w:spacing w:val="-16"/>
                <w:sz w:val="14"/>
              </w:rPr>
              <w:t> </w:t>
            </w:r>
            <w:r>
              <w:rPr>
                <w:rFonts w:ascii="Times New Roman" w:hAnsi="Times New Roman"/>
                <w:sz w:val="14"/>
              </w:rPr>
              <w:t>±</w:t>
            </w:r>
            <w:r>
              <w:rPr>
                <w:rFonts w:ascii="Times New Roman" w:hAnsi="Times New Roman"/>
                <w:spacing w:val="-12"/>
                <w:sz w:val="14"/>
              </w:rPr>
              <w:t> </w:t>
            </w:r>
            <w:r>
              <w:rPr>
                <w:sz w:val="14"/>
              </w:rPr>
              <w:t>3.5</w:t>
              <w:tab/>
              <w:t>7.5</w:t>
            </w:r>
            <w:r>
              <w:rPr>
                <w:spacing w:val="-16"/>
                <w:sz w:val="14"/>
              </w:rPr>
              <w:t> </w:t>
            </w:r>
            <w:r>
              <w:rPr>
                <w:rFonts w:ascii="Times New Roman" w:hAnsi="Times New Roman"/>
                <w:sz w:val="14"/>
              </w:rPr>
              <w:t>±</w:t>
            </w:r>
            <w:r>
              <w:rPr>
                <w:rFonts w:ascii="Times New Roman" w:hAnsi="Times New Roman"/>
                <w:spacing w:val="-12"/>
                <w:sz w:val="14"/>
              </w:rPr>
              <w:t> </w:t>
            </w:r>
            <w:r>
              <w:rPr>
                <w:sz w:val="14"/>
              </w:rPr>
              <w:t>0.7</w:t>
              <w:tab/>
            </w:r>
            <w:r>
              <w:rPr>
                <w:b/>
                <w:sz w:val="14"/>
              </w:rPr>
              <w:t>1.5</w:t>
            </w:r>
            <w:r>
              <w:rPr>
                <w:b/>
                <w:spacing w:val="-16"/>
                <w:sz w:val="14"/>
              </w:rPr>
              <w:t> </w:t>
            </w:r>
            <w:r>
              <w:rPr>
                <w:rFonts w:ascii="Times New Roman" w:hAnsi="Times New Roman"/>
                <w:sz w:val="14"/>
              </w:rPr>
              <w:t>±</w:t>
            </w:r>
            <w:r>
              <w:rPr>
                <w:rFonts w:ascii="Times New Roman" w:hAnsi="Times New Roman"/>
                <w:spacing w:val="-12"/>
                <w:sz w:val="14"/>
              </w:rPr>
              <w:t> </w:t>
            </w:r>
            <w:r>
              <w:rPr>
                <w:sz w:val="14"/>
              </w:rPr>
              <w:t>0.7</w:t>
              <w:tab/>
              <w:t>4.0</w:t>
            </w:r>
            <w:r>
              <w:rPr>
                <w:spacing w:val="-16"/>
                <w:sz w:val="14"/>
              </w:rPr>
              <w:t> </w:t>
            </w:r>
            <w:r>
              <w:rPr>
                <w:rFonts w:ascii="Times New Roman" w:hAnsi="Times New Roman"/>
                <w:sz w:val="14"/>
              </w:rPr>
              <w:t>±</w:t>
            </w:r>
            <w:r>
              <w:rPr>
                <w:rFonts w:ascii="Times New Roman" w:hAnsi="Times New Roman"/>
                <w:spacing w:val="-12"/>
                <w:sz w:val="14"/>
              </w:rPr>
              <w:t> </w:t>
            </w:r>
            <w:r>
              <w:rPr>
                <w:sz w:val="14"/>
              </w:rPr>
              <w:t>2.8</w:t>
              <w:tab/>
              <w:t>0.5</w:t>
            </w:r>
            <w:r>
              <w:rPr>
                <w:spacing w:val="-16"/>
                <w:sz w:val="14"/>
              </w:rPr>
              <w:t> </w:t>
            </w:r>
            <w:r>
              <w:rPr>
                <w:rFonts w:ascii="Times New Roman" w:hAnsi="Times New Roman"/>
                <w:sz w:val="14"/>
              </w:rPr>
              <w:t>±</w:t>
            </w:r>
            <w:r>
              <w:rPr>
                <w:rFonts w:ascii="Times New Roman" w:hAnsi="Times New Roman"/>
                <w:spacing w:val="-12"/>
                <w:sz w:val="14"/>
              </w:rPr>
              <w:t> </w:t>
            </w:r>
            <w:r>
              <w:rPr>
                <w:sz w:val="14"/>
              </w:rPr>
              <w:t>0.7</w:t>
              <w:tab/>
              <w:t>21.5 </w:t>
            </w:r>
            <w:r>
              <w:rPr>
                <w:rFonts w:ascii="Times New Roman" w:hAnsi="Times New Roman"/>
                <w:sz w:val="14"/>
              </w:rPr>
              <w:t>± </w:t>
            </w:r>
            <w:r>
              <w:rPr>
                <w:sz w:val="14"/>
              </w:rPr>
              <w:t>27.5 </w:t>
            </w:r>
            <w:r>
              <w:rPr>
                <w:spacing w:val="2"/>
                <w:sz w:val="14"/>
              </w:rPr>
              <w:t> </w:t>
            </w:r>
            <w:r>
              <w:rPr>
                <w:sz w:val="14"/>
              </w:rPr>
              <w:t>37.5 </w:t>
            </w:r>
            <w:r>
              <w:rPr>
                <w:rFonts w:ascii="Times New Roman" w:hAnsi="Times New Roman"/>
                <w:sz w:val="14"/>
              </w:rPr>
              <w:t>± </w:t>
            </w:r>
            <w:r>
              <w:rPr>
                <w:sz w:val="14"/>
              </w:rPr>
              <w:t>24.7</w:t>
            </w:r>
          </w:p>
          <w:p>
            <w:pPr>
              <w:pStyle w:val="TableParagraph"/>
              <w:tabs>
                <w:tab w:pos="825" w:val="left" w:leader="none"/>
                <w:tab w:pos="1735" w:val="left" w:leader="none"/>
                <w:tab w:pos="2613" w:val="left" w:leader="none"/>
                <w:tab w:pos="3523" w:val="left" w:leader="none"/>
                <w:tab w:pos="4360" w:val="left" w:leader="none"/>
                <w:tab w:pos="5153" w:val="left" w:leader="none"/>
                <w:tab w:pos="5984" w:val="left" w:leader="none"/>
              </w:tabs>
              <w:spacing w:before="33"/>
              <w:ind w:right="110"/>
              <w:rPr>
                <w:sz w:val="14"/>
              </w:rPr>
            </w:pPr>
            <w:r>
              <w:rPr>
                <w:b/>
                <w:sz w:val="14"/>
              </w:rPr>
              <w:t>0.04*</w:t>
              <w:tab/>
            </w:r>
            <w:r>
              <w:rPr>
                <w:sz w:val="14"/>
              </w:rPr>
              <w:t>0.6*</w:t>
              <w:tab/>
              <w:t>0.2*</w:t>
              <w:tab/>
              <w:t>0.08*</w:t>
              <w:tab/>
              <w:t>0.7*</w:t>
              <w:tab/>
              <w:t>0.8*</w:t>
              <w:tab/>
              <w:t>0.6*</w:t>
              <w:tab/>
              <w:t>0.5*</w:t>
            </w:r>
          </w:p>
          <w:p>
            <w:pPr>
              <w:pStyle w:val="TableParagraph"/>
              <w:tabs>
                <w:tab w:pos="797" w:val="left" w:leader="none"/>
                <w:tab w:pos="1633" w:val="left" w:leader="none"/>
                <w:tab w:pos="2622" w:val="left" w:leader="none"/>
                <w:tab w:pos="3458" w:val="left" w:leader="none"/>
                <w:tab w:pos="4323" w:val="left" w:leader="none"/>
                <w:tab w:pos="5079" w:val="left" w:leader="none"/>
                <w:tab w:pos="5882" w:val="left" w:leader="none"/>
              </w:tabs>
              <w:spacing w:before="34"/>
              <w:ind w:right="5"/>
              <w:rPr>
                <w:sz w:val="14"/>
              </w:rPr>
            </w:pPr>
            <w:r>
              <w:rPr>
                <w:sz w:val="14"/>
              </w:rPr>
              <w:t>0.3</w:t>
            </w:r>
            <w:r>
              <w:rPr>
                <w:spacing w:val="-17"/>
                <w:sz w:val="14"/>
              </w:rPr>
              <w:t> </w:t>
            </w:r>
            <w:r>
              <w:rPr>
                <w:rFonts w:ascii="Times New Roman" w:hAnsi="Times New Roman"/>
                <w:sz w:val="14"/>
              </w:rPr>
              <w:t>±</w:t>
            </w:r>
            <w:r>
              <w:rPr>
                <w:rFonts w:ascii="Times New Roman" w:hAnsi="Times New Roman"/>
                <w:spacing w:val="-12"/>
                <w:sz w:val="14"/>
              </w:rPr>
              <w:t> </w:t>
            </w:r>
            <w:r>
              <w:rPr>
                <w:sz w:val="14"/>
              </w:rPr>
              <w:t>0.5</w:t>
              <w:tab/>
              <w:t>3.1</w:t>
            </w:r>
            <w:r>
              <w:rPr>
                <w:spacing w:val="-16"/>
                <w:sz w:val="14"/>
              </w:rPr>
              <w:t> </w:t>
            </w:r>
            <w:r>
              <w:rPr>
                <w:rFonts w:ascii="Times New Roman" w:hAnsi="Times New Roman"/>
                <w:sz w:val="14"/>
              </w:rPr>
              <w:t>±</w:t>
            </w:r>
            <w:r>
              <w:rPr>
                <w:rFonts w:ascii="Times New Roman" w:hAnsi="Times New Roman"/>
                <w:spacing w:val="-12"/>
                <w:sz w:val="14"/>
              </w:rPr>
              <w:t> </w:t>
            </w:r>
            <w:r>
              <w:rPr>
                <w:sz w:val="14"/>
              </w:rPr>
              <w:t>2.6</w:t>
              <w:tab/>
              <w:t>18.0</w:t>
            </w:r>
            <w:r>
              <w:rPr>
                <w:spacing w:val="-18"/>
                <w:sz w:val="14"/>
              </w:rPr>
              <w:t> </w:t>
            </w:r>
            <w:r>
              <w:rPr>
                <w:rFonts w:ascii="Times New Roman" w:hAnsi="Times New Roman"/>
                <w:sz w:val="14"/>
              </w:rPr>
              <w:t>±</w:t>
            </w:r>
            <w:r>
              <w:rPr>
                <w:rFonts w:ascii="Times New Roman" w:hAnsi="Times New Roman"/>
                <w:spacing w:val="-14"/>
                <w:sz w:val="14"/>
              </w:rPr>
              <w:t> </w:t>
            </w:r>
            <w:r>
              <w:rPr>
                <w:sz w:val="14"/>
              </w:rPr>
              <w:t>14.7</w:t>
              <w:tab/>
              <w:t>9.5</w:t>
            </w:r>
            <w:r>
              <w:rPr>
                <w:spacing w:val="-16"/>
                <w:sz w:val="14"/>
              </w:rPr>
              <w:t> </w:t>
            </w:r>
            <w:r>
              <w:rPr>
                <w:rFonts w:ascii="Times New Roman" w:hAnsi="Times New Roman"/>
                <w:sz w:val="14"/>
              </w:rPr>
              <w:t>±</w:t>
            </w:r>
            <w:r>
              <w:rPr>
                <w:rFonts w:ascii="Times New Roman" w:hAnsi="Times New Roman"/>
                <w:spacing w:val="-12"/>
                <w:sz w:val="14"/>
              </w:rPr>
              <w:t> </w:t>
            </w:r>
            <w:r>
              <w:rPr>
                <w:sz w:val="14"/>
              </w:rPr>
              <w:t>6.7</w:t>
              <w:tab/>
              <w:t>8.0</w:t>
            </w:r>
            <w:r>
              <w:rPr>
                <w:spacing w:val="-17"/>
                <w:sz w:val="14"/>
              </w:rPr>
              <w:t> </w:t>
            </w:r>
            <w:r>
              <w:rPr>
                <w:rFonts w:ascii="Times New Roman" w:hAnsi="Times New Roman"/>
                <w:sz w:val="14"/>
              </w:rPr>
              <w:t>±</w:t>
            </w:r>
            <w:r>
              <w:rPr>
                <w:rFonts w:ascii="Times New Roman" w:hAnsi="Times New Roman"/>
                <w:spacing w:val="-14"/>
                <w:sz w:val="14"/>
              </w:rPr>
              <w:t> </w:t>
            </w:r>
            <w:r>
              <w:rPr>
                <w:sz w:val="14"/>
              </w:rPr>
              <w:t>10.0</w:t>
              <w:tab/>
              <w:t>1.2</w:t>
            </w:r>
            <w:r>
              <w:rPr>
                <w:spacing w:val="-16"/>
                <w:sz w:val="14"/>
              </w:rPr>
              <w:t> </w:t>
            </w:r>
            <w:r>
              <w:rPr>
                <w:rFonts w:ascii="Times New Roman" w:hAnsi="Times New Roman"/>
                <w:sz w:val="14"/>
              </w:rPr>
              <w:t>±</w:t>
            </w:r>
            <w:r>
              <w:rPr>
                <w:rFonts w:ascii="Times New Roman" w:hAnsi="Times New Roman"/>
                <w:spacing w:val="-12"/>
                <w:sz w:val="14"/>
              </w:rPr>
              <w:t> </w:t>
            </w:r>
            <w:r>
              <w:rPr>
                <w:sz w:val="14"/>
              </w:rPr>
              <w:t>1.8</w:t>
              <w:tab/>
              <w:t>10.9</w:t>
            </w:r>
            <w:r>
              <w:rPr>
                <w:spacing w:val="-17"/>
                <w:sz w:val="14"/>
              </w:rPr>
              <w:t> </w:t>
            </w:r>
            <w:r>
              <w:rPr>
                <w:rFonts w:ascii="Times New Roman" w:hAnsi="Times New Roman"/>
                <w:sz w:val="14"/>
              </w:rPr>
              <w:t>±</w:t>
            </w:r>
            <w:r>
              <w:rPr>
                <w:rFonts w:ascii="Times New Roman" w:hAnsi="Times New Roman"/>
                <w:spacing w:val="-14"/>
                <w:sz w:val="14"/>
              </w:rPr>
              <w:t> </w:t>
            </w:r>
            <w:r>
              <w:rPr>
                <w:sz w:val="14"/>
              </w:rPr>
              <w:t>9.8</w:t>
              <w:tab/>
            </w:r>
            <w:r>
              <w:rPr>
                <w:w w:val="95"/>
                <w:sz w:val="14"/>
              </w:rPr>
              <w:t>50.8 </w:t>
            </w:r>
            <w:r>
              <w:rPr>
                <w:rFonts w:ascii="Times New Roman" w:hAnsi="Times New Roman"/>
                <w:w w:val="95"/>
                <w:sz w:val="14"/>
              </w:rPr>
              <w:t>±</w:t>
            </w:r>
            <w:r>
              <w:rPr>
                <w:rFonts w:ascii="Times New Roman" w:hAnsi="Times New Roman"/>
                <w:spacing w:val="-22"/>
                <w:w w:val="95"/>
                <w:sz w:val="14"/>
              </w:rPr>
              <w:t> </w:t>
            </w:r>
            <w:r>
              <w:rPr>
                <w:w w:val="95"/>
                <w:sz w:val="14"/>
              </w:rPr>
              <w:t>28.2</w:t>
            </w:r>
          </w:p>
        </w:tc>
      </w:tr>
      <w:tr>
        <w:trPr>
          <w:trHeight w:val="586" w:hRule="exact"/>
        </w:trPr>
        <w:tc>
          <w:tcPr>
            <w:tcW w:w="236" w:type="dxa"/>
            <w:vMerge w:val="restart"/>
            <w:tcBorders>
              <w:top w:val="dotted" w:sz="4" w:space="0" w:color="000000"/>
              <w:left w:val="nil"/>
              <w:right w:val="dotted" w:sz="7" w:space="0" w:color="BEBEBE"/>
            </w:tcBorders>
            <w:textDirection w:val="btLr"/>
          </w:tcPr>
          <w:p>
            <w:pPr>
              <w:pStyle w:val="TableParagraph"/>
              <w:spacing w:before="24"/>
              <w:ind w:left="1623" w:right="1624"/>
              <w:rPr>
                <w:b/>
                <w:sz w:val="14"/>
              </w:rPr>
            </w:pPr>
            <w:r>
              <w:rPr>
                <w:b/>
                <w:spacing w:val="1"/>
                <w:w w:val="108"/>
                <w:sz w:val="14"/>
              </w:rPr>
              <w:t>C</w:t>
            </w:r>
            <w:r>
              <w:rPr>
                <w:b/>
                <w:spacing w:val="-2"/>
                <w:w w:val="108"/>
                <w:sz w:val="14"/>
              </w:rPr>
              <w:t>on</w:t>
            </w:r>
            <w:r>
              <w:rPr>
                <w:b/>
                <w:spacing w:val="-4"/>
                <w:w w:val="108"/>
                <w:sz w:val="14"/>
              </w:rPr>
              <w:t>s</w:t>
            </w:r>
            <w:r>
              <w:rPr>
                <w:b/>
                <w:spacing w:val="-2"/>
                <w:w w:val="108"/>
                <w:sz w:val="14"/>
              </w:rPr>
              <w:t>u</w:t>
            </w:r>
            <w:r>
              <w:rPr>
                <w:b/>
                <w:spacing w:val="-4"/>
                <w:w w:val="108"/>
                <w:sz w:val="14"/>
              </w:rPr>
              <w:t>m</w:t>
            </w:r>
            <w:r>
              <w:rPr>
                <w:b/>
                <w:w w:val="108"/>
                <w:sz w:val="14"/>
              </w:rPr>
              <w:t>o</w:t>
            </w:r>
            <w:r>
              <w:rPr>
                <w:b/>
                <w:spacing w:val="-11"/>
                <w:sz w:val="14"/>
              </w:rPr>
              <w:t> </w:t>
            </w:r>
            <w:r>
              <w:rPr>
                <w:b/>
                <w:spacing w:val="-2"/>
                <w:w w:val="108"/>
                <w:sz w:val="14"/>
              </w:rPr>
              <w:t>de</w:t>
            </w:r>
          </w:p>
        </w:tc>
        <w:tc>
          <w:tcPr>
            <w:tcW w:w="957" w:type="dxa"/>
            <w:tcBorders>
              <w:top w:val="dotted" w:sz="4" w:space="0" w:color="000000"/>
              <w:left w:val="dotted" w:sz="7" w:space="0" w:color="A6A6A6"/>
              <w:bottom w:val="dotted" w:sz="4" w:space="0" w:color="000000"/>
              <w:right w:val="dotted" w:sz="4" w:space="0" w:color="000000"/>
            </w:tcBorders>
          </w:tcPr>
          <w:p>
            <w:pPr>
              <w:pStyle w:val="TableParagraph"/>
              <w:spacing w:before="6"/>
              <w:ind w:left="9"/>
              <w:jc w:val="left"/>
              <w:rPr>
                <w:b/>
                <w:sz w:val="15"/>
              </w:rPr>
            </w:pPr>
            <w:r>
              <w:rPr>
                <w:b/>
                <w:sz w:val="15"/>
              </w:rPr>
              <w:t>Enlatados</w:t>
            </w:r>
          </w:p>
        </w:tc>
        <w:tc>
          <w:tcPr>
            <w:tcW w:w="944" w:type="dxa"/>
            <w:tcBorders>
              <w:top w:val="dotted" w:sz="4" w:space="0" w:color="000000"/>
              <w:left w:val="dotted" w:sz="4" w:space="0" w:color="000000"/>
              <w:bottom w:val="dotted" w:sz="4" w:space="0" w:color="000000"/>
              <w:right w:val="dotted" w:sz="4" w:space="0" w:color="000000"/>
            </w:tcBorders>
          </w:tcPr>
          <w:p>
            <w:pPr>
              <w:pStyle w:val="TableParagraph"/>
              <w:spacing w:before="3"/>
              <w:ind w:left="9"/>
              <w:jc w:val="left"/>
              <w:rPr>
                <w:sz w:val="12"/>
              </w:rPr>
            </w:pPr>
            <w:r>
              <w:rPr>
                <w:sz w:val="12"/>
              </w:rPr>
              <w:t>Si</w:t>
            </w:r>
          </w:p>
          <w:p>
            <w:pPr>
              <w:pStyle w:val="TableParagraph"/>
              <w:spacing w:before="57"/>
              <w:ind w:right="15"/>
              <w:jc w:val="right"/>
              <w:rPr>
                <w:b/>
                <w:sz w:val="12"/>
              </w:rPr>
            </w:pPr>
            <w:r>
              <w:rPr>
                <w:b/>
                <w:w w:val="92"/>
                <w:sz w:val="12"/>
              </w:rPr>
              <w:t>P</w:t>
            </w:r>
          </w:p>
          <w:p>
            <w:pPr>
              <w:pStyle w:val="TableParagraph"/>
              <w:spacing w:before="57"/>
              <w:ind w:left="9"/>
              <w:jc w:val="left"/>
              <w:rPr>
                <w:sz w:val="12"/>
              </w:rPr>
            </w:pPr>
            <w:r>
              <w:rPr>
                <w:sz w:val="12"/>
              </w:rPr>
              <w:t>No</w:t>
            </w:r>
          </w:p>
        </w:tc>
        <w:tc>
          <w:tcPr>
            <w:tcW w:w="6743" w:type="dxa"/>
            <w:tcBorders>
              <w:top w:val="dotted" w:sz="4" w:space="0" w:color="000000"/>
              <w:left w:val="dotted" w:sz="4" w:space="0" w:color="000000"/>
              <w:bottom w:val="dotted" w:sz="4" w:space="0" w:color="000000"/>
              <w:right w:val="nil"/>
            </w:tcBorders>
          </w:tcPr>
          <w:p>
            <w:pPr>
              <w:pStyle w:val="TableParagraph"/>
              <w:tabs>
                <w:tab w:pos="797" w:val="left" w:leader="none"/>
                <w:tab w:pos="1670" w:val="left" w:leader="none"/>
                <w:tab w:pos="2622" w:val="left" w:leader="none"/>
                <w:tab w:pos="3495" w:val="left" w:leader="none"/>
                <w:tab w:pos="4323" w:val="left" w:leader="none"/>
                <w:tab w:pos="5042" w:val="left" w:leader="none"/>
              </w:tabs>
              <w:spacing w:before="5"/>
              <w:ind w:right="5"/>
              <w:rPr>
                <w:sz w:val="14"/>
              </w:rPr>
            </w:pPr>
            <w:r>
              <w:rPr>
                <w:sz w:val="14"/>
              </w:rPr>
              <w:t>0.2</w:t>
            </w:r>
            <w:r>
              <w:rPr>
                <w:spacing w:val="-17"/>
                <w:sz w:val="14"/>
              </w:rPr>
              <w:t> </w:t>
            </w:r>
            <w:r>
              <w:rPr>
                <w:rFonts w:ascii="Times New Roman" w:hAnsi="Times New Roman"/>
                <w:sz w:val="14"/>
              </w:rPr>
              <w:t>±</w:t>
            </w:r>
            <w:r>
              <w:rPr>
                <w:rFonts w:ascii="Times New Roman" w:hAnsi="Times New Roman"/>
                <w:spacing w:val="-12"/>
                <w:sz w:val="14"/>
              </w:rPr>
              <w:t> </w:t>
            </w:r>
            <w:r>
              <w:rPr>
                <w:sz w:val="14"/>
              </w:rPr>
              <w:t>0.4</w:t>
              <w:tab/>
              <w:t>2.2</w:t>
            </w:r>
            <w:r>
              <w:rPr>
                <w:spacing w:val="-17"/>
                <w:sz w:val="14"/>
              </w:rPr>
              <w:t> </w:t>
            </w:r>
            <w:r>
              <w:rPr>
                <w:rFonts w:ascii="Times New Roman" w:hAnsi="Times New Roman"/>
                <w:sz w:val="14"/>
              </w:rPr>
              <w:t>±</w:t>
            </w:r>
            <w:r>
              <w:rPr>
                <w:rFonts w:ascii="Times New Roman" w:hAnsi="Times New Roman"/>
                <w:spacing w:val="-12"/>
                <w:sz w:val="14"/>
              </w:rPr>
              <w:t> </w:t>
            </w:r>
            <w:r>
              <w:rPr>
                <w:sz w:val="14"/>
              </w:rPr>
              <w:t>2.3</w:t>
              <w:tab/>
              <w:t>12.2</w:t>
            </w:r>
            <w:r>
              <w:rPr>
                <w:spacing w:val="-17"/>
                <w:sz w:val="14"/>
              </w:rPr>
              <w:t> </w:t>
            </w:r>
            <w:r>
              <w:rPr>
                <w:rFonts w:ascii="Times New Roman" w:hAnsi="Times New Roman"/>
                <w:sz w:val="14"/>
              </w:rPr>
              <w:t>±</w:t>
            </w:r>
            <w:r>
              <w:rPr>
                <w:rFonts w:ascii="Times New Roman" w:hAnsi="Times New Roman"/>
                <w:spacing w:val="-13"/>
                <w:sz w:val="14"/>
              </w:rPr>
              <w:t> </w:t>
            </w:r>
            <w:r>
              <w:rPr>
                <w:sz w:val="14"/>
              </w:rPr>
              <w:t>8.7</w:t>
              <w:tab/>
              <w:t>9.4</w:t>
            </w:r>
            <w:r>
              <w:rPr>
                <w:spacing w:val="-16"/>
                <w:sz w:val="14"/>
              </w:rPr>
              <w:t> </w:t>
            </w:r>
            <w:r>
              <w:rPr>
                <w:rFonts w:ascii="Times New Roman" w:hAnsi="Times New Roman"/>
                <w:sz w:val="14"/>
              </w:rPr>
              <w:t>±</w:t>
            </w:r>
            <w:r>
              <w:rPr>
                <w:rFonts w:ascii="Times New Roman" w:hAnsi="Times New Roman"/>
                <w:spacing w:val="-12"/>
                <w:sz w:val="14"/>
              </w:rPr>
              <w:t> </w:t>
            </w:r>
            <w:r>
              <w:rPr>
                <w:sz w:val="14"/>
              </w:rPr>
              <w:t>4.9</w:t>
              <w:tab/>
              <w:t>4.6</w:t>
            </w:r>
            <w:r>
              <w:rPr>
                <w:spacing w:val="-16"/>
                <w:sz w:val="14"/>
              </w:rPr>
              <w:t> </w:t>
            </w:r>
            <w:r>
              <w:rPr>
                <w:rFonts w:ascii="Times New Roman" w:hAnsi="Times New Roman"/>
                <w:sz w:val="14"/>
              </w:rPr>
              <w:t>±</w:t>
            </w:r>
            <w:r>
              <w:rPr>
                <w:rFonts w:ascii="Times New Roman" w:hAnsi="Times New Roman"/>
                <w:spacing w:val="-12"/>
                <w:sz w:val="14"/>
              </w:rPr>
              <w:t> </w:t>
            </w:r>
            <w:r>
              <w:rPr>
                <w:sz w:val="14"/>
              </w:rPr>
              <w:t>3.2</w:t>
              <w:tab/>
              <w:t>3.2</w:t>
            </w:r>
            <w:r>
              <w:rPr>
                <w:spacing w:val="-16"/>
                <w:sz w:val="14"/>
              </w:rPr>
              <w:t> </w:t>
            </w:r>
            <w:r>
              <w:rPr>
                <w:rFonts w:ascii="Times New Roman" w:hAnsi="Times New Roman"/>
                <w:sz w:val="14"/>
              </w:rPr>
              <w:t>±</w:t>
            </w:r>
            <w:r>
              <w:rPr>
                <w:rFonts w:ascii="Times New Roman" w:hAnsi="Times New Roman"/>
                <w:spacing w:val="-12"/>
                <w:sz w:val="14"/>
              </w:rPr>
              <w:t> </w:t>
            </w:r>
            <w:r>
              <w:rPr>
                <w:sz w:val="14"/>
              </w:rPr>
              <w:t>2.8</w:t>
              <w:tab/>
              <w:t>12.2 </w:t>
            </w:r>
            <w:r>
              <w:rPr>
                <w:rFonts w:ascii="Times New Roman" w:hAnsi="Times New Roman"/>
                <w:sz w:val="14"/>
              </w:rPr>
              <w:t>± </w:t>
            </w:r>
            <w:r>
              <w:rPr>
                <w:sz w:val="14"/>
              </w:rPr>
              <w:t>10.4 </w:t>
            </w:r>
            <w:r>
              <w:rPr>
                <w:spacing w:val="5"/>
                <w:sz w:val="14"/>
              </w:rPr>
              <w:t> </w:t>
            </w:r>
            <w:r>
              <w:rPr>
                <w:sz w:val="14"/>
              </w:rPr>
              <w:t>43.8 </w:t>
            </w:r>
            <w:r>
              <w:rPr>
                <w:rFonts w:ascii="Times New Roman" w:hAnsi="Times New Roman"/>
                <w:sz w:val="14"/>
              </w:rPr>
              <w:t>± </w:t>
            </w:r>
            <w:r>
              <w:rPr>
                <w:sz w:val="14"/>
              </w:rPr>
              <w:t>13.4</w:t>
            </w:r>
          </w:p>
          <w:p>
            <w:pPr>
              <w:pStyle w:val="TableParagraph"/>
              <w:tabs>
                <w:tab w:pos="788" w:val="left" w:leader="none"/>
                <w:tab w:pos="1698" w:val="left" w:leader="none"/>
                <w:tab w:pos="2613" w:val="left" w:leader="none"/>
                <w:tab w:pos="3486" w:val="left" w:leader="none"/>
                <w:tab w:pos="4032" w:val="left" w:leader="none"/>
                <w:tab w:pos="4286" w:val="left" w:leader="none"/>
                <w:tab w:pos="4828" w:val="left" w:leader="none"/>
                <w:tab w:pos="5116" w:val="left" w:leader="none"/>
                <w:tab w:pos="5947" w:val="left" w:leader="none"/>
              </w:tabs>
              <w:spacing w:before="33"/>
              <w:ind w:right="73"/>
              <w:rPr>
                <w:sz w:val="14"/>
              </w:rPr>
            </w:pPr>
            <w:r>
              <w:rPr>
                <w:sz w:val="14"/>
              </w:rPr>
              <w:t>0.5*</w:t>
              <w:tab/>
              <w:t>0.3*</w:t>
              <w:tab/>
              <w:t>0.5*</w:t>
              <w:tab/>
              <w:t>0.8*</w:t>
              <w:tab/>
              <w:t>0.8*</w:t>
              <w:tab/>
            </w:r>
            <w:r>
              <w:rPr>
                <w:b/>
                <w:sz w:val="14"/>
                <w:shd w:fill="D9D9D9" w:color="auto" w:val="clear"/>
              </w:rPr>
              <w:tab/>
              <w:t>0.03*</w:t>
              <w:tab/>
            </w:r>
            <w:r>
              <w:rPr>
                <w:b/>
                <w:sz w:val="14"/>
              </w:rPr>
              <w:tab/>
            </w:r>
            <w:r>
              <w:rPr>
                <w:sz w:val="14"/>
              </w:rPr>
              <w:t>0.8*</w:t>
              <w:tab/>
              <w:t>0.7*</w:t>
            </w:r>
          </w:p>
          <w:p>
            <w:pPr>
              <w:pStyle w:val="TableParagraph"/>
              <w:tabs>
                <w:tab w:pos="797" w:val="left" w:leader="none"/>
                <w:tab w:pos="1633" w:val="left" w:leader="none"/>
                <w:tab w:pos="2622" w:val="left" w:leader="none"/>
                <w:tab w:pos="3458" w:val="left" w:leader="none"/>
                <w:tab w:pos="4323" w:val="left" w:leader="none"/>
                <w:tab w:pos="5042" w:val="left" w:leader="none"/>
              </w:tabs>
              <w:spacing w:before="34"/>
              <w:ind w:right="5"/>
              <w:rPr>
                <w:sz w:val="14"/>
              </w:rPr>
            </w:pPr>
            <w:r>
              <w:rPr>
                <w:sz w:val="14"/>
              </w:rPr>
              <w:t>0.3</w:t>
            </w:r>
            <w:r>
              <w:rPr>
                <w:spacing w:val="-17"/>
                <w:sz w:val="14"/>
              </w:rPr>
              <w:t> </w:t>
            </w:r>
            <w:r>
              <w:rPr>
                <w:rFonts w:ascii="Times New Roman" w:hAnsi="Times New Roman"/>
                <w:sz w:val="14"/>
              </w:rPr>
              <w:t>±</w:t>
            </w:r>
            <w:r>
              <w:rPr>
                <w:rFonts w:ascii="Times New Roman" w:hAnsi="Times New Roman"/>
                <w:spacing w:val="-12"/>
                <w:sz w:val="14"/>
              </w:rPr>
              <w:t> </w:t>
            </w:r>
            <w:r>
              <w:rPr>
                <w:sz w:val="14"/>
              </w:rPr>
              <w:t>0.5</w:t>
              <w:tab/>
              <w:t>3.1</w:t>
            </w:r>
            <w:r>
              <w:rPr>
                <w:spacing w:val="-17"/>
                <w:sz w:val="14"/>
              </w:rPr>
              <w:t> </w:t>
            </w:r>
            <w:r>
              <w:rPr>
                <w:rFonts w:ascii="Times New Roman" w:hAnsi="Times New Roman"/>
                <w:sz w:val="14"/>
              </w:rPr>
              <w:t>±</w:t>
            </w:r>
            <w:r>
              <w:rPr>
                <w:rFonts w:ascii="Times New Roman" w:hAnsi="Times New Roman"/>
                <w:spacing w:val="-12"/>
                <w:sz w:val="14"/>
              </w:rPr>
              <w:t> </w:t>
            </w:r>
            <w:r>
              <w:rPr>
                <w:sz w:val="14"/>
              </w:rPr>
              <w:t>2.6</w:t>
              <w:tab/>
              <w:t>18.1</w:t>
            </w:r>
            <w:r>
              <w:rPr>
                <w:spacing w:val="-18"/>
                <w:sz w:val="14"/>
              </w:rPr>
              <w:t> </w:t>
            </w:r>
            <w:r>
              <w:rPr>
                <w:rFonts w:ascii="Times New Roman" w:hAnsi="Times New Roman"/>
                <w:sz w:val="14"/>
              </w:rPr>
              <w:t>±</w:t>
            </w:r>
            <w:r>
              <w:rPr>
                <w:rFonts w:ascii="Times New Roman" w:hAnsi="Times New Roman"/>
                <w:spacing w:val="-14"/>
                <w:sz w:val="14"/>
              </w:rPr>
              <w:t> </w:t>
            </w:r>
            <w:r>
              <w:rPr>
                <w:sz w:val="14"/>
              </w:rPr>
              <w:t>14.9</w:t>
              <w:tab/>
              <w:t>9.2</w:t>
            </w:r>
            <w:r>
              <w:rPr>
                <w:spacing w:val="-16"/>
                <w:sz w:val="14"/>
              </w:rPr>
              <w:t> </w:t>
            </w:r>
            <w:r>
              <w:rPr>
                <w:rFonts w:ascii="Times New Roman" w:hAnsi="Times New Roman"/>
                <w:sz w:val="14"/>
              </w:rPr>
              <w:t>±</w:t>
            </w:r>
            <w:r>
              <w:rPr>
                <w:rFonts w:ascii="Times New Roman" w:hAnsi="Times New Roman"/>
                <w:spacing w:val="-12"/>
                <w:sz w:val="14"/>
              </w:rPr>
              <w:t> </w:t>
            </w:r>
            <w:r>
              <w:rPr>
                <w:sz w:val="14"/>
              </w:rPr>
              <w:t>6.9</w:t>
              <w:tab/>
              <w:t>8.1</w:t>
            </w:r>
            <w:r>
              <w:rPr>
                <w:spacing w:val="-17"/>
                <w:sz w:val="14"/>
              </w:rPr>
              <w:t> </w:t>
            </w:r>
            <w:r>
              <w:rPr>
                <w:rFonts w:ascii="Times New Roman" w:hAnsi="Times New Roman"/>
                <w:sz w:val="14"/>
              </w:rPr>
              <w:t>±</w:t>
            </w:r>
            <w:r>
              <w:rPr>
                <w:rFonts w:ascii="Times New Roman" w:hAnsi="Times New Roman"/>
                <w:spacing w:val="-13"/>
                <w:sz w:val="14"/>
              </w:rPr>
              <w:t> </w:t>
            </w:r>
            <w:r>
              <w:rPr>
                <w:sz w:val="14"/>
              </w:rPr>
              <w:t>10.3</w:t>
              <w:tab/>
              <w:t>1.0</w:t>
            </w:r>
            <w:r>
              <w:rPr>
                <w:spacing w:val="-16"/>
                <w:sz w:val="14"/>
              </w:rPr>
              <w:t> </w:t>
            </w:r>
            <w:r>
              <w:rPr>
                <w:rFonts w:ascii="Times New Roman" w:hAnsi="Times New Roman"/>
                <w:sz w:val="14"/>
              </w:rPr>
              <w:t>±</w:t>
            </w:r>
            <w:r>
              <w:rPr>
                <w:rFonts w:ascii="Times New Roman" w:hAnsi="Times New Roman"/>
                <w:spacing w:val="-12"/>
                <w:sz w:val="14"/>
              </w:rPr>
              <w:t> </w:t>
            </w:r>
            <w:r>
              <w:rPr>
                <w:sz w:val="14"/>
              </w:rPr>
              <w:t>1.6</w:t>
              <w:tab/>
              <w:t>11.1 </w:t>
            </w:r>
            <w:r>
              <w:rPr>
                <w:rFonts w:ascii="Times New Roman" w:hAnsi="Times New Roman"/>
                <w:sz w:val="14"/>
              </w:rPr>
              <w:t>± </w:t>
            </w:r>
            <w:r>
              <w:rPr>
                <w:sz w:val="14"/>
              </w:rPr>
              <w:t>10.5 </w:t>
            </w:r>
            <w:r>
              <w:rPr>
                <w:spacing w:val="5"/>
                <w:sz w:val="14"/>
              </w:rPr>
              <w:t> </w:t>
            </w:r>
            <w:r>
              <w:rPr>
                <w:sz w:val="14"/>
              </w:rPr>
              <w:t>51.0 </w:t>
            </w:r>
            <w:r>
              <w:rPr>
                <w:rFonts w:ascii="Times New Roman" w:hAnsi="Times New Roman"/>
                <w:sz w:val="14"/>
              </w:rPr>
              <w:t>± </w:t>
            </w:r>
            <w:r>
              <w:rPr>
                <w:sz w:val="14"/>
              </w:rPr>
              <w:t>28.9</w:t>
            </w:r>
          </w:p>
        </w:tc>
      </w:tr>
      <w:tr>
        <w:trPr>
          <w:trHeight w:val="616" w:hRule="exact"/>
        </w:trPr>
        <w:tc>
          <w:tcPr>
            <w:tcW w:w="236" w:type="dxa"/>
            <w:vMerge/>
            <w:tcBorders>
              <w:left w:val="nil"/>
              <w:right w:val="dotted" w:sz="7" w:space="0" w:color="BEBEBE"/>
            </w:tcBorders>
            <w:textDirection w:val="btLr"/>
          </w:tcPr>
          <w:p>
            <w:pPr/>
          </w:p>
        </w:tc>
        <w:tc>
          <w:tcPr>
            <w:tcW w:w="957" w:type="dxa"/>
            <w:tcBorders>
              <w:top w:val="dotted" w:sz="4" w:space="0" w:color="000000"/>
              <w:left w:val="dotted" w:sz="7" w:space="0" w:color="A6A6A6"/>
              <w:bottom w:val="dotted" w:sz="4" w:space="0" w:color="000000"/>
              <w:right w:val="dotted" w:sz="4" w:space="0" w:color="000000"/>
            </w:tcBorders>
          </w:tcPr>
          <w:p>
            <w:pPr>
              <w:pStyle w:val="TableParagraph"/>
              <w:spacing w:before="0"/>
              <w:jc w:val="left"/>
              <w:rPr>
                <w:rFonts w:ascii="Calibri"/>
                <w:sz w:val="17"/>
              </w:rPr>
            </w:pPr>
          </w:p>
          <w:p>
            <w:pPr>
              <w:pStyle w:val="TableParagraph"/>
              <w:spacing w:before="0"/>
              <w:ind w:left="9"/>
              <w:jc w:val="left"/>
              <w:rPr>
                <w:b/>
                <w:sz w:val="15"/>
              </w:rPr>
            </w:pPr>
            <w:r>
              <w:rPr>
                <w:b/>
                <w:sz w:val="15"/>
              </w:rPr>
              <w:t>Embutidos</w:t>
            </w:r>
          </w:p>
        </w:tc>
        <w:tc>
          <w:tcPr>
            <w:tcW w:w="944" w:type="dxa"/>
            <w:tcBorders>
              <w:top w:val="dotted" w:sz="4" w:space="0" w:color="000000"/>
              <w:left w:val="dotted" w:sz="4" w:space="0" w:color="000000"/>
              <w:bottom w:val="dotted" w:sz="4" w:space="0" w:color="000000"/>
              <w:right w:val="dotted" w:sz="4" w:space="0" w:color="000000"/>
            </w:tcBorders>
          </w:tcPr>
          <w:p>
            <w:pPr>
              <w:pStyle w:val="TableParagraph"/>
              <w:spacing w:before="3"/>
              <w:ind w:left="9"/>
              <w:jc w:val="left"/>
              <w:rPr>
                <w:sz w:val="12"/>
              </w:rPr>
            </w:pPr>
            <w:r>
              <w:rPr>
                <w:sz w:val="12"/>
              </w:rPr>
              <w:t>Si</w:t>
            </w:r>
          </w:p>
          <w:p>
            <w:pPr>
              <w:pStyle w:val="TableParagraph"/>
              <w:spacing w:before="57"/>
              <w:ind w:right="15"/>
              <w:jc w:val="right"/>
              <w:rPr>
                <w:b/>
                <w:sz w:val="12"/>
              </w:rPr>
            </w:pPr>
            <w:r>
              <w:rPr>
                <w:b/>
                <w:w w:val="92"/>
                <w:sz w:val="12"/>
              </w:rPr>
              <w:t>P</w:t>
            </w:r>
          </w:p>
          <w:p>
            <w:pPr>
              <w:pStyle w:val="TableParagraph"/>
              <w:spacing w:before="57"/>
              <w:ind w:left="9"/>
              <w:jc w:val="left"/>
              <w:rPr>
                <w:sz w:val="12"/>
              </w:rPr>
            </w:pPr>
            <w:r>
              <w:rPr>
                <w:sz w:val="12"/>
              </w:rPr>
              <w:t>No</w:t>
            </w:r>
          </w:p>
        </w:tc>
        <w:tc>
          <w:tcPr>
            <w:tcW w:w="6743" w:type="dxa"/>
            <w:tcBorders>
              <w:top w:val="dotted" w:sz="4" w:space="0" w:color="000000"/>
              <w:left w:val="dotted" w:sz="4" w:space="0" w:color="000000"/>
              <w:bottom w:val="dotted" w:sz="4" w:space="0" w:color="000000"/>
              <w:right w:val="nil"/>
            </w:tcBorders>
          </w:tcPr>
          <w:p>
            <w:pPr>
              <w:pStyle w:val="TableParagraph"/>
              <w:tabs>
                <w:tab w:pos="797" w:val="left" w:leader="none"/>
                <w:tab w:pos="1633" w:val="left" w:leader="none"/>
                <w:tab w:pos="2585" w:val="left" w:leader="none"/>
                <w:tab w:pos="3458" w:val="left" w:leader="none"/>
                <w:tab w:pos="4323" w:val="left" w:leader="none"/>
                <w:tab w:pos="5116" w:val="left" w:leader="none"/>
                <w:tab w:pos="5882" w:val="left" w:leader="none"/>
              </w:tabs>
              <w:spacing w:before="5"/>
              <w:ind w:right="5"/>
              <w:rPr>
                <w:sz w:val="14"/>
              </w:rPr>
            </w:pPr>
            <w:r>
              <w:rPr>
                <w:sz w:val="14"/>
              </w:rPr>
              <w:t>0.4</w:t>
            </w:r>
            <w:r>
              <w:rPr>
                <w:spacing w:val="-17"/>
                <w:sz w:val="14"/>
              </w:rPr>
              <w:t> </w:t>
            </w:r>
            <w:r>
              <w:rPr>
                <w:rFonts w:ascii="Times New Roman" w:hAnsi="Times New Roman"/>
                <w:sz w:val="14"/>
              </w:rPr>
              <w:t>±</w:t>
            </w:r>
            <w:r>
              <w:rPr>
                <w:rFonts w:ascii="Times New Roman" w:hAnsi="Times New Roman"/>
                <w:spacing w:val="-12"/>
                <w:sz w:val="14"/>
              </w:rPr>
              <w:t> </w:t>
            </w:r>
            <w:r>
              <w:rPr>
                <w:sz w:val="14"/>
              </w:rPr>
              <w:t>0.8</w:t>
              <w:tab/>
              <w:t>4.0</w:t>
            </w:r>
            <w:r>
              <w:rPr>
                <w:spacing w:val="-16"/>
                <w:sz w:val="14"/>
              </w:rPr>
              <w:t> </w:t>
            </w:r>
            <w:r>
              <w:rPr>
                <w:rFonts w:ascii="Times New Roman" w:hAnsi="Times New Roman"/>
                <w:sz w:val="14"/>
              </w:rPr>
              <w:t>±</w:t>
            </w:r>
            <w:r>
              <w:rPr>
                <w:rFonts w:ascii="Times New Roman" w:hAnsi="Times New Roman"/>
                <w:spacing w:val="-12"/>
                <w:sz w:val="14"/>
              </w:rPr>
              <w:t> </w:t>
            </w:r>
            <w:r>
              <w:rPr>
                <w:sz w:val="14"/>
              </w:rPr>
              <w:t>3.2</w:t>
              <w:tab/>
              <w:t>18.5</w:t>
            </w:r>
            <w:r>
              <w:rPr>
                <w:spacing w:val="-18"/>
                <w:sz w:val="14"/>
              </w:rPr>
              <w:t> </w:t>
            </w:r>
            <w:r>
              <w:rPr>
                <w:rFonts w:ascii="Times New Roman" w:hAnsi="Times New Roman"/>
                <w:sz w:val="14"/>
              </w:rPr>
              <w:t>±</w:t>
            </w:r>
            <w:r>
              <w:rPr>
                <w:rFonts w:ascii="Times New Roman" w:hAnsi="Times New Roman"/>
                <w:spacing w:val="-14"/>
                <w:sz w:val="14"/>
              </w:rPr>
              <w:t> </w:t>
            </w:r>
            <w:r>
              <w:rPr>
                <w:sz w:val="14"/>
              </w:rPr>
              <w:t>15.2</w:t>
              <w:tab/>
              <w:t>10.4</w:t>
            </w:r>
            <w:r>
              <w:rPr>
                <w:spacing w:val="-17"/>
                <w:sz w:val="14"/>
              </w:rPr>
              <w:t> </w:t>
            </w:r>
            <w:r>
              <w:rPr>
                <w:rFonts w:ascii="Times New Roman" w:hAnsi="Times New Roman"/>
                <w:sz w:val="14"/>
              </w:rPr>
              <w:t>±</w:t>
            </w:r>
            <w:r>
              <w:rPr>
                <w:rFonts w:ascii="Times New Roman" w:hAnsi="Times New Roman"/>
                <w:spacing w:val="-13"/>
                <w:sz w:val="14"/>
              </w:rPr>
              <w:t> </w:t>
            </w:r>
            <w:r>
              <w:rPr>
                <w:sz w:val="14"/>
              </w:rPr>
              <w:t>6.1</w:t>
              <w:tab/>
              <w:t>9.3</w:t>
            </w:r>
            <w:r>
              <w:rPr>
                <w:spacing w:val="-17"/>
                <w:sz w:val="14"/>
              </w:rPr>
              <w:t> </w:t>
            </w:r>
            <w:r>
              <w:rPr>
                <w:rFonts w:ascii="Times New Roman" w:hAnsi="Times New Roman"/>
                <w:sz w:val="14"/>
              </w:rPr>
              <w:t>±</w:t>
            </w:r>
            <w:r>
              <w:rPr>
                <w:rFonts w:ascii="Times New Roman" w:hAnsi="Times New Roman"/>
                <w:spacing w:val="-14"/>
                <w:sz w:val="14"/>
              </w:rPr>
              <w:t> </w:t>
            </w:r>
            <w:r>
              <w:rPr>
                <w:sz w:val="14"/>
              </w:rPr>
              <w:t>13.8</w:t>
              <w:tab/>
              <w:t>1.2</w:t>
            </w:r>
            <w:r>
              <w:rPr>
                <w:spacing w:val="-16"/>
                <w:sz w:val="14"/>
              </w:rPr>
              <w:t> </w:t>
            </w:r>
            <w:r>
              <w:rPr>
                <w:rFonts w:ascii="Times New Roman" w:hAnsi="Times New Roman"/>
                <w:sz w:val="14"/>
              </w:rPr>
              <w:t>±</w:t>
            </w:r>
            <w:r>
              <w:rPr>
                <w:rFonts w:ascii="Times New Roman" w:hAnsi="Times New Roman"/>
                <w:spacing w:val="-12"/>
                <w:sz w:val="14"/>
              </w:rPr>
              <w:t> </w:t>
            </w:r>
            <w:r>
              <w:rPr>
                <w:sz w:val="14"/>
              </w:rPr>
              <w:t>1.9</w:t>
              <w:tab/>
              <w:t>9.4</w:t>
            </w:r>
            <w:r>
              <w:rPr>
                <w:spacing w:val="-16"/>
                <w:sz w:val="14"/>
              </w:rPr>
              <w:t> </w:t>
            </w:r>
            <w:r>
              <w:rPr>
                <w:rFonts w:ascii="Times New Roman" w:hAnsi="Times New Roman"/>
                <w:sz w:val="14"/>
              </w:rPr>
              <w:t>±</w:t>
            </w:r>
            <w:r>
              <w:rPr>
                <w:rFonts w:ascii="Times New Roman" w:hAnsi="Times New Roman"/>
                <w:spacing w:val="-12"/>
                <w:sz w:val="14"/>
              </w:rPr>
              <w:t> </w:t>
            </w:r>
            <w:r>
              <w:rPr>
                <w:sz w:val="14"/>
              </w:rPr>
              <w:t>9.9</w:t>
              <w:tab/>
            </w:r>
            <w:r>
              <w:rPr>
                <w:w w:val="95"/>
                <w:sz w:val="14"/>
              </w:rPr>
              <w:t>53.1 </w:t>
            </w:r>
            <w:r>
              <w:rPr>
                <w:rFonts w:ascii="Times New Roman" w:hAnsi="Times New Roman"/>
                <w:w w:val="95"/>
                <w:sz w:val="14"/>
              </w:rPr>
              <w:t>±</w:t>
            </w:r>
            <w:r>
              <w:rPr>
                <w:rFonts w:ascii="Times New Roman" w:hAnsi="Times New Roman"/>
                <w:spacing w:val="-22"/>
                <w:w w:val="95"/>
                <w:sz w:val="14"/>
              </w:rPr>
              <w:t> </w:t>
            </w:r>
            <w:r>
              <w:rPr>
                <w:w w:val="95"/>
                <w:sz w:val="14"/>
              </w:rPr>
              <w:t>39.0</w:t>
            </w:r>
          </w:p>
          <w:p>
            <w:pPr>
              <w:pStyle w:val="TableParagraph"/>
              <w:tabs>
                <w:tab w:pos="788" w:val="left" w:leader="none"/>
                <w:tab w:pos="1698" w:val="left" w:leader="none"/>
                <w:tab w:pos="2613" w:val="left" w:leader="none"/>
                <w:tab w:pos="3486" w:val="left" w:leader="none"/>
                <w:tab w:pos="4323" w:val="left" w:leader="none"/>
                <w:tab w:pos="5116" w:val="left" w:leader="none"/>
                <w:tab w:pos="5947" w:val="left" w:leader="none"/>
              </w:tabs>
              <w:spacing w:before="33"/>
              <w:ind w:right="73"/>
              <w:rPr>
                <w:sz w:val="14"/>
              </w:rPr>
            </w:pPr>
            <w:r>
              <w:rPr>
                <w:sz w:val="14"/>
              </w:rPr>
              <w:t>0.9*</w:t>
              <w:tab/>
              <w:t>0.2*</w:t>
              <w:tab/>
              <w:t>0.7*</w:t>
              <w:tab/>
              <w:t>0.3*</w:t>
              <w:tab/>
              <w:t>0.6*</w:t>
              <w:tab/>
              <w:t>0.9*</w:t>
              <w:tab/>
              <w:t>0.4*</w:t>
              <w:tab/>
              <w:t>0.9*</w:t>
            </w:r>
          </w:p>
          <w:p>
            <w:pPr>
              <w:pStyle w:val="TableParagraph"/>
              <w:tabs>
                <w:tab w:pos="797" w:val="left" w:leader="none"/>
                <w:tab w:pos="1633" w:val="left" w:leader="none"/>
                <w:tab w:pos="2622" w:val="left" w:leader="none"/>
                <w:tab w:pos="3495" w:val="left" w:leader="none"/>
                <w:tab w:pos="4323" w:val="left" w:leader="none"/>
                <w:tab w:pos="5042" w:val="left" w:leader="none"/>
              </w:tabs>
              <w:spacing w:before="34"/>
              <w:ind w:right="5"/>
              <w:rPr>
                <w:sz w:val="14"/>
              </w:rPr>
            </w:pPr>
            <w:r>
              <w:rPr>
                <w:sz w:val="14"/>
              </w:rPr>
              <w:t>0.3</w:t>
            </w:r>
            <w:r>
              <w:rPr>
                <w:spacing w:val="-17"/>
                <w:sz w:val="14"/>
              </w:rPr>
              <w:t> </w:t>
            </w:r>
            <w:r>
              <w:rPr>
                <w:rFonts w:ascii="Times New Roman" w:hAnsi="Times New Roman"/>
                <w:sz w:val="14"/>
              </w:rPr>
              <w:t>±</w:t>
            </w:r>
            <w:r>
              <w:rPr>
                <w:rFonts w:ascii="Times New Roman" w:hAnsi="Times New Roman"/>
                <w:spacing w:val="-12"/>
                <w:sz w:val="14"/>
              </w:rPr>
              <w:t> </w:t>
            </w:r>
            <w:r>
              <w:rPr>
                <w:sz w:val="14"/>
              </w:rPr>
              <w:t>0.5</w:t>
              <w:tab/>
              <w:t>2.9</w:t>
            </w:r>
            <w:r>
              <w:rPr>
                <w:spacing w:val="-16"/>
                <w:sz w:val="14"/>
              </w:rPr>
              <w:t> </w:t>
            </w:r>
            <w:r>
              <w:rPr>
                <w:rFonts w:ascii="Times New Roman" w:hAnsi="Times New Roman"/>
                <w:sz w:val="14"/>
              </w:rPr>
              <w:t>±</w:t>
            </w:r>
            <w:r>
              <w:rPr>
                <w:rFonts w:ascii="Times New Roman" w:hAnsi="Times New Roman"/>
                <w:spacing w:val="-12"/>
                <w:sz w:val="14"/>
              </w:rPr>
              <w:t> </w:t>
            </w:r>
            <w:r>
              <w:rPr>
                <w:sz w:val="14"/>
              </w:rPr>
              <w:t>2.4</w:t>
              <w:tab/>
              <w:t>17.5</w:t>
            </w:r>
            <w:r>
              <w:rPr>
                <w:spacing w:val="-18"/>
                <w:sz w:val="14"/>
              </w:rPr>
              <w:t> </w:t>
            </w:r>
            <w:r>
              <w:rPr>
                <w:rFonts w:ascii="Times New Roman" w:hAnsi="Times New Roman"/>
                <w:sz w:val="14"/>
              </w:rPr>
              <w:t>±</w:t>
            </w:r>
            <w:r>
              <w:rPr>
                <w:rFonts w:ascii="Times New Roman" w:hAnsi="Times New Roman"/>
                <w:spacing w:val="-14"/>
                <w:sz w:val="14"/>
              </w:rPr>
              <w:t> </w:t>
            </w:r>
            <w:r>
              <w:rPr>
                <w:sz w:val="14"/>
              </w:rPr>
              <w:t>14.6</w:t>
              <w:tab/>
              <w:t>9.0</w:t>
            </w:r>
            <w:r>
              <w:rPr>
                <w:spacing w:val="-16"/>
                <w:sz w:val="14"/>
              </w:rPr>
              <w:t> </w:t>
            </w:r>
            <w:r>
              <w:rPr>
                <w:rFonts w:ascii="Times New Roman" w:hAnsi="Times New Roman"/>
                <w:sz w:val="14"/>
              </w:rPr>
              <w:t>±</w:t>
            </w:r>
            <w:r>
              <w:rPr>
                <w:rFonts w:ascii="Times New Roman" w:hAnsi="Times New Roman"/>
                <w:spacing w:val="-12"/>
                <w:sz w:val="14"/>
              </w:rPr>
              <w:t> </w:t>
            </w:r>
            <w:r>
              <w:rPr>
                <w:sz w:val="14"/>
              </w:rPr>
              <w:t>6.9</w:t>
              <w:tab/>
              <w:t>7.5</w:t>
            </w:r>
            <w:r>
              <w:rPr>
                <w:spacing w:val="-16"/>
                <w:sz w:val="14"/>
              </w:rPr>
              <w:t> </w:t>
            </w:r>
            <w:r>
              <w:rPr>
                <w:rFonts w:ascii="Times New Roman" w:hAnsi="Times New Roman"/>
                <w:sz w:val="14"/>
              </w:rPr>
              <w:t>±</w:t>
            </w:r>
            <w:r>
              <w:rPr>
                <w:rFonts w:ascii="Times New Roman" w:hAnsi="Times New Roman"/>
                <w:spacing w:val="-12"/>
                <w:sz w:val="14"/>
              </w:rPr>
              <w:t> </w:t>
            </w:r>
            <w:r>
              <w:rPr>
                <w:sz w:val="14"/>
              </w:rPr>
              <w:t>9.0</w:t>
              <w:tab/>
              <w:t>1.1</w:t>
            </w:r>
            <w:r>
              <w:rPr>
                <w:spacing w:val="-16"/>
                <w:sz w:val="14"/>
              </w:rPr>
              <w:t> </w:t>
            </w:r>
            <w:r>
              <w:rPr>
                <w:rFonts w:ascii="Times New Roman" w:hAnsi="Times New Roman"/>
                <w:sz w:val="14"/>
              </w:rPr>
              <w:t>±</w:t>
            </w:r>
            <w:r>
              <w:rPr>
                <w:rFonts w:ascii="Times New Roman" w:hAnsi="Times New Roman"/>
                <w:spacing w:val="-12"/>
                <w:sz w:val="14"/>
              </w:rPr>
              <w:t> </w:t>
            </w:r>
            <w:r>
              <w:rPr>
                <w:sz w:val="14"/>
              </w:rPr>
              <w:t>1.8</w:t>
              <w:tab/>
              <w:t>11.6 </w:t>
            </w:r>
            <w:r>
              <w:rPr>
                <w:rFonts w:ascii="Times New Roman" w:hAnsi="Times New Roman"/>
                <w:sz w:val="14"/>
              </w:rPr>
              <w:t>± </w:t>
            </w:r>
            <w:r>
              <w:rPr>
                <w:sz w:val="14"/>
              </w:rPr>
              <w:t>10.6 </w:t>
            </w:r>
            <w:r>
              <w:rPr>
                <w:spacing w:val="2"/>
                <w:sz w:val="14"/>
              </w:rPr>
              <w:t> </w:t>
            </w:r>
            <w:r>
              <w:rPr>
                <w:sz w:val="14"/>
              </w:rPr>
              <w:t>49.8 </w:t>
            </w:r>
            <w:r>
              <w:rPr>
                <w:rFonts w:ascii="Times New Roman" w:hAnsi="Times New Roman"/>
                <w:sz w:val="14"/>
              </w:rPr>
              <w:t>± </w:t>
            </w:r>
            <w:r>
              <w:rPr>
                <w:sz w:val="14"/>
              </w:rPr>
              <w:t>25.6</w:t>
            </w:r>
          </w:p>
        </w:tc>
      </w:tr>
      <w:tr>
        <w:trPr>
          <w:trHeight w:val="616" w:hRule="exact"/>
        </w:trPr>
        <w:tc>
          <w:tcPr>
            <w:tcW w:w="236" w:type="dxa"/>
            <w:vMerge/>
            <w:tcBorders>
              <w:left w:val="nil"/>
              <w:right w:val="dotted" w:sz="7" w:space="0" w:color="BEBEBE"/>
            </w:tcBorders>
            <w:textDirection w:val="btLr"/>
          </w:tcPr>
          <w:p>
            <w:pPr/>
          </w:p>
        </w:tc>
        <w:tc>
          <w:tcPr>
            <w:tcW w:w="957" w:type="dxa"/>
            <w:tcBorders>
              <w:top w:val="dotted" w:sz="4" w:space="0" w:color="000000"/>
              <w:left w:val="dotted" w:sz="7" w:space="0" w:color="A6A6A6"/>
              <w:bottom w:val="dotted" w:sz="4" w:space="0" w:color="000000"/>
              <w:right w:val="dotted" w:sz="4" w:space="0" w:color="000000"/>
            </w:tcBorders>
          </w:tcPr>
          <w:p>
            <w:pPr>
              <w:pStyle w:val="TableParagraph"/>
              <w:spacing w:before="3"/>
              <w:ind w:left="9"/>
              <w:jc w:val="left"/>
              <w:rPr>
                <w:b/>
                <w:sz w:val="15"/>
              </w:rPr>
            </w:pPr>
            <w:r>
              <w:rPr>
                <w:b/>
                <w:w w:val="90"/>
                <w:sz w:val="15"/>
              </w:rPr>
              <w:t>Frutas y</w:t>
            </w:r>
          </w:p>
          <w:p>
            <w:pPr>
              <w:pStyle w:val="TableParagraph"/>
              <w:spacing w:before="30"/>
              <w:ind w:left="9"/>
              <w:jc w:val="left"/>
              <w:rPr>
                <w:b/>
                <w:sz w:val="15"/>
              </w:rPr>
            </w:pPr>
            <w:r>
              <w:rPr>
                <w:b/>
                <w:sz w:val="15"/>
              </w:rPr>
              <w:t>verduras</w:t>
            </w:r>
          </w:p>
        </w:tc>
        <w:tc>
          <w:tcPr>
            <w:tcW w:w="944" w:type="dxa"/>
            <w:tcBorders>
              <w:top w:val="dotted" w:sz="4" w:space="0" w:color="000000"/>
              <w:left w:val="dotted" w:sz="4" w:space="0" w:color="000000"/>
              <w:bottom w:val="dotted" w:sz="4" w:space="0" w:color="000000"/>
              <w:right w:val="dotted" w:sz="4" w:space="0" w:color="000000"/>
            </w:tcBorders>
          </w:tcPr>
          <w:p>
            <w:pPr>
              <w:pStyle w:val="TableParagraph"/>
              <w:spacing w:before="1"/>
              <w:ind w:left="9"/>
              <w:jc w:val="left"/>
              <w:rPr>
                <w:sz w:val="12"/>
              </w:rPr>
            </w:pPr>
            <w:r>
              <w:rPr>
                <w:sz w:val="12"/>
              </w:rPr>
              <w:t>Si</w:t>
            </w:r>
          </w:p>
          <w:p>
            <w:pPr>
              <w:pStyle w:val="TableParagraph"/>
              <w:spacing w:before="57"/>
              <w:ind w:right="15"/>
              <w:jc w:val="right"/>
              <w:rPr>
                <w:b/>
                <w:sz w:val="12"/>
              </w:rPr>
            </w:pPr>
            <w:r>
              <w:rPr>
                <w:b/>
                <w:w w:val="92"/>
                <w:sz w:val="12"/>
              </w:rPr>
              <w:t>P</w:t>
            </w:r>
          </w:p>
          <w:p>
            <w:pPr>
              <w:pStyle w:val="TableParagraph"/>
              <w:spacing w:before="57"/>
              <w:ind w:left="9"/>
              <w:jc w:val="left"/>
              <w:rPr>
                <w:sz w:val="12"/>
              </w:rPr>
            </w:pPr>
            <w:r>
              <w:rPr>
                <w:sz w:val="12"/>
              </w:rPr>
              <w:t>No</w:t>
            </w:r>
          </w:p>
        </w:tc>
        <w:tc>
          <w:tcPr>
            <w:tcW w:w="6743" w:type="dxa"/>
            <w:tcBorders>
              <w:top w:val="dotted" w:sz="4" w:space="0" w:color="000000"/>
              <w:left w:val="dotted" w:sz="4" w:space="0" w:color="000000"/>
              <w:bottom w:val="dotted" w:sz="4" w:space="0" w:color="000000"/>
              <w:right w:val="nil"/>
            </w:tcBorders>
          </w:tcPr>
          <w:p>
            <w:pPr>
              <w:pStyle w:val="TableParagraph"/>
              <w:tabs>
                <w:tab w:pos="797" w:val="left" w:leader="none"/>
                <w:tab w:pos="1633" w:val="left" w:leader="none"/>
                <w:tab w:pos="2622" w:val="left" w:leader="none"/>
                <w:tab w:pos="3495" w:val="left" w:leader="none"/>
                <w:tab w:pos="4323" w:val="left" w:leader="none"/>
                <w:tab w:pos="5042" w:val="left" w:leader="none"/>
              </w:tabs>
              <w:spacing w:before="2"/>
              <w:ind w:right="5"/>
              <w:rPr>
                <w:sz w:val="14"/>
              </w:rPr>
            </w:pPr>
            <w:r>
              <w:rPr>
                <w:sz w:val="14"/>
              </w:rPr>
              <w:t>0.3</w:t>
            </w:r>
            <w:r>
              <w:rPr>
                <w:spacing w:val="-17"/>
                <w:sz w:val="14"/>
              </w:rPr>
              <w:t> </w:t>
            </w:r>
            <w:r>
              <w:rPr>
                <w:rFonts w:ascii="Times New Roman" w:hAnsi="Times New Roman"/>
                <w:sz w:val="14"/>
              </w:rPr>
              <w:t>±</w:t>
            </w:r>
            <w:r>
              <w:rPr>
                <w:rFonts w:ascii="Times New Roman" w:hAnsi="Times New Roman"/>
                <w:spacing w:val="-12"/>
                <w:sz w:val="14"/>
              </w:rPr>
              <w:t> </w:t>
            </w:r>
            <w:r>
              <w:rPr>
                <w:sz w:val="14"/>
              </w:rPr>
              <w:t>0.5</w:t>
              <w:tab/>
              <w:t>2.9</w:t>
            </w:r>
            <w:r>
              <w:rPr>
                <w:spacing w:val="-16"/>
                <w:sz w:val="14"/>
              </w:rPr>
              <w:t> </w:t>
            </w:r>
            <w:r>
              <w:rPr>
                <w:rFonts w:ascii="Times New Roman" w:hAnsi="Times New Roman"/>
                <w:sz w:val="14"/>
              </w:rPr>
              <w:t>±</w:t>
            </w:r>
            <w:r>
              <w:rPr>
                <w:rFonts w:ascii="Times New Roman" w:hAnsi="Times New Roman"/>
                <w:spacing w:val="-12"/>
                <w:sz w:val="14"/>
              </w:rPr>
              <w:t> </w:t>
            </w:r>
            <w:r>
              <w:rPr>
                <w:sz w:val="14"/>
              </w:rPr>
              <w:t>2.5</w:t>
              <w:tab/>
              <w:t>17.1</w:t>
            </w:r>
            <w:r>
              <w:rPr>
                <w:spacing w:val="-18"/>
                <w:sz w:val="14"/>
              </w:rPr>
              <w:t> </w:t>
            </w:r>
            <w:r>
              <w:rPr>
                <w:rFonts w:ascii="Times New Roman" w:hAnsi="Times New Roman"/>
                <w:sz w:val="14"/>
              </w:rPr>
              <w:t>±</w:t>
            </w:r>
            <w:r>
              <w:rPr>
                <w:rFonts w:ascii="Times New Roman" w:hAnsi="Times New Roman"/>
                <w:spacing w:val="-14"/>
                <w:sz w:val="14"/>
              </w:rPr>
              <w:t> </w:t>
            </w:r>
            <w:r>
              <w:rPr>
                <w:sz w:val="14"/>
              </w:rPr>
              <w:t>14.0</w:t>
              <w:tab/>
              <w:t>8.8</w:t>
            </w:r>
            <w:r>
              <w:rPr>
                <w:spacing w:val="-16"/>
                <w:sz w:val="14"/>
              </w:rPr>
              <w:t> </w:t>
            </w:r>
            <w:r>
              <w:rPr>
                <w:rFonts w:ascii="Times New Roman" w:hAnsi="Times New Roman"/>
                <w:sz w:val="14"/>
              </w:rPr>
              <w:t>±</w:t>
            </w:r>
            <w:r>
              <w:rPr>
                <w:rFonts w:ascii="Times New Roman" w:hAnsi="Times New Roman"/>
                <w:spacing w:val="-12"/>
                <w:sz w:val="14"/>
              </w:rPr>
              <w:t> </w:t>
            </w:r>
            <w:r>
              <w:rPr>
                <w:sz w:val="14"/>
              </w:rPr>
              <w:t>6.7</w:t>
              <w:tab/>
              <w:t>7.2</w:t>
            </w:r>
            <w:r>
              <w:rPr>
                <w:spacing w:val="-16"/>
                <w:sz w:val="14"/>
              </w:rPr>
              <w:t> </w:t>
            </w:r>
            <w:r>
              <w:rPr>
                <w:rFonts w:ascii="Times New Roman" w:hAnsi="Times New Roman"/>
                <w:sz w:val="14"/>
              </w:rPr>
              <w:t>±</w:t>
            </w:r>
            <w:r>
              <w:rPr>
                <w:rFonts w:ascii="Times New Roman" w:hAnsi="Times New Roman"/>
                <w:spacing w:val="-12"/>
                <w:sz w:val="14"/>
              </w:rPr>
              <w:t> </w:t>
            </w:r>
            <w:r>
              <w:rPr>
                <w:sz w:val="14"/>
              </w:rPr>
              <w:t>8.8</w:t>
              <w:tab/>
              <w:t>1.1</w:t>
            </w:r>
            <w:r>
              <w:rPr>
                <w:spacing w:val="-16"/>
                <w:sz w:val="14"/>
              </w:rPr>
              <w:t> </w:t>
            </w:r>
            <w:r>
              <w:rPr>
                <w:rFonts w:ascii="Times New Roman" w:hAnsi="Times New Roman"/>
                <w:sz w:val="14"/>
              </w:rPr>
              <w:t>±</w:t>
            </w:r>
            <w:r>
              <w:rPr>
                <w:rFonts w:ascii="Times New Roman" w:hAnsi="Times New Roman"/>
                <w:spacing w:val="-12"/>
                <w:sz w:val="14"/>
              </w:rPr>
              <w:t> </w:t>
            </w:r>
            <w:r>
              <w:rPr>
                <w:sz w:val="14"/>
              </w:rPr>
              <w:t>1.8</w:t>
              <w:tab/>
              <w:t>11.4 </w:t>
            </w:r>
            <w:r>
              <w:rPr>
                <w:rFonts w:ascii="Times New Roman" w:hAnsi="Times New Roman"/>
                <w:sz w:val="14"/>
              </w:rPr>
              <w:t>± </w:t>
            </w:r>
            <w:r>
              <w:rPr>
                <w:sz w:val="14"/>
              </w:rPr>
              <w:t>10.0 </w:t>
            </w:r>
            <w:r>
              <w:rPr>
                <w:spacing w:val="2"/>
                <w:sz w:val="14"/>
              </w:rPr>
              <w:t> </w:t>
            </w:r>
            <w:r>
              <w:rPr>
                <w:sz w:val="14"/>
              </w:rPr>
              <w:t>48.7 </w:t>
            </w:r>
            <w:r>
              <w:rPr>
                <w:rFonts w:ascii="Times New Roman" w:hAnsi="Times New Roman"/>
                <w:sz w:val="14"/>
              </w:rPr>
              <w:t>± </w:t>
            </w:r>
            <w:r>
              <w:rPr>
                <w:sz w:val="14"/>
              </w:rPr>
              <w:t>27.7</w:t>
            </w:r>
          </w:p>
          <w:p>
            <w:pPr>
              <w:pStyle w:val="TableParagraph"/>
              <w:tabs>
                <w:tab w:pos="788" w:val="left" w:leader="none"/>
                <w:tab w:pos="1698" w:val="left" w:leader="none"/>
                <w:tab w:pos="2613" w:val="left" w:leader="none"/>
                <w:tab w:pos="3486" w:val="left" w:leader="none"/>
                <w:tab w:pos="4323" w:val="left" w:leader="none"/>
                <w:tab w:pos="5116" w:val="left" w:leader="none"/>
                <w:tab w:pos="5947" w:val="left" w:leader="none"/>
              </w:tabs>
              <w:spacing w:before="33"/>
              <w:ind w:right="73"/>
              <w:rPr>
                <w:sz w:val="14"/>
              </w:rPr>
            </w:pPr>
            <w:r>
              <w:rPr>
                <w:sz w:val="14"/>
              </w:rPr>
              <w:t>0.7*</w:t>
              <w:tab/>
              <w:t>0.5*</w:t>
              <w:tab/>
              <w:t>0.6*</w:t>
              <w:tab/>
              <w:t>0.2*</w:t>
              <w:tab/>
              <w:t>0.3*</w:t>
              <w:tab/>
              <w:t>0.7*</w:t>
              <w:tab/>
              <w:t>0.4*</w:t>
              <w:tab/>
              <w:t>0.3*</w:t>
            </w:r>
          </w:p>
          <w:p>
            <w:pPr>
              <w:pStyle w:val="TableParagraph"/>
              <w:tabs>
                <w:tab w:pos="797" w:val="left" w:leader="none"/>
                <w:tab w:pos="1633" w:val="left" w:leader="none"/>
                <w:tab w:pos="2585" w:val="left" w:leader="none"/>
                <w:tab w:pos="3421" w:val="left" w:leader="none"/>
                <w:tab w:pos="4323" w:val="left" w:leader="none"/>
                <w:tab w:pos="5042" w:val="left" w:leader="none"/>
              </w:tabs>
              <w:spacing w:before="34"/>
              <w:ind w:right="5"/>
              <w:rPr>
                <w:sz w:val="14"/>
              </w:rPr>
            </w:pPr>
            <w:r>
              <w:rPr>
                <w:sz w:val="14"/>
              </w:rPr>
              <w:t>0.3</w:t>
            </w:r>
            <w:r>
              <w:rPr>
                <w:spacing w:val="-17"/>
                <w:sz w:val="14"/>
              </w:rPr>
              <w:t> </w:t>
            </w:r>
            <w:r>
              <w:rPr>
                <w:rFonts w:ascii="Times New Roman" w:hAnsi="Times New Roman"/>
                <w:sz w:val="14"/>
              </w:rPr>
              <w:t>±</w:t>
            </w:r>
            <w:r>
              <w:rPr>
                <w:rFonts w:ascii="Times New Roman" w:hAnsi="Times New Roman"/>
                <w:spacing w:val="-12"/>
                <w:sz w:val="14"/>
              </w:rPr>
              <w:t> </w:t>
            </w:r>
            <w:r>
              <w:rPr>
                <w:sz w:val="14"/>
              </w:rPr>
              <w:t>0.6</w:t>
              <w:tab/>
              <w:t>3.6</w:t>
            </w:r>
            <w:r>
              <w:rPr>
                <w:spacing w:val="-16"/>
                <w:sz w:val="14"/>
              </w:rPr>
              <w:t> </w:t>
            </w:r>
            <w:r>
              <w:rPr>
                <w:rFonts w:ascii="Times New Roman" w:hAnsi="Times New Roman"/>
                <w:sz w:val="14"/>
              </w:rPr>
              <w:t>±</w:t>
            </w:r>
            <w:r>
              <w:rPr>
                <w:rFonts w:ascii="Times New Roman" w:hAnsi="Times New Roman"/>
                <w:spacing w:val="-12"/>
                <w:sz w:val="14"/>
              </w:rPr>
              <w:t> </w:t>
            </w:r>
            <w:r>
              <w:rPr>
                <w:sz w:val="14"/>
              </w:rPr>
              <w:t>3.0</w:t>
              <w:tab/>
              <w:t>19.2</w:t>
            </w:r>
            <w:r>
              <w:rPr>
                <w:spacing w:val="-18"/>
                <w:sz w:val="14"/>
              </w:rPr>
              <w:t> </w:t>
            </w:r>
            <w:r>
              <w:rPr>
                <w:rFonts w:ascii="Times New Roman" w:hAnsi="Times New Roman"/>
                <w:sz w:val="14"/>
              </w:rPr>
              <w:t>±</w:t>
            </w:r>
            <w:r>
              <w:rPr>
                <w:rFonts w:ascii="Times New Roman" w:hAnsi="Times New Roman"/>
                <w:spacing w:val="-14"/>
                <w:sz w:val="14"/>
              </w:rPr>
              <w:t> </w:t>
            </w:r>
            <w:r>
              <w:rPr>
                <w:sz w:val="14"/>
              </w:rPr>
              <w:t>17.1</w:t>
              <w:tab/>
              <w:t>11.1</w:t>
            </w:r>
            <w:r>
              <w:rPr>
                <w:spacing w:val="-17"/>
                <w:sz w:val="14"/>
              </w:rPr>
              <w:t> </w:t>
            </w:r>
            <w:r>
              <w:rPr>
                <w:rFonts w:ascii="Times New Roman" w:hAnsi="Times New Roman"/>
                <w:sz w:val="14"/>
              </w:rPr>
              <w:t>±</w:t>
            </w:r>
            <w:r>
              <w:rPr>
                <w:rFonts w:ascii="Times New Roman" w:hAnsi="Times New Roman"/>
                <w:spacing w:val="-13"/>
                <w:sz w:val="14"/>
              </w:rPr>
              <w:t> </w:t>
            </w:r>
            <w:r>
              <w:rPr>
                <w:sz w:val="14"/>
              </w:rPr>
              <w:t>6.8</w:t>
              <w:tab/>
              <w:t>10.7</w:t>
            </w:r>
            <w:r>
              <w:rPr>
                <w:spacing w:val="-19"/>
                <w:sz w:val="14"/>
              </w:rPr>
              <w:t> </w:t>
            </w:r>
            <w:r>
              <w:rPr>
                <w:rFonts w:ascii="Times New Roman" w:hAnsi="Times New Roman"/>
                <w:sz w:val="14"/>
              </w:rPr>
              <w:t>±</w:t>
            </w:r>
            <w:r>
              <w:rPr>
                <w:rFonts w:ascii="Times New Roman" w:hAnsi="Times New Roman"/>
                <w:spacing w:val="-15"/>
                <w:sz w:val="14"/>
              </w:rPr>
              <w:t> </w:t>
            </w:r>
            <w:r>
              <w:rPr>
                <w:sz w:val="14"/>
              </w:rPr>
              <w:t>14.0</w:t>
              <w:tab/>
              <w:t>1.3</w:t>
            </w:r>
            <w:r>
              <w:rPr>
                <w:spacing w:val="-16"/>
                <w:sz w:val="14"/>
              </w:rPr>
              <w:t> </w:t>
            </w:r>
            <w:r>
              <w:rPr>
                <w:rFonts w:ascii="Times New Roman" w:hAnsi="Times New Roman"/>
                <w:sz w:val="14"/>
              </w:rPr>
              <w:t>±</w:t>
            </w:r>
            <w:r>
              <w:rPr>
                <w:rFonts w:ascii="Times New Roman" w:hAnsi="Times New Roman"/>
                <w:spacing w:val="-12"/>
                <w:sz w:val="14"/>
              </w:rPr>
              <w:t> </w:t>
            </w:r>
            <w:r>
              <w:rPr>
                <w:sz w:val="14"/>
              </w:rPr>
              <w:t>1.9</w:t>
              <w:tab/>
              <w:t>10.5 </w:t>
            </w:r>
            <w:r>
              <w:rPr>
                <w:rFonts w:ascii="Times New Roman" w:hAnsi="Times New Roman"/>
                <w:sz w:val="14"/>
              </w:rPr>
              <w:t>± </w:t>
            </w:r>
            <w:r>
              <w:rPr>
                <w:sz w:val="14"/>
              </w:rPr>
              <w:t>12.5 </w:t>
            </w:r>
            <w:r>
              <w:rPr>
                <w:spacing w:val="2"/>
                <w:sz w:val="14"/>
              </w:rPr>
              <w:t> </w:t>
            </w:r>
            <w:r>
              <w:rPr>
                <w:sz w:val="14"/>
              </w:rPr>
              <w:t>57.4 </w:t>
            </w:r>
            <w:r>
              <w:rPr>
                <w:rFonts w:ascii="Times New Roman" w:hAnsi="Times New Roman"/>
                <w:sz w:val="14"/>
              </w:rPr>
              <w:t>± </w:t>
            </w:r>
            <w:r>
              <w:rPr>
                <w:sz w:val="14"/>
              </w:rPr>
              <w:t>29.6</w:t>
            </w:r>
          </w:p>
        </w:tc>
      </w:tr>
      <w:tr>
        <w:trPr>
          <w:trHeight w:val="606" w:hRule="exact"/>
        </w:trPr>
        <w:tc>
          <w:tcPr>
            <w:tcW w:w="236" w:type="dxa"/>
            <w:vMerge/>
            <w:tcBorders>
              <w:left w:val="nil"/>
              <w:right w:val="dotted" w:sz="7" w:space="0" w:color="BEBEBE"/>
            </w:tcBorders>
            <w:textDirection w:val="btLr"/>
          </w:tcPr>
          <w:p>
            <w:pPr/>
          </w:p>
        </w:tc>
        <w:tc>
          <w:tcPr>
            <w:tcW w:w="957" w:type="dxa"/>
            <w:tcBorders>
              <w:top w:val="dotted" w:sz="4" w:space="0" w:color="000000"/>
              <w:left w:val="dotted" w:sz="7" w:space="0" w:color="A6A6A6"/>
              <w:bottom w:val="dotted" w:sz="4" w:space="0" w:color="000000"/>
              <w:right w:val="dotted" w:sz="4" w:space="0" w:color="000000"/>
            </w:tcBorders>
          </w:tcPr>
          <w:p>
            <w:pPr>
              <w:pStyle w:val="TableParagraph"/>
              <w:spacing w:before="8"/>
              <w:jc w:val="left"/>
              <w:rPr>
                <w:rFonts w:ascii="Calibri"/>
                <w:sz w:val="16"/>
              </w:rPr>
            </w:pPr>
          </w:p>
          <w:p>
            <w:pPr>
              <w:pStyle w:val="TableParagraph"/>
              <w:spacing w:before="0"/>
              <w:ind w:left="9"/>
              <w:jc w:val="left"/>
              <w:rPr>
                <w:b/>
                <w:sz w:val="15"/>
              </w:rPr>
            </w:pPr>
            <w:r>
              <w:rPr>
                <w:b/>
                <w:sz w:val="15"/>
              </w:rPr>
              <w:t>Pescado</w:t>
            </w:r>
          </w:p>
        </w:tc>
        <w:tc>
          <w:tcPr>
            <w:tcW w:w="944" w:type="dxa"/>
            <w:tcBorders>
              <w:top w:val="dotted" w:sz="4" w:space="0" w:color="000000"/>
              <w:left w:val="dotted" w:sz="4" w:space="0" w:color="000000"/>
              <w:bottom w:val="dotted" w:sz="4" w:space="0" w:color="000000"/>
              <w:right w:val="dotted" w:sz="4" w:space="0" w:color="000000"/>
            </w:tcBorders>
          </w:tcPr>
          <w:p>
            <w:pPr>
              <w:pStyle w:val="TableParagraph"/>
              <w:spacing w:line="137" w:lineRule="exact" w:before="0"/>
              <w:ind w:left="9"/>
              <w:jc w:val="left"/>
              <w:rPr>
                <w:sz w:val="12"/>
              </w:rPr>
            </w:pPr>
            <w:r>
              <w:rPr>
                <w:sz w:val="12"/>
              </w:rPr>
              <w:t>Si</w:t>
            </w:r>
          </w:p>
          <w:p>
            <w:pPr>
              <w:pStyle w:val="TableParagraph"/>
              <w:spacing w:before="57"/>
              <w:ind w:right="15"/>
              <w:jc w:val="right"/>
              <w:rPr>
                <w:b/>
                <w:sz w:val="12"/>
              </w:rPr>
            </w:pPr>
            <w:r>
              <w:rPr>
                <w:b/>
                <w:w w:val="92"/>
                <w:sz w:val="12"/>
              </w:rPr>
              <w:t>P</w:t>
            </w:r>
          </w:p>
          <w:p>
            <w:pPr>
              <w:pStyle w:val="TableParagraph"/>
              <w:spacing w:before="57"/>
              <w:ind w:left="9"/>
              <w:jc w:val="left"/>
              <w:rPr>
                <w:sz w:val="12"/>
              </w:rPr>
            </w:pPr>
            <w:r>
              <w:rPr>
                <w:sz w:val="12"/>
              </w:rPr>
              <w:t>No</w:t>
            </w:r>
          </w:p>
        </w:tc>
        <w:tc>
          <w:tcPr>
            <w:tcW w:w="6743" w:type="dxa"/>
            <w:tcBorders>
              <w:top w:val="dotted" w:sz="4" w:space="0" w:color="000000"/>
              <w:left w:val="dotted" w:sz="4" w:space="0" w:color="000000"/>
              <w:bottom w:val="dotted" w:sz="4" w:space="0" w:color="000000"/>
              <w:right w:val="nil"/>
            </w:tcBorders>
          </w:tcPr>
          <w:p>
            <w:pPr>
              <w:pStyle w:val="TableParagraph"/>
              <w:tabs>
                <w:tab w:pos="797" w:val="left" w:leader="none"/>
                <w:tab w:pos="1633" w:val="left" w:leader="none"/>
                <w:tab w:pos="2622" w:val="left" w:leader="none"/>
                <w:tab w:pos="3495" w:val="left" w:leader="none"/>
                <w:tab w:pos="4323" w:val="left" w:leader="none"/>
                <w:tab w:pos="5116" w:val="left" w:leader="none"/>
                <w:tab w:pos="5882" w:val="left" w:leader="none"/>
              </w:tabs>
              <w:spacing w:before="0"/>
              <w:ind w:right="5"/>
              <w:rPr>
                <w:sz w:val="14"/>
              </w:rPr>
            </w:pPr>
            <w:r>
              <w:rPr>
                <w:sz w:val="14"/>
              </w:rPr>
              <w:t>0.1</w:t>
            </w:r>
            <w:r>
              <w:rPr>
                <w:spacing w:val="-17"/>
                <w:sz w:val="14"/>
              </w:rPr>
              <w:t> </w:t>
            </w:r>
            <w:r>
              <w:rPr>
                <w:rFonts w:ascii="Times New Roman" w:hAnsi="Times New Roman"/>
                <w:sz w:val="14"/>
              </w:rPr>
              <w:t>±</w:t>
            </w:r>
            <w:r>
              <w:rPr>
                <w:rFonts w:ascii="Times New Roman" w:hAnsi="Times New Roman"/>
                <w:spacing w:val="-12"/>
                <w:sz w:val="14"/>
              </w:rPr>
              <w:t> </w:t>
            </w:r>
            <w:r>
              <w:rPr>
                <w:sz w:val="14"/>
              </w:rPr>
              <w:t>0.3</w:t>
              <w:tab/>
              <w:t>2.8</w:t>
            </w:r>
            <w:r>
              <w:rPr>
                <w:spacing w:val="-16"/>
                <w:sz w:val="14"/>
              </w:rPr>
              <w:t> </w:t>
            </w:r>
            <w:r>
              <w:rPr>
                <w:rFonts w:ascii="Times New Roman" w:hAnsi="Times New Roman"/>
                <w:sz w:val="14"/>
              </w:rPr>
              <w:t>±</w:t>
            </w:r>
            <w:r>
              <w:rPr>
                <w:rFonts w:ascii="Times New Roman" w:hAnsi="Times New Roman"/>
                <w:spacing w:val="-12"/>
                <w:sz w:val="14"/>
              </w:rPr>
              <w:t> </w:t>
            </w:r>
            <w:r>
              <w:rPr>
                <w:sz w:val="14"/>
              </w:rPr>
              <w:t>2.4</w:t>
              <w:tab/>
              <w:t>23.0</w:t>
            </w:r>
            <w:r>
              <w:rPr>
                <w:spacing w:val="-18"/>
                <w:sz w:val="14"/>
              </w:rPr>
              <w:t> </w:t>
            </w:r>
            <w:r>
              <w:rPr>
                <w:rFonts w:ascii="Times New Roman" w:hAnsi="Times New Roman"/>
                <w:sz w:val="14"/>
              </w:rPr>
              <w:t>±</w:t>
            </w:r>
            <w:r>
              <w:rPr>
                <w:rFonts w:ascii="Times New Roman" w:hAnsi="Times New Roman"/>
                <w:spacing w:val="-14"/>
                <w:sz w:val="14"/>
              </w:rPr>
              <w:t> </w:t>
            </w:r>
            <w:r>
              <w:rPr>
                <w:sz w:val="14"/>
              </w:rPr>
              <w:t>15.4</w:t>
              <w:tab/>
              <w:t>8.2</w:t>
            </w:r>
            <w:r>
              <w:rPr>
                <w:spacing w:val="-16"/>
                <w:sz w:val="14"/>
              </w:rPr>
              <w:t> </w:t>
            </w:r>
            <w:r>
              <w:rPr>
                <w:rFonts w:ascii="Times New Roman" w:hAnsi="Times New Roman"/>
                <w:sz w:val="14"/>
              </w:rPr>
              <w:t>±</w:t>
            </w:r>
            <w:r>
              <w:rPr>
                <w:rFonts w:ascii="Times New Roman" w:hAnsi="Times New Roman"/>
                <w:spacing w:val="-12"/>
                <w:sz w:val="14"/>
              </w:rPr>
              <w:t> </w:t>
            </w:r>
            <w:r>
              <w:rPr>
                <w:sz w:val="14"/>
              </w:rPr>
              <w:t>6.7</w:t>
              <w:tab/>
              <w:t>6.0</w:t>
            </w:r>
            <w:r>
              <w:rPr>
                <w:spacing w:val="-16"/>
                <w:sz w:val="14"/>
              </w:rPr>
              <w:t> </w:t>
            </w:r>
            <w:r>
              <w:rPr>
                <w:rFonts w:ascii="Times New Roman" w:hAnsi="Times New Roman"/>
                <w:sz w:val="14"/>
              </w:rPr>
              <w:t>±</w:t>
            </w:r>
            <w:r>
              <w:rPr>
                <w:rFonts w:ascii="Times New Roman" w:hAnsi="Times New Roman"/>
                <w:spacing w:val="-12"/>
                <w:sz w:val="14"/>
              </w:rPr>
              <w:t> </w:t>
            </w:r>
            <w:r>
              <w:rPr>
                <w:sz w:val="14"/>
              </w:rPr>
              <w:t>7.9</w:t>
              <w:tab/>
              <w:t>0.9</w:t>
            </w:r>
            <w:r>
              <w:rPr>
                <w:spacing w:val="-16"/>
                <w:sz w:val="14"/>
              </w:rPr>
              <w:t> </w:t>
            </w:r>
            <w:r>
              <w:rPr>
                <w:rFonts w:ascii="Times New Roman" w:hAnsi="Times New Roman"/>
                <w:sz w:val="14"/>
              </w:rPr>
              <w:t>±</w:t>
            </w:r>
            <w:r>
              <w:rPr>
                <w:rFonts w:ascii="Times New Roman" w:hAnsi="Times New Roman"/>
                <w:spacing w:val="-12"/>
                <w:sz w:val="14"/>
              </w:rPr>
              <w:t> </w:t>
            </w:r>
            <w:r>
              <w:rPr>
                <w:sz w:val="14"/>
              </w:rPr>
              <w:t>1.3</w:t>
              <w:tab/>
              <w:t>9.4</w:t>
            </w:r>
            <w:r>
              <w:rPr>
                <w:spacing w:val="-16"/>
                <w:sz w:val="14"/>
              </w:rPr>
              <w:t> </w:t>
            </w:r>
            <w:r>
              <w:rPr>
                <w:rFonts w:ascii="Times New Roman" w:hAnsi="Times New Roman"/>
                <w:sz w:val="14"/>
              </w:rPr>
              <w:t>±</w:t>
            </w:r>
            <w:r>
              <w:rPr>
                <w:rFonts w:ascii="Times New Roman" w:hAnsi="Times New Roman"/>
                <w:spacing w:val="-12"/>
                <w:sz w:val="14"/>
              </w:rPr>
              <w:t> </w:t>
            </w:r>
            <w:r>
              <w:rPr>
                <w:sz w:val="14"/>
              </w:rPr>
              <w:t>5.5</w:t>
              <w:tab/>
            </w:r>
            <w:r>
              <w:rPr>
                <w:w w:val="95"/>
                <w:sz w:val="14"/>
              </w:rPr>
              <w:t>50.3 </w:t>
            </w:r>
            <w:r>
              <w:rPr>
                <w:rFonts w:ascii="Times New Roman" w:hAnsi="Times New Roman"/>
                <w:w w:val="95"/>
                <w:sz w:val="14"/>
              </w:rPr>
              <w:t>±</w:t>
            </w:r>
            <w:r>
              <w:rPr>
                <w:rFonts w:ascii="Times New Roman" w:hAnsi="Times New Roman"/>
                <w:spacing w:val="-22"/>
                <w:w w:val="95"/>
                <w:sz w:val="14"/>
              </w:rPr>
              <w:t> </w:t>
            </w:r>
            <w:r>
              <w:rPr>
                <w:w w:val="95"/>
                <w:sz w:val="14"/>
              </w:rPr>
              <w:t>22.2</w:t>
            </w:r>
          </w:p>
          <w:p>
            <w:pPr>
              <w:pStyle w:val="TableParagraph"/>
              <w:tabs>
                <w:tab w:pos="788" w:val="left" w:leader="none"/>
                <w:tab w:pos="1698" w:val="left" w:leader="none"/>
                <w:tab w:pos="2613" w:val="left" w:leader="none"/>
                <w:tab w:pos="3486" w:val="left" w:leader="none"/>
                <w:tab w:pos="4323" w:val="left" w:leader="none"/>
                <w:tab w:pos="5116" w:val="left" w:leader="none"/>
                <w:tab w:pos="5947" w:val="left" w:leader="none"/>
              </w:tabs>
              <w:spacing w:before="33"/>
              <w:ind w:right="73"/>
              <w:rPr>
                <w:sz w:val="14"/>
              </w:rPr>
            </w:pPr>
            <w:r>
              <w:rPr>
                <w:sz w:val="14"/>
              </w:rPr>
              <w:t>0.1*</w:t>
              <w:tab/>
              <w:t>0.7*</w:t>
              <w:tab/>
              <w:t>0.2*</w:t>
              <w:tab/>
              <w:t>0.5*</w:t>
              <w:tab/>
              <w:t>0.4*</w:t>
              <w:tab/>
              <w:t>0.7*</w:t>
              <w:tab/>
              <w:t>0.9*</w:t>
              <w:tab/>
              <w:t>0.7*</w:t>
            </w:r>
          </w:p>
          <w:p>
            <w:pPr>
              <w:pStyle w:val="TableParagraph"/>
              <w:tabs>
                <w:tab w:pos="797" w:val="left" w:leader="none"/>
                <w:tab w:pos="1633" w:val="left" w:leader="none"/>
                <w:tab w:pos="2622" w:val="left" w:leader="none"/>
                <w:tab w:pos="3458" w:val="left" w:leader="none"/>
                <w:tab w:pos="4323" w:val="left" w:leader="none"/>
                <w:tab w:pos="5042" w:val="left" w:leader="none"/>
              </w:tabs>
              <w:spacing w:before="34"/>
              <w:ind w:right="5"/>
              <w:rPr>
                <w:sz w:val="14"/>
              </w:rPr>
            </w:pPr>
            <w:r>
              <w:rPr>
                <w:sz w:val="14"/>
              </w:rPr>
              <w:t>0.4</w:t>
            </w:r>
            <w:r>
              <w:rPr>
                <w:spacing w:val="-17"/>
                <w:sz w:val="14"/>
              </w:rPr>
              <w:t> </w:t>
            </w:r>
            <w:r>
              <w:rPr>
                <w:rFonts w:ascii="Times New Roman" w:hAnsi="Times New Roman"/>
                <w:sz w:val="14"/>
              </w:rPr>
              <w:t>±</w:t>
            </w:r>
            <w:r>
              <w:rPr>
                <w:rFonts w:ascii="Times New Roman" w:hAnsi="Times New Roman"/>
                <w:spacing w:val="-12"/>
                <w:sz w:val="14"/>
              </w:rPr>
              <w:t> </w:t>
            </w:r>
            <w:r>
              <w:rPr>
                <w:sz w:val="14"/>
              </w:rPr>
              <w:t>0.5</w:t>
              <w:tab/>
              <w:t>3.1</w:t>
            </w:r>
            <w:r>
              <w:rPr>
                <w:spacing w:val="-16"/>
                <w:sz w:val="14"/>
              </w:rPr>
              <w:t> </w:t>
            </w:r>
            <w:r>
              <w:rPr>
                <w:rFonts w:ascii="Times New Roman" w:hAnsi="Times New Roman"/>
                <w:sz w:val="14"/>
              </w:rPr>
              <w:t>±</w:t>
            </w:r>
            <w:r>
              <w:rPr>
                <w:rFonts w:ascii="Times New Roman" w:hAnsi="Times New Roman"/>
                <w:spacing w:val="-12"/>
                <w:sz w:val="14"/>
              </w:rPr>
              <w:t> </w:t>
            </w:r>
            <w:r>
              <w:rPr>
                <w:sz w:val="14"/>
              </w:rPr>
              <w:t>2.6</w:t>
              <w:tab/>
              <w:t>16.7</w:t>
            </w:r>
            <w:r>
              <w:rPr>
                <w:spacing w:val="-18"/>
                <w:sz w:val="14"/>
              </w:rPr>
              <w:t> </w:t>
            </w:r>
            <w:r>
              <w:rPr>
                <w:rFonts w:ascii="Times New Roman" w:hAnsi="Times New Roman"/>
                <w:sz w:val="14"/>
              </w:rPr>
              <w:t>±</w:t>
            </w:r>
            <w:r>
              <w:rPr>
                <w:rFonts w:ascii="Times New Roman" w:hAnsi="Times New Roman"/>
                <w:spacing w:val="-14"/>
                <w:sz w:val="14"/>
              </w:rPr>
              <w:t> </w:t>
            </w:r>
            <w:r>
              <w:rPr>
                <w:sz w:val="14"/>
              </w:rPr>
              <w:t>14.3</w:t>
              <w:tab/>
              <w:t>9.5</w:t>
            </w:r>
            <w:r>
              <w:rPr>
                <w:spacing w:val="-16"/>
                <w:sz w:val="14"/>
              </w:rPr>
              <w:t> </w:t>
            </w:r>
            <w:r>
              <w:rPr>
                <w:rFonts w:ascii="Times New Roman" w:hAnsi="Times New Roman"/>
                <w:sz w:val="14"/>
              </w:rPr>
              <w:t>±</w:t>
            </w:r>
            <w:r>
              <w:rPr>
                <w:rFonts w:ascii="Times New Roman" w:hAnsi="Times New Roman"/>
                <w:spacing w:val="-12"/>
                <w:sz w:val="14"/>
              </w:rPr>
              <w:t> </w:t>
            </w:r>
            <w:r>
              <w:rPr>
                <w:sz w:val="14"/>
              </w:rPr>
              <w:t>6.8</w:t>
              <w:tab/>
              <w:t>8.2</w:t>
            </w:r>
            <w:r>
              <w:rPr>
                <w:spacing w:val="-17"/>
                <w:sz w:val="14"/>
              </w:rPr>
              <w:t> </w:t>
            </w:r>
            <w:r>
              <w:rPr>
                <w:rFonts w:ascii="Times New Roman" w:hAnsi="Times New Roman"/>
                <w:sz w:val="14"/>
              </w:rPr>
              <w:t>±</w:t>
            </w:r>
            <w:r>
              <w:rPr>
                <w:rFonts w:ascii="Times New Roman" w:hAnsi="Times New Roman"/>
                <w:spacing w:val="-14"/>
                <w:sz w:val="14"/>
              </w:rPr>
              <w:t> </w:t>
            </w:r>
            <w:r>
              <w:rPr>
                <w:sz w:val="14"/>
              </w:rPr>
              <w:t>10.3</w:t>
              <w:tab/>
              <w:t>1.2</w:t>
            </w:r>
            <w:r>
              <w:rPr>
                <w:spacing w:val="-16"/>
                <w:sz w:val="14"/>
              </w:rPr>
              <w:t> </w:t>
            </w:r>
            <w:r>
              <w:rPr>
                <w:rFonts w:ascii="Times New Roman" w:hAnsi="Times New Roman"/>
                <w:sz w:val="14"/>
              </w:rPr>
              <w:t>±</w:t>
            </w:r>
            <w:r>
              <w:rPr>
                <w:rFonts w:ascii="Times New Roman" w:hAnsi="Times New Roman"/>
                <w:spacing w:val="-12"/>
                <w:sz w:val="14"/>
              </w:rPr>
              <w:t> </w:t>
            </w:r>
            <w:r>
              <w:rPr>
                <w:sz w:val="14"/>
              </w:rPr>
              <w:t>1.9</w:t>
              <w:tab/>
              <w:t>11.6 </w:t>
            </w:r>
            <w:r>
              <w:rPr>
                <w:rFonts w:ascii="Times New Roman" w:hAnsi="Times New Roman"/>
                <w:sz w:val="14"/>
              </w:rPr>
              <w:t>± </w:t>
            </w:r>
            <w:r>
              <w:rPr>
                <w:sz w:val="14"/>
              </w:rPr>
              <w:t>11.1 </w:t>
            </w:r>
            <w:r>
              <w:rPr>
                <w:spacing w:val="2"/>
                <w:sz w:val="14"/>
              </w:rPr>
              <w:t> </w:t>
            </w:r>
            <w:r>
              <w:rPr>
                <w:sz w:val="14"/>
              </w:rPr>
              <w:t>50.4 </w:t>
            </w:r>
            <w:r>
              <w:rPr>
                <w:rFonts w:ascii="Times New Roman" w:hAnsi="Times New Roman"/>
                <w:sz w:val="14"/>
              </w:rPr>
              <w:t>± </w:t>
            </w:r>
            <w:r>
              <w:rPr>
                <w:sz w:val="14"/>
              </w:rPr>
              <w:t>29.2</w:t>
            </w:r>
          </w:p>
        </w:tc>
      </w:tr>
      <w:tr>
        <w:trPr>
          <w:trHeight w:val="586" w:hRule="exact"/>
        </w:trPr>
        <w:tc>
          <w:tcPr>
            <w:tcW w:w="236" w:type="dxa"/>
            <w:vMerge/>
            <w:tcBorders>
              <w:left w:val="nil"/>
              <w:right w:val="dotted" w:sz="7" w:space="0" w:color="BEBEBE"/>
            </w:tcBorders>
            <w:textDirection w:val="btLr"/>
          </w:tcPr>
          <w:p>
            <w:pPr/>
          </w:p>
        </w:tc>
        <w:tc>
          <w:tcPr>
            <w:tcW w:w="957" w:type="dxa"/>
            <w:tcBorders>
              <w:top w:val="dotted" w:sz="4" w:space="0" w:color="000000"/>
              <w:left w:val="dotted" w:sz="7" w:space="0" w:color="A6A6A6"/>
              <w:bottom w:val="dotted" w:sz="4" w:space="0" w:color="000000"/>
              <w:right w:val="dotted" w:sz="4" w:space="0" w:color="000000"/>
            </w:tcBorders>
          </w:tcPr>
          <w:p>
            <w:pPr>
              <w:pStyle w:val="TableParagraph"/>
              <w:spacing w:before="9"/>
              <w:ind w:left="9"/>
              <w:jc w:val="left"/>
              <w:rPr>
                <w:b/>
                <w:sz w:val="15"/>
              </w:rPr>
            </w:pPr>
            <w:r>
              <w:rPr>
                <w:b/>
                <w:sz w:val="15"/>
              </w:rPr>
              <w:t>Té</w:t>
            </w:r>
          </w:p>
        </w:tc>
        <w:tc>
          <w:tcPr>
            <w:tcW w:w="944" w:type="dxa"/>
            <w:tcBorders>
              <w:top w:val="dotted" w:sz="4" w:space="0" w:color="000000"/>
              <w:left w:val="dotted" w:sz="4" w:space="0" w:color="000000"/>
              <w:bottom w:val="dotted" w:sz="4" w:space="0" w:color="000000"/>
              <w:right w:val="dotted" w:sz="4" w:space="0" w:color="000000"/>
            </w:tcBorders>
          </w:tcPr>
          <w:p>
            <w:pPr>
              <w:pStyle w:val="TableParagraph"/>
              <w:spacing w:before="6"/>
              <w:ind w:left="9"/>
              <w:jc w:val="left"/>
              <w:rPr>
                <w:sz w:val="12"/>
              </w:rPr>
            </w:pPr>
            <w:r>
              <w:rPr>
                <w:sz w:val="12"/>
              </w:rPr>
              <w:t>Si</w:t>
            </w:r>
          </w:p>
          <w:p>
            <w:pPr>
              <w:pStyle w:val="TableParagraph"/>
              <w:spacing w:before="57"/>
              <w:ind w:right="15"/>
              <w:jc w:val="right"/>
              <w:rPr>
                <w:b/>
                <w:sz w:val="12"/>
              </w:rPr>
            </w:pPr>
            <w:r>
              <w:rPr>
                <w:b/>
                <w:w w:val="92"/>
                <w:sz w:val="12"/>
              </w:rPr>
              <w:t>P</w:t>
            </w:r>
          </w:p>
          <w:p>
            <w:pPr>
              <w:pStyle w:val="TableParagraph"/>
              <w:spacing w:before="57"/>
              <w:ind w:left="9"/>
              <w:jc w:val="left"/>
              <w:rPr>
                <w:sz w:val="12"/>
              </w:rPr>
            </w:pPr>
            <w:r>
              <w:rPr>
                <w:sz w:val="12"/>
              </w:rPr>
              <w:t>No</w:t>
            </w:r>
          </w:p>
        </w:tc>
        <w:tc>
          <w:tcPr>
            <w:tcW w:w="6743" w:type="dxa"/>
            <w:tcBorders>
              <w:top w:val="dotted" w:sz="4" w:space="0" w:color="000000"/>
              <w:left w:val="dotted" w:sz="4" w:space="0" w:color="000000"/>
              <w:bottom w:val="dotted" w:sz="4" w:space="0" w:color="000000"/>
              <w:right w:val="nil"/>
            </w:tcBorders>
          </w:tcPr>
          <w:p>
            <w:pPr>
              <w:pStyle w:val="TableParagraph"/>
              <w:tabs>
                <w:tab w:pos="797" w:val="left" w:leader="none"/>
                <w:tab w:pos="1633" w:val="left" w:leader="none"/>
                <w:tab w:pos="2622" w:val="left" w:leader="none"/>
                <w:tab w:pos="3458" w:val="left" w:leader="none"/>
                <w:tab w:pos="4323" w:val="left" w:leader="none"/>
                <w:tab w:pos="5042" w:val="left" w:leader="none"/>
              </w:tabs>
              <w:spacing w:before="8"/>
              <w:ind w:right="5"/>
              <w:rPr>
                <w:sz w:val="14"/>
              </w:rPr>
            </w:pPr>
            <w:r>
              <w:rPr>
                <w:sz w:val="14"/>
              </w:rPr>
              <w:t>0.4</w:t>
            </w:r>
            <w:r>
              <w:rPr>
                <w:spacing w:val="-17"/>
                <w:sz w:val="14"/>
              </w:rPr>
              <w:t> </w:t>
            </w:r>
            <w:r>
              <w:rPr>
                <w:rFonts w:ascii="Times New Roman" w:hAnsi="Times New Roman"/>
                <w:sz w:val="14"/>
              </w:rPr>
              <w:t>±</w:t>
            </w:r>
            <w:r>
              <w:rPr>
                <w:rFonts w:ascii="Times New Roman" w:hAnsi="Times New Roman"/>
                <w:spacing w:val="-12"/>
                <w:sz w:val="14"/>
              </w:rPr>
              <w:t> </w:t>
            </w:r>
            <w:r>
              <w:rPr>
                <w:sz w:val="14"/>
              </w:rPr>
              <w:t>0.5</w:t>
              <w:tab/>
              <w:t>3.2</w:t>
            </w:r>
            <w:r>
              <w:rPr>
                <w:spacing w:val="-16"/>
                <w:sz w:val="14"/>
              </w:rPr>
              <w:t> </w:t>
            </w:r>
            <w:r>
              <w:rPr>
                <w:rFonts w:ascii="Times New Roman" w:hAnsi="Times New Roman"/>
                <w:sz w:val="14"/>
              </w:rPr>
              <w:t>±</w:t>
            </w:r>
            <w:r>
              <w:rPr>
                <w:rFonts w:ascii="Times New Roman" w:hAnsi="Times New Roman"/>
                <w:spacing w:val="-12"/>
                <w:sz w:val="14"/>
              </w:rPr>
              <w:t> </w:t>
            </w:r>
            <w:r>
              <w:rPr>
                <w:sz w:val="14"/>
              </w:rPr>
              <w:t>2.6</w:t>
              <w:tab/>
              <w:t>16.9</w:t>
            </w:r>
            <w:r>
              <w:rPr>
                <w:spacing w:val="-18"/>
                <w:sz w:val="14"/>
              </w:rPr>
              <w:t> </w:t>
            </w:r>
            <w:r>
              <w:rPr>
                <w:rFonts w:ascii="Times New Roman" w:hAnsi="Times New Roman"/>
                <w:sz w:val="14"/>
              </w:rPr>
              <w:t>±</w:t>
            </w:r>
            <w:r>
              <w:rPr>
                <w:rFonts w:ascii="Times New Roman" w:hAnsi="Times New Roman"/>
                <w:spacing w:val="-14"/>
                <w:sz w:val="14"/>
              </w:rPr>
              <w:t> </w:t>
            </w:r>
            <w:r>
              <w:rPr>
                <w:sz w:val="14"/>
              </w:rPr>
              <w:t>15.2</w:t>
              <w:tab/>
              <w:t>9.2</w:t>
            </w:r>
            <w:r>
              <w:rPr>
                <w:spacing w:val="-16"/>
                <w:sz w:val="14"/>
              </w:rPr>
              <w:t> </w:t>
            </w:r>
            <w:r>
              <w:rPr>
                <w:rFonts w:ascii="Times New Roman" w:hAnsi="Times New Roman"/>
                <w:sz w:val="14"/>
              </w:rPr>
              <w:t>±</w:t>
            </w:r>
            <w:r>
              <w:rPr>
                <w:rFonts w:ascii="Times New Roman" w:hAnsi="Times New Roman"/>
                <w:spacing w:val="-12"/>
                <w:sz w:val="14"/>
              </w:rPr>
              <w:t> </w:t>
            </w:r>
            <w:r>
              <w:rPr>
                <w:sz w:val="14"/>
              </w:rPr>
              <w:t>7.1</w:t>
              <w:tab/>
              <w:t>8.6</w:t>
            </w:r>
            <w:r>
              <w:rPr>
                <w:spacing w:val="-17"/>
                <w:sz w:val="14"/>
              </w:rPr>
              <w:t> </w:t>
            </w:r>
            <w:r>
              <w:rPr>
                <w:rFonts w:ascii="Times New Roman" w:hAnsi="Times New Roman"/>
                <w:sz w:val="14"/>
              </w:rPr>
              <w:t>±</w:t>
            </w:r>
            <w:r>
              <w:rPr>
                <w:rFonts w:ascii="Times New Roman" w:hAnsi="Times New Roman"/>
                <w:spacing w:val="-14"/>
                <w:sz w:val="14"/>
              </w:rPr>
              <w:t> </w:t>
            </w:r>
            <w:r>
              <w:rPr>
                <w:sz w:val="14"/>
              </w:rPr>
              <w:t>10.8</w:t>
              <w:tab/>
              <w:t>1.1</w:t>
            </w:r>
            <w:r>
              <w:rPr>
                <w:spacing w:val="-16"/>
                <w:sz w:val="14"/>
              </w:rPr>
              <w:t> </w:t>
            </w:r>
            <w:r>
              <w:rPr>
                <w:rFonts w:ascii="Times New Roman" w:hAnsi="Times New Roman"/>
                <w:sz w:val="14"/>
              </w:rPr>
              <w:t>±</w:t>
            </w:r>
            <w:r>
              <w:rPr>
                <w:rFonts w:ascii="Times New Roman" w:hAnsi="Times New Roman"/>
                <w:spacing w:val="-12"/>
                <w:sz w:val="14"/>
              </w:rPr>
              <w:t> </w:t>
            </w:r>
            <w:r>
              <w:rPr>
                <w:sz w:val="14"/>
              </w:rPr>
              <w:t>1.7</w:t>
              <w:tab/>
              <w:t>12.1 </w:t>
            </w:r>
            <w:r>
              <w:rPr>
                <w:rFonts w:ascii="Times New Roman" w:hAnsi="Times New Roman"/>
                <w:sz w:val="14"/>
              </w:rPr>
              <w:t>± </w:t>
            </w:r>
            <w:r>
              <w:rPr>
                <w:sz w:val="14"/>
              </w:rPr>
              <w:t>11.4 </w:t>
            </w:r>
            <w:r>
              <w:rPr>
                <w:spacing w:val="2"/>
                <w:sz w:val="14"/>
              </w:rPr>
              <w:t> </w:t>
            </w:r>
            <w:r>
              <w:rPr>
                <w:sz w:val="14"/>
              </w:rPr>
              <w:t>51.2 </w:t>
            </w:r>
            <w:r>
              <w:rPr>
                <w:rFonts w:ascii="Times New Roman" w:hAnsi="Times New Roman"/>
                <w:sz w:val="14"/>
              </w:rPr>
              <w:t>± </w:t>
            </w:r>
            <w:r>
              <w:rPr>
                <w:sz w:val="14"/>
              </w:rPr>
              <w:t>30.2</w:t>
            </w:r>
          </w:p>
          <w:p>
            <w:pPr>
              <w:pStyle w:val="TableParagraph"/>
              <w:tabs>
                <w:tab w:pos="788" w:val="left" w:leader="none"/>
                <w:tab w:pos="1698" w:val="left" w:leader="none"/>
                <w:tab w:pos="2613" w:val="left" w:leader="none"/>
                <w:tab w:pos="3486" w:val="left" w:leader="none"/>
                <w:tab w:pos="4323" w:val="left" w:leader="none"/>
                <w:tab w:pos="5116" w:val="left" w:leader="none"/>
                <w:tab w:pos="5947" w:val="left" w:leader="none"/>
              </w:tabs>
              <w:spacing w:before="33"/>
              <w:ind w:right="73"/>
              <w:rPr>
                <w:sz w:val="14"/>
              </w:rPr>
            </w:pPr>
            <w:r>
              <w:rPr>
                <w:sz w:val="14"/>
              </w:rPr>
              <w:t>0.1*</w:t>
              <w:tab/>
              <w:t>0.5*</w:t>
              <w:tab/>
              <w:t>0.3*</w:t>
              <w:tab/>
              <w:t>0.6*</w:t>
              <w:tab/>
              <w:t>0.4*</w:t>
              <w:tab/>
              <w:t>0.8*</w:t>
              <w:tab/>
              <w:t>0.5*</w:t>
              <w:tab/>
              <w:t>0.9*</w:t>
            </w:r>
          </w:p>
          <w:p>
            <w:pPr>
              <w:pStyle w:val="TableParagraph"/>
              <w:tabs>
                <w:tab w:pos="797" w:val="left" w:leader="none"/>
                <w:tab w:pos="1633" w:val="left" w:leader="none"/>
                <w:tab w:pos="2622" w:val="left" w:leader="none"/>
                <w:tab w:pos="3495" w:val="left" w:leader="none"/>
                <w:tab w:pos="4323" w:val="left" w:leader="none"/>
                <w:tab w:pos="5116" w:val="left" w:leader="none"/>
                <w:tab w:pos="5882" w:val="left" w:leader="none"/>
              </w:tabs>
              <w:spacing w:before="34"/>
              <w:ind w:right="5"/>
              <w:rPr>
                <w:sz w:val="14"/>
              </w:rPr>
            </w:pPr>
            <w:r>
              <w:rPr>
                <w:sz w:val="14"/>
              </w:rPr>
              <w:t>0.2</w:t>
            </w:r>
            <w:r>
              <w:rPr>
                <w:spacing w:val="-17"/>
                <w:sz w:val="14"/>
              </w:rPr>
              <w:t> </w:t>
            </w:r>
            <w:r>
              <w:rPr>
                <w:rFonts w:ascii="Times New Roman" w:hAnsi="Times New Roman"/>
                <w:sz w:val="14"/>
              </w:rPr>
              <w:t>±</w:t>
            </w:r>
            <w:r>
              <w:rPr>
                <w:rFonts w:ascii="Times New Roman" w:hAnsi="Times New Roman"/>
                <w:spacing w:val="-12"/>
                <w:sz w:val="14"/>
              </w:rPr>
              <w:t> </w:t>
            </w:r>
            <w:r>
              <w:rPr>
                <w:sz w:val="14"/>
              </w:rPr>
              <w:t>0.5</w:t>
              <w:tab/>
              <w:t>2.7</w:t>
            </w:r>
            <w:r>
              <w:rPr>
                <w:spacing w:val="-16"/>
                <w:sz w:val="14"/>
              </w:rPr>
              <w:t> </w:t>
            </w:r>
            <w:r>
              <w:rPr>
                <w:rFonts w:ascii="Times New Roman" w:hAnsi="Times New Roman"/>
                <w:sz w:val="14"/>
              </w:rPr>
              <w:t>±</w:t>
            </w:r>
            <w:r>
              <w:rPr>
                <w:rFonts w:ascii="Times New Roman" w:hAnsi="Times New Roman"/>
                <w:spacing w:val="-12"/>
                <w:sz w:val="14"/>
              </w:rPr>
              <w:t> </w:t>
            </w:r>
            <w:r>
              <w:rPr>
                <w:sz w:val="14"/>
              </w:rPr>
              <w:t>2.5</w:t>
              <w:tab/>
              <w:t>19.5</w:t>
            </w:r>
            <w:r>
              <w:rPr>
                <w:spacing w:val="-18"/>
                <w:sz w:val="14"/>
              </w:rPr>
              <w:t> </w:t>
            </w:r>
            <w:r>
              <w:rPr>
                <w:rFonts w:ascii="Times New Roman" w:hAnsi="Times New Roman"/>
                <w:sz w:val="14"/>
              </w:rPr>
              <w:t>±</w:t>
            </w:r>
            <w:r>
              <w:rPr>
                <w:rFonts w:ascii="Times New Roman" w:hAnsi="Times New Roman"/>
                <w:spacing w:val="-14"/>
                <w:sz w:val="14"/>
              </w:rPr>
              <w:t> </w:t>
            </w:r>
            <w:r>
              <w:rPr>
                <w:sz w:val="14"/>
              </w:rPr>
              <w:t>13.1</w:t>
              <w:tab/>
              <w:t>9.5</w:t>
            </w:r>
            <w:r>
              <w:rPr>
                <w:spacing w:val="-16"/>
                <w:sz w:val="14"/>
              </w:rPr>
              <w:t> </w:t>
            </w:r>
            <w:r>
              <w:rPr>
                <w:rFonts w:ascii="Times New Roman" w:hAnsi="Times New Roman"/>
                <w:sz w:val="14"/>
              </w:rPr>
              <w:t>±</w:t>
            </w:r>
            <w:r>
              <w:rPr>
                <w:rFonts w:ascii="Times New Roman" w:hAnsi="Times New Roman"/>
                <w:spacing w:val="-12"/>
                <w:sz w:val="14"/>
              </w:rPr>
              <w:t> </w:t>
            </w:r>
            <w:r>
              <w:rPr>
                <w:sz w:val="14"/>
              </w:rPr>
              <w:t>5.8</w:t>
              <w:tab/>
              <w:t>6.1</w:t>
            </w:r>
            <w:r>
              <w:rPr>
                <w:spacing w:val="-16"/>
                <w:sz w:val="14"/>
              </w:rPr>
              <w:t> </w:t>
            </w:r>
            <w:r>
              <w:rPr>
                <w:rFonts w:ascii="Times New Roman" w:hAnsi="Times New Roman"/>
                <w:sz w:val="14"/>
              </w:rPr>
              <w:t>±</w:t>
            </w:r>
            <w:r>
              <w:rPr>
                <w:rFonts w:ascii="Times New Roman" w:hAnsi="Times New Roman"/>
                <w:spacing w:val="-12"/>
                <w:sz w:val="14"/>
              </w:rPr>
              <w:t> </w:t>
            </w:r>
            <w:r>
              <w:rPr>
                <w:sz w:val="14"/>
              </w:rPr>
              <w:t>7.0</w:t>
              <w:tab/>
              <w:t>1.2</w:t>
            </w:r>
            <w:r>
              <w:rPr>
                <w:spacing w:val="-16"/>
                <w:sz w:val="14"/>
              </w:rPr>
              <w:t> </w:t>
            </w:r>
            <w:r>
              <w:rPr>
                <w:rFonts w:ascii="Times New Roman" w:hAnsi="Times New Roman"/>
                <w:sz w:val="14"/>
              </w:rPr>
              <w:t>±</w:t>
            </w:r>
            <w:r>
              <w:rPr>
                <w:rFonts w:ascii="Times New Roman" w:hAnsi="Times New Roman"/>
                <w:spacing w:val="-12"/>
                <w:sz w:val="14"/>
              </w:rPr>
              <w:t> </w:t>
            </w:r>
            <w:r>
              <w:rPr>
                <w:sz w:val="14"/>
              </w:rPr>
              <w:t>2.1</w:t>
              <w:tab/>
              <w:t>9.1</w:t>
            </w:r>
            <w:r>
              <w:rPr>
                <w:spacing w:val="-16"/>
                <w:sz w:val="14"/>
              </w:rPr>
              <w:t> </w:t>
            </w:r>
            <w:r>
              <w:rPr>
                <w:rFonts w:ascii="Times New Roman" w:hAnsi="Times New Roman"/>
                <w:sz w:val="14"/>
              </w:rPr>
              <w:t>±</w:t>
            </w:r>
            <w:r>
              <w:rPr>
                <w:rFonts w:ascii="Times New Roman" w:hAnsi="Times New Roman"/>
                <w:spacing w:val="-12"/>
                <w:sz w:val="14"/>
              </w:rPr>
              <w:t> </w:t>
            </w:r>
            <w:r>
              <w:rPr>
                <w:sz w:val="14"/>
              </w:rPr>
              <w:t>7.6</w:t>
              <w:tab/>
            </w:r>
            <w:r>
              <w:rPr>
                <w:w w:val="95"/>
                <w:sz w:val="14"/>
              </w:rPr>
              <w:t>48.3 </w:t>
            </w:r>
            <w:r>
              <w:rPr>
                <w:rFonts w:ascii="Times New Roman" w:hAnsi="Times New Roman"/>
                <w:w w:val="95"/>
                <w:sz w:val="14"/>
              </w:rPr>
              <w:t>±</w:t>
            </w:r>
            <w:r>
              <w:rPr>
                <w:rFonts w:ascii="Times New Roman" w:hAnsi="Times New Roman"/>
                <w:spacing w:val="-22"/>
                <w:w w:val="95"/>
                <w:sz w:val="14"/>
              </w:rPr>
              <w:t> </w:t>
            </w:r>
            <w:r>
              <w:rPr>
                <w:w w:val="95"/>
                <w:sz w:val="14"/>
              </w:rPr>
              <w:t>22.2</w:t>
            </w:r>
          </w:p>
        </w:tc>
      </w:tr>
      <w:tr>
        <w:trPr>
          <w:trHeight w:val="586" w:hRule="exact"/>
        </w:trPr>
        <w:tc>
          <w:tcPr>
            <w:tcW w:w="236" w:type="dxa"/>
            <w:vMerge/>
            <w:tcBorders>
              <w:left w:val="nil"/>
              <w:right w:val="dotted" w:sz="7" w:space="0" w:color="BEBEBE"/>
            </w:tcBorders>
            <w:textDirection w:val="btLr"/>
          </w:tcPr>
          <w:p>
            <w:pPr/>
          </w:p>
        </w:tc>
        <w:tc>
          <w:tcPr>
            <w:tcW w:w="957" w:type="dxa"/>
            <w:tcBorders>
              <w:top w:val="dotted" w:sz="4" w:space="0" w:color="000000"/>
              <w:left w:val="dotted" w:sz="7" w:space="0" w:color="A6A6A6"/>
              <w:bottom w:val="dotted" w:sz="4" w:space="0" w:color="000000"/>
              <w:right w:val="dotted" w:sz="4" w:space="0" w:color="000000"/>
            </w:tcBorders>
          </w:tcPr>
          <w:p>
            <w:pPr>
              <w:pStyle w:val="TableParagraph"/>
              <w:spacing w:before="9"/>
              <w:ind w:left="9"/>
              <w:jc w:val="left"/>
              <w:rPr>
                <w:b/>
                <w:sz w:val="15"/>
              </w:rPr>
            </w:pPr>
            <w:r>
              <w:rPr>
                <w:b/>
                <w:sz w:val="15"/>
              </w:rPr>
              <w:t>Café</w:t>
            </w:r>
          </w:p>
        </w:tc>
        <w:tc>
          <w:tcPr>
            <w:tcW w:w="944" w:type="dxa"/>
            <w:tcBorders>
              <w:top w:val="dotted" w:sz="4" w:space="0" w:color="000000"/>
              <w:left w:val="dotted" w:sz="4" w:space="0" w:color="000000"/>
              <w:bottom w:val="dotted" w:sz="4" w:space="0" w:color="000000"/>
              <w:right w:val="dotted" w:sz="4" w:space="0" w:color="000000"/>
            </w:tcBorders>
          </w:tcPr>
          <w:p>
            <w:pPr>
              <w:pStyle w:val="TableParagraph"/>
              <w:spacing w:before="6"/>
              <w:ind w:left="9"/>
              <w:jc w:val="left"/>
              <w:rPr>
                <w:sz w:val="12"/>
              </w:rPr>
            </w:pPr>
            <w:r>
              <w:rPr>
                <w:sz w:val="12"/>
              </w:rPr>
              <w:t>Si</w:t>
            </w:r>
          </w:p>
          <w:p>
            <w:pPr>
              <w:pStyle w:val="TableParagraph"/>
              <w:spacing w:before="57"/>
              <w:ind w:right="15"/>
              <w:jc w:val="right"/>
              <w:rPr>
                <w:b/>
                <w:sz w:val="12"/>
              </w:rPr>
            </w:pPr>
            <w:r>
              <w:rPr>
                <w:b/>
                <w:w w:val="92"/>
                <w:sz w:val="12"/>
              </w:rPr>
              <w:t>P</w:t>
            </w:r>
          </w:p>
          <w:p>
            <w:pPr>
              <w:pStyle w:val="TableParagraph"/>
              <w:spacing w:before="57"/>
              <w:ind w:left="9"/>
              <w:jc w:val="left"/>
              <w:rPr>
                <w:sz w:val="12"/>
              </w:rPr>
            </w:pPr>
            <w:r>
              <w:rPr>
                <w:sz w:val="12"/>
              </w:rPr>
              <w:t>No</w:t>
            </w:r>
          </w:p>
        </w:tc>
        <w:tc>
          <w:tcPr>
            <w:tcW w:w="6743" w:type="dxa"/>
            <w:tcBorders>
              <w:top w:val="dotted" w:sz="4" w:space="0" w:color="000000"/>
              <w:left w:val="dotted" w:sz="4" w:space="0" w:color="000000"/>
              <w:bottom w:val="dotted" w:sz="4" w:space="0" w:color="000000"/>
              <w:right w:val="nil"/>
            </w:tcBorders>
          </w:tcPr>
          <w:p>
            <w:pPr>
              <w:pStyle w:val="TableParagraph"/>
              <w:tabs>
                <w:tab w:pos="797" w:val="left" w:leader="none"/>
                <w:tab w:pos="1633" w:val="left" w:leader="none"/>
                <w:tab w:pos="2622" w:val="left" w:leader="none"/>
                <w:tab w:pos="3458" w:val="left" w:leader="none"/>
                <w:tab w:pos="4323" w:val="left" w:leader="none"/>
                <w:tab w:pos="5042" w:val="left" w:leader="none"/>
              </w:tabs>
              <w:spacing w:before="8"/>
              <w:ind w:right="5"/>
              <w:rPr>
                <w:sz w:val="14"/>
              </w:rPr>
            </w:pPr>
            <w:r>
              <w:rPr>
                <w:sz w:val="14"/>
              </w:rPr>
              <w:t>0.5</w:t>
            </w:r>
            <w:r>
              <w:rPr>
                <w:spacing w:val="-17"/>
                <w:sz w:val="14"/>
              </w:rPr>
              <w:t> </w:t>
            </w:r>
            <w:r>
              <w:rPr>
                <w:rFonts w:ascii="Times New Roman" w:hAnsi="Times New Roman"/>
                <w:sz w:val="14"/>
              </w:rPr>
              <w:t>±</w:t>
            </w:r>
            <w:r>
              <w:rPr>
                <w:rFonts w:ascii="Times New Roman" w:hAnsi="Times New Roman"/>
                <w:spacing w:val="-12"/>
                <w:sz w:val="14"/>
              </w:rPr>
              <w:t> </w:t>
            </w:r>
            <w:r>
              <w:rPr>
                <w:sz w:val="14"/>
              </w:rPr>
              <w:t>0.7</w:t>
              <w:tab/>
              <w:t>3.2</w:t>
            </w:r>
            <w:r>
              <w:rPr>
                <w:spacing w:val="-17"/>
                <w:sz w:val="14"/>
              </w:rPr>
              <w:t> </w:t>
            </w:r>
            <w:r>
              <w:rPr>
                <w:rFonts w:ascii="Times New Roman" w:hAnsi="Times New Roman"/>
                <w:sz w:val="14"/>
              </w:rPr>
              <w:t>±</w:t>
            </w:r>
            <w:r>
              <w:rPr>
                <w:rFonts w:ascii="Times New Roman" w:hAnsi="Times New Roman"/>
                <w:spacing w:val="-12"/>
                <w:sz w:val="14"/>
              </w:rPr>
              <w:t> </w:t>
            </w:r>
            <w:r>
              <w:rPr>
                <w:sz w:val="14"/>
              </w:rPr>
              <w:t>2.5</w:t>
              <w:tab/>
              <w:t>18.5</w:t>
            </w:r>
            <w:r>
              <w:rPr>
                <w:spacing w:val="-18"/>
                <w:sz w:val="14"/>
              </w:rPr>
              <w:t> </w:t>
            </w:r>
            <w:r>
              <w:rPr>
                <w:rFonts w:ascii="Times New Roman" w:hAnsi="Times New Roman"/>
                <w:sz w:val="14"/>
              </w:rPr>
              <w:t>±</w:t>
            </w:r>
            <w:r>
              <w:rPr>
                <w:rFonts w:ascii="Times New Roman" w:hAnsi="Times New Roman"/>
                <w:spacing w:val="-14"/>
                <w:sz w:val="14"/>
              </w:rPr>
              <w:t> </w:t>
            </w:r>
            <w:r>
              <w:rPr>
                <w:sz w:val="14"/>
              </w:rPr>
              <w:t>15.9</w:t>
              <w:tab/>
              <w:t>8.9</w:t>
            </w:r>
            <w:r>
              <w:rPr>
                <w:spacing w:val="-16"/>
                <w:sz w:val="14"/>
              </w:rPr>
              <w:t> </w:t>
            </w:r>
            <w:r>
              <w:rPr>
                <w:rFonts w:ascii="Times New Roman" w:hAnsi="Times New Roman"/>
                <w:sz w:val="14"/>
              </w:rPr>
              <w:t>±</w:t>
            </w:r>
            <w:r>
              <w:rPr>
                <w:rFonts w:ascii="Times New Roman" w:hAnsi="Times New Roman"/>
                <w:spacing w:val="-12"/>
                <w:sz w:val="14"/>
              </w:rPr>
              <w:t> </w:t>
            </w:r>
            <w:r>
              <w:rPr>
                <w:sz w:val="14"/>
              </w:rPr>
              <w:t>6.5</w:t>
              <w:tab/>
              <w:t>8.0</w:t>
            </w:r>
            <w:r>
              <w:rPr>
                <w:spacing w:val="-17"/>
                <w:sz w:val="14"/>
              </w:rPr>
              <w:t> </w:t>
            </w:r>
            <w:r>
              <w:rPr>
                <w:rFonts w:ascii="Times New Roman" w:hAnsi="Times New Roman"/>
                <w:sz w:val="14"/>
              </w:rPr>
              <w:t>±</w:t>
            </w:r>
            <w:r>
              <w:rPr>
                <w:rFonts w:ascii="Times New Roman" w:hAnsi="Times New Roman"/>
                <w:spacing w:val="-13"/>
                <w:sz w:val="14"/>
              </w:rPr>
              <w:t> </w:t>
            </w:r>
            <w:r>
              <w:rPr>
                <w:sz w:val="14"/>
              </w:rPr>
              <w:t>12.1</w:t>
              <w:tab/>
              <w:t>1.1</w:t>
            </w:r>
            <w:r>
              <w:rPr>
                <w:spacing w:val="-16"/>
                <w:sz w:val="14"/>
              </w:rPr>
              <w:t> </w:t>
            </w:r>
            <w:r>
              <w:rPr>
                <w:rFonts w:ascii="Times New Roman" w:hAnsi="Times New Roman"/>
                <w:sz w:val="14"/>
              </w:rPr>
              <w:t>±</w:t>
            </w:r>
            <w:r>
              <w:rPr>
                <w:rFonts w:ascii="Times New Roman" w:hAnsi="Times New Roman"/>
                <w:spacing w:val="-12"/>
                <w:sz w:val="14"/>
              </w:rPr>
              <w:t> </w:t>
            </w:r>
            <w:r>
              <w:rPr>
                <w:sz w:val="14"/>
              </w:rPr>
              <w:t>2.1</w:t>
              <w:tab/>
              <w:t>10.3 </w:t>
            </w:r>
            <w:r>
              <w:rPr>
                <w:rFonts w:ascii="Times New Roman" w:hAnsi="Times New Roman"/>
                <w:sz w:val="14"/>
              </w:rPr>
              <w:t>± </w:t>
            </w:r>
            <w:r>
              <w:rPr>
                <w:sz w:val="14"/>
              </w:rPr>
              <w:t>10.1 </w:t>
            </w:r>
            <w:r>
              <w:rPr>
                <w:spacing w:val="5"/>
                <w:sz w:val="14"/>
              </w:rPr>
              <w:t> </w:t>
            </w:r>
            <w:r>
              <w:rPr>
                <w:sz w:val="14"/>
              </w:rPr>
              <w:t>50.3 </w:t>
            </w:r>
            <w:r>
              <w:rPr>
                <w:rFonts w:ascii="Times New Roman" w:hAnsi="Times New Roman"/>
                <w:sz w:val="14"/>
              </w:rPr>
              <w:t>± </w:t>
            </w:r>
            <w:r>
              <w:rPr>
                <w:sz w:val="14"/>
              </w:rPr>
              <w:t>34.7</w:t>
            </w:r>
          </w:p>
          <w:p>
            <w:pPr>
              <w:pStyle w:val="TableParagraph"/>
              <w:tabs>
                <w:tab w:pos="825" w:val="left" w:leader="none"/>
                <w:tab w:pos="1735" w:val="left" w:leader="none"/>
                <w:tab w:pos="2650" w:val="left" w:leader="none"/>
                <w:tab w:pos="3523" w:val="left" w:leader="none"/>
                <w:tab w:pos="4360" w:val="left" w:leader="none"/>
                <w:tab w:pos="5153" w:val="left" w:leader="none"/>
                <w:tab w:pos="5984" w:val="left" w:leader="none"/>
              </w:tabs>
              <w:spacing w:before="33"/>
              <w:ind w:right="110"/>
              <w:rPr>
                <w:sz w:val="14"/>
              </w:rPr>
            </w:pPr>
            <w:r>
              <w:rPr>
                <w:sz w:val="14"/>
              </w:rPr>
              <w:t>0.07*</w:t>
              <w:tab/>
              <w:t>0.6*</w:t>
              <w:tab/>
              <w:t>0.7*</w:t>
              <w:tab/>
              <w:t>0.8*</w:t>
              <w:tab/>
              <w:t>0.3*</w:t>
              <w:tab/>
              <w:t>0.4*</w:t>
              <w:tab/>
              <w:t>0.3*</w:t>
              <w:tab/>
              <w:t>0.4*</w:t>
            </w:r>
          </w:p>
          <w:p>
            <w:pPr>
              <w:pStyle w:val="TableParagraph"/>
              <w:tabs>
                <w:tab w:pos="797" w:val="left" w:leader="none"/>
                <w:tab w:pos="1633" w:val="left" w:leader="none"/>
                <w:tab w:pos="2622" w:val="left" w:leader="none"/>
                <w:tab w:pos="3495" w:val="left" w:leader="none"/>
                <w:tab w:pos="4323" w:val="left" w:leader="none"/>
                <w:tab w:pos="5042" w:val="left" w:leader="none"/>
              </w:tabs>
              <w:spacing w:before="34"/>
              <w:ind w:right="5"/>
              <w:rPr>
                <w:sz w:val="14"/>
              </w:rPr>
            </w:pPr>
            <w:r>
              <w:rPr>
                <w:sz w:val="14"/>
              </w:rPr>
              <w:t>0.2</w:t>
            </w:r>
            <w:r>
              <w:rPr>
                <w:spacing w:val="-17"/>
                <w:sz w:val="14"/>
              </w:rPr>
              <w:t> </w:t>
            </w:r>
            <w:r>
              <w:rPr>
                <w:rFonts w:ascii="Times New Roman" w:hAnsi="Times New Roman"/>
                <w:sz w:val="14"/>
              </w:rPr>
              <w:t>±</w:t>
            </w:r>
            <w:r>
              <w:rPr>
                <w:rFonts w:ascii="Times New Roman" w:hAnsi="Times New Roman"/>
                <w:spacing w:val="-12"/>
                <w:sz w:val="14"/>
              </w:rPr>
              <w:t> </w:t>
            </w:r>
            <w:r>
              <w:rPr>
                <w:sz w:val="14"/>
              </w:rPr>
              <w:t>0.4</w:t>
              <w:tab/>
              <w:t>3.0</w:t>
            </w:r>
            <w:r>
              <w:rPr>
                <w:spacing w:val="-17"/>
                <w:sz w:val="14"/>
              </w:rPr>
              <w:t> </w:t>
            </w:r>
            <w:r>
              <w:rPr>
                <w:rFonts w:ascii="Times New Roman" w:hAnsi="Times New Roman"/>
                <w:sz w:val="14"/>
              </w:rPr>
              <w:t>±</w:t>
            </w:r>
            <w:r>
              <w:rPr>
                <w:rFonts w:ascii="Times New Roman" w:hAnsi="Times New Roman"/>
                <w:spacing w:val="-12"/>
                <w:sz w:val="14"/>
              </w:rPr>
              <w:t> </w:t>
            </w:r>
            <w:r>
              <w:rPr>
                <w:sz w:val="14"/>
              </w:rPr>
              <w:t>2.7</w:t>
              <w:tab/>
              <w:t>17.0</w:t>
            </w:r>
            <w:r>
              <w:rPr>
                <w:spacing w:val="-18"/>
                <w:sz w:val="14"/>
              </w:rPr>
              <w:t> </w:t>
            </w:r>
            <w:r>
              <w:rPr>
                <w:rFonts w:ascii="Times New Roman" w:hAnsi="Times New Roman"/>
                <w:sz w:val="14"/>
              </w:rPr>
              <w:t>±</w:t>
            </w:r>
            <w:r>
              <w:rPr>
                <w:rFonts w:ascii="Times New Roman" w:hAnsi="Times New Roman"/>
                <w:spacing w:val="-14"/>
                <w:sz w:val="14"/>
              </w:rPr>
              <w:t> </w:t>
            </w:r>
            <w:r>
              <w:rPr>
                <w:sz w:val="14"/>
              </w:rPr>
              <w:t>13.7</w:t>
              <w:tab/>
              <w:t>9.5</w:t>
            </w:r>
            <w:r>
              <w:rPr>
                <w:spacing w:val="-16"/>
                <w:sz w:val="14"/>
              </w:rPr>
              <w:t> </w:t>
            </w:r>
            <w:r>
              <w:rPr>
                <w:rFonts w:ascii="Times New Roman" w:hAnsi="Times New Roman"/>
                <w:sz w:val="14"/>
              </w:rPr>
              <w:t>±</w:t>
            </w:r>
            <w:r>
              <w:rPr>
                <w:rFonts w:ascii="Times New Roman" w:hAnsi="Times New Roman"/>
                <w:spacing w:val="-12"/>
                <w:sz w:val="14"/>
              </w:rPr>
              <w:t> </w:t>
            </w:r>
            <w:r>
              <w:rPr>
                <w:sz w:val="14"/>
              </w:rPr>
              <w:t>6.9</w:t>
              <w:tab/>
              <w:t>7.7</w:t>
            </w:r>
            <w:r>
              <w:rPr>
                <w:spacing w:val="-16"/>
                <w:sz w:val="14"/>
              </w:rPr>
              <w:t> </w:t>
            </w:r>
            <w:r>
              <w:rPr>
                <w:rFonts w:ascii="Times New Roman" w:hAnsi="Times New Roman"/>
                <w:sz w:val="14"/>
              </w:rPr>
              <w:t>±</w:t>
            </w:r>
            <w:r>
              <w:rPr>
                <w:rFonts w:ascii="Times New Roman" w:hAnsi="Times New Roman"/>
                <w:spacing w:val="-12"/>
                <w:sz w:val="14"/>
              </w:rPr>
              <w:t> </w:t>
            </w:r>
            <w:r>
              <w:rPr>
                <w:sz w:val="14"/>
              </w:rPr>
              <w:t>7.9</w:t>
              <w:tab/>
              <w:t>1.1</w:t>
            </w:r>
            <w:r>
              <w:rPr>
                <w:spacing w:val="-16"/>
                <w:sz w:val="14"/>
              </w:rPr>
              <w:t> </w:t>
            </w:r>
            <w:r>
              <w:rPr>
                <w:rFonts w:ascii="Times New Roman" w:hAnsi="Times New Roman"/>
                <w:sz w:val="14"/>
              </w:rPr>
              <w:t>±</w:t>
            </w:r>
            <w:r>
              <w:rPr>
                <w:rFonts w:ascii="Times New Roman" w:hAnsi="Times New Roman"/>
                <w:spacing w:val="-12"/>
                <w:sz w:val="14"/>
              </w:rPr>
              <w:t> </w:t>
            </w:r>
            <w:r>
              <w:rPr>
                <w:sz w:val="14"/>
              </w:rPr>
              <w:t>1.6</w:t>
              <w:tab/>
              <w:t>11.9 </w:t>
            </w:r>
            <w:r>
              <w:rPr>
                <w:rFonts w:ascii="Times New Roman" w:hAnsi="Times New Roman"/>
                <w:sz w:val="14"/>
              </w:rPr>
              <w:t>± </w:t>
            </w:r>
            <w:r>
              <w:rPr>
                <w:sz w:val="14"/>
              </w:rPr>
              <w:t>10.8 </w:t>
            </w:r>
            <w:r>
              <w:rPr>
                <w:spacing w:val="5"/>
                <w:sz w:val="14"/>
              </w:rPr>
              <w:t> </w:t>
            </w:r>
            <w:r>
              <w:rPr>
                <w:sz w:val="14"/>
              </w:rPr>
              <w:t>50.5 </w:t>
            </w:r>
            <w:r>
              <w:rPr>
                <w:rFonts w:ascii="Times New Roman" w:hAnsi="Times New Roman"/>
                <w:sz w:val="14"/>
              </w:rPr>
              <w:t>± </w:t>
            </w:r>
            <w:r>
              <w:rPr>
                <w:sz w:val="14"/>
              </w:rPr>
              <w:t>22.2</w:t>
            </w:r>
          </w:p>
        </w:tc>
      </w:tr>
      <w:tr>
        <w:trPr>
          <w:trHeight w:val="586" w:hRule="exact"/>
        </w:trPr>
        <w:tc>
          <w:tcPr>
            <w:tcW w:w="236" w:type="dxa"/>
            <w:vMerge/>
            <w:tcBorders>
              <w:left w:val="nil"/>
              <w:bottom w:val="dotted" w:sz="4" w:space="0" w:color="000000"/>
              <w:right w:val="dotted" w:sz="7" w:space="0" w:color="BEBEBE"/>
            </w:tcBorders>
            <w:textDirection w:val="btLr"/>
          </w:tcPr>
          <w:p>
            <w:pPr/>
          </w:p>
        </w:tc>
        <w:tc>
          <w:tcPr>
            <w:tcW w:w="957" w:type="dxa"/>
            <w:tcBorders>
              <w:top w:val="dotted" w:sz="4" w:space="0" w:color="000000"/>
              <w:left w:val="dotted" w:sz="7" w:space="0" w:color="BEBEBE"/>
              <w:bottom w:val="dotted" w:sz="4" w:space="0" w:color="000000"/>
              <w:right w:val="dotted" w:sz="4" w:space="0" w:color="000000"/>
            </w:tcBorders>
          </w:tcPr>
          <w:p>
            <w:pPr>
              <w:pStyle w:val="TableParagraph"/>
              <w:spacing w:before="9"/>
              <w:ind w:left="9"/>
              <w:jc w:val="left"/>
              <w:rPr>
                <w:b/>
                <w:sz w:val="15"/>
              </w:rPr>
            </w:pPr>
            <w:r>
              <w:rPr>
                <w:b/>
                <w:sz w:val="15"/>
              </w:rPr>
              <w:t>Café</w:t>
            </w:r>
          </w:p>
          <w:p>
            <w:pPr>
              <w:pStyle w:val="TableParagraph"/>
              <w:spacing w:before="29"/>
              <w:ind w:left="9"/>
              <w:jc w:val="left"/>
              <w:rPr>
                <w:b/>
                <w:sz w:val="15"/>
              </w:rPr>
            </w:pPr>
            <w:r>
              <w:rPr>
                <w:b/>
                <w:w w:val="90"/>
                <w:sz w:val="15"/>
              </w:rPr>
              <w:t>con leche</w:t>
            </w:r>
          </w:p>
        </w:tc>
        <w:tc>
          <w:tcPr>
            <w:tcW w:w="944" w:type="dxa"/>
            <w:tcBorders>
              <w:top w:val="dotted" w:sz="4" w:space="0" w:color="000000"/>
              <w:left w:val="dotted" w:sz="4" w:space="0" w:color="000000"/>
              <w:bottom w:val="dotted" w:sz="4" w:space="0" w:color="000000"/>
              <w:right w:val="dotted" w:sz="4" w:space="0" w:color="000000"/>
            </w:tcBorders>
          </w:tcPr>
          <w:p>
            <w:pPr>
              <w:pStyle w:val="TableParagraph"/>
              <w:spacing w:before="7"/>
              <w:ind w:left="9"/>
              <w:jc w:val="left"/>
              <w:rPr>
                <w:sz w:val="12"/>
              </w:rPr>
            </w:pPr>
            <w:r>
              <w:rPr>
                <w:sz w:val="12"/>
              </w:rPr>
              <w:t>Si</w:t>
            </w:r>
          </w:p>
          <w:p>
            <w:pPr>
              <w:pStyle w:val="TableParagraph"/>
              <w:spacing w:before="57"/>
              <w:ind w:right="15"/>
              <w:jc w:val="right"/>
              <w:rPr>
                <w:b/>
                <w:sz w:val="12"/>
              </w:rPr>
            </w:pPr>
            <w:r>
              <w:rPr>
                <w:b/>
                <w:w w:val="92"/>
                <w:sz w:val="12"/>
              </w:rPr>
              <w:t>P</w:t>
            </w:r>
          </w:p>
          <w:p>
            <w:pPr>
              <w:pStyle w:val="TableParagraph"/>
              <w:spacing w:before="57"/>
              <w:ind w:left="9"/>
              <w:jc w:val="left"/>
              <w:rPr>
                <w:sz w:val="12"/>
              </w:rPr>
            </w:pPr>
            <w:r>
              <w:rPr>
                <w:sz w:val="12"/>
              </w:rPr>
              <w:t>No</w:t>
            </w:r>
          </w:p>
        </w:tc>
        <w:tc>
          <w:tcPr>
            <w:tcW w:w="6743" w:type="dxa"/>
            <w:tcBorders>
              <w:top w:val="dotted" w:sz="4" w:space="0" w:color="000000"/>
              <w:left w:val="dotted" w:sz="4" w:space="0" w:color="000000"/>
              <w:bottom w:val="dotted" w:sz="4" w:space="0" w:color="000000"/>
              <w:right w:val="nil"/>
            </w:tcBorders>
          </w:tcPr>
          <w:p>
            <w:pPr>
              <w:pStyle w:val="TableParagraph"/>
              <w:tabs>
                <w:tab w:pos="797" w:val="left" w:leader="none"/>
                <w:tab w:pos="1633" w:val="left" w:leader="none"/>
                <w:tab w:pos="2585" w:val="left" w:leader="none"/>
                <w:tab w:pos="3421" w:val="left" w:leader="none"/>
                <w:tab w:pos="4323" w:val="left" w:leader="none"/>
                <w:tab w:pos="5116" w:val="left" w:leader="none"/>
                <w:tab w:pos="5882" w:val="left" w:leader="none"/>
              </w:tabs>
              <w:spacing w:before="8"/>
              <w:ind w:right="5"/>
              <w:rPr>
                <w:sz w:val="14"/>
              </w:rPr>
            </w:pPr>
            <w:r>
              <w:rPr>
                <w:sz w:val="14"/>
              </w:rPr>
              <w:t>0.3</w:t>
            </w:r>
            <w:r>
              <w:rPr>
                <w:spacing w:val="-17"/>
                <w:sz w:val="14"/>
              </w:rPr>
              <w:t> </w:t>
            </w:r>
            <w:r>
              <w:rPr>
                <w:rFonts w:ascii="Times New Roman" w:hAnsi="Times New Roman"/>
                <w:sz w:val="14"/>
              </w:rPr>
              <w:t>±</w:t>
            </w:r>
            <w:r>
              <w:rPr>
                <w:rFonts w:ascii="Times New Roman" w:hAnsi="Times New Roman"/>
                <w:spacing w:val="-12"/>
                <w:sz w:val="14"/>
              </w:rPr>
              <w:t> </w:t>
            </w:r>
            <w:r>
              <w:rPr>
                <w:sz w:val="14"/>
              </w:rPr>
              <w:t>0.4</w:t>
              <w:tab/>
              <w:t>3.0</w:t>
            </w:r>
            <w:r>
              <w:rPr>
                <w:spacing w:val="-17"/>
                <w:sz w:val="14"/>
              </w:rPr>
              <w:t> </w:t>
            </w:r>
            <w:r>
              <w:rPr>
                <w:rFonts w:ascii="Times New Roman" w:hAnsi="Times New Roman"/>
                <w:sz w:val="14"/>
              </w:rPr>
              <w:t>±</w:t>
            </w:r>
            <w:r>
              <w:rPr>
                <w:rFonts w:ascii="Times New Roman" w:hAnsi="Times New Roman"/>
                <w:spacing w:val="-12"/>
                <w:sz w:val="14"/>
              </w:rPr>
              <w:t> </w:t>
            </w:r>
            <w:r>
              <w:rPr>
                <w:sz w:val="14"/>
              </w:rPr>
              <w:t>2.4</w:t>
              <w:tab/>
              <w:t>22.1</w:t>
            </w:r>
            <w:r>
              <w:rPr>
                <w:spacing w:val="-18"/>
                <w:sz w:val="14"/>
              </w:rPr>
              <w:t> </w:t>
            </w:r>
            <w:r>
              <w:rPr>
                <w:rFonts w:ascii="Times New Roman" w:hAnsi="Times New Roman"/>
                <w:sz w:val="14"/>
              </w:rPr>
              <w:t>±</w:t>
            </w:r>
            <w:r>
              <w:rPr>
                <w:rFonts w:ascii="Times New Roman" w:hAnsi="Times New Roman"/>
                <w:spacing w:val="-14"/>
                <w:sz w:val="14"/>
              </w:rPr>
              <w:t> </w:t>
            </w:r>
            <w:r>
              <w:rPr>
                <w:sz w:val="14"/>
              </w:rPr>
              <w:t>16.8</w:t>
              <w:tab/>
              <w:t>10.4</w:t>
            </w:r>
            <w:r>
              <w:rPr>
                <w:spacing w:val="-18"/>
                <w:sz w:val="14"/>
              </w:rPr>
              <w:t> </w:t>
            </w:r>
            <w:r>
              <w:rPr>
                <w:rFonts w:ascii="Times New Roman" w:hAnsi="Times New Roman"/>
                <w:sz w:val="14"/>
              </w:rPr>
              <w:t>±</w:t>
            </w:r>
            <w:r>
              <w:rPr>
                <w:rFonts w:ascii="Times New Roman" w:hAnsi="Times New Roman"/>
                <w:spacing w:val="-13"/>
                <w:sz w:val="14"/>
              </w:rPr>
              <w:t> </w:t>
            </w:r>
            <w:r>
              <w:rPr>
                <w:sz w:val="14"/>
              </w:rPr>
              <w:t>7.7</w:t>
              <w:tab/>
              <w:t>10.4</w:t>
            </w:r>
            <w:r>
              <w:rPr>
                <w:spacing w:val="-18"/>
                <w:sz w:val="14"/>
              </w:rPr>
              <w:t> </w:t>
            </w:r>
            <w:r>
              <w:rPr>
                <w:rFonts w:ascii="Times New Roman" w:hAnsi="Times New Roman"/>
                <w:sz w:val="14"/>
              </w:rPr>
              <w:t>±</w:t>
            </w:r>
            <w:r>
              <w:rPr>
                <w:rFonts w:ascii="Times New Roman" w:hAnsi="Times New Roman"/>
                <w:spacing w:val="-14"/>
                <w:sz w:val="14"/>
              </w:rPr>
              <w:t> </w:t>
            </w:r>
            <w:r>
              <w:rPr>
                <w:sz w:val="14"/>
              </w:rPr>
              <w:t>11.8</w:t>
              <w:tab/>
              <w:t>0.7</w:t>
            </w:r>
            <w:r>
              <w:rPr>
                <w:spacing w:val="-16"/>
                <w:sz w:val="14"/>
              </w:rPr>
              <w:t> </w:t>
            </w:r>
            <w:r>
              <w:rPr>
                <w:rFonts w:ascii="Times New Roman" w:hAnsi="Times New Roman"/>
                <w:sz w:val="14"/>
              </w:rPr>
              <w:t>±</w:t>
            </w:r>
            <w:r>
              <w:rPr>
                <w:rFonts w:ascii="Times New Roman" w:hAnsi="Times New Roman"/>
                <w:spacing w:val="-12"/>
                <w:sz w:val="14"/>
              </w:rPr>
              <w:t> </w:t>
            </w:r>
            <w:r>
              <w:rPr>
                <w:sz w:val="14"/>
              </w:rPr>
              <w:t>1.3</w:t>
              <w:tab/>
              <w:t>8.6</w:t>
            </w:r>
            <w:r>
              <w:rPr>
                <w:spacing w:val="-16"/>
                <w:sz w:val="14"/>
              </w:rPr>
              <w:t> </w:t>
            </w:r>
            <w:r>
              <w:rPr>
                <w:rFonts w:ascii="Times New Roman" w:hAnsi="Times New Roman"/>
                <w:sz w:val="14"/>
              </w:rPr>
              <w:t>±</w:t>
            </w:r>
            <w:r>
              <w:rPr>
                <w:rFonts w:ascii="Times New Roman" w:hAnsi="Times New Roman"/>
                <w:spacing w:val="-12"/>
                <w:sz w:val="14"/>
              </w:rPr>
              <w:t> </w:t>
            </w:r>
            <w:r>
              <w:rPr>
                <w:sz w:val="14"/>
              </w:rPr>
              <w:t>7.7</w:t>
              <w:tab/>
            </w:r>
            <w:r>
              <w:rPr>
                <w:w w:val="95"/>
                <w:sz w:val="14"/>
              </w:rPr>
              <w:t>55.5 </w:t>
            </w:r>
            <w:r>
              <w:rPr>
                <w:rFonts w:ascii="Times New Roman" w:hAnsi="Times New Roman"/>
                <w:w w:val="95"/>
                <w:sz w:val="14"/>
              </w:rPr>
              <w:t>±</w:t>
            </w:r>
            <w:r>
              <w:rPr>
                <w:rFonts w:ascii="Times New Roman" w:hAnsi="Times New Roman"/>
                <w:spacing w:val="-21"/>
                <w:w w:val="95"/>
                <w:sz w:val="14"/>
              </w:rPr>
              <w:t> </w:t>
            </w:r>
            <w:r>
              <w:rPr>
                <w:w w:val="95"/>
                <w:sz w:val="14"/>
              </w:rPr>
              <w:t>29.1</w:t>
            </w:r>
          </w:p>
          <w:p>
            <w:pPr>
              <w:pStyle w:val="TableParagraph"/>
              <w:tabs>
                <w:tab w:pos="788" w:val="left" w:leader="none"/>
                <w:tab w:pos="1698" w:val="left" w:leader="none"/>
                <w:tab w:pos="2613" w:val="left" w:leader="none"/>
                <w:tab w:pos="3449" w:val="left" w:leader="none"/>
                <w:tab w:pos="4323" w:val="left" w:leader="none"/>
                <w:tab w:pos="5116" w:val="left" w:leader="none"/>
                <w:tab w:pos="5947" w:val="left" w:leader="none"/>
              </w:tabs>
              <w:spacing w:before="33"/>
              <w:ind w:right="73"/>
              <w:rPr>
                <w:sz w:val="14"/>
              </w:rPr>
            </w:pPr>
            <w:r>
              <w:rPr>
                <w:sz w:val="14"/>
              </w:rPr>
              <w:t>0.9*</w:t>
              <w:tab/>
              <w:t>0.9*</w:t>
              <w:tab/>
              <w:t>0.1*</w:t>
              <w:tab/>
              <w:t>0.4*</w:t>
              <w:tab/>
              <w:t>0.08*</w:t>
              <w:tab/>
              <w:t>0.4*</w:t>
              <w:tab/>
              <w:t>0.3*</w:t>
              <w:tab/>
              <w:t>0.3*</w:t>
            </w:r>
          </w:p>
          <w:p>
            <w:pPr>
              <w:pStyle w:val="TableParagraph"/>
              <w:tabs>
                <w:tab w:pos="797" w:val="left" w:leader="none"/>
                <w:tab w:pos="1633" w:val="left" w:leader="none"/>
                <w:tab w:pos="2622" w:val="left" w:leader="none"/>
                <w:tab w:pos="3495" w:val="left" w:leader="none"/>
                <w:tab w:pos="4323" w:val="left" w:leader="none"/>
                <w:tab w:pos="5042" w:val="left" w:leader="none"/>
              </w:tabs>
              <w:spacing w:before="34"/>
              <w:ind w:right="5"/>
              <w:rPr>
                <w:sz w:val="14"/>
              </w:rPr>
            </w:pPr>
            <w:r>
              <w:rPr>
                <w:sz w:val="14"/>
              </w:rPr>
              <w:t>0.3</w:t>
            </w:r>
            <w:r>
              <w:rPr>
                <w:spacing w:val="-17"/>
                <w:sz w:val="14"/>
              </w:rPr>
              <w:t> </w:t>
            </w:r>
            <w:r>
              <w:rPr>
                <w:rFonts w:ascii="Times New Roman" w:hAnsi="Times New Roman"/>
                <w:sz w:val="14"/>
              </w:rPr>
              <w:t>±</w:t>
            </w:r>
            <w:r>
              <w:rPr>
                <w:rFonts w:ascii="Times New Roman" w:hAnsi="Times New Roman"/>
                <w:spacing w:val="-12"/>
                <w:sz w:val="14"/>
              </w:rPr>
              <w:t> </w:t>
            </w:r>
            <w:r>
              <w:rPr>
                <w:sz w:val="14"/>
              </w:rPr>
              <w:t>0.6</w:t>
              <w:tab/>
              <w:t>3.1</w:t>
            </w:r>
            <w:r>
              <w:rPr>
                <w:spacing w:val="-16"/>
                <w:sz w:val="14"/>
              </w:rPr>
              <w:t> </w:t>
            </w:r>
            <w:r>
              <w:rPr>
                <w:rFonts w:ascii="Times New Roman" w:hAnsi="Times New Roman"/>
                <w:sz w:val="14"/>
              </w:rPr>
              <w:t>±</w:t>
            </w:r>
            <w:r>
              <w:rPr>
                <w:rFonts w:ascii="Times New Roman" w:hAnsi="Times New Roman"/>
                <w:spacing w:val="-12"/>
                <w:sz w:val="14"/>
              </w:rPr>
              <w:t> </w:t>
            </w:r>
            <w:r>
              <w:rPr>
                <w:sz w:val="14"/>
              </w:rPr>
              <w:t>2.7</w:t>
              <w:tab/>
              <w:t>15.8</w:t>
            </w:r>
            <w:r>
              <w:rPr>
                <w:spacing w:val="-18"/>
                <w:sz w:val="14"/>
              </w:rPr>
              <w:t> </w:t>
            </w:r>
            <w:r>
              <w:rPr>
                <w:rFonts w:ascii="Times New Roman" w:hAnsi="Times New Roman"/>
                <w:sz w:val="14"/>
              </w:rPr>
              <w:t>±</w:t>
            </w:r>
            <w:r>
              <w:rPr>
                <w:rFonts w:ascii="Times New Roman" w:hAnsi="Times New Roman"/>
                <w:spacing w:val="-14"/>
                <w:sz w:val="14"/>
              </w:rPr>
              <w:t> </w:t>
            </w:r>
            <w:r>
              <w:rPr>
                <w:sz w:val="14"/>
              </w:rPr>
              <w:t>13.2</w:t>
              <w:tab/>
              <w:t>8.8</w:t>
            </w:r>
            <w:r>
              <w:rPr>
                <w:spacing w:val="-16"/>
                <w:sz w:val="14"/>
              </w:rPr>
              <w:t> </w:t>
            </w:r>
            <w:r>
              <w:rPr>
                <w:rFonts w:ascii="Times New Roman" w:hAnsi="Times New Roman"/>
                <w:sz w:val="14"/>
              </w:rPr>
              <w:t>±</w:t>
            </w:r>
            <w:r>
              <w:rPr>
                <w:rFonts w:ascii="Times New Roman" w:hAnsi="Times New Roman"/>
                <w:spacing w:val="-12"/>
                <w:sz w:val="14"/>
              </w:rPr>
              <w:t> </w:t>
            </w:r>
            <w:r>
              <w:rPr>
                <w:sz w:val="14"/>
              </w:rPr>
              <w:t>6.3</w:t>
              <w:tab/>
              <w:t>6.7</w:t>
            </w:r>
            <w:r>
              <w:rPr>
                <w:spacing w:val="-16"/>
                <w:sz w:val="14"/>
              </w:rPr>
              <w:t> </w:t>
            </w:r>
            <w:r>
              <w:rPr>
                <w:rFonts w:ascii="Times New Roman" w:hAnsi="Times New Roman"/>
                <w:sz w:val="14"/>
              </w:rPr>
              <w:t>±</w:t>
            </w:r>
            <w:r>
              <w:rPr>
                <w:rFonts w:ascii="Times New Roman" w:hAnsi="Times New Roman"/>
                <w:spacing w:val="-12"/>
                <w:sz w:val="14"/>
              </w:rPr>
              <w:t> </w:t>
            </w:r>
            <w:r>
              <w:rPr>
                <w:sz w:val="14"/>
              </w:rPr>
              <w:t>8.9</w:t>
              <w:tab/>
              <w:t>1.3</w:t>
            </w:r>
            <w:r>
              <w:rPr>
                <w:spacing w:val="-16"/>
                <w:sz w:val="14"/>
              </w:rPr>
              <w:t> </w:t>
            </w:r>
            <w:r>
              <w:rPr>
                <w:rFonts w:ascii="Times New Roman" w:hAnsi="Times New Roman"/>
                <w:sz w:val="14"/>
              </w:rPr>
              <w:t>±</w:t>
            </w:r>
            <w:r>
              <w:rPr>
                <w:rFonts w:ascii="Times New Roman" w:hAnsi="Times New Roman"/>
                <w:spacing w:val="-12"/>
                <w:sz w:val="14"/>
              </w:rPr>
              <w:t> </w:t>
            </w:r>
            <w:r>
              <w:rPr>
                <w:sz w:val="14"/>
              </w:rPr>
              <w:t>2.0</w:t>
              <w:tab/>
              <w:t>12.3 </w:t>
            </w:r>
            <w:r>
              <w:rPr>
                <w:rFonts w:ascii="Times New Roman" w:hAnsi="Times New Roman"/>
                <w:sz w:val="14"/>
              </w:rPr>
              <w:t>± </w:t>
            </w:r>
            <w:r>
              <w:rPr>
                <w:sz w:val="14"/>
              </w:rPr>
              <w:t>11.3 </w:t>
            </w:r>
            <w:r>
              <w:rPr>
                <w:spacing w:val="2"/>
                <w:sz w:val="14"/>
              </w:rPr>
              <w:t> </w:t>
            </w:r>
            <w:r>
              <w:rPr>
                <w:sz w:val="14"/>
              </w:rPr>
              <w:t>48.2 </w:t>
            </w:r>
            <w:r>
              <w:rPr>
                <w:rFonts w:ascii="Times New Roman" w:hAnsi="Times New Roman"/>
                <w:sz w:val="14"/>
              </w:rPr>
              <w:t>± </w:t>
            </w:r>
            <w:r>
              <w:rPr>
                <w:sz w:val="14"/>
              </w:rPr>
              <w:t>27.6</w:t>
            </w:r>
          </w:p>
        </w:tc>
      </w:tr>
      <w:tr>
        <w:trPr>
          <w:trHeight w:val="616" w:hRule="exact"/>
        </w:trPr>
        <w:tc>
          <w:tcPr>
            <w:tcW w:w="1193" w:type="dxa"/>
            <w:gridSpan w:val="2"/>
            <w:tcBorders>
              <w:top w:val="dotted" w:sz="4" w:space="0" w:color="000000"/>
              <w:left w:val="nil"/>
              <w:bottom w:val="dotted" w:sz="4" w:space="0" w:color="000000"/>
              <w:right w:val="dotted" w:sz="4" w:space="0" w:color="000000"/>
            </w:tcBorders>
          </w:tcPr>
          <w:p>
            <w:pPr>
              <w:pStyle w:val="TableParagraph"/>
              <w:spacing w:line="288" w:lineRule="auto" w:before="9"/>
              <w:ind w:left="258" w:right="167" w:firstLine="92"/>
              <w:jc w:val="left"/>
              <w:rPr>
                <w:b/>
                <w:sz w:val="15"/>
              </w:rPr>
            </w:pPr>
            <w:r>
              <w:rPr>
                <w:b/>
                <w:sz w:val="15"/>
              </w:rPr>
              <w:t>Lavado </w:t>
            </w:r>
            <w:r>
              <w:rPr>
                <w:b/>
                <w:w w:val="95"/>
                <w:sz w:val="15"/>
              </w:rPr>
              <w:t>de frutas y </w:t>
            </w:r>
            <w:r>
              <w:rPr>
                <w:b/>
                <w:sz w:val="15"/>
              </w:rPr>
              <w:t>verduras</w:t>
            </w:r>
          </w:p>
        </w:tc>
        <w:tc>
          <w:tcPr>
            <w:tcW w:w="944" w:type="dxa"/>
            <w:tcBorders>
              <w:top w:val="dotted" w:sz="4" w:space="0" w:color="000000"/>
              <w:left w:val="dotted" w:sz="4" w:space="0" w:color="000000"/>
              <w:bottom w:val="dotted" w:sz="4" w:space="0" w:color="000000"/>
              <w:right w:val="dotted" w:sz="4" w:space="0" w:color="000000"/>
            </w:tcBorders>
          </w:tcPr>
          <w:p>
            <w:pPr>
              <w:pStyle w:val="TableParagraph"/>
              <w:spacing w:before="7"/>
              <w:ind w:left="9"/>
              <w:jc w:val="left"/>
              <w:rPr>
                <w:sz w:val="12"/>
              </w:rPr>
            </w:pPr>
            <w:r>
              <w:rPr>
                <w:w w:val="95"/>
                <w:sz w:val="12"/>
              </w:rPr>
              <w:t>Agua y jabón</w:t>
            </w:r>
          </w:p>
          <w:p>
            <w:pPr>
              <w:pStyle w:val="TableParagraph"/>
              <w:spacing w:before="57"/>
              <w:ind w:right="15"/>
              <w:jc w:val="right"/>
              <w:rPr>
                <w:b/>
                <w:sz w:val="12"/>
              </w:rPr>
            </w:pPr>
            <w:r>
              <w:rPr>
                <w:b/>
                <w:w w:val="92"/>
                <w:sz w:val="12"/>
              </w:rPr>
              <w:t>P</w:t>
            </w:r>
          </w:p>
          <w:p>
            <w:pPr>
              <w:pStyle w:val="TableParagraph"/>
              <w:spacing w:before="57"/>
              <w:ind w:left="9"/>
              <w:jc w:val="left"/>
              <w:rPr>
                <w:sz w:val="12"/>
              </w:rPr>
            </w:pPr>
            <w:r>
              <w:rPr>
                <w:sz w:val="12"/>
              </w:rPr>
              <w:t>Agua</w:t>
            </w:r>
          </w:p>
        </w:tc>
        <w:tc>
          <w:tcPr>
            <w:tcW w:w="6743" w:type="dxa"/>
            <w:tcBorders>
              <w:top w:val="dotted" w:sz="4" w:space="0" w:color="000000"/>
              <w:left w:val="dotted" w:sz="4" w:space="0" w:color="000000"/>
              <w:bottom w:val="dotted" w:sz="4" w:space="0" w:color="000000"/>
              <w:right w:val="nil"/>
            </w:tcBorders>
          </w:tcPr>
          <w:p>
            <w:pPr>
              <w:pStyle w:val="TableParagraph"/>
              <w:tabs>
                <w:tab w:pos="797" w:val="left" w:leader="none"/>
                <w:tab w:pos="1633" w:val="left" w:leader="none"/>
                <w:tab w:pos="2622" w:val="left" w:leader="none"/>
                <w:tab w:pos="3458" w:val="left" w:leader="none"/>
                <w:tab w:pos="4323" w:val="left" w:leader="none"/>
                <w:tab w:pos="5079" w:val="left" w:leader="none"/>
                <w:tab w:pos="5882" w:val="left" w:leader="none"/>
              </w:tabs>
              <w:spacing w:before="8"/>
              <w:ind w:right="5"/>
              <w:rPr>
                <w:sz w:val="14"/>
              </w:rPr>
            </w:pPr>
            <w:r>
              <w:rPr>
                <w:sz w:val="14"/>
              </w:rPr>
              <w:t>0.3</w:t>
            </w:r>
            <w:r>
              <w:rPr>
                <w:spacing w:val="-17"/>
                <w:sz w:val="14"/>
              </w:rPr>
              <w:t> </w:t>
            </w:r>
            <w:r>
              <w:rPr>
                <w:rFonts w:ascii="Times New Roman" w:hAnsi="Times New Roman"/>
                <w:sz w:val="14"/>
              </w:rPr>
              <w:t>±</w:t>
            </w:r>
            <w:r>
              <w:rPr>
                <w:rFonts w:ascii="Times New Roman" w:hAnsi="Times New Roman"/>
                <w:spacing w:val="-12"/>
                <w:sz w:val="14"/>
              </w:rPr>
              <w:t> </w:t>
            </w:r>
            <w:r>
              <w:rPr>
                <w:sz w:val="14"/>
              </w:rPr>
              <w:t>0.5</w:t>
              <w:tab/>
              <w:t>3.3</w:t>
            </w:r>
            <w:r>
              <w:rPr>
                <w:spacing w:val="-16"/>
                <w:sz w:val="14"/>
              </w:rPr>
              <w:t> </w:t>
            </w:r>
            <w:r>
              <w:rPr>
                <w:rFonts w:ascii="Times New Roman" w:hAnsi="Times New Roman"/>
                <w:sz w:val="14"/>
              </w:rPr>
              <w:t>±</w:t>
            </w:r>
            <w:r>
              <w:rPr>
                <w:rFonts w:ascii="Times New Roman" w:hAnsi="Times New Roman"/>
                <w:spacing w:val="-12"/>
                <w:sz w:val="14"/>
              </w:rPr>
              <w:t> </w:t>
            </w:r>
            <w:r>
              <w:rPr>
                <w:sz w:val="14"/>
              </w:rPr>
              <w:t>2.8</w:t>
              <w:tab/>
              <w:t>15.7</w:t>
            </w:r>
            <w:r>
              <w:rPr>
                <w:spacing w:val="-18"/>
                <w:sz w:val="14"/>
              </w:rPr>
              <w:t> </w:t>
            </w:r>
            <w:r>
              <w:rPr>
                <w:rFonts w:ascii="Times New Roman" w:hAnsi="Times New Roman"/>
                <w:sz w:val="14"/>
              </w:rPr>
              <w:t>±</w:t>
            </w:r>
            <w:r>
              <w:rPr>
                <w:rFonts w:ascii="Times New Roman" w:hAnsi="Times New Roman"/>
                <w:spacing w:val="-14"/>
                <w:sz w:val="14"/>
              </w:rPr>
              <w:t> </w:t>
            </w:r>
            <w:r>
              <w:rPr>
                <w:sz w:val="14"/>
              </w:rPr>
              <w:t>12.9</w:t>
              <w:tab/>
              <w:t>9.0</w:t>
            </w:r>
            <w:r>
              <w:rPr>
                <w:spacing w:val="-16"/>
                <w:sz w:val="14"/>
              </w:rPr>
              <w:t> </w:t>
            </w:r>
            <w:r>
              <w:rPr>
                <w:rFonts w:ascii="Times New Roman" w:hAnsi="Times New Roman"/>
                <w:sz w:val="14"/>
              </w:rPr>
              <w:t>±</w:t>
            </w:r>
            <w:r>
              <w:rPr>
                <w:rFonts w:ascii="Times New Roman" w:hAnsi="Times New Roman"/>
                <w:spacing w:val="-12"/>
                <w:sz w:val="14"/>
              </w:rPr>
              <w:t> </w:t>
            </w:r>
            <w:r>
              <w:rPr>
                <w:sz w:val="14"/>
              </w:rPr>
              <w:t>7.1</w:t>
              <w:tab/>
              <w:t>7.5</w:t>
            </w:r>
            <w:r>
              <w:rPr>
                <w:spacing w:val="-17"/>
                <w:sz w:val="14"/>
              </w:rPr>
              <w:t> </w:t>
            </w:r>
            <w:r>
              <w:rPr>
                <w:rFonts w:ascii="Times New Roman" w:hAnsi="Times New Roman"/>
                <w:sz w:val="14"/>
              </w:rPr>
              <w:t>±</w:t>
            </w:r>
            <w:r>
              <w:rPr>
                <w:rFonts w:ascii="Times New Roman" w:hAnsi="Times New Roman"/>
                <w:spacing w:val="-14"/>
                <w:sz w:val="14"/>
              </w:rPr>
              <w:t> </w:t>
            </w:r>
            <w:r>
              <w:rPr>
                <w:sz w:val="14"/>
              </w:rPr>
              <w:t>10.2</w:t>
              <w:tab/>
              <w:t>1.1</w:t>
            </w:r>
            <w:r>
              <w:rPr>
                <w:spacing w:val="-16"/>
                <w:sz w:val="14"/>
              </w:rPr>
              <w:t> </w:t>
            </w:r>
            <w:r>
              <w:rPr>
                <w:rFonts w:ascii="Times New Roman" w:hAnsi="Times New Roman"/>
                <w:sz w:val="14"/>
              </w:rPr>
              <w:t>±</w:t>
            </w:r>
            <w:r>
              <w:rPr>
                <w:rFonts w:ascii="Times New Roman" w:hAnsi="Times New Roman"/>
                <w:spacing w:val="-12"/>
                <w:sz w:val="14"/>
              </w:rPr>
              <w:t> </w:t>
            </w:r>
            <w:r>
              <w:rPr>
                <w:sz w:val="14"/>
              </w:rPr>
              <w:t>1.6</w:t>
              <w:tab/>
              <w:t>10.3</w:t>
            </w:r>
            <w:r>
              <w:rPr>
                <w:spacing w:val="-17"/>
                <w:sz w:val="14"/>
              </w:rPr>
              <w:t> </w:t>
            </w:r>
            <w:r>
              <w:rPr>
                <w:rFonts w:ascii="Times New Roman" w:hAnsi="Times New Roman"/>
                <w:sz w:val="14"/>
              </w:rPr>
              <w:t>±</w:t>
            </w:r>
            <w:r>
              <w:rPr>
                <w:rFonts w:ascii="Times New Roman" w:hAnsi="Times New Roman"/>
                <w:spacing w:val="-14"/>
                <w:sz w:val="14"/>
              </w:rPr>
              <w:t> </w:t>
            </w:r>
            <w:r>
              <w:rPr>
                <w:sz w:val="14"/>
              </w:rPr>
              <w:t>9.0</w:t>
              <w:tab/>
            </w:r>
            <w:r>
              <w:rPr>
                <w:w w:val="95"/>
                <w:sz w:val="14"/>
              </w:rPr>
              <w:t>47.2 </w:t>
            </w:r>
            <w:r>
              <w:rPr>
                <w:rFonts w:ascii="Times New Roman" w:hAnsi="Times New Roman"/>
                <w:w w:val="95"/>
                <w:sz w:val="14"/>
              </w:rPr>
              <w:t>±</w:t>
            </w:r>
            <w:r>
              <w:rPr>
                <w:rFonts w:ascii="Times New Roman" w:hAnsi="Times New Roman"/>
                <w:spacing w:val="-22"/>
                <w:w w:val="95"/>
                <w:sz w:val="14"/>
              </w:rPr>
              <w:t> </w:t>
            </w:r>
            <w:r>
              <w:rPr>
                <w:w w:val="95"/>
                <w:sz w:val="14"/>
              </w:rPr>
              <w:t>25.9</w:t>
            </w:r>
          </w:p>
          <w:p>
            <w:pPr>
              <w:pStyle w:val="TableParagraph"/>
              <w:tabs>
                <w:tab w:pos="788" w:val="left" w:leader="none"/>
                <w:tab w:pos="1698" w:val="left" w:leader="none"/>
                <w:tab w:pos="2613" w:val="left" w:leader="none"/>
                <w:tab w:pos="3486" w:val="left" w:leader="none"/>
                <w:tab w:pos="4323" w:val="left" w:leader="none"/>
                <w:tab w:pos="5116" w:val="left" w:leader="none"/>
                <w:tab w:pos="5947" w:val="left" w:leader="none"/>
              </w:tabs>
              <w:spacing w:before="33"/>
              <w:ind w:right="73"/>
              <w:rPr>
                <w:sz w:val="14"/>
              </w:rPr>
            </w:pPr>
            <w:r>
              <w:rPr>
                <w:sz w:val="14"/>
              </w:rPr>
              <w:t>0.3*</w:t>
              <w:tab/>
              <w:t>0.5*</w:t>
              <w:tab/>
              <w:t>0.1*</w:t>
              <w:tab/>
              <w:t>0.4*</w:t>
              <w:tab/>
              <w:t>0.3*</w:t>
              <w:tab/>
              <w:t>0.3*</w:t>
              <w:tab/>
              <w:t>0.5*</w:t>
              <w:tab/>
              <w:t>0.2*</w:t>
            </w:r>
          </w:p>
          <w:p>
            <w:pPr>
              <w:pStyle w:val="TableParagraph"/>
              <w:tabs>
                <w:tab w:pos="797" w:val="left" w:leader="none"/>
                <w:tab w:pos="1633" w:val="left" w:leader="none"/>
                <w:tab w:pos="2622" w:val="left" w:leader="none"/>
                <w:tab w:pos="3495" w:val="left" w:leader="none"/>
                <w:tab w:pos="4323" w:val="left" w:leader="none"/>
                <w:tab w:pos="5042" w:val="left" w:leader="none"/>
              </w:tabs>
              <w:spacing w:before="34"/>
              <w:ind w:right="5"/>
              <w:rPr>
                <w:sz w:val="14"/>
              </w:rPr>
            </w:pPr>
            <w:r>
              <w:rPr>
                <w:sz w:val="14"/>
              </w:rPr>
              <w:t>0.2</w:t>
            </w:r>
            <w:r>
              <w:rPr>
                <w:spacing w:val="-17"/>
                <w:sz w:val="14"/>
              </w:rPr>
              <w:t> </w:t>
            </w:r>
            <w:r>
              <w:rPr>
                <w:rFonts w:ascii="Times New Roman" w:hAnsi="Times New Roman"/>
                <w:sz w:val="14"/>
              </w:rPr>
              <w:t>±</w:t>
            </w:r>
            <w:r>
              <w:rPr>
                <w:rFonts w:ascii="Times New Roman" w:hAnsi="Times New Roman"/>
                <w:spacing w:val="-12"/>
                <w:sz w:val="14"/>
              </w:rPr>
              <w:t> </w:t>
            </w:r>
            <w:r>
              <w:rPr>
                <w:sz w:val="14"/>
              </w:rPr>
              <w:t>0.5</w:t>
              <w:tab/>
              <w:t>2.5</w:t>
            </w:r>
            <w:r>
              <w:rPr>
                <w:spacing w:val="-16"/>
                <w:sz w:val="14"/>
              </w:rPr>
              <w:t> </w:t>
            </w:r>
            <w:r>
              <w:rPr>
                <w:rFonts w:ascii="Times New Roman" w:hAnsi="Times New Roman"/>
                <w:sz w:val="14"/>
              </w:rPr>
              <w:t>±</w:t>
            </w:r>
            <w:r>
              <w:rPr>
                <w:rFonts w:ascii="Times New Roman" w:hAnsi="Times New Roman"/>
                <w:spacing w:val="-12"/>
                <w:sz w:val="14"/>
              </w:rPr>
              <w:t> </w:t>
            </w:r>
            <w:r>
              <w:rPr>
                <w:sz w:val="14"/>
              </w:rPr>
              <w:t>1.9</w:t>
              <w:tab/>
              <w:t>22.1</w:t>
            </w:r>
            <w:r>
              <w:rPr>
                <w:spacing w:val="-18"/>
                <w:sz w:val="14"/>
              </w:rPr>
              <w:t> </w:t>
            </w:r>
            <w:r>
              <w:rPr>
                <w:rFonts w:ascii="Times New Roman" w:hAnsi="Times New Roman"/>
                <w:sz w:val="14"/>
              </w:rPr>
              <w:t>±</w:t>
            </w:r>
            <w:r>
              <w:rPr>
                <w:rFonts w:ascii="Times New Roman" w:hAnsi="Times New Roman"/>
                <w:spacing w:val="-14"/>
                <w:sz w:val="14"/>
              </w:rPr>
              <w:t> </w:t>
            </w:r>
            <w:r>
              <w:rPr>
                <w:sz w:val="14"/>
              </w:rPr>
              <w:t>17.3</w:t>
              <w:tab/>
              <w:t>9.8</w:t>
            </w:r>
            <w:r>
              <w:rPr>
                <w:spacing w:val="-16"/>
                <w:sz w:val="14"/>
              </w:rPr>
              <w:t> </w:t>
            </w:r>
            <w:r>
              <w:rPr>
                <w:rFonts w:ascii="Times New Roman" w:hAnsi="Times New Roman"/>
                <w:sz w:val="14"/>
              </w:rPr>
              <w:t>±</w:t>
            </w:r>
            <w:r>
              <w:rPr>
                <w:rFonts w:ascii="Times New Roman" w:hAnsi="Times New Roman"/>
                <w:spacing w:val="-12"/>
                <w:sz w:val="14"/>
              </w:rPr>
              <w:t> </w:t>
            </w:r>
            <w:r>
              <w:rPr>
                <w:sz w:val="14"/>
              </w:rPr>
              <w:t>5.7</w:t>
              <w:tab/>
              <w:t>8.6</w:t>
            </w:r>
            <w:r>
              <w:rPr>
                <w:spacing w:val="-16"/>
                <w:sz w:val="14"/>
              </w:rPr>
              <w:t> </w:t>
            </w:r>
            <w:r>
              <w:rPr>
                <w:rFonts w:ascii="Times New Roman" w:hAnsi="Times New Roman"/>
                <w:sz w:val="14"/>
              </w:rPr>
              <w:t>±</w:t>
            </w:r>
            <w:r>
              <w:rPr>
                <w:rFonts w:ascii="Times New Roman" w:hAnsi="Times New Roman"/>
                <w:spacing w:val="-12"/>
                <w:sz w:val="14"/>
              </w:rPr>
              <w:t> </w:t>
            </w:r>
            <w:r>
              <w:rPr>
                <w:sz w:val="14"/>
              </w:rPr>
              <w:t>9.5</w:t>
              <w:tab/>
              <w:t>1.2</w:t>
            </w:r>
            <w:r>
              <w:rPr>
                <w:spacing w:val="-16"/>
                <w:sz w:val="14"/>
              </w:rPr>
              <w:t> </w:t>
            </w:r>
            <w:r>
              <w:rPr>
                <w:rFonts w:ascii="Times New Roman" w:hAnsi="Times New Roman"/>
                <w:sz w:val="14"/>
              </w:rPr>
              <w:t>±</w:t>
            </w:r>
            <w:r>
              <w:rPr>
                <w:rFonts w:ascii="Times New Roman" w:hAnsi="Times New Roman"/>
                <w:spacing w:val="-12"/>
                <w:sz w:val="14"/>
              </w:rPr>
              <w:t> </w:t>
            </w:r>
            <w:r>
              <w:rPr>
                <w:sz w:val="14"/>
              </w:rPr>
              <w:t>2.4</w:t>
              <w:tab/>
              <w:t>13.3 </w:t>
            </w:r>
            <w:r>
              <w:rPr>
                <w:rFonts w:ascii="Times New Roman" w:hAnsi="Times New Roman"/>
                <w:sz w:val="14"/>
              </w:rPr>
              <w:t>± </w:t>
            </w:r>
            <w:r>
              <w:rPr>
                <w:sz w:val="14"/>
              </w:rPr>
              <w:t>13.2 </w:t>
            </w:r>
            <w:r>
              <w:rPr>
                <w:spacing w:val="2"/>
                <w:sz w:val="14"/>
              </w:rPr>
              <w:t> </w:t>
            </w:r>
            <w:r>
              <w:rPr>
                <w:sz w:val="14"/>
              </w:rPr>
              <w:t>57.8 </w:t>
            </w:r>
            <w:r>
              <w:rPr>
                <w:rFonts w:ascii="Times New Roman" w:hAnsi="Times New Roman"/>
                <w:sz w:val="14"/>
              </w:rPr>
              <w:t>± </w:t>
            </w:r>
            <w:r>
              <w:rPr>
                <w:sz w:val="14"/>
              </w:rPr>
              <w:t>31.8</w:t>
            </w:r>
          </w:p>
        </w:tc>
      </w:tr>
      <w:tr>
        <w:trPr>
          <w:trHeight w:val="616" w:hRule="exact"/>
        </w:trPr>
        <w:tc>
          <w:tcPr>
            <w:tcW w:w="1193" w:type="dxa"/>
            <w:gridSpan w:val="2"/>
            <w:tcBorders>
              <w:top w:val="dotted" w:sz="4" w:space="0" w:color="000000"/>
              <w:left w:val="nil"/>
              <w:bottom w:val="dotted" w:sz="4" w:space="0" w:color="000000"/>
              <w:right w:val="dotted" w:sz="4" w:space="0" w:color="000000"/>
            </w:tcBorders>
          </w:tcPr>
          <w:p>
            <w:pPr>
              <w:pStyle w:val="TableParagraph"/>
              <w:spacing w:line="288" w:lineRule="auto" w:before="6"/>
              <w:ind w:left="45" w:right="56" w:firstLine="9"/>
              <w:rPr>
                <w:b/>
                <w:sz w:val="15"/>
              </w:rPr>
            </w:pPr>
            <w:r>
              <w:rPr>
                <w:b/>
                <w:sz w:val="15"/>
              </w:rPr>
              <w:t>Antecedentes </w:t>
            </w:r>
            <w:r>
              <w:rPr>
                <w:b/>
                <w:w w:val="90"/>
                <w:sz w:val="15"/>
              </w:rPr>
              <w:t>heredofamiliares </w:t>
            </w:r>
            <w:r>
              <w:rPr>
                <w:b/>
                <w:w w:val="95"/>
                <w:sz w:val="15"/>
              </w:rPr>
              <w:t>de cáncer</w:t>
            </w:r>
          </w:p>
        </w:tc>
        <w:tc>
          <w:tcPr>
            <w:tcW w:w="944" w:type="dxa"/>
            <w:tcBorders>
              <w:top w:val="dotted" w:sz="4" w:space="0" w:color="000000"/>
              <w:left w:val="dotted" w:sz="4" w:space="0" w:color="000000"/>
              <w:bottom w:val="dotted" w:sz="4" w:space="0" w:color="000000"/>
              <w:right w:val="dotted" w:sz="4" w:space="0" w:color="000000"/>
            </w:tcBorders>
          </w:tcPr>
          <w:p>
            <w:pPr>
              <w:pStyle w:val="TableParagraph"/>
              <w:spacing w:before="4"/>
              <w:ind w:left="9"/>
              <w:jc w:val="left"/>
              <w:rPr>
                <w:sz w:val="12"/>
              </w:rPr>
            </w:pPr>
            <w:r>
              <w:rPr>
                <w:sz w:val="12"/>
              </w:rPr>
              <w:t>Si</w:t>
            </w:r>
          </w:p>
          <w:p>
            <w:pPr>
              <w:pStyle w:val="TableParagraph"/>
              <w:spacing w:before="57"/>
              <w:ind w:right="15"/>
              <w:jc w:val="right"/>
              <w:rPr>
                <w:b/>
                <w:sz w:val="12"/>
              </w:rPr>
            </w:pPr>
            <w:r>
              <w:rPr>
                <w:b/>
                <w:w w:val="92"/>
                <w:sz w:val="12"/>
              </w:rPr>
              <w:t>P</w:t>
            </w:r>
          </w:p>
          <w:p>
            <w:pPr>
              <w:pStyle w:val="TableParagraph"/>
              <w:spacing w:before="57"/>
              <w:ind w:left="9"/>
              <w:jc w:val="left"/>
              <w:rPr>
                <w:sz w:val="12"/>
              </w:rPr>
            </w:pPr>
            <w:r>
              <w:rPr>
                <w:sz w:val="12"/>
              </w:rPr>
              <w:t>No</w:t>
            </w:r>
          </w:p>
        </w:tc>
        <w:tc>
          <w:tcPr>
            <w:tcW w:w="6743" w:type="dxa"/>
            <w:tcBorders>
              <w:top w:val="dotted" w:sz="4" w:space="0" w:color="000000"/>
              <w:left w:val="dotted" w:sz="4" w:space="0" w:color="000000"/>
              <w:bottom w:val="dotted" w:sz="4" w:space="0" w:color="000000"/>
              <w:right w:val="nil"/>
            </w:tcBorders>
          </w:tcPr>
          <w:p>
            <w:pPr>
              <w:pStyle w:val="TableParagraph"/>
              <w:tabs>
                <w:tab w:pos="797" w:val="left" w:leader="none"/>
                <w:tab w:pos="1670" w:val="left" w:leader="none"/>
                <w:tab w:pos="2622" w:val="left" w:leader="none"/>
                <w:tab w:pos="3495" w:val="left" w:leader="none"/>
                <w:tab w:pos="4323" w:val="left" w:leader="none"/>
                <w:tab w:pos="5042" w:val="left" w:leader="none"/>
              </w:tabs>
              <w:spacing w:before="6"/>
              <w:ind w:right="5"/>
              <w:rPr>
                <w:sz w:val="14"/>
              </w:rPr>
            </w:pPr>
            <w:r>
              <w:rPr>
                <w:sz w:val="14"/>
              </w:rPr>
              <w:t>0.6</w:t>
            </w:r>
            <w:r>
              <w:rPr>
                <w:spacing w:val="-17"/>
                <w:sz w:val="14"/>
              </w:rPr>
              <w:t> </w:t>
            </w:r>
            <w:r>
              <w:rPr>
                <w:rFonts w:ascii="Times New Roman" w:hAnsi="Times New Roman"/>
                <w:sz w:val="14"/>
              </w:rPr>
              <w:t>±</w:t>
            </w:r>
            <w:r>
              <w:rPr>
                <w:rFonts w:ascii="Times New Roman" w:hAnsi="Times New Roman"/>
                <w:spacing w:val="-12"/>
                <w:sz w:val="14"/>
              </w:rPr>
              <w:t> </w:t>
            </w:r>
            <w:r>
              <w:rPr>
                <w:sz w:val="14"/>
              </w:rPr>
              <w:t>0.6</w:t>
              <w:tab/>
              <w:t>2.1</w:t>
            </w:r>
            <w:r>
              <w:rPr>
                <w:spacing w:val="-16"/>
                <w:sz w:val="14"/>
              </w:rPr>
              <w:t> </w:t>
            </w:r>
            <w:r>
              <w:rPr>
                <w:rFonts w:ascii="Times New Roman" w:hAnsi="Times New Roman"/>
                <w:sz w:val="14"/>
              </w:rPr>
              <w:t>±</w:t>
            </w:r>
            <w:r>
              <w:rPr>
                <w:rFonts w:ascii="Times New Roman" w:hAnsi="Times New Roman"/>
                <w:spacing w:val="-12"/>
                <w:sz w:val="14"/>
              </w:rPr>
              <w:t> </w:t>
            </w:r>
            <w:r>
              <w:rPr>
                <w:sz w:val="14"/>
              </w:rPr>
              <w:t>1.5</w:t>
              <w:tab/>
              <w:t>12.1</w:t>
            </w:r>
            <w:r>
              <w:rPr>
                <w:spacing w:val="-17"/>
                <w:sz w:val="14"/>
              </w:rPr>
              <w:t> </w:t>
            </w:r>
            <w:r>
              <w:rPr>
                <w:rFonts w:ascii="Times New Roman" w:hAnsi="Times New Roman"/>
                <w:sz w:val="14"/>
              </w:rPr>
              <w:t>±</w:t>
            </w:r>
            <w:r>
              <w:rPr>
                <w:rFonts w:ascii="Times New Roman" w:hAnsi="Times New Roman"/>
                <w:spacing w:val="-14"/>
                <w:sz w:val="14"/>
              </w:rPr>
              <w:t> </w:t>
            </w:r>
            <w:r>
              <w:rPr>
                <w:sz w:val="14"/>
              </w:rPr>
              <w:t>9.7</w:t>
              <w:tab/>
              <w:t>6.3</w:t>
            </w:r>
            <w:r>
              <w:rPr>
                <w:spacing w:val="-16"/>
                <w:sz w:val="14"/>
              </w:rPr>
              <w:t> </w:t>
            </w:r>
            <w:r>
              <w:rPr>
                <w:rFonts w:ascii="Times New Roman" w:hAnsi="Times New Roman"/>
                <w:sz w:val="14"/>
              </w:rPr>
              <w:t>±</w:t>
            </w:r>
            <w:r>
              <w:rPr>
                <w:rFonts w:ascii="Times New Roman" w:hAnsi="Times New Roman"/>
                <w:spacing w:val="-12"/>
                <w:sz w:val="14"/>
              </w:rPr>
              <w:t> </w:t>
            </w:r>
            <w:r>
              <w:rPr>
                <w:sz w:val="14"/>
              </w:rPr>
              <w:t>5.5</w:t>
              <w:tab/>
              <w:t>7.7</w:t>
            </w:r>
            <w:r>
              <w:rPr>
                <w:spacing w:val="-16"/>
                <w:sz w:val="14"/>
              </w:rPr>
              <w:t> </w:t>
            </w:r>
            <w:r>
              <w:rPr>
                <w:rFonts w:ascii="Times New Roman" w:hAnsi="Times New Roman"/>
                <w:sz w:val="14"/>
              </w:rPr>
              <w:t>±</w:t>
            </w:r>
            <w:r>
              <w:rPr>
                <w:rFonts w:ascii="Times New Roman" w:hAnsi="Times New Roman"/>
                <w:spacing w:val="-12"/>
                <w:sz w:val="14"/>
              </w:rPr>
              <w:t> </w:t>
            </w:r>
            <w:r>
              <w:rPr>
                <w:sz w:val="14"/>
              </w:rPr>
              <w:t>7.7</w:t>
              <w:tab/>
              <w:t>1.5</w:t>
            </w:r>
            <w:r>
              <w:rPr>
                <w:spacing w:val="-16"/>
                <w:sz w:val="14"/>
              </w:rPr>
              <w:t> </w:t>
            </w:r>
            <w:r>
              <w:rPr>
                <w:rFonts w:ascii="Times New Roman" w:hAnsi="Times New Roman"/>
                <w:sz w:val="14"/>
              </w:rPr>
              <w:t>±</w:t>
            </w:r>
            <w:r>
              <w:rPr>
                <w:rFonts w:ascii="Times New Roman" w:hAnsi="Times New Roman"/>
                <w:spacing w:val="-12"/>
                <w:sz w:val="14"/>
              </w:rPr>
              <w:t> </w:t>
            </w:r>
            <w:r>
              <w:rPr>
                <w:sz w:val="14"/>
              </w:rPr>
              <w:t>2.6</w:t>
              <w:tab/>
              <w:t>13.7 </w:t>
            </w:r>
            <w:r>
              <w:rPr>
                <w:rFonts w:ascii="Times New Roman" w:hAnsi="Times New Roman"/>
                <w:sz w:val="14"/>
              </w:rPr>
              <w:t>± </w:t>
            </w:r>
            <w:r>
              <w:rPr>
                <w:sz w:val="14"/>
              </w:rPr>
              <w:t>13.3 </w:t>
            </w:r>
            <w:r>
              <w:rPr>
                <w:spacing w:val="2"/>
                <w:sz w:val="14"/>
              </w:rPr>
              <w:t> </w:t>
            </w:r>
            <w:r>
              <w:rPr>
                <w:sz w:val="14"/>
              </w:rPr>
              <w:t>43.7 </w:t>
            </w:r>
            <w:r>
              <w:rPr>
                <w:rFonts w:ascii="Times New Roman" w:hAnsi="Times New Roman"/>
                <w:sz w:val="14"/>
              </w:rPr>
              <w:t>± </w:t>
            </w:r>
            <w:r>
              <w:rPr>
                <w:sz w:val="14"/>
              </w:rPr>
              <w:t>21.4</w:t>
            </w:r>
          </w:p>
          <w:p>
            <w:pPr>
              <w:pStyle w:val="TableParagraph"/>
              <w:tabs>
                <w:tab w:pos="825" w:val="left" w:leader="none"/>
                <w:tab w:pos="1735" w:val="left" w:leader="none"/>
                <w:tab w:pos="2650" w:val="left" w:leader="none"/>
                <w:tab w:pos="3523" w:val="left" w:leader="none"/>
                <w:tab w:pos="4360" w:val="left" w:leader="none"/>
                <w:tab w:pos="5153" w:val="left" w:leader="none"/>
                <w:tab w:pos="5984" w:val="left" w:leader="none"/>
              </w:tabs>
              <w:spacing w:before="33"/>
              <w:ind w:right="110"/>
              <w:rPr>
                <w:sz w:val="14"/>
              </w:rPr>
            </w:pPr>
            <w:r>
              <w:rPr>
                <w:b/>
                <w:sz w:val="14"/>
              </w:rPr>
              <w:t>0.05*</w:t>
              <w:tab/>
            </w:r>
            <w:r>
              <w:rPr>
                <w:sz w:val="14"/>
              </w:rPr>
              <w:t>0.3*</w:t>
              <w:tab/>
              <w:t>0.2*</w:t>
              <w:tab/>
              <w:t>0.1*</w:t>
              <w:tab/>
              <w:t>0.7*</w:t>
              <w:tab/>
              <w:t>0.8*</w:t>
              <w:tab/>
              <w:t>0.7*</w:t>
              <w:tab/>
              <w:t>0.3*</w:t>
            </w:r>
          </w:p>
          <w:p>
            <w:pPr>
              <w:pStyle w:val="TableParagraph"/>
              <w:tabs>
                <w:tab w:pos="797" w:val="left" w:leader="none"/>
                <w:tab w:pos="1633" w:val="left" w:leader="none"/>
                <w:tab w:pos="2622" w:val="left" w:leader="none"/>
                <w:tab w:pos="3458" w:val="left" w:leader="none"/>
                <w:tab w:pos="4323" w:val="left" w:leader="none"/>
                <w:tab w:pos="5079" w:val="left" w:leader="none"/>
                <w:tab w:pos="5882" w:val="left" w:leader="none"/>
              </w:tabs>
              <w:spacing w:before="34"/>
              <w:ind w:right="5"/>
              <w:rPr>
                <w:sz w:val="14"/>
              </w:rPr>
            </w:pPr>
            <w:r>
              <w:rPr>
                <w:sz w:val="14"/>
              </w:rPr>
              <w:t>0.2</w:t>
            </w:r>
            <w:r>
              <w:rPr>
                <w:spacing w:val="-17"/>
                <w:sz w:val="14"/>
              </w:rPr>
              <w:t> </w:t>
            </w:r>
            <w:r>
              <w:rPr>
                <w:rFonts w:ascii="Times New Roman" w:hAnsi="Times New Roman"/>
                <w:sz w:val="14"/>
              </w:rPr>
              <w:t>±</w:t>
            </w:r>
            <w:r>
              <w:rPr>
                <w:rFonts w:ascii="Times New Roman" w:hAnsi="Times New Roman"/>
                <w:spacing w:val="-12"/>
                <w:sz w:val="14"/>
              </w:rPr>
              <w:t> </w:t>
            </w:r>
            <w:r>
              <w:rPr>
                <w:sz w:val="14"/>
              </w:rPr>
              <w:t>0.5</w:t>
              <w:tab/>
              <w:t>3.3</w:t>
            </w:r>
            <w:r>
              <w:rPr>
                <w:spacing w:val="-16"/>
                <w:sz w:val="14"/>
              </w:rPr>
              <w:t> </w:t>
            </w:r>
            <w:r>
              <w:rPr>
                <w:rFonts w:ascii="Times New Roman" w:hAnsi="Times New Roman"/>
                <w:sz w:val="14"/>
              </w:rPr>
              <w:t>±</w:t>
            </w:r>
            <w:r>
              <w:rPr>
                <w:rFonts w:ascii="Times New Roman" w:hAnsi="Times New Roman"/>
                <w:spacing w:val="-12"/>
                <w:sz w:val="14"/>
              </w:rPr>
              <w:t> </w:t>
            </w:r>
            <w:r>
              <w:rPr>
                <w:sz w:val="14"/>
              </w:rPr>
              <w:t>2.7</w:t>
              <w:tab/>
              <w:t>18.8</w:t>
            </w:r>
            <w:r>
              <w:rPr>
                <w:spacing w:val="-18"/>
                <w:sz w:val="14"/>
              </w:rPr>
              <w:t> </w:t>
            </w:r>
            <w:r>
              <w:rPr>
                <w:rFonts w:ascii="Times New Roman" w:hAnsi="Times New Roman"/>
                <w:sz w:val="14"/>
              </w:rPr>
              <w:t>±</w:t>
            </w:r>
            <w:r>
              <w:rPr>
                <w:rFonts w:ascii="Times New Roman" w:hAnsi="Times New Roman"/>
                <w:spacing w:val="-14"/>
                <w:sz w:val="14"/>
              </w:rPr>
              <w:t> </w:t>
            </w:r>
            <w:r>
              <w:rPr>
                <w:sz w:val="14"/>
              </w:rPr>
              <w:t>15.2</w:t>
              <w:tab/>
              <w:t>9.9</w:t>
            </w:r>
            <w:r>
              <w:rPr>
                <w:spacing w:val="-16"/>
                <w:sz w:val="14"/>
              </w:rPr>
              <w:t> </w:t>
            </w:r>
            <w:r>
              <w:rPr>
                <w:rFonts w:ascii="Times New Roman" w:hAnsi="Times New Roman"/>
                <w:sz w:val="14"/>
              </w:rPr>
              <w:t>±</w:t>
            </w:r>
            <w:r>
              <w:rPr>
                <w:rFonts w:ascii="Times New Roman" w:hAnsi="Times New Roman"/>
                <w:spacing w:val="-12"/>
                <w:sz w:val="14"/>
              </w:rPr>
              <w:t> </w:t>
            </w:r>
            <w:r>
              <w:rPr>
                <w:sz w:val="14"/>
              </w:rPr>
              <w:t>6.8</w:t>
              <w:tab/>
              <w:t>7.9</w:t>
            </w:r>
            <w:r>
              <w:rPr>
                <w:spacing w:val="-17"/>
                <w:sz w:val="14"/>
              </w:rPr>
              <w:t> </w:t>
            </w:r>
            <w:r>
              <w:rPr>
                <w:rFonts w:ascii="Times New Roman" w:hAnsi="Times New Roman"/>
                <w:sz w:val="14"/>
              </w:rPr>
              <w:t>±</w:t>
            </w:r>
            <w:r>
              <w:rPr>
                <w:rFonts w:ascii="Times New Roman" w:hAnsi="Times New Roman"/>
                <w:spacing w:val="-14"/>
                <w:sz w:val="14"/>
              </w:rPr>
              <w:t> </w:t>
            </w:r>
            <w:r>
              <w:rPr>
                <w:sz w:val="14"/>
              </w:rPr>
              <w:t>10.4</w:t>
              <w:tab/>
              <w:t>1.1</w:t>
            </w:r>
            <w:r>
              <w:rPr>
                <w:spacing w:val="-16"/>
                <w:sz w:val="14"/>
              </w:rPr>
              <w:t> </w:t>
            </w:r>
            <w:r>
              <w:rPr>
                <w:rFonts w:ascii="Times New Roman" w:hAnsi="Times New Roman"/>
                <w:sz w:val="14"/>
              </w:rPr>
              <w:t>±</w:t>
            </w:r>
            <w:r>
              <w:rPr>
                <w:rFonts w:ascii="Times New Roman" w:hAnsi="Times New Roman"/>
                <w:spacing w:val="-12"/>
                <w:sz w:val="14"/>
              </w:rPr>
              <w:t> </w:t>
            </w:r>
            <w:r>
              <w:rPr>
                <w:sz w:val="14"/>
              </w:rPr>
              <w:t>1.6</w:t>
              <w:tab/>
              <w:t>10.7</w:t>
            </w:r>
            <w:r>
              <w:rPr>
                <w:spacing w:val="-17"/>
                <w:sz w:val="14"/>
              </w:rPr>
              <w:t> </w:t>
            </w:r>
            <w:r>
              <w:rPr>
                <w:rFonts w:ascii="Times New Roman" w:hAnsi="Times New Roman"/>
                <w:sz w:val="14"/>
              </w:rPr>
              <w:t>±</w:t>
            </w:r>
            <w:r>
              <w:rPr>
                <w:rFonts w:ascii="Times New Roman" w:hAnsi="Times New Roman"/>
                <w:spacing w:val="-14"/>
                <w:sz w:val="14"/>
              </w:rPr>
              <w:t> </w:t>
            </w:r>
            <w:r>
              <w:rPr>
                <w:sz w:val="14"/>
              </w:rPr>
              <w:t>9.8</w:t>
              <w:tab/>
            </w:r>
            <w:r>
              <w:rPr>
                <w:w w:val="95"/>
                <w:sz w:val="14"/>
              </w:rPr>
              <w:t>51.8 </w:t>
            </w:r>
            <w:r>
              <w:rPr>
                <w:rFonts w:ascii="Times New Roman" w:hAnsi="Times New Roman"/>
                <w:w w:val="95"/>
                <w:sz w:val="14"/>
              </w:rPr>
              <w:t>±</w:t>
            </w:r>
            <w:r>
              <w:rPr>
                <w:rFonts w:ascii="Times New Roman" w:hAnsi="Times New Roman"/>
                <w:spacing w:val="-22"/>
                <w:w w:val="95"/>
                <w:sz w:val="14"/>
              </w:rPr>
              <w:t> </w:t>
            </w:r>
            <w:r>
              <w:rPr>
                <w:w w:val="95"/>
                <w:sz w:val="14"/>
              </w:rPr>
              <w:t>29.2</w:t>
            </w:r>
          </w:p>
        </w:tc>
      </w:tr>
      <w:tr>
        <w:trPr>
          <w:trHeight w:val="606" w:hRule="exact"/>
        </w:trPr>
        <w:tc>
          <w:tcPr>
            <w:tcW w:w="1193" w:type="dxa"/>
            <w:gridSpan w:val="2"/>
            <w:tcBorders>
              <w:top w:val="dotted" w:sz="4" w:space="0" w:color="000000"/>
              <w:left w:val="nil"/>
              <w:bottom w:val="dotted" w:sz="4" w:space="0" w:color="000000"/>
              <w:right w:val="dotted" w:sz="4" w:space="0" w:color="000000"/>
            </w:tcBorders>
          </w:tcPr>
          <w:p>
            <w:pPr>
              <w:pStyle w:val="TableParagraph"/>
              <w:spacing w:line="288" w:lineRule="auto" w:before="4"/>
              <w:ind w:left="230" w:right="242" w:firstLine="1"/>
              <w:rPr>
                <w:b/>
                <w:sz w:val="15"/>
              </w:rPr>
            </w:pPr>
            <w:r>
              <w:rPr>
                <w:b/>
                <w:w w:val="90"/>
                <w:sz w:val="15"/>
              </w:rPr>
              <w:t>Problemas </w:t>
            </w:r>
            <w:r>
              <w:rPr>
                <w:b/>
                <w:sz w:val="15"/>
              </w:rPr>
              <w:t>de   </w:t>
            </w:r>
            <w:r>
              <w:rPr>
                <w:b/>
                <w:w w:val="90"/>
                <w:sz w:val="15"/>
              </w:rPr>
              <w:t>nacimiento</w:t>
            </w:r>
          </w:p>
        </w:tc>
        <w:tc>
          <w:tcPr>
            <w:tcW w:w="944" w:type="dxa"/>
            <w:tcBorders>
              <w:top w:val="dotted" w:sz="4" w:space="0" w:color="000000"/>
              <w:left w:val="dotted" w:sz="4" w:space="0" w:color="000000"/>
              <w:bottom w:val="dotted" w:sz="4" w:space="0" w:color="000000"/>
              <w:right w:val="dotted" w:sz="4" w:space="0" w:color="000000"/>
            </w:tcBorders>
          </w:tcPr>
          <w:p>
            <w:pPr>
              <w:pStyle w:val="TableParagraph"/>
              <w:spacing w:before="2"/>
              <w:ind w:left="9"/>
              <w:jc w:val="left"/>
              <w:rPr>
                <w:sz w:val="12"/>
              </w:rPr>
            </w:pPr>
            <w:r>
              <w:rPr>
                <w:sz w:val="12"/>
              </w:rPr>
              <w:t>Si</w:t>
            </w:r>
          </w:p>
          <w:p>
            <w:pPr>
              <w:pStyle w:val="TableParagraph"/>
              <w:spacing w:before="57"/>
              <w:ind w:right="15"/>
              <w:jc w:val="right"/>
              <w:rPr>
                <w:b/>
                <w:sz w:val="12"/>
              </w:rPr>
            </w:pPr>
            <w:r>
              <w:rPr>
                <w:b/>
                <w:w w:val="92"/>
                <w:sz w:val="12"/>
              </w:rPr>
              <w:t>P</w:t>
            </w:r>
          </w:p>
          <w:p>
            <w:pPr>
              <w:pStyle w:val="TableParagraph"/>
              <w:spacing w:before="57"/>
              <w:ind w:left="9"/>
              <w:jc w:val="left"/>
              <w:rPr>
                <w:sz w:val="12"/>
              </w:rPr>
            </w:pPr>
            <w:r>
              <w:rPr>
                <w:sz w:val="12"/>
              </w:rPr>
              <w:t>No</w:t>
            </w:r>
          </w:p>
        </w:tc>
        <w:tc>
          <w:tcPr>
            <w:tcW w:w="6743" w:type="dxa"/>
            <w:tcBorders>
              <w:top w:val="dotted" w:sz="4" w:space="0" w:color="000000"/>
              <w:left w:val="dotted" w:sz="4" w:space="0" w:color="000000"/>
              <w:bottom w:val="dotted" w:sz="4" w:space="0" w:color="000000"/>
              <w:right w:val="nil"/>
            </w:tcBorders>
          </w:tcPr>
          <w:p>
            <w:pPr>
              <w:pStyle w:val="TableParagraph"/>
              <w:tabs>
                <w:tab w:pos="797" w:val="left" w:leader="none"/>
                <w:tab w:pos="1633" w:val="left" w:leader="none"/>
                <w:tab w:pos="2622" w:val="left" w:leader="none"/>
                <w:tab w:pos="3421" w:val="left" w:leader="none"/>
                <w:tab w:pos="4323" w:val="left" w:leader="none"/>
                <w:tab w:pos="5079" w:val="left" w:leader="none"/>
                <w:tab w:pos="5882" w:val="left" w:leader="none"/>
              </w:tabs>
              <w:spacing w:before="3"/>
              <w:ind w:right="5"/>
              <w:rPr>
                <w:sz w:val="14"/>
              </w:rPr>
            </w:pPr>
            <w:r>
              <w:rPr>
                <w:sz w:val="14"/>
              </w:rPr>
              <w:t>0.3</w:t>
            </w:r>
            <w:r>
              <w:rPr>
                <w:spacing w:val="-17"/>
                <w:sz w:val="14"/>
              </w:rPr>
              <w:t> </w:t>
            </w:r>
            <w:r>
              <w:rPr>
                <w:rFonts w:ascii="Times New Roman" w:hAnsi="Times New Roman"/>
                <w:sz w:val="14"/>
              </w:rPr>
              <w:t>±</w:t>
            </w:r>
            <w:r>
              <w:rPr>
                <w:rFonts w:ascii="Times New Roman" w:hAnsi="Times New Roman"/>
                <w:spacing w:val="-12"/>
                <w:sz w:val="14"/>
              </w:rPr>
              <w:t> </w:t>
            </w:r>
            <w:r>
              <w:rPr>
                <w:sz w:val="14"/>
              </w:rPr>
              <w:t>0.4</w:t>
              <w:tab/>
              <w:t>2.9</w:t>
            </w:r>
            <w:r>
              <w:rPr>
                <w:spacing w:val="-16"/>
                <w:sz w:val="14"/>
              </w:rPr>
              <w:t> </w:t>
            </w:r>
            <w:r>
              <w:rPr>
                <w:rFonts w:ascii="Times New Roman" w:hAnsi="Times New Roman"/>
                <w:sz w:val="14"/>
              </w:rPr>
              <w:t>±</w:t>
            </w:r>
            <w:r>
              <w:rPr>
                <w:rFonts w:ascii="Times New Roman" w:hAnsi="Times New Roman"/>
                <w:spacing w:val="-12"/>
                <w:sz w:val="14"/>
              </w:rPr>
              <w:t> </w:t>
            </w:r>
            <w:r>
              <w:rPr>
                <w:sz w:val="14"/>
              </w:rPr>
              <w:t>2.4</w:t>
              <w:tab/>
              <w:t>21.2</w:t>
            </w:r>
            <w:r>
              <w:rPr>
                <w:spacing w:val="-18"/>
                <w:sz w:val="14"/>
              </w:rPr>
              <w:t> </w:t>
            </w:r>
            <w:r>
              <w:rPr>
                <w:rFonts w:ascii="Times New Roman" w:hAnsi="Times New Roman"/>
                <w:sz w:val="14"/>
              </w:rPr>
              <w:t>±</w:t>
            </w:r>
            <w:r>
              <w:rPr>
                <w:rFonts w:ascii="Times New Roman" w:hAnsi="Times New Roman"/>
                <w:spacing w:val="-14"/>
                <w:sz w:val="14"/>
              </w:rPr>
              <w:t> </w:t>
            </w:r>
            <w:r>
              <w:rPr>
                <w:sz w:val="14"/>
              </w:rPr>
              <w:t>18.4</w:t>
              <w:tab/>
              <w:t>9.8</w:t>
            </w:r>
            <w:r>
              <w:rPr>
                <w:spacing w:val="-16"/>
                <w:sz w:val="14"/>
              </w:rPr>
              <w:t> </w:t>
            </w:r>
            <w:r>
              <w:rPr>
                <w:rFonts w:ascii="Times New Roman" w:hAnsi="Times New Roman"/>
                <w:sz w:val="14"/>
              </w:rPr>
              <w:t>±</w:t>
            </w:r>
            <w:r>
              <w:rPr>
                <w:rFonts w:ascii="Times New Roman" w:hAnsi="Times New Roman"/>
                <w:spacing w:val="-12"/>
                <w:sz w:val="14"/>
              </w:rPr>
              <w:t> </w:t>
            </w:r>
            <w:r>
              <w:rPr>
                <w:sz w:val="14"/>
              </w:rPr>
              <w:t>6.6</w:t>
              <w:tab/>
              <w:t>10.4</w:t>
            </w:r>
            <w:r>
              <w:rPr>
                <w:spacing w:val="-19"/>
                <w:sz w:val="14"/>
              </w:rPr>
              <w:t> </w:t>
            </w:r>
            <w:r>
              <w:rPr>
                <w:rFonts w:ascii="Times New Roman" w:hAnsi="Times New Roman"/>
                <w:sz w:val="14"/>
              </w:rPr>
              <w:t>±</w:t>
            </w:r>
            <w:r>
              <w:rPr>
                <w:rFonts w:ascii="Times New Roman" w:hAnsi="Times New Roman"/>
                <w:spacing w:val="-15"/>
                <w:sz w:val="14"/>
              </w:rPr>
              <w:t> </w:t>
            </w:r>
            <w:r>
              <w:rPr>
                <w:sz w:val="14"/>
              </w:rPr>
              <w:t>12.7</w:t>
              <w:tab/>
              <w:t>0.8</w:t>
            </w:r>
            <w:r>
              <w:rPr>
                <w:spacing w:val="-16"/>
                <w:sz w:val="14"/>
              </w:rPr>
              <w:t> </w:t>
            </w:r>
            <w:r>
              <w:rPr>
                <w:rFonts w:ascii="Times New Roman" w:hAnsi="Times New Roman"/>
                <w:sz w:val="14"/>
              </w:rPr>
              <w:t>±</w:t>
            </w:r>
            <w:r>
              <w:rPr>
                <w:rFonts w:ascii="Times New Roman" w:hAnsi="Times New Roman"/>
                <w:spacing w:val="-12"/>
                <w:sz w:val="14"/>
              </w:rPr>
              <w:t> </w:t>
            </w:r>
            <w:r>
              <w:rPr>
                <w:sz w:val="14"/>
              </w:rPr>
              <w:t>1.4</w:t>
              <w:tab/>
              <w:t>11.4</w:t>
            </w:r>
            <w:r>
              <w:rPr>
                <w:spacing w:val="-17"/>
                <w:sz w:val="14"/>
              </w:rPr>
              <w:t> </w:t>
            </w:r>
            <w:r>
              <w:rPr>
                <w:rFonts w:ascii="Times New Roman" w:hAnsi="Times New Roman"/>
                <w:sz w:val="14"/>
              </w:rPr>
              <w:t>±</w:t>
            </w:r>
            <w:r>
              <w:rPr>
                <w:rFonts w:ascii="Times New Roman" w:hAnsi="Times New Roman"/>
                <w:spacing w:val="-14"/>
                <w:sz w:val="14"/>
              </w:rPr>
              <w:t> </w:t>
            </w:r>
            <w:r>
              <w:rPr>
                <w:sz w:val="14"/>
              </w:rPr>
              <w:t>7.5</w:t>
              <w:tab/>
            </w:r>
            <w:r>
              <w:rPr>
                <w:w w:val="95"/>
                <w:sz w:val="14"/>
              </w:rPr>
              <w:t>56.7 </w:t>
            </w:r>
            <w:r>
              <w:rPr>
                <w:rFonts w:ascii="Times New Roman" w:hAnsi="Times New Roman"/>
                <w:w w:val="95"/>
                <w:sz w:val="14"/>
              </w:rPr>
              <w:t>±</w:t>
            </w:r>
            <w:r>
              <w:rPr>
                <w:rFonts w:ascii="Times New Roman" w:hAnsi="Times New Roman"/>
                <w:spacing w:val="-22"/>
                <w:w w:val="95"/>
                <w:sz w:val="14"/>
              </w:rPr>
              <w:t> </w:t>
            </w:r>
            <w:r>
              <w:rPr>
                <w:w w:val="95"/>
                <w:sz w:val="14"/>
              </w:rPr>
              <w:t>28.7</w:t>
            </w:r>
          </w:p>
          <w:p>
            <w:pPr>
              <w:pStyle w:val="TableParagraph"/>
              <w:tabs>
                <w:tab w:pos="788" w:val="left" w:leader="none"/>
                <w:tab w:pos="1698" w:val="left" w:leader="none"/>
                <w:tab w:pos="2613" w:val="left" w:leader="none"/>
                <w:tab w:pos="3486" w:val="left" w:leader="none"/>
                <w:tab w:pos="4323" w:val="left" w:leader="none"/>
                <w:tab w:pos="5116" w:val="left" w:leader="none"/>
                <w:tab w:pos="5947" w:val="left" w:leader="none"/>
              </w:tabs>
              <w:spacing w:before="33"/>
              <w:ind w:right="73"/>
              <w:rPr>
                <w:sz w:val="14"/>
              </w:rPr>
            </w:pPr>
            <w:r>
              <w:rPr>
                <w:sz w:val="14"/>
              </w:rPr>
              <w:t>0.8*</w:t>
              <w:tab/>
              <w:t>0.8*</w:t>
              <w:tab/>
              <w:t>0.4*</w:t>
              <w:tab/>
              <w:t>0.6*</w:t>
              <w:tab/>
              <w:t>0.2*</w:t>
              <w:tab/>
              <w:t>0.3*</w:t>
              <w:tab/>
              <w:t>0.3*</w:t>
              <w:tab/>
              <w:t>0.2*</w:t>
            </w:r>
          </w:p>
          <w:p>
            <w:pPr>
              <w:pStyle w:val="TableParagraph"/>
              <w:tabs>
                <w:tab w:pos="797" w:val="left" w:leader="none"/>
                <w:tab w:pos="1633" w:val="left" w:leader="none"/>
                <w:tab w:pos="2622" w:val="left" w:leader="none"/>
                <w:tab w:pos="3495" w:val="left" w:leader="none"/>
                <w:tab w:pos="4323" w:val="left" w:leader="none"/>
                <w:tab w:pos="5042" w:val="left" w:leader="none"/>
              </w:tabs>
              <w:spacing w:before="34"/>
              <w:ind w:right="5"/>
              <w:rPr>
                <w:sz w:val="14"/>
              </w:rPr>
            </w:pPr>
            <w:r>
              <w:rPr>
                <w:sz w:val="14"/>
              </w:rPr>
              <w:t>0.3</w:t>
            </w:r>
            <w:r>
              <w:rPr>
                <w:spacing w:val="-17"/>
                <w:sz w:val="14"/>
              </w:rPr>
              <w:t> </w:t>
            </w:r>
            <w:r>
              <w:rPr>
                <w:rFonts w:ascii="Times New Roman" w:hAnsi="Times New Roman"/>
                <w:sz w:val="14"/>
              </w:rPr>
              <w:t>±</w:t>
            </w:r>
            <w:r>
              <w:rPr>
                <w:rFonts w:ascii="Times New Roman" w:hAnsi="Times New Roman"/>
                <w:spacing w:val="-12"/>
                <w:sz w:val="14"/>
              </w:rPr>
              <w:t> </w:t>
            </w:r>
            <w:r>
              <w:rPr>
                <w:sz w:val="14"/>
              </w:rPr>
              <w:t>0.6</w:t>
              <w:tab/>
              <w:t>3.1</w:t>
            </w:r>
            <w:r>
              <w:rPr>
                <w:spacing w:val="-17"/>
                <w:sz w:val="14"/>
              </w:rPr>
              <w:t> </w:t>
            </w:r>
            <w:r>
              <w:rPr>
                <w:rFonts w:ascii="Times New Roman" w:hAnsi="Times New Roman"/>
                <w:sz w:val="14"/>
              </w:rPr>
              <w:t>±</w:t>
            </w:r>
            <w:r>
              <w:rPr>
                <w:rFonts w:ascii="Times New Roman" w:hAnsi="Times New Roman"/>
                <w:spacing w:val="-12"/>
                <w:sz w:val="14"/>
              </w:rPr>
              <w:t> </w:t>
            </w:r>
            <w:r>
              <w:rPr>
                <w:sz w:val="14"/>
              </w:rPr>
              <w:t>2.7</w:t>
              <w:tab/>
              <w:t>16.5</w:t>
            </w:r>
            <w:r>
              <w:rPr>
                <w:spacing w:val="-18"/>
                <w:sz w:val="14"/>
              </w:rPr>
              <w:t> </w:t>
            </w:r>
            <w:r>
              <w:rPr>
                <w:rFonts w:ascii="Times New Roman" w:hAnsi="Times New Roman"/>
                <w:sz w:val="14"/>
              </w:rPr>
              <w:t>±</w:t>
            </w:r>
            <w:r>
              <w:rPr>
                <w:rFonts w:ascii="Times New Roman" w:hAnsi="Times New Roman"/>
                <w:spacing w:val="-14"/>
                <w:sz w:val="14"/>
              </w:rPr>
              <w:t> </w:t>
            </w:r>
            <w:r>
              <w:rPr>
                <w:sz w:val="14"/>
              </w:rPr>
              <w:t>13.2</w:t>
              <w:tab/>
              <w:t>9.1</w:t>
            </w:r>
            <w:r>
              <w:rPr>
                <w:spacing w:val="-16"/>
                <w:sz w:val="14"/>
              </w:rPr>
              <w:t> </w:t>
            </w:r>
            <w:r>
              <w:rPr>
                <w:rFonts w:ascii="Times New Roman" w:hAnsi="Times New Roman"/>
                <w:sz w:val="14"/>
              </w:rPr>
              <w:t>±</w:t>
            </w:r>
            <w:r>
              <w:rPr>
                <w:rFonts w:ascii="Times New Roman" w:hAnsi="Times New Roman"/>
                <w:spacing w:val="-12"/>
                <w:sz w:val="14"/>
              </w:rPr>
              <w:t> </w:t>
            </w:r>
            <w:r>
              <w:rPr>
                <w:sz w:val="14"/>
              </w:rPr>
              <w:t>6.8</w:t>
              <w:tab/>
              <w:t>7.0</w:t>
            </w:r>
            <w:r>
              <w:rPr>
                <w:spacing w:val="-16"/>
                <w:sz w:val="14"/>
              </w:rPr>
              <w:t> </w:t>
            </w:r>
            <w:r>
              <w:rPr>
                <w:rFonts w:ascii="Times New Roman" w:hAnsi="Times New Roman"/>
                <w:sz w:val="14"/>
              </w:rPr>
              <w:t>±</w:t>
            </w:r>
            <w:r>
              <w:rPr>
                <w:rFonts w:ascii="Times New Roman" w:hAnsi="Times New Roman"/>
                <w:spacing w:val="-12"/>
                <w:sz w:val="14"/>
              </w:rPr>
              <w:t> </w:t>
            </w:r>
            <w:r>
              <w:rPr>
                <w:sz w:val="14"/>
              </w:rPr>
              <w:t>8.9</w:t>
              <w:tab/>
              <w:t>1.2</w:t>
            </w:r>
            <w:r>
              <w:rPr>
                <w:spacing w:val="-16"/>
                <w:sz w:val="14"/>
              </w:rPr>
              <w:t> </w:t>
            </w:r>
            <w:r>
              <w:rPr>
                <w:rFonts w:ascii="Times New Roman" w:hAnsi="Times New Roman"/>
                <w:sz w:val="14"/>
              </w:rPr>
              <w:t>±</w:t>
            </w:r>
            <w:r>
              <w:rPr>
                <w:rFonts w:ascii="Times New Roman" w:hAnsi="Times New Roman"/>
                <w:spacing w:val="-12"/>
                <w:sz w:val="14"/>
              </w:rPr>
              <w:t> </w:t>
            </w:r>
            <w:r>
              <w:rPr>
                <w:sz w:val="14"/>
              </w:rPr>
              <w:t>1.9</w:t>
              <w:tab/>
              <w:t>11.2 </w:t>
            </w:r>
            <w:r>
              <w:rPr>
                <w:rFonts w:ascii="Times New Roman" w:hAnsi="Times New Roman"/>
                <w:sz w:val="14"/>
              </w:rPr>
              <w:t>± </w:t>
            </w:r>
            <w:r>
              <w:rPr>
                <w:sz w:val="14"/>
              </w:rPr>
              <w:t>11.3 </w:t>
            </w:r>
            <w:r>
              <w:rPr>
                <w:spacing w:val="5"/>
                <w:sz w:val="14"/>
              </w:rPr>
              <w:t> </w:t>
            </w:r>
            <w:r>
              <w:rPr>
                <w:sz w:val="14"/>
              </w:rPr>
              <w:t>48.4 </w:t>
            </w:r>
            <w:r>
              <w:rPr>
                <w:rFonts w:ascii="Times New Roman" w:hAnsi="Times New Roman"/>
                <w:sz w:val="14"/>
              </w:rPr>
              <w:t>± </w:t>
            </w:r>
            <w:r>
              <w:rPr>
                <w:sz w:val="14"/>
              </w:rPr>
              <w:t>27.8</w:t>
            </w:r>
          </w:p>
        </w:tc>
      </w:tr>
      <w:tr>
        <w:trPr>
          <w:trHeight w:val="616" w:hRule="exact"/>
        </w:trPr>
        <w:tc>
          <w:tcPr>
            <w:tcW w:w="1193" w:type="dxa"/>
            <w:gridSpan w:val="2"/>
            <w:tcBorders>
              <w:top w:val="dotted" w:sz="4" w:space="0" w:color="000000"/>
              <w:left w:val="nil"/>
              <w:bottom w:val="dotted" w:sz="4" w:space="0" w:color="000000"/>
              <w:right w:val="dotted" w:sz="4" w:space="0" w:color="000000"/>
            </w:tcBorders>
          </w:tcPr>
          <w:p>
            <w:pPr>
              <w:pStyle w:val="TableParagraph"/>
              <w:spacing w:line="288" w:lineRule="auto" w:before="12"/>
              <w:ind w:left="276" w:right="279"/>
              <w:rPr>
                <w:b/>
                <w:sz w:val="15"/>
              </w:rPr>
            </w:pPr>
            <w:r>
              <w:rPr>
                <w:b/>
                <w:w w:val="90"/>
                <w:sz w:val="15"/>
              </w:rPr>
              <w:t>Consumo </w:t>
            </w:r>
            <w:r>
              <w:rPr>
                <w:b/>
                <w:sz w:val="15"/>
              </w:rPr>
              <w:t>de  </w:t>
            </w:r>
            <w:r>
              <w:rPr>
                <w:b/>
                <w:w w:val="90"/>
                <w:sz w:val="15"/>
              </w:rPr>
              <w:t>vitaminas</w:t>
            </w:r>
          </w:p>
        </w:tc>
        <w:tc>
          <w:tcPr>
            <w:tcW w:w="944" w:type="dxa"/>
            <w:tcBorders>
              <w:top w:val="dotted" w:sz="4" w:space="0" w:color="000000"/>
              <w:left w:val="dotted" w:sz="4" w:space="0" w:color="000000"/>
              <w:bottom w:val="dotted" w:sz="4" w:space="0" w:color="000000"/>
              <w:right w:val="dotted" w:sz="4" w:space="0" w:color="000000"/>
            </w:tcBorders>
          </w:tcPr>
          <w:p>
            <w:pPr>
              <w:pStyle w:val="TableParagraph"/>
              <w:spacing w:before="10"/>
              <w:ind w:left="9"/>
              <w:jc w:val="left"/>
              <w:rPr>
                <w:sz w:val="12"/>
              </w:rPr>
            </w:pPr>
            <w:r>
              <w:rPr>
                <w:sz w:val="12"/>
              </w:rPr>
              <w:t>Si</w:t>
            </w:r>
          </w:p>
          <w:p>
            <w:pPr>
              <w:pStyle w:val="TableParagraph"/>
              <w:spacing w:before="57"/>
              <w:ind w:right="15"/>
              <w:jc w:val="right"/>
              <w:rPr>
                <w:b/>
                <w:sz w:val="12"/>
              </w:rPr>
            </w:pPr>
            <w:r>
              <w:rPr>
                <w:b/>
                <w:w w:val="92"/>
                <w:sz w:val="12"/>
              </w:rPr>
              <w:t>P</w:t>
            </w:r>
          </w:p>
          <w:p>
            <w:pPr>
              <w:pStyle w:val="TableParagraph"/>
              <w:spacing w:before="57"/>
              <w:ind w:left="9"/>
              <w:jc w:val="left"/>
              <w:rPr>
                <w:sz w:val="12"/>
              </w:rPr>
            </w:pPr>
            <w:r>
              <w:rPr>
                <w:sz w:val="12"/>
              </w:rPr>
              <w:t>No</w:t>
            </w:r>
          </w:p>
        </w:tc>
        <w:tc>
          <w:tcPr>
            <w:tcW w:w="6743" w:type="dxa"/>
            <w:tcBorders>
              <w:top w:val="dotted" w:sz="4" w:space="0" w:color="000000"/>
              <w:left w:val="dotted" w:sz="4" w:space="0" w:color="000000"/>
              <w:bottom w:val="dotted" w:sz="4" w:space="0" w:color="000000"/>
              <w:right w:val="nil"/>
            </w:tcBorders>
          </w:tcPr>
          <w:p>
            <w:pPr>
              <w:pStyle w:val="TableParagraph"/>
              <w:tabs>
                <w:tab w:pos="797" w:val="left" w:leader="none"/>
                <w:tab w:pos="1633" w:val="left" w:leader="none"/>
                <w:tab w:pos="2622" w:val="left" w:leader="none"/>
                <w:tab w:pos="3421" w:val="left" w:leader="none"/>
                <w:tab w:pos="4323" w:val="left" w:leader="none"/>
                <w:tab w:pos="5116" w:val="left" w:leader="none"/>
                <w:tab w:pos="5882" w:val="left" w:leader="none"/>
              </w:tabs>
              <w:spacing w:before="11"/>
              <w:ind w:right="5"/>
              <w:rPr>
                <w:sz w:val="14"/>
              </w:rPr>
            </w:pPr>
            <w:r>
              <w:rPr>
                <w:sz w:val="14"/>
              </w:rPr>
              <w:t>0.0</w:t>
            </w:r>
            <w:r>
              <w:rPr>
                <w:spacing w:val="-17"/>
                <w:sz w:val="14"/>
              </w:rPr>
              <w:t> </w:t>
            </w:r>
            <w:r>
              <w:rPr>
                <w:rFonts w:ascii="Times New Roman" w:hAnsi="Times New Roman"/>
                <w:sz w:val="14"/>
              </w:rPr>
              <w:t>±</w:t>
            </w:r>
            <w:r>
              <w:rPr>
                <w:rFonts w:ascii="Times New Roman" w:hAnsi="Times New Roman"/>
                <w:spacing w:val="-12"/>
                <w:sz w:val="14"/>
              </w:rPr>
              <w:t> </w:t>
            </w:r>
            <w:r>
              <w:rPr>
                <w:sz w:val="14"/>
              </w:rPr>
              <w:t>0.0</w:t>
              <w:tab/>
              <w:t>4.6</w:t>
            </w:r>
            <w:r>
              <w:rPr>
                <w:spacing w:val="-16"/>
                <w:sz w:val="14"/>
              </w:rPr>
              <w:t> </w:t>
            </w:r>
            <w:r>
              <w:rPr>
                <w:rFonts w:ascii="Times New Roman" w:hAnsi="Times New Roman"/>
                <w:sz w:val="14"/>
              </w:rPr>
              <w:t>±</w:t>
            </w:r>
            <w:r>
              <w:rPr>
                <w:rFonts w:ascii="Times New Roman" w:hAnsi="Times New Roman"/>
                <w:spacing w:val="-12"/>
                <w:sz w:val="14"/>
              </w:rPr>
              <w:t> </w:t>
            </w:r>
            <w:r>
              <w:rPr>
                <w:sz w:val="14"/>
              </w:rPr>
              <w:t>6.4</w:t>
              <w:tab/>
              <w:t>18.0</w:t>
            </w:r>
            <w:r>
              <w:rPr>
                <w:spacing w:val="-18"/>
                <w:sz w:val="14"/>
              </w:rPr>
              <w:t> </w:t>
            </w:r>
            <w:r>
              <w:rPr>
                <w:rFonts w:ascii="Times New Roman" w:hAnsi="Times New Roman"/>
                <w:sz w:val="14"/>
              </w:rPr>
              <w:t>±</w:t>
            </w:r>
            <w:r>
              <w:rPr>
                <w:rFonts w:ascii="Times New Roman" w:hAnsi="Times New Roman"/>
                <w:spacing w:val="-14"/>
                <w:sz w:val="14"/>
              </w:rPr>
              <w:t> </w:t>
            </w:r>
            <w:r>
              <w:rPr>
                <w:sz w:val="14"/>
              </w:rPr>
              <w:t>28.6</w:t>
              <w:tab/>
              <w:t>3.3</w:t>
            </w:r>
            <w:r>
              <w:rPr>
                <w:spacing w:val="-16"/>
                <w:sz w:val="14"/>
              </w:rPr>
              <w:t> </w:t>
            </w:r>
            <w:r>
              <w:rPr>
                <w:rFonts w:ascii="Times New Roman" w:hAnsi="Times New Roman"/>
                <w:sz w:val="14"/>
              </w:rPr>
              <w:t>±</w:t>
            </w:r>
            <w:r>
              <w:rPr>
                <w:rFonts w:ascii="Times New Roman" w:hAnsi="Times New Roman"/>
                <w:spacing w:val="-12"/>
                <w:sz w:val="14"/>
              </w:rPr>
              <w:t> </w:t>
            </w:r>
            <w:r>
              <w:rPr>
                <w:sz w:val="14"/>
              </w:rPr>
              <w:t>3.0</w:t>
              <w:tab/>
              <w:t>17.0</w:t>
            </w:r>
            <w:r>
              <w:rPr>
                <w:spacing w:val="-19"/>
                <w:sz w:val="14"/>
              </w:rPr>
              <w:t> </w:t>
            </w:r>
            <w:r>
              <w:rPr>
                <w:rFonts w:ascii="Times New Roman" w:hAnsi="Times New Roman"/>
                <w:sz w:val="14"/>
              </w:rPr>
              <w:t>±</w:t>
            </w:r>
            <w:r>
              <w:rPr>
                <w:rFonts w:ascii="Times New Roman" w:hAnsi="Times New Roman"/>
                <w:spacing w:val="-15"/>
                <w:sz w:val="14"/>
              </w:rPr>
              <w:t> </w:t>
            </w:r>
            <w:r>
              <w:rPr>
                <w:sz w:val="14"/>
              </w:rPr>
              <w:t>29.4</w:t>
              <w:tab/>
              <w:t>1.6</w:t>
            </w:r>
            <w:r>
              <w:rPr>
                <w:spacing w:val="-16"/>
                <w:sz w:val="14"/>
              </w:rPr>
              <w:t> </w:t>
            </w:r>
            <w:r>
              <w:rPr>
                <w:rFonts w:ascii="Times New Roman" w:hAnsi="Times New Roman"/>
                <w:sz w:val="14"/>
              </w:rPr>
              <w:t>±</w:t>
            </w:r>
            <w:r>
              <w:rPr>
                <w:rFonts w:ascii="Times New Roman" w:hAnsi="Times New Roman"/>
                <w:spacing w:val="-12"/>
                <w:sz w:val="14"/>
              </w:rPr>
              <w:t> </w:t>
            </w:r>
            <w:r>
              <w:rPr>
                <w:sz w:val="14"/>
              </w:rPr>
              <w:t>1.5</w:t>
              <w:tab/>
              <w:t>5.0</w:t>
            </w:r>
            <w:r>
              <w:rPr>
                <w:spacing w:val="-16"/>
                <w:sz w:val="14"/>
              </w:rPr>
              <w:t> </w:t>
            </w:r>
            <w:r>
              <w:rPr>
                <w:rFonts w:ascii="Times New Roman" w:hAnsi="Times New Roman"/>
                <w:sz w:val="14"/>
              </w:rPr>
              <w:t>±</w:t>
            </w:r>
            <w:r>
              <w:rPr>
                <w:rFonts w:ascii="Times New Roman" w:hAnsi="Times New Roman"/>
                <w:spacing w:val="-12"/>
                <w:sz w:val="14"/>
              </w:rPr>
              <w:t> </w:t>
            </w:r>
            <w:r>
              <w:rPr>
                <w:sz w:val="14"/>
              </w:rPr>
              <w:t>4.3</w:t>
              <w:tab/>
            </w:r>
            <w:r>
              <w:rPr>
                <w:w w:val="95"/>
                <w:sz w:val="14"/>
              </w:rPr>
              <w:t>49.6 </w:t>
            </w:r>
            <w:r>
              <w:rPr>
                <w:rFonts w:ascii="Times New Roman" w:hAnsi="Times New Roman"/>
                <w:w w:val="95"/>
                <w:sz w:val="14"/>
              </w:rPr>
              <w:t>±</w:t>
            </w:r>
            <w:r>
              <w:rPr>
                <w:rFonts w:ascii="Times New Roman" w:hAnsi="Times New Roman"/>
                <w:spacing w:val="-22"/>
                <w:w w:val="95"/>
                <w:sz w:val="14"/>
              </w:rPr>
              <w:t> </w:t>
            </w:r>
            <w:r>
              <w:rPr>
                <w:w w:val="95"/>
                <w:sz w:val="14"/>
              </w:rPr>
              <w:t>60.0</w:t>
            </w:r>
          </w:p>
          <w:p>
            <w:pPr>
              <w:pStyle w:val="TableParagraph"/>
              <w:tabs>
                <w:tab w:pos="788" w:val="left" w:leader="none"/>
                <w:tab w:pos="1698" w:val="left" w:leader="none"/>
                <w:tab w:pos="2576" w:val="left" w:leader="none"/>
                <w:tab w:pos="3486" w:val="left" w:leader="none"/>
                <w:tab w:pos="4323" w:val="left" w:leader="none"/>
                <w:tab w:pos="5116" w:val="left" w:leader="none"/>
                <w:tab w:pos="5947" w:val="left" w:leader="none"/>
              </w:tabs>
              <w:spacing w:before="34"/>
              <w:ind w:right="73"/>
              <w:rPr>
                <w:sz w:val="14"/>
              </w:rPr>
            </w:pPr>
            <w:r>
              <w:rPr>
                <w:sz w:val="14"/>
              </w:rPr>
              <w:t>0.2*</w:t>
              <w:tab/>
              <w:t>0.9*</w:t>
              <w:tab/>
              <w:t>0.4*</w:t>
              <w:tab/>
              <w:t>0.07*</w:t>
              <w:tab/>
              <w:t>0.4*</w:t>
              <w:tab/>
              <w:t>0.3*</w:t>
              <w:tab/>
              <w:t>0.2*</w:t>
              <w:tab/>
              <w:t>0.3*</w:t>
            </w:r>
          </w:p>
          <w:p>
            <w:pPr>
              <w:pStyle w:val="TableParagraph"/>
              <w:tabs>
                <w:tab w:pos="797" w:val="left" w:leader="none"/>
                <w:tab w:pos="1633" w:val="left" w:leader="none"/>
                <w:tab w:pos="2622" w:val="left" w:leader="none"/>
                <w:tab w:pos="3495" w:val="left" w:leader="none"/>
                <w:tab w:pos="4323" w:val="left" w:leader="none"/>
                <w:tab w:pos="5042" w:val="left" w:leader="none"/>
              </w:tabs>
              <w:spacing w:before="34"/>
              <w:ind w:right="5"/>
              <w:rPr>
                <w:sz w:val="14"/>
              </w:rPr>
            </w:pPr>
            <w:r>
              <w:rPr>
                <w:sz w:val="14"/>
              </w:rPr>
              <w:t>0.3</w:t>
            </w:r>
            <w:r>
              <w:rPr>
                <w:spacing w:val="-17"/>
                <w:sz w:val="14"/>
              </w:rPr>
              <w:t> </w:t>
            </w:r>
            <w:r>
              <w:rPr>
                <w:rFonts w:ascii="Times New Roman" w:hAnsi="Times New Roman"/>
                <w:sz w:val="14"/>
              </w:rPr>
              <w:t>±</w:t>
            </w:r>
            <w:r>
              <w:rPr>
                <w:rFonts w:ascii="Times New Roman" w:hAnsi="Times New Roman"/>
                <w:spacing w:val="-12"/>
                <w:sz w:val="14"/>
              </w:rPr>
              <w:t> </w:t>
            </w:r>
            <w:r>
              <w:rPr>
                <w:sz w:val="14"/>
              </w:rPr>
              <w:t>0.5</w:t>
              <w:tab/>
              <w:t>3.0</w:t>
            </w:r>
            <w:r>
              <w:rPr>
                <w:spacing w:val="-17"/>
                <w:sz w:val="14"/>
              </w:rPr>
              <w:t> </w:t>
            </w:r>
            <w:r>
              <w:rPr>
                <w:rFonts w:ascii="Times New Roman" w:hAnsi="Times New Roman"/>
                <w:sz w:val="14"/>
              </w:rPr>
              <w:t>±</w:t>
            </w:r>
            <w:r>
              <w:rPr>
                <w:rFonts w:ascii="Times New Roman" w:hAnsi="Times New Roman"/>
                <w:spacing w:val="-12"/>
                <w:sz w:val="14"/>
              </w:rPr>
              <w:t> </w:t>
            </w:r>
            <w:r>
              <w:rPr>
                <w:sz w:val="14"/>
              </w:rPr>
              <w:t>2.4</w:t>
              <w:tab/>
              <w:t>17.6</w:t>
            </w:r>
            <w:r>
              <w:rPr>
                <w:spacing w:val="-18"/>
                <w:sz w:val="14"/>
              </w:rPr>
              <w:t> </w:t>
            </w:r>
            <w:r>
              <w:rPr>
                <w:rFonts w:ascii="Times New Roman" w:hAnsi="Times New Roman"/>
                <w:sz w:val="14"/>
              </w:rPr>
              <w:t>±</w:t>
            </w:r>
            <w:r>
              <w:rPr>
                <w:rFonts w:ascii="Times New Roman" w:hAnsi="Times New Roman"/>
                <w:spacing w:val="-14"/>
                <w:sz w:val="14"/>
              </w:rPr>
              <w:t> </w:t>
            </w:r>
            <w:r>
              <w:rPr>
                <w:sz w:val="14"/>
              </w:rPr>
              <w:t>14.0</w:t>
              <w:tab/>
              <w:t>9.6</w:t>
            </w:r>
            <w:r>
              <w:rPr>
                <w:spacing w:val="-16"/>
                <w:sz w:val="14"/>
              </w:rPr>
              <w:t> </w:t>
            </w:r>
            <w:r>
              <w:rPr>
                <w:rFonts w:ascii="Times New Roman" w:hAnsi="Times New Roman"/>
                <w:sz w:val="14"/>
              </w:rPr>
              <w:t>±</w:t>
            </w:r>
            <w:r>
              <w:rPr>
                <w:rFonts w:ascii="Times New Roman" w:hAnsi="Times New Roman"/>
                <w:spacing w:val="-12"/>
                <w:sz w:val="14"/>
              </w:rPr>
              <w:t> </w:t>
            </w:r>
            <w:r>
              <w:rPr>
                <w:sz w:val="14"/>
              </w:rPr>
              <w:t>6.7</w:t>
              <w:tab/>
              <w:t>7.4</w:t>
            </w:r>
            <w:r>
              <w:rPr>
                <w:spacing w:val="-16"/>
                <w:sz w:val="14"/>
              </w:rPr>
              <w:t> </w:t>
            </w:r>
            <w:r>
              <w:rPr>
                <w:rFonts w:ascii="Times New Roman" w:hAnsi="Times New Roman"/>
                <w:sz w:val="14"/>
              </w:rPr>
              <w:t>±</w:t>
            </w:r>
            <w:r>
              <w:rPr>
                <w:rFonts w:ascii="Times New Roman" w:hAnsi="Times New Roman"/>
                <w:spacing w:val="-12"/>
                <w:sz w:val="14"/>
              </w:rPr>
              <w:t> </w:t>
            </w:r>
            <w:r>
              <w:rPr>
                <w:sz w:val="14"/>
              </w:rPr>
              <w:t>8.4</w:t>
              <w:tab/>
              <w:t>1.1</w:t>
            </w:r>
            <w:r>
              <w:rPr>
                <w:spacing w:val="-16"/>
                <w:sz w:val="14"/>
              </w:rPr>
              <w:t> </w:t>
            </w:r>
            <w:r>
              <w:rPr>
                <w:rFonts w:ascii="Times New Roman" w:hAnsi="Times New Roman"/>
                <w:sz w:val="14"/>
              </w:rPr>
              <w:t>±</w:t>
            </w:r>
            <w:r>
              <w:rPr>
                <w:rFonts w:ascii="Times New Roman" w:hAnsi="Times New Roman"/>
                <w:spacing w:val="-12"/>
                <w:sz w:val="14"/>
              </w:rPr>
              <w:t> </w:t>
            </w:r>
            <w:r>
              <w:rPr>
                <w:sz w:val="14"/>
              </w:rPr>
              <w:t>1.8</w:t>
              <w:tab/>
              <w:t>11.5 </w:t>
            </w:r>
            <w:r>
              <w:rPr>
                <w:rFonts w:ascii="Times New Roman" w:hAnsi="Times New Roman"/>
                <w:sz w:val="14"/>
              </w:rPr>
              <w:t>± </w:t>
            </w:r>
            <w:r>
              <w:rPr>
                <w:sz w:val="14"/>
              </w:rPr>
              <w:t>10.6 </w:t>
            </w:r>
            <w:r>
              <w:rPr>
                <w:spacing w:val="5"/>
                <w:sz w:val="14"/>
              </w:rPr>
              <w:t> </w:t>
            </w:r>
            <w:r>
              <w:rPr>
                <w:sz w:val="14"/>
              </w:rPr>
              <w:t>50.4 </w:t>
            </w:r>
            <w:r>
              <w:rPr>
                <w:rFonts w:ascii="Times New Roman" w:hAnsi="Times New Roman"/>
                <w:sz w:val="14"/>
              </w:rPr>
              <w:t>± </w:t>
            </w:r>
            <w:r>
              <w:rPr>
                <w:sz w:val="14"/>
              </w:rPr>
              <w:t>26.5</w:t>
            </w:r>
          </w:p>
        </w:tc>
      </w:tr>
      <w:tr>
        <w:trPr>
          <w:trHeight w:val="586" w:hRule="exact"/>
        </w:trPr>
        <w:tc>
          <w:tcPr>
            <w:tcW w:w="1193" w:type="dxa"/>
            <w:gridSpan w:val="2"/>
            <w:tcBorders>
              <w:top w:val="dotted" w:sz="4" w:space="0" w:color="000000"/>
              <w:left w:val="nil"/>
              <w:right w:val="dotted" w:sz="4" w:space="0" w:color="000000"/>
            </w:tcBorders>
          </w:tcPr>
          <w:p>
            <w:pPr>
              <w:pStyle w:val="TableParagraph"/>
              <w:spacing w:before="10"/>
              <w:ind w:left="295" w:right="203"/>
              <w:jc w:val="left"/>
              <w:rPr>
                <w:b/>
                <w:sz w:val="15"/>
              </w:rPr>
            </w:pPr>
            <w:r>
              <w:rPr>
                <w:b/>
                <w:sz w:val="15"/>
              </w:rPr>
              <w:t>Fumador</w:t>
            </w:r>
          </w:p>
          <w:p>
            <w:pPr>
              <w:pStyle w:val="TableParagraph"/>
              <w:spacing w:before="29"/>
              <w:ind w:left="378" w:right="203"/>
              <w:jc w:val="left"/>
              <w:rPr>
                <w:b/>
                <w:sz w:val="15"/>
              </w:rPr>
            </w:pPr>
            <w:r>
              <w:rPr>
                <w:b/>
                <w:sz w:val="15"/>
              </w:rPr>
              <w:t>pasivo</w:t>
            </w:r>
          </w:p>
        </w:tc>
        <w:tc>
          <w:tcPr>
            <w:tcW w:w="944" w:type="dxa"/>
            <w:tcBorders>
              <w:top w:val="dotted" w:sz="4" w:space="0" w:color="000000"/>
              <w:left w:val="dotted" w:sz="4" w:space="0" w:color="000000"/>
              <w:right w:val="dotted" w:sz="4" w:space="0" w:color="000000"/>
            </w:tcBorders>
          </w:tcPr>
          <w:p>
            <w:pPr>
              <w:pStyle w:val="TableParagraph"/>
              <w:spacing w:before="8"/>
              <w:ind w:left="9"/>
              <w:jc w:val="left"/>
              <w:rPr>
                <w:sz w:val="12"/>
              </w:rPr>
            </w:pPr>
            <w:r>
              <w:rPr>
                <w:sz w:val="12"/>
              </w:rPr>
              <w:t>Si</w:t>
            </w:r>
          </w:p>
          <w:p>
            <w:pPr>
              <w:pStyle w:val="TableParagraph"/>
              <w:spacing w:before="57"/>
              <w:ind w:right="15"/>
              <w:jc w:val="right"/>
              <w:rPr>
                <w:b/>
                <w:sz w:val="12"/>
              </w:rPr>
            </w:pPr>
            <w:r>
              <w:rPr>
                <w:b/>
                <w:w w:val="92"/>
                <w:sz w:val="12"/>
              </w:rPr>
              <w:t>P</w:t>
            </w:r>
          </w:p>
          <w:p>
            <w:pPr>
              <w:pStyle w:val="TableParagraph"/>
              <w:spacing w:before="57"/>
              <w:ind w:left="9"/>
              <w:jc w:val="left"/>
              <w:rPr>
                <w:sz w:val="12"/>
              </w:rPr>
            </w:pPr>
            <w:r>
              <w:rPr>
                <w:sz w:val="12"/>
              </w:rPr>
              <w:t>No</w:t>
            </w:r>
          </w:p>
        </w:tc>
        <w:tc>
          <w:tcPr>
            <w:tcW w:w="6743" w:type="dxa"/>
            <w:tcBorders>
              <w:top w:val="dotted" w:sz="4" w:space="0" w:color="000000"/>
              <w:left w:val="dotted" w:sz="4" w:space="0" w:color="000000"/>
              <w:right w:val="nil"/>
            </w:tcBorders>
          </w:tcPr>
          <w:p>
            <w:pPr>
              <w:pStyle w:val="TableParagraph"/>
              <w:tabs>
                <w:tab w:pos="797" w:val="left" w:leader="none"/>
                <w:tab w:pos="1633" w:val="left" w:leader="none"/>
                <w:tab w:pos="2622" w:val="left" w:leader="none"/>
                <w:tab w:pos="3458" w:val="left" w:leader="none"/>
                <w:tab w:pos="4323" w:val="left" w:leader="none"/>
                <w:tab w:pos="5042" w:val="left" w:leader="none"/>
              </w:tabs>
              <w:spacing w:before="9"/>
              <w:ind w:right="5"/>
              <w:rPr>
                <w:sz w:val="14"/>
              </w:rPr>
            </w:pPr>
            <w:r>
              <w:rPr>
                <w:sz w:val="14"/>
              </w:rPr>
              <w:t>0.5</w:t>
            </w:r>
            <w:r>
              <w:rPr>
                <w:spacing w:val="-17"/>
                <w:sz w:val="14"/>
              </w:rPr>
              <w:t> </w:t>
            </w:r>
            <w:r>
              <w:rPr>
                <w:rFonts w:ascii="Times New Roman" w:hAnsi="Times New Roman"/>
                <w:sz w:val="14"/>
              </w:rPr>
              <w:t>±</w:t>
            </w:r>
            <w:r>
              <w:rPr>
                <w:rFonts w:ascii="Times New Roman" w:hAnsi="Times New Roman"/>
                <w:spacing w:val="-12"/>
                <w:sz w:val="14"/>
              </w:rPr>
              <w:t> </w:t>
            </w:r>
            <w:r>
              <w:rPr>
                <w:sz w:val="14"/>
              </w:rPr>
              <w:t>0.7</w:t>
              <w:tab/>
              <w:t>2.8</w:t>
            </w:r>
            <w:r>
              <w:rPr>
                <w:spacing w:val="-17"/>
                <w:sz w:val="14"/>
              </w:rPr>
              <w:t> </w:t>
            </w:r>
            <w:r>
              <w:rPr>
                <w:rFonts w:ascii="Times New Roman" w:hAnsi="Times New Roman"/>
                <w:sz w:val="14"/>
              </w:rPr>
              <w:t>±</w:t>
            </w:r>
            <w:r>
              <w:rPr>
                <w:rFonts w:ascii="Times New Roman" w:hAnsi="Times New Roman"/>
                <w:spacing w:val="-12"/>
                <w:sz w:val="14"/>
              </w:rPr>
              <w:t> </w:t>
            </w:r>
            <w:r>
              <w:rPr>
                <w:sz w:val="14"/>
              </w:rPr>
              <w:t>2.5</w:t>
              <w:tab/>
              <w:t>15.5</w:t>
            </w:r>
            <w:r>
              <w:rPr>
                <w:spacing w:val="-18"/>
                <w:sz w:val="14"/>
              </w:rPr>
              <w:t> </w:t>
            </w:r>
            <w:r>
              <w:rPr>
                <w:rFonts w:ascii="Times New Roman" w:hAnsi="Times New Roman"/>
                <w:sz w:val="14"/>
              </w:rPr>
              <w:t>±</w:t>
            </w:r>
            <w:r>
              <w:rPr>
                <w:rFonts w:ascii="Times New Roman" w:hAnsi="Times New Roman"/>
                <w:spacing w:val="-14"/>
                <w:sz w:val="14"/>
              </w:rPr>
              <w:t> </w:t>
            </w:r>
            <w:r>
              <w:rPr>
                <w:sz w:val="14"/>
              </w:rPr>
              <w:t>13.3</w:t>
              <w:tab/>
              <w:t>9.0</w:t>
            </w:r>
            <w:r>
              <w:rPr>
                <w:spacing w:val="-16"/>
                <w:sz w:val="14"/>
              </w:rPr>
              <w:t> </w:t>
            </w:r>
            <w:r>
              <w:rPr>
                <w:rFonts w:ascii="Times New Roman" w:hAnsi="Times New Roman"/>
                <w:sz w:val="14"/>
              </w:rPr>
              <w:t>±</w:t>
            </w:r>
            <w:r>
              <w:rPr>
                <w:rFonts w:ascii="Times New Roman" w:hAnsi="Times New Roman"/>
                <w:spacing w:val="-12"/>
                <w:sz w:val="14"/>
              </w:rPr>
              <w:t> </w:t>
            </w:r>
            <w:r>
              <w:rPr>
                <w:sz w:val="14"/>
              </w:rPr>
              <w:t>6.6</w:t>
              <w:tab/>
              <w:t>7.7</w:t>
            </w:r>
            <w:r>
              <w:rPr>
                <w:spacing w:val="-17"/>
                <w:sz w:val="14"/>
              </w:rPr>
              <w:t> </w:t>
            </w:r>
            <w:r>
              <w:rPr>
                <w:rFonts w:ascii="Times New Roman" w:hAnsi="Times New Roman"/>
                <w:sz w:val="14"/>
              </w:rPr>
              <w:t>±</w:t>
            </w:r>
            <w:r>
              <w:rPr>
                <w:rFonts w:ascii="Times New Roman" w:hAnsi="Times New Roman"/>
                <w:spacing w:val="-13"/>
                <w:sz w:val="14"/>
              </w:rPr>
              <w:t> </w:t>
            </w:r>
            <w:r>
              <w:rPr>
                <w:sz w:val="14"/>
              </w:rPr>
              <w:t>10.6</w:t>
              <w:tab/>
              <w:t>1.4</w:t>
            </w:r>
            <w:r>
              <w:rPr>
                <w:spacing w:val="-16"/>
                <w:sz w:val="14"/>
              </w:rPr>
              <w:t> </w:t>
            </w:r>
            <w:r>
              <w:rPr>
                <w:rFonts w:ascii="Times New Roman" w:hAnsi="Times New Roman"/>
                <w:sz w:val="14"/>
              </w:rPr>
              <w:t>±</w:t>
            </w:r>
            <w:r>
              <w:rPr>
                <w:rFonts w:ascii="Times New Roman" w:hAnsi="Times New Roman"/>
                <w:spacing w:val="-12"/>
                <w:sz w:val="14"/>
              </w:rPr>
              <w:t> </w:t>
            </w:r>
            <w:r>
              <w:rPr>
                <w:sz w:val="14"/>
              </w:rPr>
              <w:t>2.1</w:t>
              <w:tab/>
              <w:t>13.4 </w:t>
            </w:r>
            <w:r>
              <w:rPr>
                <w:rFonts w:ascii="Times New Roman" w:hAnsi="Times New Roman"/>
                <w:sz w:val="14"/>
              </w:rPr>
              <w:t>± </w:t>
            </w:r>
            <w:r>
              <w:rPr>
                <w:sz w:val="14"/>
              </w:rPr>
              <w:t>11.2 </w:t>
            </w:r>
            <w:r>
              <w:rPr>
                <w:spacing w:val="5"/>
                <w:sz w:val="14"/>
              </w:rPr>
              <w:t> </w:t>
            </w:r>
            <w:r>
              <w:rPr>
                <w:sz w:val="14"/>
              </w:rPr>
              <w:t>50.0 </w:t>
            </w:r>
            <w:r>
              <w:rPr>
                <w:rFonts w:ascii="Times New Roman" w:hAnsi="Times New Roman"/>
                <w:sz w:val="14"/>
              </w:rPr>
              <w:t>± </w:t>
            </w:r>
            <w:r>
              <w:rPr>
                <w:sz w:val="14"/>
              </w:rPr>
              <w:t>29.5</w:t>
            </w:r>
          </w:p>
          <w:p>
            <w:pPr>
              <w:pStyle w:val="TableParagraph"/>
              <w:tabs>
                <w:tab w:pos="825" w:val="left" w:leader="none"/>
                <w:tab w:pos="1735" w:val="left" w:leader="none"/>
                <w:tab w:pos="2650" w:val="left" w:leader="none"/>
                <w:tab w:pos="3523" w:val="left" w:leader="none"/>
                <w:tab w:pos="4360" w:val="left" w:leader="none"/>
                <w:tab w:pos="5153" w:val="left" w:leader="none"/>
                <w:tab w:pos="5984" w:val="left" w:leader="none"/>
              </w:tabs>
              <w:spacing w:before="33"/>
              <w:ind w:right="110"/>
              <w:rPr>
                <w:sz w:val="14"/>
              </w:rPr>
            </w:pPr>
            <w:r>
              <w:rPr>
                <w:b/>
                <w:sz w:val="14"/>
              </w:rPr>
              <w:t>0.05*</w:t>
              <w:tab/>
            </w:r>
            <w:r>
              <w:rPr>
                <w:sz w:val="14"/>
              </w:rPr>
              <w:t>0.4*</w:t>
              <w:tab/>
              <w:t>0.3*</w:t>
              <w:tab/>
              <w:t>0.7*</w:t>
              <w:tab/>
              <w:t>0.4*</w:t>
              <w:tab/>
              <w:t>0.5*</w:t>
              <w:tab/>
              <w:t>0.1*</w:t>
              <w:tab/>
              <w:t>0.7*</w:t>
            </w:r>
          </w:p>
          <w:p>
            <w:pPr>
              <w:pStyle w:val="TableParagraph"/>
              <w:tabs>
                <w:tab w:pos="797" w:val="left" w:leader="none"/>
                <w:tab w:pos="1633" w:val="left" w:leader="none"/>
                <w:tab w:pos="2622" w:val="left" w:leader="none"/>
                <w:tab w:pos="3495" w:val="left" w:leader="none"/>
                <w:tab w:pos="4323" w:val="left" w:leader="none"/>
                <w:tab w:pos="5116" w:val="left" w:leader="none"/>
                <w:tab w:pos="5882" w:val="left" w:leader="none"/>
              </w:tabs>
              <w:spacing w:before="34"/>
              <w:ind w:right="5"/>
              <w:rPr>
                <w:sz w:val="14"/>
              </w:rPr>
            </w:pPr>
            <w:r>
              <w:rPr>
                <w:sz w:val="14"/>
              </w:rPr>
              <w:t>0.2</w:t>
            </w:r>
            <w:r>
              <w:rPr>
                <w:spacing w:val="-17"/>
                <w:sz w:val="14"/>
              </w:rPr>
              <w:t> </w:t>
            </w:r>
            <w:r>
              <w:rPr>
                <w:rFonts w:ascii="Times New Roman" w:hAnsi="Times New Roman"/>
                <w:sz w:val="14"/>
              </w:rPr>
              <w:t>±</w:t>
            </w:r>
            <w:r>
              <w:rPr>
                <w:rFonts w:ascii="Times New Roman" w:hAnsi="Times New Roman"/>
                <w:spacing w:val="-12"/>
                <w:sz w:val="14"/>
              </w:rPr>
              <w:t> </w:t>
            </w:r>
            <w:r>
              <w:rPr>
                <w:sz w:val="14"/>
              </w:rPr>
              <w:t>0.4</w:t>
              <w:tab/>
              <w:t>3.3</w:t>
            </w:r>
            <w:r>
              <w:rPr>
                <w:spacing w:val="-17"/>
                <w:sz w:val="14"/>
              </w:rPr>
              <w:t> </w:t>
            </w:r>
            <w:r>
              <w:rPr>
                <w:rFonts w:ascii="Times New Roman" w:hAnsi="Times New Roman"/>
                <w:sz w:val="14"/>
              </w:rPr>
              <w:t>±</w:t>
            </w:r>
            <w:r>
              <w:rPr>
                <w:rFonts w:ascii="Times New Roman" w:hAnsi="Times New Roman"/>
                <w:spacing w:val="-12"/>
                <w:sz w:val="14"/>
              </w:rPr>
              <w:t> </w:t>
            </w:r>
            <w:r>
              <w:rPr>
                <w:sz w:val="14"/>
              </w:rPr>
              <w:t>2.7</w:t>
              <w:tab/>
              <w:t>19.1</w:t>
            </w:r>
            <w:r>
              <w:rPr>
                <w:spacing w:val="-18"/>
                <w:sz w:val="14"/>
              </w:rPr>
              <w:t> </w:t>
            </w:r>
            <w:r>
              <w:rPr>
                <w:rFonts w:ascii="Times New Roman" w:hAnsi="Times New Roman"/>
                <w:sz w:val="14"/>
              </w:rPr>
              <w:t>±</w:t>
            </w:r>
            <w:r>
              <w:rPr>
                <w:rFonts w:ascii="Times New Roman" w:hAnsi="Times New Roman"/>
                <w:spacing w:val="-14"/>
                <w:sz w:val="14"/>
              </w:rPr>
              <w:t> </w:t>
            </w:r>
            <w:r>
              <w:rPr>
                <w:sz w:val="14"/>
              </w:rPr>
              <w:t>15.4</w:t>
              <w:tab/>
              <w:t>9.5</w:t>
            </w:r>
            <w:r>
              <w:rPr>
                <w:spacing w:val="-16"/>
                <w:sz w:val="14"/>
              </w:rPr>
              <w:t> </w:t>
            </w:r>
            <w:r>
              <w:rPr>
                <w:rFonts w:ascii="Times New Roman" w:hAnsi="Times New Roman"/>
                <w:sz w:val="14"/>
              </w:rPr>
              <w:t>±</w:t>
            </w:r>
            <w:r>
              <w:rPr>
                <w:rFonts w:ascii="Times New Roman" w:hAnsi="Times New Roman"/>
                <w:spacing w:val="-12"/>
                <w:sz w:val="14"/>
              </w:rPr>
              <w:t> </w:t>
            </w:r>
            <w:r>
              <w:rPr>
                <w:sz w:val="14"/>
              </w:rPr>
              <w:t>6.9</w:t>
              <w:tab/>
              <w:t>8.0</w:t>
            </w:r>
            <w:r>
              <w:rPr>
                <w:spacing w:val="-16"/>
                <w:sz w:val="14"/>
              </w:rPr>
              <w:t> </w:t>
            </w:r>
            <w:r>
              <w:rPr>
                <w:rFonts w:ascii="Times New Roman" w:hAnsi="Times New Roman"/>
                <w:sz w:val="14"/>
              </w:rPr>
              <w:t>±</w:t>
            </w:r>
            <w:r>
              <w:rPr>
                <w:rFonts w:ascii="Times New Roman" w:hAnsi="Times New Roman"/>
                <w:spacing w:val="-12"/>
                <w:sz w:val="14"/>
              </w:rPr>
              <w:t> </w:t>
            </w:r>
            <w:r>
              <w:rPr>
                <w:sz w:val="14"/>
              </w:rPr>
              <w:t>9.5</w:t>
              <w:tab/>
              <w:t>0.9</w:t>
            </w:r>
            <w:r>
              <w:rPr>
                <w:spacing w:val="-16"/>
                <w:sz w:val="14"/>
              </w:rPr>
              <w:t> </w:t>
            </w:r>
            <w:r>
              <w:rPr>
                <w:rFonts w:ascii="Times New Roman" w:hAnsi="Times New Roman"/>
                <w:sz w:val="14"/>
              </w:rPr>
              <w:t>±</w:t>
            </w:r>
            <w:r>
              <w:rPr>
                <w:rFonts w:ascii="Times New Roman" w:hAnsi="Times New Roman"/>
                <w:spacing w:val="-12"/>
                <w:sz w:val="14"/>
              </w:rPr>
              <w:t> </w:t>
            </w:r>
            <w:r>
              <w:rPr>
                <w:sz w:val="14"/>
              </w:rPr>
              <w:t>1.6</w:t>
              <w:tab/>
              <w:t>9.7</w:t>
            </w:r>
            <w:r>
              <w:rPr>
                <w:spacing w:val="-16"/>
                <w:sz w:val="14"/>
              </w:rPr>
              <w:t> </w:t>
            </w:r>
            <w:r>
              <w:rPr>
                <w:rFonts w:ascii="Times New Roman" w:hAnsi="Times New Roman"/>
                <w:sz w:val="14"/>
              </w:rPr>
              <w:t>±</w:t>
            </w:r>
            <w:r>
              <w:rPr>
                <w:rFonts w:ascii="Times New Roman" w:hAnsi="Times New Roman"/>
                <w:spacing w:val="-12"/>
                <w:sz w:val="14"/>
              </w:rPr>
              <w:t> </w:t>
            </w:r>
            <w:r>
              <w:rPr>
                <w:sz w:val="14"/>
              </w:rPr>
              <w:t>9.7</w:t>
              <w:tab/>
            </w:r>
            <w:r>
              <w:rPr>
                <w:w w:val="95"/>
                <w:sz w:val="14"/>
              </w:rPr>
              <w:t>50.7 </w:t>
            </w:r>
            <w:r>
              <w:rPr>
                <w:rFonts w:ascii="Times New Roman" w:hAnsi="Times New Roman"/>
                <w:w w:val="95"/>
                <w:sz w:val="14"/>
              </w:rPr>
              <w:t>±</w:t>
            </w:r>
            <w:r>
              <w:rPr>
                <w:rFonts w:ascii="Times New Roman" w:hAnsi="Times New Roman"/>
                <w:spacing w:val="-21"/>
                <w:w w:val="95"/>
                <w:sz w:val="14"/>
              </w:rPr>
              <w:t> </w:t>
            </w:r>
            <w:r>
              <w:rPr>
                <w:w w:val="95"/>
                <w:sz w:val="14"/>
              </w:rPr>
              <w:t>27.3</w:t>
            </w:r>
          </w:p>
        </w:tc>
      </w:tr>
    </w:tbl>
    <w:p>
      <w:pPr>
        <w:spacing w:before="23"/>
        <w:ind w:left="1565" w:right="1703" w:firstLine="0"/>
        <w:jc w:val="left"/>
        <w:rPr>
          <w:sz w:val="12"/>
        </w:rPr>
      </w:pPr>
      <w:r>
        <w:rPr/>
        <w:pict>
          <v:rect style="position:absolute;margin-left:184.135483pt;margin-top:-20.440998pt;width:36.075558pt;height:10.097094pt;mso-position-horizontal-relative:page;mso-position-vertical-relative:paragraph;z-index:-338152" filled="true" fillcolor="#d9d9d9" stroked="false">
            <v:fill type="solid"/>
            <w10:wrap type="none"/>
          </v:rect>
        </w:pict>
      </w:r>
      <w:r>
        <w:rPr>
          <w:sz w:val="12"/>
        </w:rPr>
        <w:t>Valores expresados en M </w:t>
      </w:r>
      <w:r>
        <w:rPr>
          <w:rFonts w:ascii="Calibri" w:hAnsi="Calibri"/>
          <w:sz w:val="12"/>
        </w:rPr>
        <w:t>± </w:t>
      </w:r>
      <w:r>
        <w:rPr>
          <w:sz w:val="12"/>
        </w:rPr>
        <w:t>DE; † Correlación de Spearman; *U de Mann-Whitney</w:t>
      </w:r>
    </w:p>
    <w:p>
      <w:pPr>
        <w:spacing w:before="6"/>
        <w:ind w:left="1565" w:right="1703" w:firstLine="0"/>
        <w:jc w:val="left"/>
        <w:rPr>
          <w:sz w:val="12"/>
        </w:rPr>
      </w:pPr>
      <w:r>
        <w:rPr>
          <w:w w:val="95"/>
          <w:sz w:val="12"/>
        </w:rPr>
        <w:t>Índice de Masa Corporal (IMC)</w:t>
      </w:r>
    </w:p>
    <w:p>
      <w:pPr>
        <w:spacing w:before="3"/>
        <w:ind w:left="1565" w:right="597" w:firstLine="0"/>
        <w:jc w:val="left"/>
        <w:rPr>
          <w:sz w:val="12"/>
        </w:rPr>
      </w:pPr>
      <w:r>
        <w:rPr>
          <w:w w:val="95"/>
          <w:sz w:val="12"/>
        </w:rPr>
        <w:t>Micronúcleos (MN); Binucleada (BN); Núcleo Lobulado (NL); Picnosis (PC); Cromatina Condensada (CC); Cariorrexis (CR); Cariolisis (CL); Total de Anormalidades Nucleares(TAN</w:t>
      </w:r>
    </w:p>
    <w:p>
      <w:pPr>
        <w:spacing w:after="0"/>
        <w:jc w:val="left"/>
        <w:rPr>
          <w:sz w:val="12"/>
        </w:rPr>
        <w:sectPr>
          <w:pgSz w:w="12240" w:h="15840"/>
          <w:pgMar w:header="0" w:footer="599" w:top="1500" w:bottom="780" w:left="0" w:right="0"/>
        </w:sectPr>
      </w:pPr>
    </w:p>
    <w:p>
      <w:pPr>
        <w:pStyle w:val="Heading3"/>
        <w:spacing w:line="232" w:lineRule="auto" w:before="147" w:after="26"/>
        <w:ind w:right="2224" w:firstLine="1"/>
        <w:jc w:val="center"/>
      </w:pPr>
      <w:r>
        <w:rPr>
          <w:b/>
          <w:w w:val="110"/>
        </w:rPr>
        <w:t>CUADRO III</w:t>
      </w:r>
      <w:r>
        <w:rPr>
          <w:w w:val="110"/>
        </w:rPr>
        <w:t>. FACTORES DE VARIABILIDAD INFLUYENTES EN LA FORMACIÓN DE MICRONÚCLEOS Y ANORMALIDADESNUCLEARES DEL GRUPO NO EXPUESTO</w:t>
      </w:r>
    </w:p>
    <w:tbl>
      <w:tblPr>
        <w:tblW w:w="0" w:type="auto"/>
        <w:jc w:val="left"/>
        <w:tblInd w:w="1617"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50"/>
        <w:gridCol w:w="905"/>
        <w:gridCol w:w="995"/>
        <w:gridCol w:w="6425"/>
      </w:tblGrid>
      <w:tr>
        <w:trPr>
          <w:trHeight w:val="200" w:hRule="exact"/>
        </w:trPr>
        <w:tc>
          <w:tcPr>
            <w:tcW w:w="2250" w:type="dxa"/>
            <w:gridSpan w:val="3"/>
            <w:vMerge w:val="restart"/>
            <w:tcBorders>
              <w:left w:val="nil"/>
              <w:right w:val="dotted" w:sz="5" w:space="0" w:color="000000"/>
            </w:tcBorders>
          </w:tcPr>
          <w:p>
            <w:pPr>
              <w:pStyle w:val="TableParagraph"/>
              <w:spacing w:line="163" w:lineRule="exact" w:before="0"/>
              <w:ind w:left="628"/>
              <w:jc w:val="left"/>
              <w:rPr>
                <w:b/>
                <w:sz w:val="15"/>
              </w:rPr>
            </w:pPr>
            <w:r>
              <w:rPr>
                <w:b/>
                <w:w w:val="120"/>
                <w:sz w:val="15"/>
              </w:rPr>
              <w:t>Factores de</w:t>
            </w:r>
          </w:p>
          <w:p>
            <w:pPr>
              <w:pStyle w:val="TableParagraph"/>
              <w:spacing w:before="27"/>
              <w:ind w:left="628"/>
              <w:jc w:val="left"/>
              <w:rPr>
                <w:b/>
                <w:sz w:val="15"/>
              </w:rPr>
            </w:pPr>
            <w:r>
              <w:rPr>
                <w:b/>
                <w:w w:val="120"/>
                <w:sz w:val="15"/>
              </w:rPr>
              <w:t>variabilidad</w:t>
            </w:r>
          </w:p>
        </w:tc>
        <w:tc>
          <w:tcPr>
            <w:tcW w:w="6425" w:type="dxa"/>
            <w:tcBorders>
              <w:left w:val="dotted" w:sz="5" w:space="0" w:color="000000"/>
              <w:bottom w:val="dotted" w:sz="4" w:space="0" w:color="000000"/>
              <w:right w:val="nil"/>
            </w:tcBorders>
          </w:tcPr>
          <w:p>
            <w:pPr>
              <w:pStyle w:val="TableParagraph"/>
              <w:spacing w:line="163" w:lineRule="exact" w:before="0"/>
              <w:ind w:left="56" w:right="45"/>
              <w:rPr>
                <w:b/>
                <w:sz w:val="15"/>
              </w:rPr>
            </w:pPr>
            <w:r>
              <w:rPr>
                <w:b/>
                <w:w w:val="120"/>
                <w:sz w:val="15"/>
              </w:rPr>
              <w:t>Significancia</w:t>
            </w:r>
          </w:p>
        </w:tc>
      </w:tr>
      <w:tr>
        <w:trPr>
          <w:trHeight w:val="200" w:hRule="exact"/>
        </w:trPr>
        <w:tc>
          <w:tcPr>
            <w:tcW w:w="2250" w:type="dxa"/>
            <w:gridSpan w:val="3"/>
            <w:vMerge/>
            <w:tcBorders>
              <w:left w:val="nil"/>
              <w:right w:val="dotted" w:sz="5" w:space="0" w:color="000000"/>
            </w:tcBorders>
          </w:tcPr>
          <w:p>
            <w:pPr/>
          </w:p>
        </w:tc>
        <w:tc>
          <w:tcPr>
            <w:tcW w:w="6425" w:type="dxa"/>
            <w:tcBorders>
              <w:top w:val="dotted" w:sz="4" w:space="0" w:color="000000"/>
              <w:left w:val="dotted" w:sz="5" w:space="0" w:color="000000"/>
              <w:right w:val="nil"/>
            </w:tcBorders>
          </w:tcPr>
          <w:p>
            <w:pPr>
              <w:pStyle w:val="TableParagraph"/>
              <w:tabs>
                <w:tab w:pos="785" w:val="left" w:leader="none"/>
                <w:tab w:pos="1661" w:val="left" w:leader="none"/>
                <w:tab w:pos="2470" w:val="left" w:leader="none"/>
                <w:tab w:pos="3183" w:val="left" w:leader="none"/>
                <w:tab w:pos="3908" w:val="left" w:leader="none"/>
                <w:tab w:pos="4741" w:val="left" w:leader="none"/>
                <w:tab w:pos="5575" w:val="left" w:leader="none"/>
              </w:tabs>
              <w:spacing w:before="2"/>
              <w:ind w:right="45"/>
              <w:rPr>
                <w:b/>
                <w:sz w:val="15"/>
              </w:rPr>
            </w:pPr>
            <w:r>
              <w:rPr>
                <w:b/>
                <w:spacing w:val="3"/>
                <w:w w:val="120"/>
                <w:sz w:val="15"/>
              </w:rPr>
              <w:t>MN</w:t>
              <w:tab/>
            </w:r>
            <w:r>
              <w:rPr>
                <w:b/>
                <w:w w:val="120"/>
                <w:sz w:val="15"/>
              </w:rPr>
              <w:t>BN</w:t>
              <w:tab/>
              <w:t>NL</w:t>
              <w:tab/>
              <w:t>PC</w:t>
              <w:tab/>
              <w:t>CC</w:t>
              <w:tab/>
              <w:t>CR</w:t>
              <w:tab/>
              <w:t>CL</w:t>
              <w:tab/>
            </w:r>
            <w:r>
              <w:rPr>
                <w:b/>
                <w:spacing w:val="4"/>
                <w:w w:val="120"/>
                <w:sz w:val="15"/>
              </w:rPr>
              <w:t>TAN</w:t>
            </w:r>
          </w:p>
        </w:tc>
      </w:tr>
      <w:tr>
        <w:trPr>
          <w:trHeight w:val="190" w:hRule="exact"/>
        </w:trPr>
        <w:tc>
          <w:tcPr>
            <w:tcW w:w="1255" w:type="dxa"/>
            <w:gridSpan w:val="2"/>
            <w:tcBorders>
              <w:left w:val="nil"/>
              <w:bottom w:val="dotted" w:sz="4" w:space="0" w:color="000000"/>
              <w:right w:val="dotted" w:sz="5" w:space="0" w:color="000000"/>
            </w:tcBorders>
          </w:tcPr>
          <w:p>
            <w:pPr>
              <w:pStyle w:val="TableParagraph"/>
              <w:spacing w:before="4"/>
              <w:ind w:left="133" w:right="149"/>
              <w:rPr>
                <w:b/>
                <w:sz w:val="13"/>
              </w:rPr>
            </w:pPr>
            <w:r>
              <w:rPr>
                <w:b/>
                <w:w w:val="120"/>
                <w:sz w:val="13"/>
              </w:rPr>
              <w:t>Edad</w:t>
            </w:r>
          </w:p>
        </w:tc>
        <w:tc>
          <w:tcPr>
            <w:tcW w:w="995" w:type="dxa"/>
            <w:vMerge w:val="restart"/>
            <w:tcBorders>
              <w:left w:val="dotted" w:sz="5" w:space="0" w:color="000000"/>
              <w:right w:val="dotted" w:sz="10" w:space="0" w:color="A6A6A6"/>
            </w:tcBorders>
          </w:tcPr>
          <w:p>
            <w:pPr>
              <w:pStyle w:val="TableParagraph"/>
              <w:spacing w:before="2"/>
              <w:ind w:left="228"/>
              <w:jc w:val="left"/>
              <w:rPr>
                <w:sz w:val="13"/>
              </w:rPr>
            </w:pPr>
            <w:r>
              <w:rPr>
                <w:w w:val="120"/>
                <w:sz w:val="13"/>
              </w:rPr>
              <w:t>9.5</w:t>
            </w:r>
            <w:r>
              <w:rPr>
                <w:rFonts w:ascii="Calibri" w:hAnsi="Calibri"/>
                <w:w w:val="120"/>
                <w:sz w:val="13"/>
              </w:rPr>
              <w:t>±</w:t>
            </w:r>
            <w:r>
              <w:rPr>
                <w:w w:val="120"/>
                <w:sz w:val="13"/>
              </w:rPr>
              <w:t>2.0</w:t>
            </w:r>
          </w:p>
          <w:p>
            <w:pPr>
              <w:pStyle w:val="TableParagraph"/>
              <w:spacing w:before="25"/>
              <w:ind w:left="192"/>
              <w:jc w:val="left"/>
              <w:rPr>
                <w:sz w:val="13"/>
              </w:rPr>
            </w:pPr>
            <w:r>
              <w:rPr>
                <w:w w:val="120"/>
                <w:sz w:val="13"/>
              </w:rPr>
              <w:t>17.9</w:t>
            </w:r>
            <w:r>
              <w:rPr>
                <w:rFonts w:ascii="Calibri" w:hAnsi="Calibri"/>
                <w:w w:val="120"/>
                <w:sz w:val="13"/>
              </w:rPr>
              <w:t>±</w:t>
            </w:r>
            <w:r>
              <w:rPr>
                <w:w w:val="120"/>
                <w:sz w:val="13"/>
              </w:rPr>
              <w:t>2.2</w:t>
            </w:r>
          </w:p>
        </w:tc>
        <w:tc>
          <w:tcPr>
            <w:tcW w:w="6425" w:type="dxa"/>
            <w:vMerge w:val="restart"/>
            <w:tcBorders>
              <w:left w:val="dotted" w:sz="10" w:space="0" w:color="A6A6A6"/>
              <w:right w:val="nil"/>
            </w:tcBorders>
          </w:tcPr>
          <w:p>
            <w:pPr>
              <w:pStyle w:val="TableParagraph"/>
              <w:tabs>
                <w:tab w:pos="921" w:val="left" w:leader="none"/>
                <w:tab w:pos="1821" w:val="left" w:leader="none"/>
                <w:tab w:pos="2642" w:val="left" w:leader="none"/>
                <w:tab w:pos="3367" w:val="left" w:leader="none"/>
                <w:tab w:pos="4092" w:val="left" w:leader="none"/>
                <w:tab w:pos="4902" w:val="left" w:leader="none"/>
                <w:tab w:pos="5808" w:val="left" w:leader="none"/>
              </w:tabs>
              <w:spacing w:before="4"/>
              <w:ind w:left="196"/>
              <w:jc w:val="left"/>
              <w:rPr>
                <w:sz w:val="13"/>
              </w:rPr>
            </w:pPr>
            <w:r>
              <w:rPr>
                <w:w w:val="120"/>
                <w:sz w:val="13"/>
              </w:rPr>
              <w:t>+0.9</w:t>
              <w:tab/>
              <w:t>+0.06</w:t>
              <w:tab/>
              <w:t>+0.1</w:t>
              <w:tab/>
              <w:t>+0.6</w:t>
              <w:tab/>
              <w:t>+0.8</w:t>
              <w:tab/>
              <w:t>+0.5</w:t>
              <w:tab/>
              <w:t>+0.7</w:t>
              <w:tab/>
              <w:t>+0.5</w:t>
            </w:r>
          </w:p>
          <w:p>
            <w:pPr>
              <w:pStyle w:val="TableParagraph"/>
              <w:tabs>
                <w:tab w:pos="957" w:val="left" w:leader="none"/>
                <w:tab w:pos="1785" w:val="left" w:leader="none"/>
                <w:tab w:pos="2642" w:val="left" w:leader="none"/>
                <w:tab w:pos="3367" w:val="left" w:leader="none"/>
                <w:tab w:pos="4092" w:val="left" w:leader="none"/>
                <w:tab w:pos="4902" w:val="left" w:leader="none"/>
                <w:tab w:pos="5808" w:val="left" w:leader="none"/>
              </w:tabs>
              <w:spacing w:before="34"/>
              <w:ind w:left="196"/>
              <w:jc w:val="left"/>
              <w:rPr>
                <w:sz w:val="13"/>
              </w:rPr>
            </w:pPr>
            <w:r>
              <w:rPr>
                <w:w w:val="120"/>
                <w:sz w:val="13"/>
              </w:rPr>
              <w:t>+0.5</w:t>
              <w:tab/>
              <w:t>+0.2</w:t>
              <w:tab/>
              <w:t>+0.09</w:t>
              <w:tab/>
              <w:t>+0.9</w:t>
              <w:tab/>
              <w:t>+0.8</w:t>
              <w:tab/>
              <w:t>+0.9</w:t>
              <w:tab/>
              <w:t>+0.5</w:t>
              <w:tab/>
              <w:t>+0.1</w:t>
            </w:r>
          </w:p>
        </w:tc>
      </w:tr>
      <w:tr>
        <w:trPr>
          <w:trHeight w:val="180" w:hRule="exact"/>
        </w:trPr>
        <w:tc>
          <w:tcPr>
            <w:tcW w:w="1255" w:type="dxa"/>
            <w:gridSpan w:val="2"/>
            <w:tcBorders>
              <w:top w:val="dotted" w:sz="4" w:space="0" w:color="000000"/>
              <w:left w:val="nil"/>
              <w:bottom w:val="dotted" w:sz="4" w:space="0" w:color="000000"/>
              <w:right w:val="dotted" w:sz="5" w:space="0" w:color="000000"/>
            </w:tcBorders>
          </w:tcPr>
          <w:p>
            <w:pPr>
              <w:pStyle w:val="TableParagraph"/>
              <w:spacing w:before="8"/>
              <w:ind w:left="139" w:right="149"/>
              <w:rPr>
                <w:b/>
                <w:sz w:val="13"/>
              </w:rPr>
            </w:pPr>
            <w:r>
              <w:rPr>
                <w:b/>
                <w:w w:val="120"/>
                <w:sz w:val="13"/>
              </w:rPr>
              <w:t>IMC</w:t>
            </w:r>
          </w:p>
        </w:tc>
        <w:tc>
          <w:tcPr>
            <w:tcW w:w="995" w:type="dxa"/>
            <w:vMerge/>
            <w:tcBorders>
              <w:left w:val="dotted" w:sz="5" w:space="0" w:color="000000"/>
              <w:bottom w:val="dotted" w:sz="4" w:space="0" w:color="000000"/>
              <w:right w:val="dotted" w:sz="10" w:space="0" w:color="A6A6A6"/>
            </w:tcBorders>
          </w:tcPr>
          <w:p>
            <w:pPr/>
          </w:p>
        </w:tc>
        <w:tc>
          <w:tcPr>
            <w:tcW w:w="6425" w:type="dxa"/>
            <w:vMerge/>
            <w:tcBorders>
              <w:left w:val="dotted" w:sz="10" w:space="0" w:color="A6A6A6"/>
              <w:bottom w:val="dotted" w:sz="4" w:space="0" w:color="000000"/>
              <w:right w:val="nil"/>
            </w:tcBorders>
          </w:tcPr>
          <w:p>
            <w:pPr/>
          </w:p>
        </w:tc>
      </w:tr>
      <w:tr>
        <w:trPr>
          <w:trHeight w:val="550" w:hRule="exact"/>
        </w:trPr>
        <w:tc>
          <w:tcPr>
            <w:tcW w:w="1255" w:type="dxa"/>
            <w:gridSpan w:val="2"/>
            <w:tcBorders>
              <w:top w:val="dotted" w:sz="4" w:space="0" w:color="000000"/>
              <w:left w:val="nil"/>
              <w:bottom w:val="dotted" w:sz="4" w:space="0" w:color="000000"/>
              <w:right w:val="dotted" w:sz="5" w:space="0" w:color="000000"/>
            </w:tcBorders>
          </w:tcPr>
          <w:p>
            <w:pPr>
              <w:pStyle w:val="TableParagraph"/>
              <w:spacing w:before="9"/>
              <w:jc w:val="left"/>
              <w:rPr>
                <w:rFonts w:ascii="Calibri"/>
                <w:sz w:val="15"/>
              </w:rPr>
            </w:pPr>
          </w:p>
          <w:p>
            <w:pPr>
              <w:pStyle w:val="TableParagraph"/>
              <w:spacing w:before="0"/>
              <w:ind w:left="350" w:right="272"/>
              <w:jc w:val="left"/>
              <w:rPr>
                <w:b/>
                <w:sz w:val="13"/>
              </w:rPr>
            </w:pPr>
            <w:r>
              <w:rPr>
                <w:b/>
                <w:w w:val="120"/>
                <w:sz w:val="13"/>
              </w:rPr>
              <w:t>Género</w:t>
            </w:r>
          </w:p>
        </w:tc>
        <w:tc>
          <w:tcPr>
            <w:tcW w:w="995" w:type="dxa"/>
            <w:tcBorders>
              <w:top w:val="dotted" w:sz="4" w:space="0" w:color="000000"/>
              <w:left w:val="dotted" w:sz="5" w:space="0" w:color="000000"/>
              <w:bottom w:val="dotted" w:sz="4" w:space="0" w:color="000000"/>
              <w:right w:val="dotted" w:sz="10" w:space="0" w:color="A6A6A6"/>
            </w:tcBorders>
          </w:tcPr>
          <w:p>
            <w:pPr>
              <w:pStyle w:val="TableParagraph"/>
              <w:spacing w:line="149" w:lineRule="exact" w:before="0"/>
              <w:ind w:left="18"/>
              <w:jc w:val="left"/>
              <w:rPr>
                <w:sz w:val="14"/>
              </w:rPr>
            </w:pPr>
            <w:r>
              <w:rPr>
                <w:w w:val="120"/>
                <w:sz w:val="14"/>
              </w:rPr>
              <w:t>♀</w:t>
            </w:r>
          </w:p>
          <w:p>
            <w:pPr>
              <w:pStyle w:val="TableParagraph"/>
              <w:spacing w:line="119" w:lineRule="exact" w:before="47"/>
              <w:ind w:right="1"/>
              <w:jc w:val="right"/>
              <w:rPr>
                <w:b/>
                <w:sz w:val="13"/>
              </w:rPr>
            </w:pPr>
            <w:r>
              <w:rPr>
                <w:b/>
                <w:w w:val="120"/>
                <w:sz w:val="13"/>
              </w:rPr>
              <w:t>p</w:t>
            </w:r>
          </w:p>
          <w:p>
            <w:pPr>
              <w:pStyle w:val="TableParagraph"/>
              <w:spacing w:line="130" w:lineRule="exact" w:before="0"/>
              <w:ind w:left="18"/>
              <w:jc w:val="left"/>
              <w:rPr>
                <w:sz w:val="14"/>
              </w:rPr>
            </w:pPr>
            <w:r>
              <w:rPr>
                <w:w w:val="120"/>
                <w:sz w:val="14"/>
              </w:rPr>
              <w:t>♂</w:t>
            </w:r>
          </w:p>
        </w:tc>
        <w:tc>
          <w:tcPr>
            <w:tcW w:w="6425" w:type="dxa"/>
            <w:tcBorders>
              <w:top w:val="dotted" w:sz="4" w:space="0" w:color="000000"/>
              <w:left w:val="dotted" w:sz="10" w:space="0" w:color="A6A6A6"/>
              <w:bottom w:val="dotted" w:sz="4" w:space="0" w:color="000000"/>
              <w:right w:val="nil"/>
            </w:tcBorders>
          </w:tcPr>
          <w:p>
            <w:pPr>
              <w:pStyle w:val="TableParagraph"/>
              <w:tabs>
                <w:tab w:pos="772" w:val="left" w:leader="none"/>
                <w:tab w:pos="1588" w:val="left" w:leader="none"/>
                <w:tab w:pos="2446" w:val="left" w:leader="none"/>
                <w:tab w:pos="3171" w:val="left" w:leader="none"/>
                <w:tab w:pos="3896" w:val="left" w:leader="none"/>
                <w:tab w:pos="4621" w:val="left" w:leader="none"/>
                <w:tab w:pos="5527" w:val="left" w:leader="none"/>
              </w:tabs>
              <w:spacing w:before="10"/>
              <w:ind w:right="9"/>
              <w:rPr>
                <w:sz w:val="13"/>
              </w:rPr>
            </w:pPr>
            <w:r>
              <w:rPr>
                <w:w w:val="120"/>
                <w:sz w:val="13"/>
              </w:rPr>
              <w:t>0.5</w:t>
            </w:r>
            <w:r>
              <w:rPr>
                <w:rFonts w:ascii="Calibri" w:hAnsi="Calibri"/>
                <w:w w:val="120"/>
                <w:sz w:val="13"/>
              </w:rPr>
              <w:t>±</w:t>
            </w:r>
            <w:r>
              <w:rPr>
                <w:w w:val="120"/>
                <w:sz w:val="13"/>
              </w:rPr>
              <w:t>0.8</w:t>
              <w:tab/>
              <w:t>2.0</w:t>
            </w:r>
            <w:r>
              <w:rPr>
                <w:rFonts w:ascii="Calibri" w:hAnsi="Calibri"/>
                <w:w w:val="120"/>
                <w:sz w:val="13"/>
              </w:rPr>
              <w:t>±</w:t>
            </w:r>
            <w:r>
              <w:rPr>
                <w:w w:val="120"/>
                <w:sz w:val="13"/>
              </w:rPr>
              <w:t>1.9</w:t>
              <w:tab/>
              <w:t>16.2</w:t>
            </w:r>
            <w:r>
              <w:rPr>
                <w:rFonts w:ascii="Calibri" w:hAnsi="Calibri"/>
                <w:w w:val="120"/>
                <w:sz w:val="13"/>
              </w:rPr>
              <w:t>±</w:t>
            </w:r>
            <w:r>
              <w:rPr>
                <w:w w:val="120"/>
                <w:sz w:val="13"/>
              </w:rPr>
              <w:t>9.8</w:t>
              <w:tab/>
              <w:t>9.8</w:t>
            </w:r>
            <w:r>
              <w:rPr>
                <w:rFonts w:ascii="Calibri" w:hAnsi="Calibri"/>
                <w:w w:val="120"/>
                <w:sz w:val="13"/>
              </w:rPr>
              <w:t>±</w:t>
            </w:r>
            <w:r>
              <w:rPr>
                <w:w w:val="120"/>
                <w:sz w:val="13"/>
              </w:rPr>
              <w:t>7.1</w:t>
              <w:tab/>
              <w:t>4.5</w:t>
            </w:r>
            <w:r>
              <w:rPr>
                <w:rFonts w:ascii="Calibri" w:hAnsi="Calibri"/>
                <w:w w:val="120"/>
                <w:sz w:val="13"/>
              </w:rPr>
              <w:t>±</w:t>
            </w:r>
            <w:r>
              <w:rPr>
                <w:w w:val="120"/>
                <w:sz w:val="13"/>
              </w:rPr>
              <w:t>5.3</w:t>
              <w:tab/>
              <w:t>2.1</w:t>
            </w:r>
            <w:r>
              <w:rPr>
                <w:rFonts w:ascii="Calibri" w:hAnsi="Calibri"/>
                <w:w w:val="120"/>
                <w:sz w:val="13"/>
              </w:rPr>
              <w:t>±</w:t>
            </w:r>
            <w:r>
              <w:rPr>
                <w:w w:val="120"/>
                <w:sz w:val="13"/>
              </w:rPr>
              <w:t>2.6</w:t>
              <w:tab/>
              <w:t>11.6</w:t>
            </w:r>
            <w:r>
              <w:rPr>
                <w:rFonts w:ascii="Calibri" w:hAnsi="Calibri"/>
                <w:w w:val="120"/>
                <w:sz w:val="13"/>
              </w:rPr>
              <w:t>±</w:t>
            </w:r>
            <w:r>
              <w:rPr>
                <w:w w:val="120"/>
                <w:sz w:val="13"/>
              </w:rPr>
              <w:t>11.2</w:t>
              <w:tab/>
              <w:t>46.6</w:t>
            </w:r>
            <w:r>
              <w:rPr>
                <w:rFonts w:ascii="Calibri" w:hAnsi="Calibri"/>
                <w:w w:val="120"/>
                <w:sz w:val="13"/>
              </w:rPr>
              <w:t>±</w:t>
            </w:r>
            <w:r>
              <w:rPr>
                <w:w w:val="120"/>
                <w:sz w:val="13"/>
              </w:rPr>
              <w:t>20.2</w:t>
            </w:r>
          </w:p>
          <w:p>
            <w:pPr>
              <w:pStyle w:val="TableParagraph"/>
              <w:tabs>
                <w:tab w:pos="772" w:val="left" w:leader="none"/>
                <w:tab w:pos="1624" w:val="left" w:leader="none"/>
                <w:tab w:pos="2446" w:val="left" w:leader="none"/>
                <w:tab w:pos="3171" w:val="left" w:leader="none"/>
                <w:tab w:pos="3896" w:val="left" w:leader="none"/>
                <w:tab w:pos="4705" w:val="left" w:leader="none"/>
                <w:tab w:pos="5612" w:val="left" w:leader="none"/>
              </w:tabs>
              <w:spacing w:before="27"/>
              <w:ind w:right="94"/>
              <w:rPr>
                <w:sz w:val="13"/>
              </w:rPr>
            </w:pPr>
            <w:r>
              <w:rPr>
                <w:w w:val="120"/>
                <w:sz w:val="13"/>
              </w:rPr>
              <w:t>0.64</w:t>
              <w:tab/>
              <w:t>0.08</w:t>
              <w:tab/>
              <w:t>0.60</w:t>
              <w:tab/>
              <w:t>0.48</w:t>
              <w:tab/>
              <w:t>0.52</w:t>
              <w:tab/>
              <w:t>0.76</w:t>
              <w:tab/>
              <w:t>0.63</w:t>
              <w:tab/>
              <w:t>0.81</w:t>
            </w:r>
          </w:p>
          <w:p>
            <w:pPr>
              <w:pStyle w:val="TableParagraph"/>
              <w:tabs>
                <w:tab w:pos="772" w:val="left" w:leader="none"/>
                <w:tab w:pos="1588" w:val="left" w:leader="none"/>
                <w:tab w:pos="2446" w:val="left" w:leader="none"/>
                <w:tab w:pos="3171" w:val="left" w:leader="none"/>
                <w:tab w:pos="3896" w:val="left" w:leader="none"/>
                <w:tab w:pos="4621" w:val="left" w:leader="none"/>
                <w:tab w:pos="5527" w:val="left" w:leader="none"/>
              </w:tabs>
              <w:spacing w:before="33"/>
              <w:ind w:right="9"/>
              <w:rPr>
                <w:sz w:val="13"/>
              </w:rPr>
            </w:pPr>
            <w:r>
              <w:rPr>
                <w:w w:val="120"/>
                <w:sz w:val="13"/>
              </w:rPr>
              <w:t>0.4</w:t>
            </w:r>
            <w:r>
              <w:rPr>
                <w:rFonts w:ascii="Calibri" w:hAnsi="Calibri"/>
                <w:w w:val="120"/>
                <w:sz w:val="13"/>
              </w:rPr>
              <w:t>±</w:t>
            </w:r>
            <w:r>
              <w:rPr>
                <w:w w:val="120"/>
                <w:sz w:val="13"/>
              </w:rPr>
              <w:t>0.6</w:t>
              <w:tab/>
              <w:t>1.3</w:t>
            </w:r>
            <w:r>
              <w:rPr>
                <w:rFonts w:ascii="Calibri" w:hAnsi="Calibri"/>
                <w:w w:val="120"/>
                <w:sz w:val="13"/>
              </w:rPr>
              <w:t>±</w:t>
            </w:r>
            <w:r>
              <w:rPr>
                <w:w w:val="120"/>
                <w:sz w:val="13"/>
              </w:rPr>
              <w:t>1.5</w:t>
              <w:tab/>
              <w:t>17.1</w:t>
            </w:r>
            <w:r>
              <w:rPr>
                <w:rFonts w:ascii="Calibri" w:hAnsi="Calibri"/>
                <w:w w:val="120"/>
                <w:sz w:val="13"/>
              </w:rPr>
              <w:t>±</w:t>
            </w:r>
            <w:r>
              <w:rPr>
                <w:w w:val="120"/>
                <w:sz w:val="13"/>
              </w:rPr>
              <w:t>8.9</w:t>
              <w:tab/>
              <w:t>8.3</w:t>
            </w:r>
            <w:r>
              <w:rPr>
                <w:rFonts w:ascii="Calibri" w:hAnsi="Calibri"/>
                <w:w w:val="120"/>
                <w:sz w:val="13"/>
              </w:rPr>
              <w:t>±</w:t>
            </w:r>
            <w:r>
              <w:rPr>
                <w:w w:val="120"/>
                <w:sz w:val="13"/>
              </w:rPr>
              <w:t>4.5</w:t>
              <w:tab/>
              <w:t>6.1</w:t>
            </w:r>
            <w:r>
              <w:rPr>
                <w:rFonts w:ascii="Calibri" w:hAnsi="Calibri"/>
                <w:w w:val="120"/>
                <w:sz w:val="13"/>
              </w:rPr>
              <w:t>±</w:t>
            </w:r>
            <w:r>
              <w:rPr>
                <w:w w:val="120"/>
                <w:sz w:val="13"/>
              </w:rPr>
              <w:t>7.3</w:t>
              <w:tab/>
              <w:t>2.3</w:t>
            </w:r>
            <w:r>
              <w:rPr>
                <w:rFonts w:ascii="Calibri" w:hAnsi="Calibri"/>
                <w:w w:val="120"/>
                <w:sz w:val="13"/>
              </w:rPr>
              <w:t>±</w:t>
            </w:r>
            <w:r>
              <w:rPr>
                <w:w w:val="120"/>
                <w:sz w:val="13"/>
              </w:rPr>
              <w:t>2.7</w:t>
              <w:tab/>
              <w:t>13.6</w:t>
            </w:r>
            <w:r>
              <w:rPr>
                <w:rFonts w:ascii="Calibri" w:hAnsi="Calibri"/>
                <w:w w:val="120"/>
                <w:sz w:val="13"/>
              </w:rPr>
              <w:t>±</w:t>
            </w:r>
            <w:r>
              <w:rPr>
                <w:w w:val="120"/>
                <w:sz w:val="13"/>
              </w:rPr>
              <w:t>12.8</w:t>
              <w:tab/>
              <w:t>48.8</w:t>
            </w:r>
            <w:r>
              <w:rPr>
                <w:rFonts w:ascii="Calibri" w:hAnsi="Calibri"/>
                <w:w w:val="120"/>
                <w:sz w:val="13"/>
              </w:rPr>
              <w:t>±</w:t>
            </w:r>
            <w:r>
              <w:rPr>
                <w:w w:val="120"/>
                <w:sz w:val="13"/>
              </w:rPr>
              <w:t>22.3</w:t>
            </w:r>
          </w:p>
        </w:tc>
      </w:tr>
      <w:tr>
        <w:trPr>
          <w:trHeight w:val="560" w:hRule="exact"/>
        </w:trPr>
        <w:tc>
          <w:tcPr>
            <w:tcW w:w="1255" w:type="dxa"/>
            <w:gridSpan w:val="2"/>
            <w:tcBorders>
              <w:top w:val="dotted" w:sz="4" w:space="0" w:color="000000"/>
              <w:left w:val="nil"/>
              <w:bottom w:val="dotted" w:sz="4" w:space="0" w:color="000000"/>
              <w:right w:val="dotted" w:sz="5" w:space="0" w:color="000000"/>
            </w:tcBorders>
          </w:tcPr>
          <w:p>
            <w:pPr>
              <w:pStyle w:val="TableParagraph"/>
              <w:spacing w:line="297" w:lineRule="auto" w:before="15"/>
              <w:ind w:left="362" w:right="363"/>
              <w:jc w:val="both"/>
              <w:rPr>
                <w:b/>
                <w:sz w:val="13"/>
              </w:rPr>
            </w:pPr>
            <w:r>
              <w:rPr>
                <w:b/>
                <w:w w:val="120"/>
                <w:sz w:val="13"/>
              </w:rPr>
              <w:t>Uso de cepillo dental</w:t>
            </w:r>
          </w:p>
        </w:tc>
        <w:tc>
          <w:tcPr>
            <w:tcW w:w="995" w:type="dxa"/>
            <w:tcBorders>
              <w:top w:val="dotted" w:sz="4" w:space="0" w:color="000000"/>
              <w:left w:val="dotted" w:sz="5" w:space="0" w:color="000000"/>
              <w:bottom w:val="dotted" w:sz="4" w:space="0" w:color="000000"/>
              <w:right w:val="dotted" w:sz="10" w:space="0" w:color="A6A6A6"/>
            </w:tcBorders>
          </w:tcPr>
          <w:p>
            <w:pPr>
              <w:pStyle w:val="TableParagraph"/>
              <w:spacing w:before="15"/>
              <w:ind w:left="10"/>
              <w:jc w:val="left"/>
              <w:rPr>
                <w:sz w:val="13"/>
              </w:rPr>
            </w:pPr>
            <w:r>
              <w:rPr>
                <w:w w:val="120"/>
                <w:sz w:val="13"/>
              </w:rPr>
              <w:t>Si</w:t>
            </w:r>
          </w:p>
          <w:p>
            <w:pPr>
              <w:pStyle w:val="TableParagraph"/>
              <w:spacing w:before="34"/>
              <w:ind w:right="1"/>
              <w:jc w:val="right"/>
              <w:rPr>
                <w:b/>
                <w:sz w:val="13"/>
              </w:rPr>
            </w:pPr>
            <w:r>
              <w:rPr>
                <w:b/>
                <w:w w:val="120"/>
                <w:sz w:val="13"/>
              </w:rPr>
              <w:t>p</w:t>
            </w:r>
          </w:p>
          <w:p>
            <w:pPr>
              <w:pStyle w:val="TableParagraph"/>
              <w:spacing w:before="34"/>
              <w:ind w:left="10"/>
              <w:jc w:val="left"/>
              <w:rPr>
                <w:sz w:val="13"/>
              </w:rPr>
            </w:pPr>
            <w:r>
              <w:rPr>
                <w:w w:val="120"/>
                <w:sz w:val="13"/>
              </w:rPr>
              <w:t>No</w:t>
            </w:r>
          </w:p>
        </w:tc>
        <w:tc>
          <w:tcPr>
            <w:tcW w:w="6425" w:type="dxa"/>
            <w:tcBorders>
              <w:top w:val="dotted" w:sz="4" w:space="0" w:color="000000"/>
              <w:left w:val="dotted" w:sz="10" w:space="0" w:color="A6A6A6"/>
              <w:bottom w:val="dotted" w:sz="4" w:space="0" w:color="000000"/>
              <w:right w:val="nil"/>
            </w:tcBorders>
          </w:tcPr>
          <w:p>
            <w:pPr>
              <w:pStyle w:val="TableParagraph"/>
              <w:tabs>
                <w:tab w:pos="772" w:val="left" w:leader="none"/>
                <w:tab w:pos="1588" w:val="left" w:leader="none"/>
                <w:tab w:pos="2446" w:val="left" w:leader="none"/>
                <w:tab w:pos="3171" w:val="left" w:leader="none"/>
                <w:tab w:pos="3896" w:val="left" w:leader="none"/>
                <w:tab w:pos="4621" w:val="left" w:leader="none"/>
                <w:tab w:pos="5527" w:val="left" w:leader="none"/>
              </w:tabs>
              <w:spacing w:before="13"/>
              <w:ind w:right="9"/>
              <w:rPr>
                <w:sz w:val="13"/>
              </w:rPr>
            </w:pPr>
            <w:r>
              <w:rPr>
                <w:w w:val="120"/>
                <w:sz w:val="13"/>
              </w:rPr>
              <w:t>0.5</w:t>
            </w:r>
            <w:r>
              <w:rPr>
                <w:rFonts w:ascii="Calibri" w:hAnsi="Calibri"/>
                <w:w w:val="120"/>
                <w:sz w:val="13"/>
              </w:rPr>
              <w:t>±</w:t>
            </w:r>
            <w:r>
              <w:rPr>
                <w:w w:val="120"/>
                <w:sz w:val="13"/>
              </w:rPr>
              <w:t>0.7</w:t>
              <w:tab/>
              <w:t>1.6</w:t>
            </w:r>
            <w:r>
              <w:rPr>
                <w:rFonts w:ascii="Calibri" w:hAnsi="Calibri"/>
                <w:w w:val="120"/>
                <w:sz w:val="13"/>
              </w:rPr>
              <w:t>±</w:t>
            </w:r>
            <w:r>
              <w:rPr>
                <w:w w:val="120"/>
                <w:sz w:val="13"/>
              </w:rPr>
              <w:t>1.7</w:t>
              <w:tab/>
              <w:t>16.5</w:t>
            </w:r>
            <w:r>
              <w:rPr>
                <w:rFonts w:ascii="Calibri" w:hAnsi="Calibri"/>
                <w:w w:val="120"/>
                <w:sz w:val="13"/>
              </w:rPr>
              <w:t>±</w:t>
            </w:r>
            <w:r>
              <w:rPr>
                <w:w w:val="120"/>
                <w:sz w:val="13"/>
              </w:rPr>
              <w:t>9.6</w:t>
              <w:tab/>
              <w:t>9.1</w:t>
            </w:r>
            <w:r>
              <w:rPr>
                <w:rFonts w:ascii="Calibri" w:hAnsi="Calibri"/>
                <w:w w:val="120"/>
                <w:sz w:val="13"/>
              </w:rPr>
              <w:t>±</w:t>
            </w:r>
            <w:r>
              <w:rPr>
                <w:w w:val="120"/>
                <w:sz w:val="13"/>
              </w:rPr>
              <w:t>6.3</w:t>
              <w:tab/>
              <w:t>5.3</w:t>
            </w:r>
            <w:r>
              <w:rPr>
                <w:rFonts w:ascii="Calibri" w:hAnsi="Calibri"/>
                <w:w w:val="120"/>
                <w:sz w:val="13"/>
              </w:rPr>
              <w:t>±</w:t>
            </w:r>
            <w:r>
              <w:rPr>
                <w:w w:val="120"/>
                <w:sz w:val="13"/>
              </w:rPr>
              <w:t>6.3</w:t>
              <w:tab/>
              <w:t>2.2</w:t>
            </w:r>
            <w:r>
              <w:rPr>
                <w:rFonts w:ascii="Calibri" w:hAnsi="Calibri"/>
                <w:w w:val="120"/>
                <w:sz w:val="13"/>
              </w:rPr>
              <w:t>±</w:t>
            </w:r>
            <w:r>
              <w:rPr>
                <w:w w:val="120"/>
                <w:sz w:val="13"/>
              </w:rPr>
              <w:t>2.7</w:t>
              <w:tab/>
              <w:t>12.8</w:t>
            </w:r>
            <w:r>
              <w:rPr>
                <w:rFonts w:ascii="Calibri" w:hAnsi="Calibri"/>
                <w:w w:val="120"/>
                <w:sz w:val="13"/>
              </w:rPr>
              <w:t>±</w:t>
            </w:r>
            <w:r>
              <w:rPr>
                <w:w w:val="120"/>
                <w:sz w:val="13"/>
              </w:rPr>
              <w:t>12.0</w:t>
              <w:tab/>
              <w:t>47.8</w:t>
            </w:r>
            <w:r>
              <w:rPr>
                <w:rFonts w:ascii="Calibri" w:hAnsi="Calibri"/>
                <w:w w:val="120"/>
                <w:sz w:val="13"/>
              </w:rPr>
              <w:t>±</w:t>
            </w:r>
            <w:r>
              <w:rPr>
                <w:w w:val="120"/>
                <w:sz w:val="13"/>
              </w:rPr>
              <w:t>21.5</w:t>
            </w:r>
          </w:p>
          <w:p>
            <w:pPr>
              <w:pStyle w:val="TableParagraph"/>
              <w:tabs>
                <w:tab w:pos="512" w:val="left" w:leader="none"/>
                <w:tab w:pos="1320" w:val="left" w:leader="none"/>
                <w:tab w:pos="1624" w:val="left" w:leader="none"/>
                <w:tab w:pos="2446" w:val="left" w:leader="none"/>
                <w:tab w:pos="3171" w:val="left" w:leader="none"/>
                <w:tab w:pos="3896" w:val="left" w:leader="none"/>
                <w:tab w:pos="4705" w:val="left" w:leader="none"/>
                <w:tab w:pos="5612" w:val="left" w:leader="none"/>
              </w:tabs>
              <w:spacing w:before="27"/>
              <w:ind w:right="94"/>
              <w:rPr>
                <w:sz w:val="13"/>
              </w:rPr>
            </w:pPr>
            <w:r>
              <w:rPr>
                <w:w w:val="120"/>
                <w:sz w:val="13"/>
              </w:rPr>
              <w:t>0.19</w:t>
              <w:tab/>
            </w:r>
            <w:r>
              <w:rPr>
                <w:b/>
                <w:w w:val="120"/>
                <w:sz w:val="13"/>
                <w:shd w:fill="D9D9D9" w:color="auto" w:val="clear"/>
              </w:rPr>
              <w:t>0.04*</w:t>
              <w:tab/>
            </w:r>
            <w:r>
              <w:rPr>
                <w:b/>
                <w:w w:val="120"/>
                <w:sz w:val="13"/>
              </w:rPr>
              <w:tab/>
            </w:r>
            <w:r>
              <w:rPr>
                <w:w w:val="120"/>
                <w:sz w:val="13"/>
              </w:rPr>
              <w:t>0.82</w:t>
              <w:tab/>
              <w:t>0.24</w:t>
              <w:tab/>
              <w:t>0.73</w:t>
              <w:tab/>
              <w:t>0.22</w:t>
              <w:tab/>
              <w:t>0.20</w:t>
              <w:tab/>
              <w:t>0.87</w:t>
            </w:r>
          </w:p>
          <w:p>
            <w:pPr>
              <w:pStyle w:val="TableParagraph"/>
              <w:tabs>
                <w:tab w:pos="772" w:val="left" w:leader="none"/>
                <w:tab w:pos="1588" w:val="left" w:leader="none"/>
                <w:tab w:pos="2397" w:val="left" w:leader="none"/>
                <w:tab w:pos="3896" w:val="left" w:leader="none"/>
                <w:tab w:pos="4705" w:val="left" w:leader="none"/>
                <w:tab w:pos="5575" w:val="left" w:leader="none"/>
              </w:tabs>
              <w:spacing w:before="32"/>
              <w:ind w:right="46"/>
              <w:rPr>
                <w:sz w:val="13"/>
              </w:rPr>
            </w:pPr>
            <w:r>
              <w:rPr>
                <w:w w:val="120"/>
                <w:sz w:val="13"/>
              </w:rPr>
              <w:t>0.0</w:t>
            </w:r>
            <w:r>
              <w:rPr>
                <w:rFonts w:ascii="Calibri" w:hAnsi="Calibri"/>
                <w:w w:val="120"/>
                <w:sz w:val="13"/>
              </w:rPr>
              <w:t>±</w:t>
            </w:r>
            <w:r>
              <w:rPr>
                <w:w w:val="120"/>
                <w:sz w:val="13"/>
              </w:rPr>
              <w:t>0.0</w:t>
              <w:tab/>
              <w:t>4.0</w:t>
            </w:r>
            <w:r>
              <w:rPr>
                <w:rFonts w:ascii="Calibri" w:hAnsi="Calibri"/>
                <w:w w:val="120"/>
                <w:sz w:val="13"/>
              </w:rPr>
              <w:t>±</w:t>
            </w:r>
            <w:r>
              <w:rPr>
                <w:w w:val="120"/>
                <w:sz w:val="13"/>
              </w:rPr>
              <w:t>2.0</w:t>
              <w:tab/>
              <w:t>17.6</w:t>
            </w:r>
            <w:r>
              <w:rPr>
                <w:rFonts w:ascii="Calibri" w:hAnsi="Calibri"/>
                <w:w w:val="120"/>
                <w:sz w:val="13"/>
              </w:rPr>
              <w:t>±</w:t>
            </w:r>
            <w:r>
              <w:rPr>
                <w:w w:val="120"/>
                <w:sz w:val="13"/>
              </w:rPr>
              <w:t>2.0</w:t>
              <w:tab/>
              <w:t>11.3</w:t>
            </w:r>
            <w:r>
              <w:rPr>
                <w:rFonts w:ascii="Calibri" w:hAnsi="Calibri"/>
                <w:w w:val="120"/>
                <w:sz w:val="13"/>
              </w:rPr>
              <w:t>±</w:t>
            </w:r>
            <w:r>
              <w:rPr>
                <w:w w:val="120"/>
                <w:sz w:val="13"/>
              </w:rPr>
              <w:t>2.5   </w:t>
            </w:r>
            <w:r>
              <w:rPr>
                <w:spacing w:val="1"/>
                <w:w w:val="120"/>
                <w:sz w:val="13"/>
              </w:rPr>
              <w:t> </w:t>
            </w:r>
            <w:r>
              <w:rPr>
                <w:w w:val="120"/>
                <w:sz w:val="13"/>
              </w:rPr>
              <w:t>3.0</w:t>
            </w:r>
            <w:r>
              <w:rPr>
                <w:rFonts w:ascii="Calibri" w:hAnsi="Calibri"/>
                <w:w w:val="120"/>
                <w:sz w:val="13"/>
              </w:rPr>
              <w:t>±</w:t>
            </w:r>
            <w:r>
              <w:rPr>
                <w:w w:val="120"/>
                <w:sz w:val="13"/>
              </w:rPr>
              <w:t>3.0</w:t>
              <w:tab/>
              <w:t>0.6</w:t>
            </w:r>
            <w:r>
              <w:rPr>
                <w:rFonts w:ascii="Calibri" w:hAnsi="Calibri"/>
                <w:w w:val="120"/>
                <w:sz w:val="13"/>
              </w:rPr>
              <w:t>±</w:t>
            </w:r>
            <w:r>
              <w:rPr>
                <w:w w:val="120"/>
                <w:sz w:val="13"/>
              </w:rPr>
              <w:t>1.1</w:t>
              <w:tab/>
              <w:t>5.3</w:t>
            </w:r>
            <w:r>
              <w:rPr>
                <w:rFonts w:ascii="Calibri" w:hAnsi="Calibri"/>
                <w:w w:val="120"/>
                <w:sz w:val="13"/>
              </w:rPr>
              <w:t>±</w:t>
            </w:r>
            <w:r>
              <w:rPr>
                <w:w w:val="120"/>
                <w:sz w:val="13"/>
              </w:rPr>
              <w:t>4.5</w:t>
              <w:tab/>
              <w:t>44.0</w:t>
            </w:r>
            <w:r>
              <w:rPr>
                <w:rFonts w:ascii="Calibri" w:hAnsi="Calibri"/>
                <w:w w:val="120"/>
                <w:sz w:val="13"/>
              </w:rPr>
              <w:t>±</w:t>
            </w:r>
            <w:r>
              <w:rPr>
                <w:w w:val="120"/>
                <w:sz w:val="13"/>
              </w:rPr>
              <w:t>6.9</w:t>
            </w:r>
          </w:p>
        </w:tc>
      </w:tr>
      <w:tr>
        <w:trPr>
          <w:trHeight w:val="550" w:hRule="exact"/>
        </w:trPr>
        <w:tc>
          <w:tcPr>
            <w:tcW w:w="1255" w:type="dxa"/>
            <w:gridSpan w:val="2"/>
            <w:tcBorders>
              <w:top w:val="dotted" w:sz="4" w:space="0" w:color="000000"/>
              <w:left w:val="nil"/>
              <w:bottom w:val="dotted" w:sz="4" w:space="0" w:color="000000"/>
              <w:right w:val="dotted" w:sz="5" w:space="0" w:color="000000"/>
            </w:tcBorders>
          </w:tcPr>
          <w:p>
            <w:pPr>
              <w:pStyle w:val="TableParagraph"/>
              <w:spacing w:before="7"/>
              <w:ind w:left="134" w:right="149"/>
              <w:rPr>
                <w:b/>
                <w:sz w:val="13"/>
              </w:rPr>
            </w:pPr>
            <w:r>
              <w:rPr>
                <w:b/>
                <w:w w:val="120"/>
                <w:sz w:val="13"/>
              </w:rPr>
              <w:t>Uso</w:t>
            </w:r>
          </w:p>
          <w:p>
            <w:pPr>
              <w:pStyle w:val="TableParagraph"/>
              <w:spacing w:before="31"/>
              <w:ind w:left="149" w:right="149"/>
              <w:rPr>
                <w:b/>
                <w:sz w:val="13"/>
              </w:rPr>
            </w:pPr>
            <w:r>
              <w:rPr>
                <w:b/>
                <w:w w:val="120"/>
                <w:sz w:val="13"/>
              </w:rPr>
              <w:t>de enjuague</w:t>
            </w:r>
          </w:p>
          <w:p>
            <w:pPr>
              <w:pStyle w:val="TableParagraph"/>
              <w:spacing w:before="40"/>
              <w:ind w:left="129" w:right="149"/>
              <w:rPr>
                <w:b/>
                <w:sz w:val="13"/>
              </w:rPr>
            </w:pPr>
            <w:r>
              <w:rPr>
                <w:b/>
                <w:w w:val="120"/>
                <w:sz w:val="13"/>
              </w:rPr>
              <w:t>bucal</w:t>
            </w:r>
          </w:p>
        </w:tc>
        <w:tc>
          <w:tcPr>
            <w:tcW w:w="995" w:type="dxa"/>
            <w:tcBorders>
              <w:top w:val="dotted" w:sz="4" w:space="0" w:color="000000"/>
              <w:left w:val="dotted" w:sz="5" w:space="0" w:color="000000"/>
              <w:bottom w:val="dotted" w:sz="4" w:space="0" w:color="000000"/>
              <w:right w:val="dotted" w:sz="10" w:space="0" w:color="A6A6A6"/>
            </w:tcBorders>
          </w:tcPr>
          <w:p>
            <w:pPr>
              <w:pStyle w:val="TableParagraph"/>
              <w:spacing w:before="7"/>
              <w:ind w:left="10"/>
              <w:jc w:val="left"/>
              <w:rPr>
                <w:sz w:val="13"/>
              </w:rPr>
            </w:pPr>
            <w:r>
              <w:rPr>
                <w:w w:val="120"/>
                <w:sz w:val="13"/>
              </w:rPr>
              <w:t>Si</w:t>
            </w:r>
          </w:p>
          <w:p>
            <w:pPr>
              <w:pStyle w:val="TableParagraph"/>
              <w:spacing w:before="38"/>
              <w:ind w:right="1"/>
              <w:jc w:val="right"/>
              <w:rPr>
                <w:b/>
                <w:sz w:val="13"/>
              </w:rPr>
            </w:pPr>
            <w:r>
              <w:rPr>
                <w:b/>
                <w:w w:val="120"/>
                <w:sz w:val="13"/>
              </w:rPr>
              <w:t>p</w:t>
            </w:r>
          </w:p>
          <w:p>
            <w:pPr>
              <w:pStyle w:val="TableParagraph"/>
              <w:spacing w:before="34"/>
              <w:ind w:left="10"/>
              <w:jc w:val="left"/>
              <w:rPr>
                <w:sz w:val="13"/>
              </w:rPr>
            </w:pPr>
            <w:r>
              <w:rPr>
                <w:w w:val="120"/>
                <w:sz w:val="13"/>
              </w:rPr>
              <w:t>No</w:t>
            </w:r>
          </w:p>
        </w:tc>
        <w:tc>
          <w:tcPr>
            <w:tcW w:w="6425" w:type="dxa"/>
            <w:tcBorders>
              <w:top w:val="dotted" w:sz="4" w:space="0" w:color="000000"/>
              <w:left w:val="dotted" w:sz="10" w:space="0" w:color="A6A6A6"/>
              <w:bottom w:val="dotted" w:sz="4" w:space="0" w:color="000000"/>
              <w:right w:val="nil"/>
            </w:tcBorders>
          </w:tcPr>
          <w:p>
            <w:pPr>
              <w:pStyle w:val="TableParagraph"/>
              <w:tabs>
                <w:tab w:pos="1577" w:val="left" w:leader="none"/>
                <w:tab w:pos="4706" w:val="left" w:leader="none"/>
                <w:tab w:pos="5528" w:val="left" w:leader="none"/>
              </w:tabs>
              <w:spacing w:before="5"/>
              <w:rPr>
                <w:sz w:val="13"/>
              </w:rPr>
            </w:pPr>
            <w:r>
              <w:rPr>
                <w:w w:val="120"/>
                <w:sz w:val="13"/>
              </w:rPr>
              <w:t>0.5 </w:t>
            </w:r>
            <w:r>
              <w:rPr>
                <w:rFonts w:ascii="Calibri" w:hAnsi="Calibri"/>
                <w:w w:val="120"/>
                <w:sz w:val="13"/>
              </w:rPr>
              <w:t>± </w:t>
            </w:r>
            <w:r>
              <w:rPr>
                <w:w w:val="120"/>
                <w:sz w:val="13"/>
              </w:rPr>
              <w:t>0.8    2.1</w:t>
            </w:r>
            <w:r>
              <w:rPr>
                <w:spacing w:val="-2"/>
                <w:w w:val="120"/>
                <w:sz w:val="13"/>
              </w:rPr>
              <w:t> </w:t>
            </w:r>
            <w:r>
              <w:rPr>
                <w:rFonts w:ascii="Calibri" w:hAnsi="Calibri"/>
                <w:w w:val="120"/>
                <w:sz w:val="13"/>
              </w:rPr>
              <w:t>±</w:t>
            </w:r>
            <w:r>
              <w:rPr>
                <w:rFonts w:ascii="Calibri" w:hAnsi="Calibri"/>
                <w:spacing w:val="8"/>
                <w:w w:val="120"/>
                <w:sz w:val="13"/>
              </w:rPr>
              <w:t> </w:t>
            </w:r>
            <w:r>
              <w:rPr>
                <w:w w:val="120"/>
                <w:sz w:val="13"/>
              </w:rPr>
              <w:t>1.8</w:t>
              <w:tab/>
              <w:t>13.5 </w:t>
            </w:r>
            <w:r>
              <w:rPr>
                <w:rFonts w:ascii="Calibri" w:hAnsi="Calibri"/>
                <w:w w:val="120"/>
                <w:sz w:val="13"/>
              </w:rPr>
              <w:t>±  </w:t>
            </w:r>
            <w:r>
              <w:rPr>
                <w:w w:val="120"/>
                <w:sz w:val="13"/>
              </w:rPr>
              <w:t>7.9    9.1 </w:t>
            </w:r>
            <w:r>
              <w:rPr>
                <w:rFonts w:ascii="Calibri" w:hAnsi="Calibri"/>
                <w:w w:val="120"/>
                <w:sz w:val="13"/>
              </w:rPr>
              <w:t>± </w:t>
            </w:r>
            <w:r>
              <w:rPr>
                <w:w w:val="120"/>
                <w:sz w:val="13"/>
              </w:rPr>
              <w:t>5.6   6.3 </w:t>
            </w:r>
            <w:r>
              <w:rPr>
                <w:rFonts w:ascii="Calibri" w:hAnsi="Calibri"/>
                <w:w w:val="120"/>
                <w:sz w:val="13"/>
              </w:rPr>
              <w:t>± </w:t>
            </w:r>
            <w:r>
              <w:rPr>
                <w:w w:val="120"/>
                <w:sz w:val="13"/>
              </w:rPr>
              <w:t>6.0   2.4</w:t>
            </w:r>
            <w:r>
              <w:rPr>
                <w:spacing w:val="-26"/>
                <w:w w:val="120"/>
                <w:sz w:val="13"/>
              </w:rPr>
              <w:t> </w:t>
            </w:r>
            <w:r>
              <w:rPr>
                <w:rFonts w:ascii="Calibri" w:hAnsi="Calibri"/>
                <w:w w:val="120"/>
                <w:sz w:val="13"/>
              </w:rPr>
              <w:t>±</w:t>
            </w:r>
            <w:r>
              <w:rPr>
                <w:rFonts w:ascii="Calibri" w:hAnsi="Calibri"/>
                <w:spacing w:val="8"/>
                <w:w w:val="120"/>
                <w:sz w:val="13"/>
              </w:rPr>
              <w:t> </w:t>
            </w:r>
            <w:r>
              <w:rPr>
                <w:w w:val="120"/>
                <w:sz w:val="13"/>
              </w:rPr>
              <w:t>3.0</w:t>
              <w:tab/>
              <w:t>8.6</w:t>
            </w:r>
            <w:r>
              <w:rPr>
                <w:spacing w:val="-10"/>
                <w:w w:val="120"/>
                <w:sz w:val="13"/>
              </w:rPr>
              <w:t> </w:t>
            </w:r>
            <w:r>
              <w:rPr>
                <w:rFonts w:ascii="Calibri" w:hAnsi="Calibri"/>
                <w:w w:val="120"/>
                <w:sz w:val="13"/>
              </w:rPr>
              <w:t>±</w:t>
            </w:r>
            <w:r>
              <w:rPr>
                <w:rFonts w:ascii="Calibri" w:hAnsi="Calibri"/>
                <w:spacing w:val="8"/>
                <w:w w:val="120"/>
                <w:sz w:val="13"/>
              </w:rPr>
              <w:t> </w:t>
            </w:r>
            <w:r>
              <w:rPr>
                <w:w w:val="120"/>
                <w:sz w:val="13"/>
              </w:rPr>
              <w:t>8.0</w:t>
              <w:tab/>
              <w:t>42.5 </w:t>
            </w:r>
            <w:r>
              <w:rPr>
                <w:rFonts w:ascii="Calibri" w:hAnsi="Calibri"/>
                <w:w w:val="120"/>
                <w:sz w:val="13"/>
              </w:rPr>
              <w:t>±</w:t>
            </w:r>
            <w:r>
              <w:rPr>
                <w:rFonts w:ascii="Calibri" w:hAnsi="Calibri"/>
                <w:spacing w:val="7"/>
                <w:w w:val="120"/>
                <w:sz w:val="13"/>
              </w:rPr>
              <w:t> </w:t>
            </w:r>
            <w:r>
              <w:rPr>
                <w:w w:val="120"/>
                <w:sz w:val="13"/>
              </w:rPr>
              <w:t>18.7</w:t>
            </w:r>
          </w:p>
          <w:p>
            <w:pPr>
              <w:pStyle w:val="TableParagraph"/>
              <w:tabs>
                <w:tab w:pos="772" w:val="left" w:leader="none"/>
                <w:tab w:pos="1588" w:val="left" w:leader="none"/>
                <w:tab w:pos="2446" w:val="left" w:leader="none"/>
                <w:tab w:pos="3123" w:val="left" w:leader="none"/>
                <w:tab w:pos="3920" w:val="left" w:leader="none"/>
                <w:tab w:pos="4385" w:val="left" w:leader="none"/>
                <w:tab w:pos="4669" w:val="left" w:leader="none"/>
                <w:tab w:pos="5290" w:val="left" w:leader="none"/>
                <w:tab w:pos="5612" w:val="left" w:leader="none"/>
              </w:tabs>
              <w:spacing w:before="30"/>
              <w:ind w:right="97"/>
              <w:rPr>
                <w:b/>
                <w:sz w:val="13"/>
              </w:rPr>
            </w:pPr>
            <w:r>
              <w:rPr>
                <w:w w:val="120"/>
                <w:sz w:val="13"/>
              </w:rPr>
              <w:t>0.9</w:t>
            </w:r>
            <w:r>
              <w:rPr>
                <w:b/>
                <w:w w:val="120"/>
                <w:sz w:val="13"/>
              </w:rPr>
              <w:t>*</w:t>
              <w:tab/>
            </w:r>
            <w:r>
              <w:rPr>
                <w:w w:val="120"/>
                <w:sz w:val="13"/>
              </w:rPr>
              <w:t>0.1</w:t>
            </w:r>
            <w:r>
              <w:rPr>
                <w:b/>
                <w:w w:val="120"/>
                <w:sz w:val="13"/>
              </w:rPr>
              <w:t>*</w:t>
              <w:tab/>
            </w:r>
            <w:r>
              <w:rPr>
                <w:w w:val="120"/>
                <w:sz w:val="13"/>
              </w:rPr>
              <w:t>0.06</w:t>
            </w:r>
            <w:r>
              <w:rPr>
                <w:b/>
                <w:w w:val="120"/>
                <w:sz w:val="13"/>
              </w:rPr>
              <w:t>*</w:t>
              <w:tab/>
            </w:r>
            <w:r>
              <w:rPr>
                <w:w w:val="120"/>
                <w:sz w:val="13"/>
              </w:rPr>
              <w:t>0.6</w:t>
            </w:r>
            <w:r>
              <w:rPr>
                <w:b/>
                <w:w w:val="120"/>
                <w:sz w:val="13"/>
              </w:rPr>
              <w:t>*</w:t>
              <w:tab/>
            </w:r>
            <w:r>
              <w:rPr>
                <w:w w:val="120"/>
                <w:sz w:val="13"/>
              </w:rPr>
              <w:t>0.09</w:t>
            </w:r>
            <w:r>
              <w:rPr>
                <w:b/>
                <w:w w:val="120"/>
                <w:sz w:val="13"/>
              </w:rPr>
              <w:t>*</w:t>
              <w:tab/>
            </w:r>
            <w:r>
              <w:rPr>
                <w:w w:val="120"/>
                <w:sz w:val="13"/>
              </w:rPr>
              <w:t>0.8</w:t>
              <w:tab/>
            </w:r>
            <w:r>
              <w:rPr>
                <w:w w:val="120"/>
                <w:sz w:val="13"/>
                <w:shd w:fill="D9D9D9" w:color="auto" w:val="clear"/>
              </w:rPr>
              <w:tab/>
              <w:t>0.05</w:t>
            </w:r>
            <w:r>
              <w:rPr>
                <w:b/>
                <w:w w:val="120"/>
                <w:sz w:val="13"/>
                <w:shd w:fill="D9D9D9" w:color="auto" w:val="clear"/>
              </w:rPr>
              <w:t>*</w:t>
              <w:tab/>
            </w:r>
            <w:r>
              <w:rPr>
                <w:b/>
                <w:w w:val="120"/>
                <w:sz w:val="13"/>
              </w:rPr>
              <w:tab/>
            </w:r>
            <w:r>
              <w:rPr>
                <w:w w:val="120"/>
                <w:sz w:val="13"/>
              </w:rPr>
              <w:t>0.2</w:t>
            </w:r>
            <w:r>
              <w:rPr>
                <w:b/>
                <w:w w:val="120"/>
                <w:sz w:val="13"/>
              </w:rPr>
              <w:t>*</w:t>
            </w:r>
          </w:p>
          <w:p>
            <w:pPr>
              <w:pStyle w:val="TableParagraph"/>
              <w:tabs>
                <w:tab w:pos="1577" w:val="left" w:leader="none"/>
              </w:tabs>
              <w:spacing w:before="33"/>
              <w:rPr>
                <w:sz w:val="13"/>
              </w:rPr>
            </w:pPr>
            <w:r>
              <w:rPr>
                <w:w w:val="120"/>
                <w:sz w:val="13"/>
              </w:rPr>
              <w:t>0.4 </w:t>
            </w:r>
            <w:r>
              <w:rPr>
                <w:rFonts w:ascii="Calibri" w:hAnsi="Calibri"/>
                <w:w w:val="120"/>
                <w:sz w:val="13"/>
              </w:rPr>
              <w:t>± </w:t>
            </w:r>
            <w:r>
              <w:rPr>
                <w:w w:val="120"/>
                <w:sz w:val="13"/>
              </w:rPr>
              <w:t>0.7    1.5</w:t>
            </w:r>
            <w:r>
              <w:rPr>
                <w:spacing w:val="-2"/>
                <w:w w:val="120"/>
                <w:sz w:val="13"/>
              </w:rPr>
              <w:t> </w:t>
            </w:r>
            <w:r>
              <w:rPr>
                <w:rFonts w:ascii="Calibri" w:hAnsi="Calibri"/>
                <w:w w:val="120"/>
                <w:sz w:val="13"/>
              </w:rPr>
              <w:t>±</w:t>
            </w:r>
            <w:r>
              <w:rPr>
                <w:rFonts w:ascii="Calibri" w:hAnsi="Calibri"/>
                <w:spacing w:val="8"/>
                <w:w w:val="120"/>
                <w:sz w:val="13"/>
              </w:rPr>
              <w:t> </w:t>
            </w:r>
            <w:r>
              <w:rPr>
                <w:w w:val="120"/>
                <w:sz w:val="13"/>
              </w:rPr>
              <w:t>1.8</w:t>
              <w:tab/>
              <w:t>18.2 </w:t>
            </w:r>
            <w:r>
              <w:rPr>
                <w:rFonts w:ascii="Calibri" w:hAnsi="Calibri"/>
                <w:w w:val="120"/>
                <w:sz w:val="13"/>
              </w:rPr>
              <w:t>± </w:t>
            </w:r>
            <w:r>
              <w:rPr>
                <w:w w:val="120"/>
                <w:sz w:val="13"/>
              </w:rPr>
              <w:t>9.7    9.2 </w:t>
            </w:r>
            <w:r>
              <w:rPr>
                <w:rFonts w:ascii="Calibri" w:hAnsi="Calibri"/>
                <w:w w:val="120"/>
                <w:sz w:val="13"/>
              </w:rPr>
              <w:t>± </w:t>
            </w:r>
            <w:r>
              <w:rPr>
                <w:w w:val="120"/>
                <w:sz w:val="13"/>
              </w:rPr>
              <w:t>6.5   4.6 </w:t>
            </w:r>
            <w:r>
              <w:rPr>
                <w:rFonts w:ascii="Calibri" w:hAnsi="Calibri"/>
                <w:w w:val="120"/>
                <w:sz w:val="13"/>
              </w:rPr>
              <w:t>± </w:t>
            </w:r>
            <w:r>
              <w:rPr>
                <w:w w:val="120"/>
                <w:sz w:val="13"/>
              </w:rPr>
              <w:t>6.3   2.1 </w:t>
            </w:r>
            <w:r>
              <w:rPr>
                <w:rFonts w:ascii="Calibri" w:hAnsi="Calibri"/>
                <w:w w:val="120"/>
                <w:sz w:val="13"/>
              </w:rPr>
              <w:t>± </w:t>
            </w:r>
            <w:r>
              <w:rPr>
                <w:w w:val="120"/>
                <w:sz w:val="13"/>
              </w:rPr>
              <w:t>2.4   14.5 </w:t>
            </w:r>
            <w:r>
              <w:rPr>
                <w:rFonts w:ascii="Calibri" w:hAnsi="Calibri"/>
                <w:w w:val="120"/>
                <w:sz w:val="13"/>
              </w:rPr>
              <w:t>± </w:t>
            </w:r>
            <w:r>
              <w:rPr>
                <w:w w:val="120"/>
                <w:sz w:val="13"/>
              </w:rPr>
              <w:t>13.1   50.3 </w:t>
            </w:r>
            <w:r>
              <w:rPr>
                <w:rFonts w:ascii="Calibri" w:hAnsi="Calibri"/>
                <w:w w:val="120"/>
                <w:sz w:val="13"/>
              </w:rPr>
              <w:t>±</w:t>
            </w:r>
            <w:r>
              <w:rPr>
                <w:rFonts w:ascii="Calibri" w:hAnsi="Calibri"/>
                <w:spacing w:val="34"/>
                <w:w w:val="120"/>
                <w:sz w:val="13"/>
              </w:rPr>
              <w:t> </w:t>
            </w:r>
            <w:r>
              <w:rPr>
                <w:w w:val="120"/>
                <w:sz w:val="13"/>
              </w:rPr>
              <w:t>21.8</w:t>
            </w:r>
          </w:p>
        </w:tc>
      </w:tr>
      <w:tr>
        <w:trPr>
          <w:trHeight w:val="560" w:hRule="exact"/>
        </w:trPr>
        <w:tc>
          <w:tcPr>
            <w:tcW w:w="1255" w:type="dxa"/>
            <w:gridSpan w:val="2"/>
            <w:tcBorders>
              <w:top w:val="dotted" w:sz="4" w:space="0" w:color="000000"/>
              <w:left w:val="nil"/>
              <w:bottom w:val="dotted" w:sz="4" w:space="0" w:color="000000"/>
              <w:right w:val="dotted" w:sz="5" w:space="0" w:color="000000"/>
            </w:tcBorders>
          </w:tcPr>
          <w:p>
            <w:pPr>
              <w:pStyle w:val="TableParagraph"/>
              <w:spacing w:line="297" w:lineRule="auto" w:before="13"/>
              <w:ind w:left="133" w:right="149"/>
              <w:rPr>
                <w:b/>
                <w:sz w:val="13"/>
              </w:rPr>
            </w:pPr>
            <w:r>
              <w:rPr>
                <w:b/>
                <w:w w:val="120"/>
                <w:sz w:val="13"/>
              </w:rPr>
              <w:t>Alcohol en enjuague bucal</w:t>
            </w:r>
          </w:p>
        </w:tc>
        <w:tc>
          <w:tcPr>
            <w:tcW w:w="995" w:type="dxa"/>
            <w:tcBorders>
              <w:top w:val="dotted" w:sz="4" w:space="0" w:color="000000"/>
              <w:left w:val="dotted" w:sz="5" w:space="0" w:color="000000"/>
              <w:bottom w:val="dotted" w:sz="4" w:space="0" w:color="000000"/>
              <w:right w:val="dotted" w:sz="10" w:space="0" w:color="A6A6A6"/>
            </w:tcBorders>
          </w:tcPr>
          <w:p>
            <w:pPr>
              <w:pStyle w:val="TableParagraph"/>
              <w:spacing w:before="13"/>
              <w:ind w:left="10"/>
              <w:jc w:val="left"/>
              <w:rPr>
                <w:sz w:val="13"/>
              </w:rPr>
            </w:pPr>
            <w:r>
              <w:rPr>
                <w:w w:val="120"/>
                <w:sz w:val="13"/>
              </w:rPr>
              <w:t>Si</w:t>
            </w:r>
          </w:p>
          <w:p>
            <w:pPr>
              <w:pStyle w:val="TableParagraph"/>
              <w:spacing w:before="43"/>
              <w:ind w:right="1"/>
              <w:jc w:val="right"/>
              <w:rPr>
                <w:b/>
                <w:sz w:val="13"/>
              </w:rPr>
            </w:pPr>
            <w:r>
              <w:rPr>
                <w:b/>
                <w:w w:val="120"/>
                <w:sz w:val="13"/>
              </w:rPr>
              <w:t>p</w:t>
            </w:r>
          </w:p>
          <w:p>
            <w:pPr>
              <w:pStyle w:val="TableParagraph"/>
              <w:spacing w:before="35"/>
              <w:ind w:left="10"/>
              <w:jc w:val="left"/>
              <w:rPr>
                <w:sz w:val="13"/>
              </w:rPr>
            </w:pPr>
            <w:r>
              <w:rPr>
                <w:w w:val="120"/>
                <w:sz w:val="13"/>
              </w:rPr>
              <w:t>No</w:t>
            </w:r>
          </w:p>
        </w:tc>
        <w:tc>
          <w:tcPr>
            <w:tcW w:w="6425" w:type="dxa"/>
            <w:tcBorders>
              <w:top w:val="dotted" w:sz="4" w:space="0" w:color="000000"/>
              <w:left w:val="dotted" w:sz="10" w:space="0" w:color="A6A6A6"/>
              <w:bottom w:val="dotted" w:sz="4" w:space="0" w:color="000000"/>
              <w:right w:val="nil"/>
            </w:tcBorders>
          </w:tcPr>
          <w:p>
            <w:pPr>
              <w:pStyle w:val="TableParagraph"/>
              <w:tabs>
                <w:tab w:pos="4706" w:val="left" w:leader="none"/>
                <w:tab w:pos="5528" w:val="left" w:leader="none"/>
              </w:tabs>
              <w:spacing w:before="11"/>
              <w:rPr>
                <w:sz w:val="13"/>
              </w:rPr>
            </w:pPr>
            <w:r>
              <w:rPr>
                <w:w w:val="120"/>
                <w:sz w:val="13"/>
              </w:rPr>
              <w:t>0.0 </w:t>
            </w:r>
            <w:r>
              <w:rPr>
                <w:rFonts w:ascii="Calibri" w:hAnsi="Calibri"/>
                <w:w w:val="120"/>
                <w:sz w:val="13"/>
              </w:rPr>
              <w:t>± </w:t>
            </w:r>
            <w:r>
              <w:rPr>
                <w:w w:val="120"/>
                <w:sz w:val="13"/>
              </w:rPr>
              <w:t>0.0    0.5 </w:t>
            </w:r>
            <w:r>
              <w:rPr>
                <w:rFonts w:ascii="Calibri" w:hAnsi="Calibri"/>
                <w:w w:val="120"/>
                <w:sz w:val="13"/>
              </w:rPr>
              <w:t>± </w:t>
            </w:r>
            <w:r>
              <w:rPr>
                <w:w w:val="120"/>
                <w:sz w:val="13"/>
              </w:rPr>
              <w:t>0.7    10.5 </w:t>
            </w:r>
            <w:r>
              <w:rPr>
                <w:rFonts w:ascii="Calibri" w:hAnsi="Calibri"/>
                <w:w w:val="120"/>
                <w:sz w:val="13"/>
              </w:rPr>
              <w:t>±  </w:t>
            </w:r>
            <w:r>
              <w:rPr>
                <w:w w:val="120"/>
                <w:sz w:val="13"/>
              </w:rPr>
              <w:t>12.0   4.5 </w:t>
            </w:r>
            <w:r>
              <w:rPr>
                <w:rFonts w:ascii="Calibri" w:hAnsi="Calibri"/>
                <w:w w:val="120"/>
                <w:sz w:val="13"/>
              </w:rPr>
              <w:t>± </w:t>
            </w:r>
            <w:r>
              <w:rPr>
                <w:w w:val="120"/>
                <w:sz w:val="13"/>
              </w:rPr>
              <w:t>6.3   7.0 </w:t>
            </w:r>
            <w:r>
              <w:rPr>
                <w:rFonts w:ascii="Calibri" w:hAnsi="Calibri"/>
                <w:w w:val="120"/>
                <w:sz w:val="13"/>
              </w:rPr>
              <w:t>± </w:t>
            </w:r>
            <w:r>
              <w:rPr>
                <w:w w:val="120"/>
                <w:sz w:val="13"/>
              </w:rPr>
              <w:t>9.8   2.0</w:t>
            </w:r>
            <w:r>
              <w:rPr>
                <w:spacing w:val="-26"/>
                <w:w w:val="120"/>
                <w:sz w:val="13"/>
              </w:rPr>
              <w:t> </w:t>
            </w:r>
            <w:r>
              <w:rPr>
                <w:rFonts w:ascii="Calibri" w:hAnsi="Calibri"/>
                <w:w w:val="120"/>
                <w:sz w:val="13"/>
              </w:rPr>
              <w:t>±</w:t>
            </w:r>
            <w:r>
              <w:rPr>
                <w:rFonts w:ascii="Calibri" w:hAnsi="Calibri"/>
                <w:spacing w:val="7"/>
                <w:w w:val="120"/>
                <w:sz w:val="13"/>
              </w:rPr>
              <w:t> </w:t>
            </w:r>
            <w:r>
              <w:rPr>
                <w:w w:val="120"/>
                <w:sz w:val="13"/>
              </w:rPr>
              <w:t>1.4</w:t>
              <w:tab/>
              <w:t>4.5</w:t>
            </w:r>
            <w:r>
              <w:rPr>
                <w:spacing w:val="-10"/>
                <w:w w:val="120"/>
                <w:sz w:val="13"/>
              </w:rPr>
              <w:t> </w:t>
            </w:r>
            <w:r>
              <w:rPr>
                <w:rFonts w:ascii="Calibri" w:hAnsi="Calibri"/>
                <w:w w:val="120"/>
                <w:sz w:val="13"/>
              </w:rPr>
              <w:t>±</w:t>
            </w:r>
            <w:r>
              <w:rPr>
                <w:rFonts w:ascii="Calibri" w:hAnsi="Calibri"/>
                <w:spacing w:val="8"/>
                <w:w w:val="120"/>
                <w:sz w:val="13"/>
              </w:rPr>
              <w:t> </w:t>
            </w:r>
            <w:r>
              <w:rPr>
                <w:w w:val="120"/>
                <w:sz w:val="13"/>
              </w:rPr>
              <w:t>2.1</w:t>
              <w:tab/>
              <w:t>29.0 </w:t>
            </w:r>
            <w:r>
              <w:rPr>
                <w:rFonts w:ascii="Calibri" w:hAnsi="Calibri"/>
                <w:w w:val="120"/>
                <w:sz w:val="13"/>
              </w:rPr>
              <w:t>±</w:t>
            </w:r>
            <w:r>
              <w:rPr>
                <w:rFonts w:ascii="Calibri" w:hAnsi="Calibri"/>
                <w:spacing w:val="7"/>
                <w:w w:val="120"/>
                <w:sz w:val="13"/>
              </w:rPr>
              <w:t> </w:t>
            </w:r>
            <w:r>
              <w:rPr>
                <w:w w:val="120"/>
                <w:sz w:val="13"/>
              </w:rPr>
              <w:t>31.1</w:t>
            </w:r>
          </w:p>
          <w:p>
            <w:pPr>
              <w:pStyle w:val="TableParagraph"/>
              <w:tabs>
                <w:tab w:pos="772" w:val="left" w:leader="none"/>
                <w:tab w:pos="1624" w:val="left" w:leader="none"/>
                <w:tab w:pos="2446" w:val="left" w:leader="none"/>
                <w:tab w:pos="3171" w:val="left" w:leader="none"/>
                <w:tab w:pos="3896" w:val="left" w:leader="none"/>
                <w:tab w:pos="4705" w:val="left" w:leader="none"/>
                <w:tab w:pos="5612" w:val="left" w:leader="none"/>
              </w:tabs>
              <w:spacing w:before="36"/>
              <w:ind w:right="97"/>
              <w:rPr>
                <w:b/>
                <w:sz w:val="13"/>
              </w:rPr>
            </w:pPr>
            <w:r>
              <w:rPr>
                <w:w w:val="120"/>
                <w:sz w:val="13"/>
              </w:rPr>
              <w:t>0.2</w:t>
            </w:r>
            <w:r>
              <w:rPr>
                <w:b/>
                <w:w w:val="120"/>
                <w:sz w:val="13"/>
              </w:rPr>
              <w:t>*</w:t>
              <w:tab/>
            </w:r>
            <w:r>
              <w:rPr>
                <w:w w:val="120"/>
                <w:sz w:val="13"/>
              </w:rPr>
              <w:t>0.2</w:t>
            </w:r>
            <w:r>
              <w:rPr>
                <w:b/>
                <w:w w:val="120"/>
                <w:sz w:val="13"/>
              </w:rPr>
              <w:t>*</w:t>
              <w:tab/>
            </w:r>
            <w:r>
              <w:rPr>
                <w:w w:val="120"/>
                <w:sz w:val="13"/>
              </w:rPr>
              <w:t>0.3</w:t>
            </w:r>
            <w:r>
              <w:rPr>
                <w:b/>
                <w:w w:val="120"/>
                <w:sz w:val="13"/>
              </w:rPr>
              <w:t>*</w:t>
              <w:tab/>
            </w:r>
            <w:r>
              <w:rPr>
                <w:w w:val="120"/>
                <w:sz w:val="13"/>
              </w:rPr>
              <w:t>0.3</w:t>
            </w:r>
            <w:r>
              <w:rPr>
                <w:b/>
                <w:w w:val="120"/>
                <w:sz w:val="13"/>
              </w:rPr>
              <w:t>*</w:t>
              <w:tab/>
            </w:r>
            <w:r>
              <w:rPr>
                <w:w w:val="120"/>
                <w:sz w:val="13"/>
              </w:rPr>
              <w:t>0.9</w:t>
            </w:r>
            <w:r>
              <w:rPr>
                <w:b/>
                <w:w w:val="120"/>
                <w:sz w:val="13"/>
              </w:rPr>
              <w:t>*</w:t>
              <w:tab/>
            </w:r>
            <w:r>
              <w:rPr>
                <w:w w:val="120"/>
                <w:sz w:val="13"/>
              </w:rPr>
              <w:t>0.6</w:t>
            </w:r>
            <w:r>
              <w:rPr>
                <w:b/>
                <w:w w:val="120"/>
                <w:sz w:val="13"/>
              </w:rPr>
              <w:t>*</w:t>
              <w:tab/>
            </w:r>
            <w:r>
              <w:rPr>
                <w:w w:val="120"/>
                <w:sz w:val="13"/>
              </w:rPr>
              <w:t>0.2</w:t>
            </w:r>
            <w:r>
              <w:rPr>
                <w:b/>
                <w:w w:val="120"/>
                <w:sz w:val="13"/>
              </w:rPr>
              <w:t>*</w:t>
              <w:tab/>
            </w:r>
            <w:r>
              <w:rPr>
                <w:w w:val="120"/>
                <w:sz w:val="13"/>
              </w:rPr>
              <w:t>0.3</w:t>
            </w:r>
            <w:r>
              <w:rPr>
                <w:b/>
                <w:w w:val="120"/>
                <w:sz w:val="13"/>
              </w:rPr>
              <w:t>*</w:t>
            </w:r>
          </w:p>
          <w:p>
            <w:pPr>
              <w:pStyle w:val="TableParagraph"/>
              <w:tabs>
                <w:tab w:pos="1577" w:val="left" w:leader="none"/>
              </w:tabs>
              <w:spacing w:before="33"/>
              <w:rPr>
                <w:sz w:val="13"/>
              </w:rPr>
            </w:pPr>
            <w:r>
              <w:rPr>
                <w:w w:val="120"/>
                <w:sz w:val="13"/>
              </w:rPr>
              <w:t>0.4 </w:t>
            </w:r>
            <w:r>
              <w:rPr>
                <w:rFonts w:ascii="Calibri" w:hAnsi="Calibri"/>
                <w:w w:val="120"/>
                <w:sz w:val="13"/>
              </w:rPr>
              <w:t>± </w:t>
            </w:r>
            <w:r>
              <w:rPr>
                <w:w w:val="120"/>
                <w:sz w:val="13"/>
              </w:rPr>
              <w:t>0.7    1.7</w:t>
            </w:r>
            <w:r>
              <w:rPr>
                <w:spacing w:val="-1"/>
                <w:w w:val="120"/>
                <w:sz w:val="13"/>
              </w:rPr>
              <w:t> </w:t>
            </w:r>
            <w:r>
              <w:rPr>
                <w:rFonts w:ascii="Calibri" w:hAnsi="Calibri"/>
                <w:w w:val="120"/>
                <w:sz w:val="13"/>
              </w:rPr>
              <w:t>±</w:t>
            </w:r>
            <w:r>
              <w:rPr>
                <w:rFonts w:ascii="Calibri" w:hAnsi="Calibri"/>
                <w:spacing w:val="8"/>
                <w:w w:val="120"/>
                <w:sz w:val="13"/>
              </w:rPr>
              <w:t> </w:t>
            </w:r>
            <w:r>
              <w:rPr>
                <w:w w:val="120"/>
                <w:sz w:val="13"/>
              </w:rPr>
              <w:t>1.8</w:t>
              <w:tab/>
              <w:t>16.8 </w:t>
            </w:r>
            <w:r>
              <w:rPr>
                <w:rFonts w:ascii="Calibri" w:hAnsi="Calibri"/>
                <w:w w:val="120"/>
                <w:sz w:val="13"/>
              </w:rPr>
              <w:t>± </w:t>
            </w:r>
            <w:r>
              <w:rPr>
                <w:w w:val="120"/>
                <w:sz w:val="13"/>
              </w:rPr>
              <w:t>9.3    9.3 </w:t>
            </w:r>
            <w:r>
              <w:rPr>
                <w:rFonts w:ascii="Calibri" w:hAnsi="Calibri"/>
                <w:w w:val="120"/>
                <w:sz w:val="13"/>
              </w:rPr>
              <w:t>± </w:t>
            </w:r>
            <w:r>
              <w:rPr>
                <w:w w:val="120"/>
                <w:sz w:val="13"/>
              </w:rPr>
              <w:t>6.1   5.1 </w:t>
            </w:r>
            <w:r>
              <w:rPr>
                <w:rFonts w:ascii="Calibri" w:hAnsi="Calibri"/>
                <w:w w:val="120"/>
                <w:sz w:val="13"/>
              </w:rPr>
              <w:t>± </w:t>
            </w:r>
            <w:r>
              <w:rPr>
                <w:w w:val="120"/>
                <w:sz w:val="13"/>
              </w:rPr>
              <w:t>6.2   2.2 </w:t>
            </w:r>
            <w:r>
              <w:rPr>
                <w:rFonts w:ascii="Calibri" w:hAnsi="Calibri"/>
                <w:w w:val="120"/>
                <w:sz w:val="13"/>
              </w:rPr>
              <w:t>± </w:t>
            </w:r>
            <w:r>
              <w:rPr>
                <w:w w:val="120"/>
                <w:sz w:val="13"/>
              </w:rPr>
              <w:t>2.7   12.7 </w:t>
            </w:r>
            <w:r>
              <w:rPr>
                <w:rFonts w:ascii="Calibri" w:hAnsi="Calibri"/>
                <w:w w:val="120"/>
                <w:sz w:val="13"/>
              </w:rPr>
              <w:t>± </w:t>
            </w:r>
            <w:r>
              <w:rPr>
                <w:w w:val="120"/>
                <w:sz w:val="13"/>
              </w:rPr>
              <w:t>12.0   48.2 </w:t>
            </w:r>
            <w:r>
              <w:rPr>
                <w:rFonts w:ascii="Calibri" w:hAnsi="Calibri"/>
                <w:w w:val="120"/>
                <w:sz w:val="13"/>
              </w:rPr>
              <w:t>± </w:t>
            </w:r>
            <w:r>
              <w:rPr>
                <w:rFonts w:ascii="Calibri" w:hAnsi="Calibri"/>
                <w:spacing w:val="3"/>
                <w:w w:val="120"/>
                <w:sz w:val="13"/>
              </w:rPr>
              <w:t> </w:t>
            </w:r>
            <w:r>
              <w:rPr>
                <w:w w:val="120"/>
                <w:sz w:val="13"/>
              </w:rPr>
              <w:t>20.7</w:t>
            </w:r>
          </w:p>
        </w:tc>
      </w:tr>
      <w:tr>
        <w:trPr>
          <w:trHeight w:val="560" w:hRule="exact"/>
        </w:trPr>
        <w:tc>
          <w:tcPr>
            <w:tcW w:w="1255" w:type="dxa"/>
            <w:gridSpan w:val="2"/>
            <w:tcBorders>
              <w:top w:val="dotted" w:sz="4" w:space="0" w:color="000000"/>
              <w:left w:val="nil"/>
              <w:bottom w:val="dotted" w:sz="4" w:space="0" w:color="000000"/>
              <w:right w:val="dotted" w:sz="5" w:space="0" w:color="000000"/>
            </w:tcBorders>
          </w:tcPr>
          <w:p>
            <w:pPr>
              <w:pStyle w:val="TableParagraph"/>
              <w:spacing w:line="290" w:lineRule="auto" w:before="15"/>
              <w:ind w:left="386" w:right="272" w:hanging="97"/>
              <w:jc w:val="left"/>
              <w:rPr>
                <w:b/>
                <w:sz w:val="13"/>
              </w:rPr>
            </w:pPr>
            <w:r>
              <w:rPr>
                <w:b/>
                <w:w w:val="120"/>
                <w:sz w:val="13"/>
              </w:rPr>
              <w:t>Consulta dental</w:t>
            </w:r>
          </w:p>
        </w:tc>
        <w:tc>
          <w:tcPr>
            <w:tcW w:w="995" w:type="dxa"/>
            <w:tcBorders>
              <w:top w:val="dotted" w:sz="4" w:space="0" w:color="000000"/>
              <w:left w:val="dotted" w:sz="5" w:space="0" w:color="000000"/>
              <w:bottom w:val="dotted" w:sz="4" w:space="0" w:color="000000"/>
              <w:right w:val="dotted" w:sz="10" w:space="0" w:color="A6A6A6"/>
            </w:tcBorders>
          </w:tcPr>
          <w:p>
            <w:pPr>
              <w:pStyle w:val="TableParagraph"/>
              <w:spacing w:before="15"/>
              <w:ind w:left="10"/>
              <w:jc w:val="left"/>
              <w:rPr>
                <w:sz w:val="13"/>
              </w:rPr>
            </w:pPr>
            <w:r>
              <w:rPr>
                <w:w w:val="120"/>
                <w:sz w:val="13"/>
              </w:rPr>
              <w:t>Si</w:t>
            </w:r>
          </w:p>
          <w:p>
            <w:pPr>
              <w:pStyle w:val="TableParagraph"/>
              <w:spacing w:before="34"/>
              <w:ind w:right="1"/>
              <w:jc w:val="right"/>
              <w:rPr>
                <w:b/>
                <w:sz w:val="13"/>
              </w:rPr>
            </w:pPr>
            <w:r>
              <w:rPr>
                <w:b/>
                <w:w w:val="120"/>
                <w:sz w:val="13"/>
              </w:rPr>
              <w:t>p</w:t>
            </w:r>
          </w:p>
          <w:p>
            <w:pPr>
              <w:pStyle w:val="TableParagraph"/>
              <w:spacing w:before="34"/>
              <w:ind w:left="10"/>
              <w:jc w:val="left"/>
              <w:rPr>
                <w:sz w:val="13"/>
              </w:rPr>
            </w:pPr>
            <w:r>
              <w:rPr>
                <w:w w:val="120"/>
                <w:sz w:val="13"/>
              </w:rPr>
              <w:t>No</w:t>
            </w:r>
          </w:p>
        </w:tc>
        <w:tc>
          <w:tcPr>
            <w:tcW w:w="6425" w:type="dxa"/>
            <w:tcBorders>
              <w:top w:val="dotted" w:sz="4" w:space="0" w:color="000000"/>
              <w:left w:val="dotted" w:sz="10" w:space="0" w:color="A6A6A6"/>
              <w:bottom w:val="dotted" w:sz="4" w:space="0" w:color="000000"/>
              <w:right w:val="nil"/>
            </w:tcBorders>
          </w:tcPr>
          <w:p>
            <w:pPr>
              <w:pStyle w:val="TableParagraph"/>
              <w:tabs>
                <w:tab w:pos="864" w:val="left" w:leader="none"/>
                <w:tab w:pos="1715" w:val="left" w:leader="none"/>
                <w:tab w:pos="2537" w:val="left" w:leader="none"/>
                <w:tab w:pos="3262" w:val="left" w:leader="none"/>
                <w:tab w:pos="3987" w:val="left" w:leader="none"/>
                <w:tab w:pos="4796" w:val="left" w:leader="none"/>
                <w:tab w:pos="5618" w:val="left" w:leader="none"/>
              </w:tabs>
              <w:spacing w:before="13"/>
              <w:ind w:left="91"/>
              <w:jc w:val="left"/>
              <w:rPr>
                <w:sz w:val="13"/>
              </w:rPr>
            </w:pPr>
            <w:r>
              <w:rPr>
                <w:w w:val="120"/>
                <w:sz w:val="13"/>
              </w:rPr>
              <w:t>0.7</w:t>
            </w:r>
            <w:r>
              <w:rPr>
                <w:rFonts w:ascii="Calibri" w:hAnsi="Calibri"/>
                <w:w w:val="120"/>
                <w:sz w:val="13"/>
              </w:rPr>
              <w:t>±</w:t>
            </w:r>
            <w:r>
              <w:rPr>
                <w:w w:val="120"/>
                <w:sz w:val="13"/>
              </w:rPr>
              <w:t>0.5</w:t>
              <w:tab/>
              <w:t>3.0</w:t>
            </w:r>
            <w:r>
              <w:rPr>
                <w:rFonts w:ascii="Calibri" w:hAnsi="Calibri"/>
                <w:w w:val="120"/>
                <w:sz w:val="13"/>
              </w:rPr>
              <w:t>±</w:t>
            </w:r>
            <w:r>
              <w:rPr>
                <w:w w:val="120"/>
                <w:sz w:val="13"/>
              </w:rPr>
              <w:t>1.6</w:t>
              <w:tab/>
              <w:t>5.5</w:t>
            </w:r>
            <w:r>
              <w:rPr>
                <w:rFonts w:ascii="Calibri" w:hAnsi="Calibri"/>
                <w:w w:val="120"/>
                <w:sz w:val="13"/>
              </w:rPr>
              <w:t>±</w:t>
            </w:r>
            <w:r>
              <w:rPr>
                <w:w w:val="120"/>
                <w:sz w:val="13"/>
              </w:rPr>
              <w:t>3.6</w:t>
              <w:tab/>
              <w:t>5.7</w:t>
            </w:r>
            <w:r>
              <w:rPr>
                <w:rFonts w:ascii="Calibri" w:hAnsi="Calibri"/>
                <w:w w:val="120"/>
                <w:sz w:val="13"/>
              </w:rPr>
              <w:t>±</w:t>
            </w:r>
            <w:r>
              <w:rPr>
                <w:w w:val="120"/>
                <w:sz w:val="13"/>
              </w:rPr>
              <w:t>6.7</w:t>
              <w:tab/>
              <w:t>4.2</w:t>
            </w:r>
            <w:r>
              <w:rPr>
                <w:rFonts w:ascii="Calibri" w:hAnsi="Calibri"/>
                <w:w w:val="120"/>
                <w:sz w:val="13"/>
              </w:rPr>
              <w:t>±</w:t>
            </w:r>
            <w:r>
              <w:rPr>
                <w:w w:val="120"/>
                <w:sz w:val="13"/>
              </w:rPr>
              <w:t>7.8</w:t>
              <w:tab/>
              <w:t>1.7</w:t>
            </w:r>
            <w:r>
              <w:rPr>
                <w:rFonts w:ascii="Calibri" w:hAnsi="Calibri"/>
                <w:w w:val="120"/>
                <w:sz w:val="13"/>
              </w:rPr>
              <w:t>±</w:t>
            </w:r>
            <w:r>
              <w:rPr>
                <w:w w:val="120"/>
                <w:sz w:val="13"/>
              </w:rPr>
              <w:t>2.8</w:t>
              <w:tab/>
              <w:t>6.0</w:t>
            </w:r>
            <w:r>
              <w:rPr>
                <w:rFonts w:ascii="Calibri" w:hAnsi="Calibri"/>
                <w:w w:val="120"/>
                <w:sz w:val="13"/>
              </w:rPr>
              <w:t>±</w:t>
            </w:r>
            <w:r>
              <w:rPr>
                <w:w w:val="120"/>
                <w:sz w:val="13"/>
              </w:rPr>
              <w:t>5.7</w:t>
              <w:tab/>
              <w:t>26.2</w:t>
            </w:r>
            <w:r>
              <w:rPr>
                <w:rFonts w:ascii="Calibri" w:hAnsi="Calibri"/>
                <w:w w:val="120"/>
                <w:sz w:val="13"/>
              </w:rPr>
              <w:t>±</w:t>
            </w:r>
            <w:r>
              <w:rPr>
                <w:w w:val="120"/>
                <w:sz w:val="13"/>
              </w:rPr>
              <w:t>23.4</w:t>
            </w:r>
          </w:p>
          <w:p>
            <w:pPr>
              <w:pStyle w:val="TableParagraph"/>
              <w:tabs>
                <w:tab w:pos="972" w:val="left" w:leader="none"/>
                <w:tab w:pos="1520" w:val="left" w:leader="none"/>
                <w:tab w:pos="1800" w:val="left" w:leader="none"/>
                <w:tab w:pos="2425" w:val="left" w:leader="none"/>
                <w:tab w:pos="2646" w:val="left" w:leader="none"/>
                <w:tab w:pos="3371" w:val="left" w:leader="none"/>
                <w:tab w:pos="4096" w:val="left" w:leader="none"/>
                <w:tab w:pos="4905" w:val="left" w:leader="none"/>
                <w:tab w:pos="5502" w:val="left" w:leader="none"/>
                <w:tab w:pos="5787" w:val="left" w:leader="none"/>
                <w:tab w:pos="6407" w:val="left" w:leader="none"/>
              </w:tabs>
              <w:spacing w:before="27"/>
              <w:ind w:left="199"/>
              <w:jc w:val="left"/>
              <w:rPr>
                <w:b/>
                <w:sz w:val="13"/>
              </w:rPr>
            </w:pPr>
            <w:r>
              <w:rPr>
                <w:w w:val="120"/>
                <w:sz w:val="13"/>
              </w:rPr>
              <w:t>0.17</w:t>
              <w:tab/>
              <w:t>0.09</w:t>
              <w:tab/>
            </w:r>
            <w:r>
              <w:rPr>
                <w:b/>
                <w:w w:val="120"/>
                <w:sz w:val="13"/>
                <w:shd w:fill="D9D9D9" w:color="auto" w:val="clear"/>
              </w:rPr>
              <w:tab/>
              <w:t>0.01*</w:t>
              <w:tab/>
            </w:r>
            <w:r>
              <w:rPr>
                <w:b/>
                <w:w w:val="120"/>
                <w:sz w:val="13"/>
              </w:rPr>
              <w:tab/>
            </w:r>
            <w:r>
              <w:rPr>
                <w:w w:val="120"/>
                <w:sz w:val="13"/>
              </w:rPr>
              <w:t>0.30</w:t>
              <w:tab/>
              <w:t>0.26</w:t>
              <w:tab/>
              <w:t>0.53</w:t>
              <w:tab/>
              <w:t>0.17</w:t>
              <w:tab/>
            </w:r>
            <w:r>
              <w:rPr>
                <w:b/>
                <w:w w:val="120"/>
                <w:sz w:val="13"/>
                <w:shd w:fill="D9D9D9" w:color="auto" w:val="clear"/>
              </w:rPr>
              <w:tab/>
              <w:t>0.05*</w:t>
            </w:r>
            <w:r>
              <w:rPr>
                <w:b/>
                <w:sz w:val="13"/>
                <w:shd w:fill="D9D9D9" w:color="auto" w:val="clear"/>
              </w:rPr>
              <w:tab/>
            </w:r>
          </w:p>
          <w:p>
            <w:pPr>
              <w:pStyle w:val="TableParagraph"/>
              <w:tabs>
                <w:tab w:pos="864" w:val="left" w:leader="none"/>
                <w:tab w:pos="1679" w:val="left" w:leader="none"/>
                <w:tab w:pos="2537" w:val="left" w:leader="none"/>
                <w:tab w:pos="3262" w:val="left" w:leader="none"/>
                <w:tab w:pos="3987" w:val="left" w:leader="none"/>
                <w:tab w:pos="4712" w:val="left" w:leader="none"/>
                <w:tab w:pos="5618" w:val="left" w:leader="none"/>
              </w:tabs>
              <w:spacing w:before="32"/>
              <w:ind w:left="91"/>
              <w:jc w:val="left"/>
              <w:rPr>
                <w:sz w:val="13"/>
              </w:rPr>
            </w:pPr>
            <w:r>
              <w:rPr>
                <w:w w:val="120"/>
                <w:sz w:val="13"/>
              </w:rPr>
              <w:t>0.4</w:t>
            </w:r>
            <w:r>
              <w:rPr>
                <w:rFonts w:ascii="Calibri" w:hAnsi="Calibri"/>
                <w:w w:val="120"/>
                <w:sz w:val="13"/>
              </w:rPr>
              <w:t>±</w:t>
            </w:r>
            <w:r>
              <w:rPr>
                <w:w w:val="120"/>
                <w:sz w:val="13"/>
              </w:rPr>
              <w:t>0.7</w:t>
              <w:tab/>
              <w:t>1.6</w:t>
            </w:r>
            <w:r>
              <w:rPr>
                <w:rFonts w:ascii="Calibri" w:hAnsi="Calibri"/>
                <w:w w:val="120"/>
                <w:sz w:val="13"/>
              </w:rPr>
              <w:t>±</w:t>
            </w:r>
            <w:r>
              <w:rPr>
                <w:w w:val="120"/>
                <w:sz w:val="13"/>
              </w:rPr>
              <w:t>1.8</w:t>
              <w:tab/>
              <w:t>17.3</w:t>
            </w:r>
            <w:r>
              <w:rPr>
                <w:rFonts w:ascii="Calibri" w:hAnsi="Calibri"/>
                <w:w w:val="120"/>
                <w:sz w:val="13"/>
              </w:rPr>
              <w:t>±</w:t>
            </w:r>
            <w:r>
              <w:rPr>
                <w:w w:val="120"/>
                <w:sz w:val="13"/>
              </w:rPr>
              <w:t>9.1</w:t>
              <w:tab/>
              <w:t>9.4</w:t>
            </w:r>
            <w:r>
              <w:rPr>
                <w:rFonts w:ascii="Calibri" w:hAnsi="Calibri"/>
                <w:w w:val="120"/>
                <w:sz w:val="13"/>
              </w:rPr>
              <w:t>±</w:t>
            </w:r>
            <w:r>
              <w:rPr>
                <w:w w:val="120"/>
                <w:sz w:val="13"/>
              </w:rPr>
              <w:t>6.1</w:t>
              <w:tab/>
              <w:t>5.2</w:t>
            </w:r>
            <w:r>
              <w:rPr>
                <w:rFonts w:ascii="Calibri" w:hAnsi="Calibri"/>
                <w:w w:val="120"/>
                <w:sz w:val="13"/>
              </w:rPr>
              <w:t>±</w:t>
            </w:r>
            <w:r>
              <w:rPr>
                <w:w w:val="120"/>
                <w:sz w:val="13"/>
              </w:rPr>
              <w:t>6.2</w:t>
              <w:tab/>
              <w:t>2.2</w:t>
            </w:r>
            <w:r>
              <w:rPr>
                <w:rFonts w:ascii="Calibri" w:hAnsi="Calibri"/>
                <w:w w:val="120"/>
                <w:sz w:val="13"/>
              </w:rPr>
              <w:t>±</w:t>
            </w:r>
            <w:r>
              <w:rPr>
                <w:w w:val="120"/>
                <w:sz w:val="13"/>
              </w:rPr>
              <w:t>2.6</w:t>
              <w:tab/>
              <w:t>12.9</w:t>
            </w:r>
            <w:r>
              <w:rPr>
                <w:rFonts w:ascii="Calibri" w:hAnsi="Calibri"/>
                <w:w w:val="120"/>
                <w:sz w:val="13"/>
              </w:rPr>
              <w:t>±</w:t>
            </w:r>
            <w:r>
              <w:rPr>
                <w:w w:val="120"/>
                <w:sz w:val="13"/>
              </w:rPr>
              <w:t>12.1</w:t>
              <w:tab/>
              <w:t>49.0</w:t>
            </w:r>
            <w:r>
              <w:rPr>
                <w:rFonts w:ascii="Calibri" w:hAnsi="Calibri"/>
                <w:w w:val="120"/>
                <w:sz w:val="13"/>
              </w:rPr>
              <w:t>±</w:t>
            </w:r>
            <w:r>
              <w:rPr>
                <w:w w:val="120"/>
                <w:sz w:val="13"/>
              </w:rPr>
              <w:t>20.2</w:t>
            </w:r>
          </w:p>
        </w:tc>
      </w:tr>
      <w:tr>
        <w:trPr>
          <w:trHeight w:val="550" w:hRule="exact"/>
        </w:trPr>
        <w:tc>
          <w:tcPr>
            <w:tcW w:w="1255" w:type="dxa"/>
            <w:gridSpan w:val="2"/>
            <w:tcBorders>
              <w:top w:val="dotted" w:sz="4" w:space="0" w:color="000000"/>
              <w:left w:val="nil"/>
              <w:bottom w:val="dotted" w:sz="4" w:space="0" w:color="000000"/>
              <w:right w:val="dotted" w:sz="5" w:space="0" w:color="000000"/>
            </w:tcBorders>
          </w:tcPr>
          <w:p>
            <w:pPr>
              <w:pStyle w:val="TableParagraph"/>
              <w:spacing w:before="7"/>
              <w:ind w:left="132" w:right="149"/>
              <w:rPr>
                <w:b/>
                <w:sz w:val="13"/>
              </w:rPr>
            </w:pPr>
            <w:r>
              <w:rPr>
                <w:b/>
                <w:w w:val="120"/>
                <w:sz w:val="13"/>
              </w:rPr>
              <w:t>Tratamiento</w:t>
            </w:r>
          </w:p>
          <w:p>
            <w:pPr>
              <w:pStyle w:val="TableParagraph"/>
              <w:spacing w:before="31"/>
              <w:ind w:left="130" w:right="149"/>
              <w:rPr>
                <w:b/>
                <w:sz w:val="13"/>
              </w:rPr>
            </w:pPr>
            <w:r>
              <w:rPr>
                <w:b/>
                <w:w w:val="120"/>
                <w:sz w:val="13"/>
              </w:rPr>
              <w:t>dental</w:t>
            </w:r>
          </w:p>
        </w:tc>
        <w:tc>
          <w:tcPr>
            <w:tcW w:w="995" w:type="dxa"/>
            <w:tcBorders>
              <w:top w:val="dotted" w:sz="4" w:space="0" w:color="000000"/>
              <w:left w:val="dotted" w:sz="5" w:space="0" w:color="000000"/>
              <w:bottom w:val="dotted" w:sz="4" w:space="0" w:color="000000"/>
              <w:right w:val="dotted" w:sz="10" w:space="0" w:color="A6A6A6"/>
            </w:tcBorders>
          </w:tcPr>
          <w:p>
            <w:pPr>
              <w:pStyle w:val="TableParagraph"/>
              <w:spacing w:before="7"/>
              <w:ind w:left="10"/>
              <w:jc w:val="left"/>
              <w:rPr>
                <w:sz w:val="13"/>
              </w:rPr>
            </w:pPr>
            <w:r>
              <w:rPr>
                <w:w w:val="120"/>
                <w:sz w:val="13"/>
              </w:rPr>
              <w:t>Si</w:t>
            </w:r>
          </w:p>
          <w:p>
            <w:pPr>
              <w:pStyle w:val="TableParagraph"/>
              <w:spacing w:before="35"/>
              <w:ind w:right="1"/>
              <w:jc w:val="right"/>
              <w:rPr>
                <w:b/>
                <w:sz w:val="13"/>
              </w:rPr>
            </w:pPr>
            <w:r>
              <w:rPr>
                <w:b/>
                <w:w w:val="120"/>
                <w:sz w:val="13"/>
              </w:rPr>
              <w:t>p</w:t>
            </w:r>
          </w:p>
          <w:p>
            <w:pPr>
              <w:pStyle w:val="TableParagraph"/>
              <w:spacing w:before="34"/>
              <w:ind w:left="10"/>
              <w:jc w:val="left"/>
              <w:rPr>
                <w:sz w:val="13"/>
              </w:rPr>
            </w:pPr>
            <w:r>
              <w:rPr>
                <w:w w:val="120"/>
                <w:sz w:val="13"/>
              </w:rPr>
              <w:t>No</w:t>
            </w:r>
          </w:p>
        </w:tc>
        <w:tc>
          <w:tcPr>
            <w:tcW w:w="6425" w:type="dxa"/>
            <w:tcBorders>
              <w:top w:val="dotted" w:sz="4" w:space="0" w:color="000000"/>
              <w:left w:val="dotted" w:sz="10" w:space="0" w:color="A6A6A6"/>
              <w:bottom w:val="dotted" w:sz="4" w:space="0" w:color="000000"/>
              <w:right w:val="nil"/>
            </w:tcBorders>
          </w:tcPr>
          <w:p>
            <w:pPr>
              <w:pStyle w:val="TableParagraph"/>
              <w:tabs>
                <w:tab w:pos="772" w:val="left" w:leader="none"/>
                <w:tab w:pos="1624" w:val="left" w:leader="none"/>
                <w:tab w:pos="2446" w:val="left" w:leader="none"/>
                <w:tab w:pos="3171" w:val="left" w:leader="none"/>
                <w:tab w:pos="3896" w:val="left" w:leader="none"/>
                <w:tab w:pos="4705" w:val="left" w:leader="none"/>
                <w:tab w:pos="5612" w:val="left" w:leader="none"/>
              </w:tabs>
              <w:spacing w:before="5"/>
              <w:ind w:right="94"/>
              <w:rPr>
                <w:sz w:val="13"/>
              </w:rPr>
            </w:pPr>
            <w:r>
              <w:rPr>
                <w:w w:val="120"/>
                <w:sz w:val="13"/>
              </w:rPr>
              <w:t>1.0</w:t>
            </w:r>
            <w:r>
              <w:rPr>
                <w:rFonts w:ascii="Calibri" w:hAnsi="Calibri"/>
                <w:w w:val="120"/>
                <w:sz w:val="13"/>
              </w:rPr>
              <w:t>±</w:t>
            </w:r>
            <w:r>
              <w:rPr>
                <w:w w:val="120"/>
                <w:sz w:val="13"/>
              </w:rPr>
              <w:t>0.0</w:t>
              <w:tab/>
              <w:t>3.0</w:t>
            </w:r>
            <w:r>
              <w:rPr>
                <w:rFonts w:ascii="Calibri" w:hAnsi="Calibri"/>
                <w:w w:val="120"/>
                <w:sz w:val="13"/>
              </w:rPr>
              <w:t>±</w:t>
            </w:r>
            <w:r>
              <w:rPr>
                <w:w w:val="120"/>
                <w:sz w:val="13"/>
              </w:rPr>
              <w:t>0.0</w:t>
              <w:tab/>
              <w:t>3.0</w:t>
            </w:r>
            <w:r>
              <w:rPr>
                <w:rFonts w:ascii="Calibri" w:hAnsi="Calibri"/>
                <w:w w:val="120"/>
                <w:sz w:val="13"/>
              </w:rPr>
              <w:t>±</w:t>
            </w:r>
            <w:r>
              <w:rPr>
                <w:w w:val="120"/>
                <w:sz w:val="13"/>
              </w:rPr>
              <w:t>0.0</w:t>
              <w:tab/>
              <w:t>0.0</w:t>
            </w:r>
            <w:r>
              <w:rPr>
                <w:rFonts w:ascii="Calibri" w:hAnsi="Calibri"/>
                <w:w w:val="120"/>
                <w:sz w:val="13"/>
              </w:rPr>
              <w:t>±</w:t>
            </w:r>
            <w:r>
              <w:rPr>
                <w:w w:val="120"/>
                <w:sz w:val="13"/>
              </w:rPr>
              <w:t>0.0</w:t>
              <w:tab/>
              <w:t>1.0</w:t>
            </w:r>
            <w:r>
              <w:rPr>
                <w:rFonts w:ascii="Calibri" w:hAnsi="Calibri"/>
                <w:w w:val="120"/>
                <w:sz w:val="13"/>
              </w:rPr>
              <w:t>±</w:t>
            </w:r>
            <w:r>
              <w:rPr>
                <w:w w:val="120"/>
                <w:sz w:val="13"/>
              </w:rPr>
              <w:t>0.0</w:t>
              <w:tab/>
              <w:t>0.0</w:t>
            </w:r>
            <w:r>
              <w:rPr>
                <w:rFonts w:ascii="Calibri" w:hAnsi="Calibri"/>
                <w:w w:val="120"/>
                <w:sz w:val="13"/>
              </w:rPr>
              <w:t>±</w:t>
            </w:r>
            <w:r>
              <w:rPr>
                <w:w w:val="120"/>
                <w:sz w:val="13"/>
              </w:rPr>
              <w:t>0.0</w:t>
              <w:tab/>
              <w:t>1.0</w:t>
            </w:r>
            <w:r>
              <w:rPr>
                <w:rFonts w:ascii="Calibri" w:hAnsi="Calibri"/>
                <w:w w:val="120"/>
                <w:sz w:val="13"/>
              </w:rPr>
              <w:t>±</w:t>
            </w:r>
            <w:r>
              <w:rPr>
                <w:w w:val="120"/>
                <w:sz w:val="13"/>
              </w:rPr>
              <w:t>0.0</w:t>
              <w:tab/>
              <w:t>8.0</w:t>
            </w:r>
            <w:r>
              <w:rPr>
                <w:rFonts w:ascii="Calibri" w:hAnsi="Calibri"/>
                <w:w w:val="120"/>
                <w:sz w:val="13"/>
              </w:rPr>
              <w:t>±</w:t>
            </w:r>
            <w:r>
              <w:rPr>
                <w:w w:val="120"/>
                <w:sz w:val="13"/>
              </w:rPr>
              <w:t>0.0</w:t>
            </w:r>
          </w:p>
          <w:p>
            <w:pPr>
              <w:pStyle w:val="TableParagraph"/>
              <w:tabs>
                <w:tab w:pos="772" w:val="left" w:leader="none"/>
                <w:tab w:pos="1624" w:val="left" w:leader="none"/>
                <w:tab w:pos="2446" w:val="left" w:leader="none"/>
                <w:tab w:pos="3171" w:val="left" w:leader="none"/>
                <w:tab w:pos="3896" w:val="left" w:leader="none"/>
                <w:tab w:pos="4705" w:val="left" w:leader="none"/>
                <w:tab w:pos="5612" w:val="left" w:leader="none"/>
              </w:tabs>
              <w:spacing w:before="27"/>
              <w:ind w:right="94"/>
              <w:rPr>
                <w:sz w:val="13"/>
              </w:rPr>
            </w:pPr>
            <w:r>
              <w:rPr>
                <w:w w:val="120"/>
                <w:sz w:val="13"/>
              </w:rPr>
              <w:t>0.25</w:t>
              <w:tab/>
              <w:t>0.31</w:t>
              <w:tab/>
              <w:t>0.13</w:t>
              <w:tab/>
              <w:t>0.09</w:t>
              <w:tab/>
              <w:t>0.43</w:t>
              <w:tab/>
              <w:t>0.22</w:t>
              <w:tab/>
              <w:t>0.11</w:t>
              <w:tab/>
              <w:t>0.09</w:t>
            </w:r>
          </w:p>
          <w:p>
            <w:pPr>
              <w:pStyle w:val="TableParagraph"/>
              <w:tabs>
                <w:tab w:pos="772" w:val="left" w:leader="none"/>
                <w:tab w:pos="1588" w:val="left" w:leader="none"/>
                <w:tab w:pos="2446" w:val="left" w:leader="none"/>
                <w:tab w:pos="3171" w:val="left" w:leader="none"/>
                <w:tab w:pos="3896" w:val="left" w:leader="none"/>
                <w:tab w:pos="4621" w:val="left" w:leader="none"/>
                <w:tab w:pos="5527" w:val="left" w:leader="none"/>
              </w:tabs>
              <w:spacing w:before="32"/>
              <w:ind w:right="9"/>
              <w:rPr>
                <w:sz w:val="13"/>
              </w:rPr>
            </w:pPr>
            <w:r>
              <w:rPr>
                <w:w w:val="120"/>
                <w:sz w:val="13"/>
              </w:rPr>
              <w:t>0.4</w:t>
            </w:r>
            <w:r>
              <w:rPr>
                <w:rFonts w:ascii="Calibri" w:hAnsi="Calibri"/>
                <w:w w:val="120"/>
                <w:sz w:val="13"/>
              </w:rPr>
              <w:t>±</w:t>
            </w:r>
            <w:r>
              <w:rPr>
                <w:w w:val="120"/>
                <w:sz w:val="13"/>
              </w:rPr>
              <w:t>0.7</w:t>
              <w:tab/>
              <w:t>1.7</w:t>
            </w:r>
            <w:r>
              <w:rPr>
                <w:rFonts w:ascii="Calibri" w:hAnsi="Calibri"/>
                <w:w w:val="120"/>
                <w:sz w:val="13"/>
              </w:rPr>
              <w:t>±</w:t>
            </w:r>
            <w:r>
              <w:rPr>
                <w:w w:val="120"/>
                <w:sz w:val="13"/>
              </w:rPr>
              <w:t>1.8</w:t>
              <w:tab/>
              <w:t>16.8</w:t>
            </w:r>
            <w:r>
              <w:rPr>
                <w:rFonts w:ascii="Calibri" w:hAnsi="Calibri"/>
                <w:w w:val="120"/>
                <w:sz w:val="13"/>
              </w:rPr>
              <w:t>±</w:t>
            </w:r>
            <w:r>
              <w:rPr>
                <w:w w:val="120"/>
                <w:sz w:val="13"/>
              </w:rPr>
              <w:t>9.3</w:t>
              <w:tab/>
              <w:t>9.3</w:t>
            </w:r>
            <w:r>
              <w:rPr>
                <w:rFonts w:ascii="Calibri" w:hAnsi="Calibri"/>
                <w:w w:val="120"/>
                <w:sz w:val="13"/>
              </w:rPr>
              <w:t>±</w:t>
            </w:r>
            <w:r>
              <w:rPr>
                <w:w w:val="120"/>
                <w:sz w:val="13"/>
              </w:rPr>
              <w:t>6.1</w:t>
              <w:tab/>
              <w:t>5.2</w:t>
            </w:r>
            <w:r>
              <w:rPr>
                <w:rFonts w:ascii="Calibri" w:hAnsi="Calibri"/>
                <w:w w:val="120"/>
                <w:sz w:val="13"/>
              </w:rPr>
              <w:t>±</w:t>
            </w:r>
            <w:r>
              <w:rPr>
                <w:w w:val="120"/>
                <w:sz w:val="13"/>
              </w:rPr>
              <w:t>6.3</w:t>
              <w:tab/>
              <w:t>2.2</w:t>
            </w:r>
            <w:r>
              <w:rPr>
                <w:rFonts w:ascii="Calibri" w:hAnsi="Calibri"/>
                <w:w w:val="120"/>
                <w:sz w:val="13"/>
              </w:rPr>
              <w:t>±</w:t>
            </w:r>
            <w:r>
              <w:rPr>
                <w:w w:val="120"/>
                <w:sz w:val="13"/>
              </w:rPr>
              <w:t>2.6</w:t>
              <w:tab/>
              <w:t>12.6</w:t>
            </w:r>
            <w:r>
              <w:rPr>
                <w:rFonts w:ascii="Calibri" w:hAnsi="Calibri"/>
                <w:w w:val="120"/>
                <w:sz w:val="13"/>
              </w:rPr>
              <w:t>±</w:t>
            </w:r>
            <w:r>
              <w:rPr>
                <w:w w:val="120"/>
                <w:sz w:val="13"/>
              </w:rPr>
              <w:t>11.9</w:t>
              <w:tab/>
              <w:t>48.2</w:t>
            </w:r>
            <w:r>
              <w:rPr>
                <w:rFonts w:ascii="Calibri" w:hAnsi="Calibri"/>
                <w:w w:val="120"/>
                <w:sz w:val="13"/>
              </w:rPr>
              <w:t>±</w:t>
            </w:r>
            <w:r>
              <w:rPr>
                <w:w w:val="120"/>
                <w:sz w:val="13"/>
              </w:rPr>
              <w:t>20.5</w:t>
            </w:r>
          </w:p>
        </w:tc>
      </w:tr>
      <w:tr>
        <w:trPr>
          <w:trHeight w:val="550" w:hRule="exact"/>
        </w:trPr>
        <w:tc>
          <w:tcPr>
            <w:tcW w:w="350" w:type="dxa"/>
            <w:vMerge w:val="restart"/>
            <w:tcBorders>
              <w:top w:val="dotted" w:sz="4" w:space="0" w:color="000000"/>
              <w:left w:val="nil"/>
              <w:right w:val="dotted" w:sz="5" w:space="0" w:color="000000"/>
            </w:tcBorders>
            <w:textDirection w:val="btLr"/>
          </w:tcPr>
          <w:p>
            <w:pPr>
              <w:pStyle w:val="TableParagraph"/>
              <w:spacing w:before="40"/>
              <w:ind w:left="2072" w:right="2061"/>
              <w:rPr>
                <w:b/>
                <w:sz w:val="15"/>
              </w:rPr>
            </w:pPr>
            <w:r>
              <w:rPr>
                <w:b/>
                <w:spacing w:val="-4"/>
                <w:w w:val="86"/>
                <w:sz w:val="15"/>
              </w:rPr>
              <w:t>C</w:t>
            </w:r>
            <w:r>
              <w:rPr>
                <w:b/>
                <w:w w:val="86"/>
                <w:sz w:val="15"/>
              </w:rPr>
              <w:t>on</w:t>
            </w:r>
            <w:r>
              <w:rPr>
                <w:b/>
                <w:spacing w:val="-2"/>
                <w:w w:val="86"/>
                <w:sz w:val="15"/>
              </w:rPr>
              <w:t>s</w:t>
            </w:r>
            <w:r>
              <w:rPr>
                <w:b/>
                <w:w w:val="86"/>
                <w:sz w:val="15"/>
              </w:rPr>
              <w:t>u</w:t>
            </w:r>
            <w:r>
              <w:rPr>
                <w:b/>
                <w:spacing w:val="4"/>
                <w:w w:val="86"/>
                <w:sz w:val="15"/>
              </w:rPr>
              <w:t>m</w:t>
            </w:r>
            <w:r>
              <w:rPr>
                <w:b/>
                <w:w w:val="86"/>
                <w:sz w:val="15"/>
              </w:rPr>
              <w:t>o</w:t>
            </w:r>
            <w:r>
              <w:rPr>
                <w:b/>
                <w:spacing w:val="-1"/>
                <w:sz w:val="15"/>
              </w:rPr>
              <w:t> </w:t>
            </w:r>
            <w:r>
              <w:rPr>
                <w:b/>
                <w:w w:val="86"/>
                <w:sz w:val="15"/>
              </w:rPr>
              <w:t>d</w:t>
            </w:r>
            <w:r>
              <w:rPr>
                <w:b/>
                <w:w w:val="86"/>
                <w:sz w:val="15"/>
              </w:rPr>
              <w:t>e</w:t>
            </w:r>
          </w:p>
        </w:tc>
        <w:tc>
          <w:tcPr>
            <w:tcW w:w="905" w:type="dxa"/>
            <w:tcBorders>
              <w:top w:val="dotted" w:sz="4" w:space="0" w:color="000000"/>
              <w:left w:val="dotted" w:sz="5" w:space="0" w:color="000000"/>
              <w:bottom w:val="dotted" w:sz="4" w:space="0" w:color="000000"/>
              <w:right w:val="dotted" w:sz="5" w:space="0" w:color="000000"/>
            </w:tcBorders>
          </w:tcPr>
          <w:p>
            <w:pPr>
              <w:pStyle w:val="TableParagraph"/>
              <w:spacing w:before="6"/>
              <w:jc w:val="left"/>
              <w:rPr>
                <w:rFonts w:ascii="Calibri"/>
                <w:sz w:val="15"/>
              </w:rPr>
            </w:pPr>
          </w:p>
          <w:p>
            <w:pPr>
              <w:pStyle w:val="TableParagraph"/>
              <w:spacing w:before="0"/>
              <w:ind w:left="9"/>
              <w:jc w:val="left"/>
              <w:rPr>
                <w:b/>
                <w:sz w:val="13"/>
              </w:rPr>
            </w:pPr>
            <w:r>
              <w:rPr>
                <w:b/>
                <w:w w:val="120"/>
                <w:sz w:val="13"/>
              </w:rPr>
              <w:t>Enlatados</w:t>
            </w:r>
          </w:p>
        </w:tc>
        <w:tc>
          <w:tcPr>
            <w:tcW w:w="995" w:type="dxa"/>
            <w:tcBorders>
              <w:top w:val="dotted" w:sz="4" w:space="0" w:color="000000"/>
              <w:left w:val="dotted" w:sz="5" w:space="0" w:color="000000"/>
              <w:bottom w:val="dotted" w:sz="4" w:space="0" w:color="000000"/>
              <w:right w:val="dotted" w:sz="10" w:space="0" w:color="A6A6A6"/>
            </w:tcBorders>
          </w:tcPr>
          <w:p>
            <w:pPr>
              <w:pStyle w:val="TableParagraph"/>
              <w:spacing w:before="9"/>
              <w:ind w:left="10"/>
              <w:jc w:val="left"/>
              <w:rPr>
                <w:sz w:val="13"/>
              </w:rPr>
            </w:pPr>
            <w:r>
              <w:rPr>
                <w:w w:val="120"/>
                <w:sz w:val="13"/>
              </w:rPr>
              <w:t>Si</w:t>
            </w:r>
          </w:p>
          <w:p>
            <w:pPr>
              <w:pStyle w:val="TableParagraph"/>
              <w:spacing w:before="34"/>
              <w:ind w:right="1"/>
              <w:jc w:val="right"/>
              <w:rPr>
                <w:b/>
                <w:sz w:val="13"/>
              </w:rPr>
            </w:pPr>
            <w:r>
              <w:rPr>
                <w:b/>
                <w:w w:val="120"/>
                <w:sz w:val="13"/>
              </w:rPr>
              <w:t>p</w:t>
            </w:r>
          </w:p>
          <w:p>
            <w:pPr>
              <w:pStyle w:val="TableParagraph"/>
              <w:spacing w:before="34"/>
              <w:ind w:left="10"/>
              <w:jc w:val="left"/>
              <w:rPr>
                <w:sz w:val="13"/>
              </w:rPr>
            </w:pPr>
            <w:r>
              <w:rPr>
                <w:w w:val="120"/>
                <w:sz w:val="13"/>
              </w:rPr>
              <w:t>No</w:t>
            </w:r>
          </w:p>
        </w:tc>
        <w:tc>
          <w:tcPr>
            <w:tcW w:w="6425" w:type="dxa"/>
            <w:tcBorders>
              <w:top w:val="dotted" w:sz="4" w:space="0" w:color="000000"/>
              <w:left w:val="dotted" w:sz="10" w:space="0" w:color="A6A6A6"/>
              <w:bottom w:val="dotted" w:sz="4" w:space="0" w:color="000000"/>
              <w:right w:val="nil"/>
            </w:tcBorders>
          </w:tcPr>
          <w:p>
            <w:pPr>
              <w:pStyle w:val="TableParagraph"/>
              <w:tabs>
                <w:tab w:pos="772" w:val="left" w:leader="none"/>
                <w:tab w:pos="1540" w:val="left" w:leader="none"/>
                <w:tab w:pos="2446" w:val="left" w:leader="none"/>
                <w:tab w:pos="3171" w:val="left" w:leader="none"/>
                <w:tab w:pos="3896" w:val="left" w:leader="none"/>
                <w:tab w:pos="4705" w:val="left" w:leader="none"/>
                <w:tab w:pos="5527" w:val="left" w:leader="none"/>
              </w:tabs>
              <w:spacing w:before="8"/>
              <w:ind w:right="9"/>
              <w:rPr>
                <w:sz w:val="13"/>
              </w:rPr>
            </w:pPr>
            <w:r>
              <w:rPr>
                <w:w w:val="120"/>
                <w:sz w:val="13"/>
              </w:rPr>
              <w:t>0.0</w:t>
            </w:r>
            <w:r>
              <w:rPr>
                <w:rFonts w:ascii="Calibri" w:hAnsi="Calibri"/>
                <w:w w:val="120"/>
                <w:sz w:val="13"/>
              </w:rPr>
              <w:t>±</w:t>
            </w:r>
            <w:r>
              <w:rPr>
                <w:w w:val="120"/>
                <w:sz w:val="13"/>
              </w:rPr>
              <w:t>0.0</w:t>
              <w:tab/>
              <w:t>0.3</w:t>
            </w:r>
            <w:r>
              <w:rPr>
                <w:rFonts w:ascii="Calibri" w:hAnsi="Calibri"/>
                <w:w w:val="120"/>
                <w:sz w:val="13"/>
              </w:rPr>
              <w:t>±</w:t>
            </w:r>
            <w:r>
              <w:rPr>
                <w:w w:val="120"/>
                <w:sz w:val="13"/>
              </w:rPr>
              <w:t>0.5</w:t>
              <w:tab/>
              <w:t>11.0</w:t>
            </w:r>
            <w:r>
              <w:rPr>
                <w:rFonts w:ascii="Calibri" w:hAnsi="Calibri"/>
                <w:w w:val="120"/>
                <w:sz w:val="13"/>
              </w:rPr>
              <w:t>±</w:t>
            </w:r>
            <w:r>
              <w:rPr>
                <w:w w:val="120"/>
                <w:sz w:val="13"/>
              </w:rPr>
              <w:t>10.8</w:t>
              <w:tab/>
              <w:t>6.6</w:t>
            </w:r>
            <w:r>
              <w:rPr>
                <w:rFonts w:ascii="Calibri" w:hAnsi="Calibri"/>
                <w:w w:val="120"/>
                <w:sz w:val="13"/>
              </w:rPr>
              <w:t>±</w:t>
            </w:r>
            <w:r>
              <w:rPr>
                <w:w w:val="120"/>
                <w:sz w:val="13"/>
              </w:rPr>
              <w:t>6.1</w:t>
              <w:tab/>
              <w:t>5.0</w:t>
            </w:r>
            <w:r>
              <w:rPr>
                <w:rFonts w:ascii="Calibri" w:hAnsi="Calibri"/>
                <w:w w:val="120"/>
                <w:sz w:val="13"/>
              </w:rPr>
              <w:t>±</w:t>
            </w:r>
            <w:r>
              <w:rPr>
                <w:w w:val="120"/>
                <w:sz w:val="13"/>
              </w:rPr>
              <w:t>8.6</w:t>
              <w:tab/>
              <w:t>2.3</w:t>
            </w:r>
            <w:r>
              <w:rPr>
                <w:rFonts w:ascii="Calibri" w:hAnsi="Calibri"/>
                <w:w w:val="120"/>
                <w:sz w:val="13"/>
              </w:rPr>
              <w:t>±</w:t>
            </w:r>
            <w:r>
              <w:rPr>
                <w:w w:val="120"/>
                <w:sz w:val="13"/>
              </w:rPr>
              <w:t>2.3</w:t>
              <w:tab/>
              <w:t>5.3</w:t>
            </w:r>
            <w:r>
              <w:rPr>
                <w:rFonts w:ascii="Calibri" w:hAnsi="Calibri"/>
                <w:w w:val="120"/>
                <w:sz w:val="13"/>
              </w:rPr>
              <w:t>±</w:t>
            </w:r>
            <w:r>
              <w:rPr>
                <w:w w:val="120"/>
                <w:sz w:val="13"/>
              </w:rPr>
              <w:t>4.9</w:t>
              <w:tab/>
              <w:t>30.6</w:t>
            </w:r>
            <w:r>
              <w:rPr>
                <w:rFonts w:ascii="Calibri" w:hAnsi="Calibri"/>
                <w:w w:val="120"/>
                <w:sz w:val="13"/>
              </w:rPr>
              <w:t>±</w:t>
            </w:r>
            <w:r>
              <w:rPr>
                <w:w w:val="120"/>
                <w:sz w:val="13"/>
              </w:rPr>
              <w:t>31.1</w:t>
            </w:r>
          </w:p>
          <w:p>
            <w:pPr>
              <w:pStyle w:val="TableParagraph"/>
              <w:tabs>
                <w:tab w:pos="772" w:val="left" w:leader="none"/>
                <w:tab w:pos="1624" w:val="left" w:leader="none"/>
                <w:tab w:pos="2446" w:val="left" w:leader="none"/>
                <w:tab w:pos="3171" w:val="left" w:leader="none"/>
                <w:tab w:pos="3896" w:val="left" w:leader="none"/>
                <w:tab w:pos="4705" w:val="left" w:leader="none"/>
                <w:tab w:pos="5612" w:val="left" w:leader="none"/>
              </w:tabs>
              <w:spacing w:before="27"/>
              <w:ind w:right="94"/>
              <w:rPr>
                <w:sz w:val="13"/>
              </w:rPr>
            </w:pPr>
            <w:r>
              <w:rPr>
                <w:w w:val="120"/>
                <w:sz w:val="13"/>
              </w:rPr>
              <w:t>0.19</w:t>
              <w:tab/>
              <w:t>0.10</w:t>
              <w:tab/>
              <w:t>0.31</w:t>
              <w:tab/>
              <w:t>0.60</w:t>
              <w:tab/>
              <w:t>0.38</w:t>
              <w:tab/>
              <w:t>0.66</w:t>
              <w:tab/>
              <w:t>0.19</w:t>
              <w:tab/>
              <w:t>0.18</w:t>
            </w:r>
          </w:p>
          <w:p>
            <w:pPr>
              <w:pStyle w:val="TableParagraph"/>
              <w:tabs>
                <w:tab w:pos="772" w:val="left" w:leader="none"/>
                <w:tab w:pos="1588" w:val="left" w:leader="none"/>
                <w:tab w:pos="2446" w:val="left" w:leader="none"/>
                <w:tab w:pos="3171" w:val="left" w:leader="none"/>
                <w:tab w:pos="3896" w:val="left" w:leader="none"/>
                <w:tab w:pos="4621" w:val="left" w:leader="none"/>
                <w:tab w:pos="5527" w:val="left" w:leader="none"/>
              </w:tabs>
              <w:spacing w:before="32"/>
              <w:ind w:right="9"/>
              <w:rPr>
                <w:sz w:val="13"/>
              </w:rPr>
            </w:pPr>
            <w:r>
              <w:rPr>
                <w:w w:val="120"/>
                <w:sz w:val="13"/>
              </w:rPr>
              <w:t>0.5</w:t>
            </w:r>
            <w:r>
              <w:rPr>
                <w:rFonts w:ascii="Calibri" w:hAnsi="Calibri"/>
                <w:w w:val="120"/>
                <w:sz w:val="13"/>
              </w:rPr>
              <w:t>±</w:t>
            </w:r>
            <w:r>
              <w:rPr>
                <w:w w:val="120"/>
                <w:sz w:val="13"/>
              </w:rPr>
              <w:t>0.7</w:t>
              <w:tab/>
              <w:t>1.8</w:t>
            </w:r>
            <w:r>
              <w:rPr>
                <w:rFonts w:ascii="Calibri" w:hAnsi="Calibri"/>
                <w:w w:val="120"/>
                <w:sz w:val="13"/>
              </w:rPr>
              <w:t>±</w:t>
            </w:r>
            <w:r>
              <w:rPr>
                <w:w w:val="120"/>
                <w:sz w:val="13"/>
              </w:rPr>
              <w:t>1.8</w:t>
              <w:tab/>
              <w:t>16.8</w:t>
            </w:r>
            <w:r>
              <w:rPr>
                <w:rFonts w:ascii="Calibri" w:hAnsi="Calibri"/>
                <w:w w:val="120"/>
                <w:sz w:val="13"/>
              </w:rPr>
              <w:t>±</w:t>
            </w:r>
            <w:r>
              <w:rPr>
                <w:w w:val="120"/>
                <w:sz w:val="13"/>
              </w:rPr>
              <w:t>9.3</w:t>
              <w:tab/>
              <w:t>9.3</w:t>
            </w:r>
            <w:r>
              <w:rPr>
                <w:rFonts w:ascii="Calibri" w:hAnsi="Calibri"/>
                <w:w w:val="120"/>
                <w:sz w:val="13"/>
              </w:rPr>
              <w:t>±</w:t>
            </w:r>
            <w:r>
              <w:rPr>
                <w:w w:val="120"/>
                <w:sz w:val="13"/>
              </w:rPr>
              <w:t>6.2</w:t>
              <w:tab/>
              <w:t>5.2</w:t>
            </w:r>
            <w:r>
              <w:rPr>
                <w:rFonts w:ascii="Calibri" w:hAnsi="Calibri"/>
                <w:w w:val="120"/>
                <w:sz w:val="13"/>
              </w:rPr>
              <w:t>±</w:t>
            </w:r>
            <w:r>
              <w:rPr>
                <w:w w:val="120"/>
                <w:sz w:val="13"/>
              </w:rPr>
              <w:t>6.2</w:t>
              <w:tab/>
              <w:t>2.2</w:t>
            </w:r>
            <w:r>
              <w:rPr>
                <w:rFonts w:ascii="Calibri" w:hAnsi="Calibri"/>
                <w:w w:val="120"/>
                <w:sz w:val="13"/>
              </w:rPr>
              <w:t>±</w:t>
            </w:r>
            <w:r>
              <w:rPr>
                <w:w w:val="120"/>
                <w:sz w:val="13"/>
              </w:rPr>
              <w:t>2.7</w:t>
              <w:tab/>
              <w:t>12.8</w:t>
            </w:r>
            <w:r>
              <w:rPr>
                <w:rFonts w:ascii="Calibri" w:hAnsi="Calibri"/>
                <w:w w:val="120"/>
                <w:sz w:val="13"/>
              </w:rPr>
              <w:t>±</w:t>
            </w:r>
            <w:r>
              <w:rPr>
                <w:w w:val="120"/>
                <w:sz w:val="13"/>
              </w:rPr>
              <w:t>12.0</w:t>
              <w:tab/>
              <w:t>48.4</w:t>
            </w:r>
            <w:r>
              <w:rPr>
                <w:rFonts w:ascii="Calibri" w:hAnsi="Calibri"/>
                <w:w w:val="120"/>
                <w:sz w:val="13"/>
              </w:rPr>
              <w:t>±</w:t>
            </w:r>
            <w:r>
              <w:rPr>
                <w:w w:val="120"/>
                <w:sz w:val="13"/>
              </w:rPr>
              <w:t>20.4</w:t>
            </w:r>
          </w:p>
        </w:tc>
      </w:tr>
      <w:tr>
        <w:trPr>
          <w:trHeight w:val="550" w:hRule="exact"/>
        </w:trPr>
        <w:tc>
          <w:tcPr>
            <w:tcW w:w="350" w:type="dxa"/>
            <w:vMerge/>
            <w:tcBorders>
              <w:left w:val="nil"/>
              <w:right w:val="dotted" w:sz="5" w:space="0" w:color="000000"/>
            </w:tcBorders>
            <w:textDirection w:val="btLr"/>
          </w:tcPr>
          <w:p>
            <w:pPr/>
          </w:p>
        </w:tc>
        <w:tc>
          <w:tcPr>
            <w:tcW w:w="905" w:type="dxa"/>
            <w:tcBorders>
              <w:top w:val="dotted" w:sz="4" w:space="0" w:color="000000"/>
              <w:left w:val="dotted" w:sz="5" w:space="0" w:color="000000"/>
              <w:bottom w:val="dotted" w:sz="4" w:space="0" w:color="000000"/>
              <w:right w:val="dotted" w:sz="5" w:space="0" w:color="000000"/>
            </w:tcBorders>
          </w:tcPr>
          <w:p>
            <w:pPr>
              <w:pStyle w:val="TableParagraph"/>
              <w:spacing w:before="9"/>
              <w:jc w:val="left"/>
              <w:rPr>
                <w:rFonts w:ascii="Calibri"/>
                <w:sz w:val="15"/>
              </w:rPr>
            </w:pPr>
          </w:p>
          <w:p>
            <w:pPr>
              <w:pStyle w:val="TableParagraph"/>
              <w:spacing w:before="0"/>
              <w:ind w:left="9"/>
              <w:jc w:val="left"/>
              <w:rPr>
                <w:b/>
                <w:sz w:val="13"/>
              </w:rPr>
            </w:pPr>
            <w:r>
              <w:rPr>
                <w:b/>
                <w:w w:val="120"/>
                <w:sz w:val="13"/>
              </w:rPr>
              <w:t>Embutidos</w:t>
            </w:r>
          </w:p>
        </w:tc>
        <w:tc>
          <w:tcPr>
            <w:tcW w:w="995" w:type="dxa"/>
            <w:tcBorders>
              <w:top w:val="dotted" w:sz="4" w:space="0" w:color="000000"/>
              <w:left w:val="dotted" w:sz="5" w:space="0" w:color="000000"/>
              <w:bottom w:val="dotted" w:sz="4" w:space="0" w:color="000000"/>
              <w:right w:val="dotted" w:sz="10" w:space="0" w:color="A6A6A6"/>
            </w:tcBorders>
          </w:tcPr>
          <w:p>
            <w:pPr>
              <w:pStyle w:val="TableParagraph"/>
              <w:spacing w:before="12"/>
              <w:ind w:left="10"/>
              <w:jc w:val="left"/>
              <w:rPr>
                <w:sz w:val="13"/>
              </w:rPr>
            </w:pPr>
            <w:r>
              <w:rPr>
                <w:w w:val="120"/>
                <w:sz w:val="13"/>
              </w:rPr>
              <w:t>Si</w:t>
            </w:r>
          </w:p>
          <w:p>
            <w:pPr>
              <w:pStyle w:val="TableParagraph"/>
              <w:spacing w:before="34"/>
              <w:ind w:right="1"/>
              <w:jc w:val="right"/>
              <w:rPr>
                <w:b/>
                <w:sz w:val="13"/>
              </w:rPr>
            </w:pPr>
            <w:r>
              <w:rPr>
                <w:b/>
                <w:w w:val="120"/>
                <w:sz w:val="13"/>
              </w:rPr>
              <w:t>p</w:t>
            </w:r>
          </w:p>
          <w:p>
            <w:pPr>
              <w:pStyle w:val="TableParagraph"/>
              <w:spacing w:before="34"/>
              <w:ind w:left="10"/>
              <w:jc w:val="left"/>
              <w:rPr>
                <w:sz w:val="13"/>
              </w:rPr>
            </w:pPr>
            <w:r>
              <w:rPr>
                <w:w w:val="120"/>
                <w:sz w:val="13"/>
              </w:rPr>
              <w:t>No</w:t>
            </w:r>
          </w:p>
        </w:tc>
        <w:tc>
          <w:tcPr>
            <w:tcW w:w="6425" w:type="dxa"/>
            <w:tcBorders>
              <w:top w:val="dotted" w:sz="4" w:space="0" w:color="000000"/>
              <w:left w:val="dotted" w:sz="10" w:space="0" w:color="A6A6A6"/>
              <w:bottom w:val="dotted" w:sz="4" w:space="0" w:color="000000"/>
              <w:right w:val="nil"/>
            </w:tcBorders>
          </w:tcPr>
          <w:p>
            <w:pPr>
              <w:pStyle w:val="TableParagraph"/>
              <w:tabs>
                <w:tab w:pos="772" w:val="left" w:leader="none"/>
                <w:tab w:pos="1540" w:val="left" w:leader="none"/>
                <w:tab w:pos="2446" w:val="left" w:leader="none"/>
                <w:tab w:pos="3171" w:val="left" w:leader="none"/>
                <w:tab w:pos="3896" w:val="left" w:leader="none"/>
                <w:tab w:pos="4621" w:val="left" w:leader="none"/>
                <w:tab w:pos="5527" w:val="left" w:leader="none"/>
              </w:tabs>
              <w:spacing w:before="10"/>
              <w:ind w:right="9"/>
              <w:rPr>
                <w:sz w:val="13"/>
              </w:rPr>
            </w:pPr>
            <w:r>
              <w:rPr>
                <w:w w:val="120"/>
                <w:sz w:val="13"/>
              </w:rPr>
              <w:t>0.7</w:t>
            </w:r>
            <w:r>
              <w:rPr>
                <w:rFonts w:ascii="Calibri" w:hAnsi="Calibri"/>
                <w:w w:val="120"/>
                <w:sz w:val="13"/>
              </w:rPr>
              <w:t>±</w:t>
            </w:r>
            <w:r>
              <w:rPr>
                <w:w w:val="120"/>
                <w:sz w:val="13"/>
              </w:rPr>
              <w:t>1.0</w:t>
              <w:tab/>
              <w:t>1.6</w:t>
            </w:r>
            <w:r>
              <w:rPr>
                <w:rFonts w:ascii="Calibri" w:hAnsi="Calibri"/>
                <w:w w:val="120"/>
                <w:sz w:val="13"/>
              </w:rPr>
              <w:t>±</w:t>
            </w:r>
            <w:r>
              <w:rPr>
                <w:w w:val="120"/>
                <w:sz w:val="13"/>
              </w:rPr>
              <w:t>1.8</w:t>
              <w:tab/>
              <w:t>16.4</w:t>
            </w:r>
            <w:r>
              <w:rPr>
                <w:rFonts w:ascii="Calibri" w:hAnsi="Calibri"/>
                <w:w w:val="120"/>
                <w:sz w:val="13"/>
              </w:rPr>
              <w:t>±</w:t>
            </w:r>
            <w:r>
              <w:rPr>
                <w:w w:val="120"/>
                <w:sz w:val="13"/>
              </w:rPr>
              <w:t>10.1</w:t>
              <w:tab/>
              <w:t>8.5</w:t>
            </w:r>
            <w:r>
              <w:rPr>
                <w:rFonts w:ascii="Calibri" w:hAnsi="Calibri"/>
                <w:w w:val="120"/>
                <w:sz w:val="13"/>
              </w:rPr>
              <w:t>±</w:t>
            </w:r>
            <w:r>
              <w:rPr>
                <w:w w:val="120"/>
                <w:sz w:val="13"/>
              </w:rPr>
              <w:t>5.9</w:t>
              <w:tab/>
              <w:t>3.5</w:t>
            </w:r>
            <w:r>
              <w:rPr>
                <w:rFonts w:ascii="Calibri" w:hAnsi="Calibri"/>
                <w:w w:val="120"/>
                <w:sz w:val="13"/>
              </w:rPr>
              <w:t>±</w:t>
            </w:r>
            <w:r>
              <w:rPr>
                <w:w w:val="120"/>
                <w:sz w:val="13"/>
              </w:rPr>
              <w:t>3.9</w:t>
              <w:tab/>
              <w:t>2.8</w:t>
            </w:r>
            <w:r>
              <w:rPr>
                <w:rFonts w:ascii="Calibri" w:hAnsi="Calibri"/>
                <w:w w:val="120"/>
                <w:sz w:val="13"/>
              </w:rPr>
              <w:t>±</w:t>
            </w:r>
            <w:r>
              <w:rPr>
                <w:w w:val="120"/>
                <w:sz w:val="13"/>
              </w:rPr>
              <w:t>3.1</w:t>
              <w:tab/>
              <w:t>12.3</w:t>
            </w:r>
            <w:r>
              <w:rPr>
                <w:rFonts w:ascii="Calibri" w:hAnsi="Calibri"/>
                <w:w w:val="120"/>
                <w:sz w:val="13"/>
              </w:rPr>
              <w:t>±</w:t>
            </w:r>
            <w:r>
              <w:rPr>
                <w:w w:val="120"/>
                <w:sz w:val="13"/>
              </w:rPr>
              <w:t>15.4</w:t>
              <w:tab/>
              <w:t>45.6</w:t>
            </w:r>
            <w:r>
              <w:rPr>
                <w:rFonts w:ascii="Calibri" w:hAnsi="Calibri"/>
                <w:w w:val="120"/>
                <w:sz w:val="13"/>
              </w:rPr>
              <w:t>±</w:t>
            </w:r>
            <w:r>
              <w:rPr>
                <w:w w:val="120"/>
                <w:sz w:val="13"/>
              </w:rPr>
              <w:t>20.3</w:t>
            </w:r>
          </w:p>
          <w:p>
            <w:pPr>
              <w:pStyle w:val="TableParagraph"/>
              <w:tabs>
                <w:tab w:pos="772" w:val="left" w:leader="none"/>
                <w:tab w:pos="1624" w:val="left" w:leader="none"/>
                <w:tab w:pos="2446" w:val="left" w:leader="none"/>
                <w:tab w:pos="3171" w:val="left" w:leader="none"/>
                <w:tab w:pos="3896" w:val="left" w:leader="none"/>
                <w:tab w:pos="4705" w:val="left" w:leader="none"/>
                <w:tab w:pos="5612" w:val="left" w:leader="none"/>
              </w:tabs>
              <w:spacing w:before="27"/>
              <w:ind w:right="94"/>
              <w:rPr>
                <w:sz w:val="13"/>
              </w:rPr>
            </w:pPr>
            <w:r>
              <w:rPr>
                <w:w w:val="120"/>
                <w:sz w:val="13"/>
              </w:rPr>
              <w:t>0.28</w:t>
              <w:tab/>
              <w:t>0.64</w:t>
              <w:tab/>
              <w:t>0.88</w:t>
              <w:tab/>
              <w:t>0.58</w:t>
              <w:tab/>
              <w:t>0.35</w:t>
              <w:tab/>
              <w:t>0.22</w:t>
              <w:tab/>
              <w:t>0.20</w:t>
              <w:tab/>
              <w:t>0.70</w:t>
            </w:r>
          </w:p>
          <w:p>
            <w:pPr>
              <w:pStyle w:val="TableParagraph"/>
              <w:tabs>
                <w:tab w:pos="772" w:val="left" w:leader="none"/>
                <w:tab w:pos="1588" w:val="left" w:leader="none"/>
                <w:tab w:pos="2446" w:val="left" w:leader="none"/>
                <w:tab w:pos="3171" w:val="left" w:leader="none"/>
                <w:tab w:pos="3896" w:val="left" w:leader="none"/>
                <w:tab w:pos="4621" w:val="left" w:leader="none"/>
                <w:tab w:pos="5527" w:val="left" w:leader="none"/>
              </w:tabs>
              <w:spacing w:before="33"/>
              <w:ind w:right="9"/>
              <w:rPr>
                <w:sz w:val="13"/>
              </w:rPr>
            </w:pPr>
            <w:r>
              <w:rPr>
                <w:w w:val="120"/>
                <w:sz w:val="13"/>
              </w:rPr>
              <w:t>0.3</w:t>
            </w:r>
            <w:r>
              <w:rPr>
                <w:rFonts w:ascii="Calibri" w:hAnsi="Calibri"/>
                <w:w w:val="120"/>
                <w:sz w:val="13"/>
              </w:rPr>
              <w:t>±</w:t>
            </w:r>
            <w:r>
              <w:rPr>
                <w:w w:val="120"/>
                <w:sz w:val="13"/>
              </w:rPr>
              <w:t>0.5</w:t>
              <w:tab/>
              <w:t>1.8</w:t>
            </w:r>
            <w:r>
              <w:rPr>
                <w:rFonts w:ascii="Calibri" w:hAnsi="Calibri"/>
                <w:w w:val="120"/>
                <w:sz w:val="13"/>
              </w:rPr>
              <w:t>±</w:t>
            </w:r>
            <w:r>
              <w:rPr>
                <w:w w:val="120"/>
                <w:sz w:val="13"/>
              </w:rPr>
              <w:t>1.8</w:t>
              <w:tab/>
              <w:t>16.6</w:t>
            </w:r>
            <w:r>
              <w:rPr>
                <w:rFonts w:ascii="Calibri" w:hAnsi="Calibri"/>
                <w:w w:val="120"/>
                <w:sz w:val="13"/>
              </w:rPr>
              <w:t>±</w:t>
            </w:r>
            <w:r>
              <w:rPr>
                <w:w w:val="120"/>
                <w:sz w:val="13"/>
              </w:rPr>
              <w:t>9.1</w:t>
              <w:tab/>
              <w:t>9.5</w:t>
            </w:r>
            <w:r>
              <w:rPr>
                <w:rFonts w:ascii="Calibri" w:hAnsi="Calibri"/>
                <w:w w:val="120"/>
                <w:sz w:val="13"/>
              </w:rPr>
              <w:t>±</w:t>
            </w:r>
            <w:r>
              <w:rPr>
                <w:w w:val="120"/>
                <w:sz w:val="13"/>
              </w:rPr>
              <w:t>6.3</w:t>
              <w:tab/>
              <w:t>5.9</w:t>
            </w:r>
            <w:r>
              <w:rPr>
                <w:rFonts w:ascii="Calibri" w:hAnsi="Calibri"/>
                <w:w w:val="120"/>
                <w:sz w:val="13"/>
              </w:rPr>
              <w:t>±</w:t>
            </w:r>
            <w:r>
              <w:rPr>
                <w:w w:val="120"/>
                <w:sz w:val="13"/>
              </w:rPr>
              <w:t>6.9</w:t>
              <w:tab/>
              <w:t>1.9</w:t>
            </w:r>
            <w:r>
              <w:rPr>
                <w:rFonts w:ascii="Calibri" w:hAnsi="Calibri"/>
                <w:w w:val="120"/>
                <w:sz w:val="13"/>
              </w:rPr>
              <w:t>±</w:t>
            </w:r>
            <w:r>
              <w:rPr>
                <w:w w:val="120"/>
                <w:sz w:val="13"/>
              </w:rPr>
              <w:t>2.4</w:t>
              <w:tab/>
              <w:t>12.5</w:t>
            </w:r>
            <w:r>
              <w:rPr>
                <w:rFonts w:ascii="Calibri" w:hAnsi="Calibri"/>
                <w:w w:val="120"/>
                <w:sz w:val="13"/>
              </w:rPr>
              <w:t>±</w:t>
            </w:r>
            <w:r>
              <w:rPr>
                <w:w w:val="120"/>
                <w:sz w:val="13"/>
              </w:rPr>
              <w:t>10.2</w:t>
              <w:tab/>
              <w:t>48.4</w:t>
            </w:r>
            <w:r>
              <w:rPr>
                <w:rFonts w:ascii="Calibri" w:hAnsi="Calibri"/>
                <w:w w:val="120"/>
                <w:sz w:val="13"/>
              </w:rPr>
              <w:t>±</w:t>
            </w:r>
            <w:r>
              <w:rPr>
                <w:w w:val="120"/>
                <w:sz w:val="13"/>
              </w:rPr>
              <w:t>21.4</w:t>
            </w:r>
          </w:p>
        </w:tc>
      </w:tr>
      <w:tr>
        <w:trPr>
          <w:trHeight w:val="550" w:hRule="exact"/>
        </w:trPr>
        <w:tc>
          <w:tcPr>
            <w:tcW w:w="350" w:type="dxa"/>
            <w:vMerge/>
            <w:tcBorders>
              <w:left w:val="nil"/>
              <w:right w:val="dotted" w:sz="5" w:space="0" w:color="000000"/>
            </w:tcBorders>
            <w:textDirection w:val="btLr"/>
          </w:tcPr>
          <w:p>
            <w:pPr/>
          </w:p>
        </w:tc>
        <w:tc>
          <w:tcPr>
            <w:tcW w:w="905" w:type="dxa"/>
            <w:tcBorders>
              <w:top w:val="dotted" w:sz="4" w:space="0" w:color="000000"/>
              <w:left w:val="dotted" w:sz="5" w:space="0" w:color="000000"/>
              <w:bottom w:val="dotted" w:sz="4" w:space="0" w:color="000000"/>
              <w:right w:val="dotted" w:sz="5" w:space="0" w:color="000000"/>
            </w:tcBorders>
          </w:tcPr>
          <w:p>
            <w:pPr>
              <w:pStyle w:val="TableParagraph"/>
              <w:spacing w:line="290" w:lineRule="auto" w:before="14"/>
              <w:ind w:left="214" w:right="388" w:hanging="206"/>
              <w:jc w:val="left"/>
              <w:rPr>
                <w:b/>
                <w:sz w:val="13"/>
              </w:rPr>
            </w:pPr>
            <w:r>
              <w:rPr>
                <w:b/>
                <w:w w:val="120"/>
                <w:sz w:val="13"/>
              </w:rPr>
              <w:t>Frutas y</w:t>
            </w:r>
          </w:p>
          <w:p>
            <w:pPr>
              <w:pStyle w:val="TableParagraph"/>
              <w:spacing w:before="10"/>
              <w:ind w:left="9"/>
              <w:jc w:val="left"/>
              <w:rPr>
                <w:b/>
                <w:sz w:val="13"/>
              </w:rPr>
            </w:pPr>
            <w:r>
              <w:rPr>
                <w:b/>
                <w:w w:val="120"/>
                <w:sz w:val="13"/>
              </w:rPr>
              <w:t>verduras</w:t>
            </w:r>
          </w:p>
        </w:tc>
        <w:tc>
          <w:tcPr>
            <w:tcW w:w="995" w:type="dxa"/>
            <w:tcBorders>
              <w:top w:val="dotted" w:sz="4" w:space="0" w:color="000000"/>
              <w:left w:val="dotted" w:sz="5" w:space="0" w:color="000000"/>
              <w:bottom w:val="dotted" w:sz="4" w:space="0" w:color="000000"/>
              <w:right w:val="dotted" w:sz="10" w:space="0" w:color="A6A6A6"/>
            </w:tcBorders>
          </w:tcPr>
          <w:p>
            <w:pPr>
              <w:pStyle w:val="TableParagraph"/>
              <w:spacing w:before="14"/>
              <w:ind w:left="10"/>
              <w:jc w:val="left"/>
              <w:rPr>
                <w:sz w:val="13"/>
              </w:rPr>
            </w:pPr>
            <w:r>
              <w:rPr>
                <w:w w:val="120"/>
                <w:sz w:val="13"/>
              </w:rPr>
              <w:t>Si</w:t>
            </w:r>
          </w:p>
          <w:p>
            <w:pPr>
              <w:pStyle w:val="TableParagraph"/>
              <w:spacing w:before="35"/>
              <w:ind w:right="1"/>
              <w:jc w:val="right"/>
              <w:rPr>
                <w:b/>
                <w:sz w:val="13"/>
              </w:rPr>
            </w:pPr>
            <w:r>
              <w:rPr>
                <w:b/>
                <w:w w:val="120"/>
                <w:sz w:val="13"/>
              </w:rPr>
              <w:t>p</w:t>
            </w:r>
          </w:p>
          <w:p>
            <w:pPr>
              <w:pStyle w:val="TableParagraph"/>
              <w:spacing w:before="34"/>
              <w:ind w:left="10"/>
              <w:jc w:val="left"/>
              <w:rPr>
                <w:sz w:val="13"/>
              </w:rPr>
            </w:pPr>
            <w:r>
              <w:rPr>
                <w:w w:val="120"/>
                <w:sz w:val="13"/>
              </w:rPr>
              <w:t>No</w:t>
            </w:r>
          </w:p>
        </w:tc>
        <w:tc>
          <w:tcPr>
            <w:tcW w:w="6425" w:type="dxa"/>
            <w:tcBorders>
              <w:top w:val="dotted" w:sz="4" w:space="0" w:color="000000"/>
              <w:left w:val="dotted" w:sz="10" w:space="0" w:color="A6A6A6"/>
              <w:bottom w:val="dotted" w:sz="4" w:space="0" w:color="000000"/>
              <w:right w:val="nil"/>
            </w:tcBorders>
          </w:tcPr>
          <w:p>
            <w:pPr>
              <w:pStyle w:val="TableParagraph"/>
              <w:tabs>
                <w:tab w:pos="864" w:val="left" w:leader="none"/>
                <w:tab w:pos="1679" w:val="left" w:leader="none"/>
                <w:tab w:pos="2537" w:val="left" w:leader="none"/>
                <w:tab w:pos="3262" w:val="left" w:leader="none"/>
                <w:tab w:pos="3987" w:val="left" w:leader="none"/>
                <w:tab w:pos="4712" w:val="left" w:leader="none"/>
                <w:tab w:pos="5618" w:val="left" w:leader="none"/>
              </w:tabs>
              <w:spacing w:before="12"/>
              <w:ind w:left="91"/>
              <w:jc w:val="left"/>
              <w:rPr>
                <w:sz w:val="13"/>
              </w:rPr>
            </w:pPr>
            <w:r>
              <w:rPr>
                <w:w w:val="120"/>
                <w:sz w:val="13"/>
              </w:rPr>
              <w:t>0.5</w:t>
            </w:r>
            <w:r>
              <w:rPr>
                <w:rFonts w:ascii="Calibri" w:hAnsi="Calibri"/>
                <w:w w:val="120"/>
                <w:sz w:val="13"/>
              </w:rPr>
              <w:t>±</w:t>
            </w:r>
            <w:r>
              <w:rPr>
                <w:w w:val="120"/>
                <w:sz w:val="13"/>
              </w:rPr>
              <w:t>0.7</w:t>
              <w:tab/>
              <w:t>1.7</w:t>
            </w:r>
            <w:r>
              <w:rPr>
                <w:rFonts w:ascii="Calibri" w:hAnsi="Calibri"/>
                <w:w w:val="120"/>
                <w:sz w:val="13"/>
              </w:rPr>
              <w:t>±</w:t>
            </w:r>
            <w:r>
              <w:rPr>
                <w:w w:val="120"/>
                <w:sz w:val="13"/>
              </w:rPr>
              <w:t>1.7</w:t>
              <w:tab/>
              <w:t>17.0</w:t>
            </w:r>
            <w:r>
              <w:rPr>
                <w:rFonts w:ascii="Calibri" w:hAnsi="Calibri"/>
                <w:w w:val="120"/>
                <w:sz w:val="13"/>
              </w:rPr>
              <w:t>±</w:t>
            </w:r>
            <w:r>
              <w:rPr>
                <w:w w:val="120"/>
                <w:sz w:val="13"/>
              </w:rPr>
              <w:t>9.3</w:t>
              <w:tab/>
              <w:t>9.6</w:t>
            </w:r>
            <w:r>
              <w:rPr>
                <w:rFonts w:ascii="Calibri" w:hAnsi="Calibri"/>
                <w:w w:val="120"/>
                <w:sz w:val="13"/>
              </w:rPr>
              <w:t>±</w:t>
            </w:r>
            <w:r>
              <w:rPr>
                <w:w w:val="120"/>
                <w:sz w:val="13"/>
              </w:rPr>
              <w:t>6.1</w:t>
              <w:tab/>
              <w:t>5.4</w:t>
            </w:r>
            <w:r>
              <w:rPr>
                <w:rFonts w:ascii="Calibri" w:hAnsi="Calibri"/>
                <w:w w:val="120"/>
                <w:sz w:val="13"/>
              </w:rPr>
              <w:t>±</w:t>
            </w:r>
            <w:r>
              <w:rPr>
                <w:w w:val="120"/>
                <w:sz w:val="13"/>
              </w:rPr>
              <w:t>6.4</w:t>
              <w:tab/>
              <w:t>2.3</w:t>
            </w:r>
            <w:r>
              <w:rPr>
                <w:rFonts w:ascii="Calibri" w:hAnsi="Calibri"/>
                <w:w w:val="120"/>
                <w:sz w:val="13"/>
              </w:rPr>
              <w:t>±</w:t>
            </w:r>
            <w:r>
              <w:rPr>
                <w:w w:val="120"/>
                <w:sz w:val="13"/>
              </w:rPr>
              <w:t>2.7</w:t>
              <w:tab/>
              <w:t>13.1</w:t>
            </w:r>
            <w:r>
              <w:rPr>
                <w:rFonts w:ascii="Calibri" w:hAnsi="Calibri"/>
                <w:w w:val="120"/>
                <w:sz w:val="13"/>
              </w:rPr>
              <w:t>±</w:t>
            </w:r>
            <w:r>
              <w:rPr>
                <w:w w:val="120"/>
                <w:sz w:val="13"/>
              </w:rPr>
              <w:t>12.1</w:t>
              <w:tab/>
              <w:t>49.3</w:t>
            </w:r>
            <w:r>
              <w:rPr>
                <w:rFonts w:ascii="Calibri" w:hAnsi="Calibri"/>
                <w:w w:val="120"/>
                <w:sz w:val="13"/>
              </w:rPr>
              <w:t>±</w:t>
            </w:r>
            <w:r>
              <w:rPr>
                <w:w w:val="120"/>
                <w:sz w:val="13"/>
              </w:rPr>
              <w:t>20.4</w:t>
            </w:r>
          </w:p>
          <w:p>
            <w:pPr>
              <w:pStyle w:val="TableParagraph"/>
              <w:tabs>
                <w:tab w:pos="972" w:val="left" w:leader="none"/>
                <w:tab w:pos="1824" w:val="left" w:leader="none"/>
                <w:tab w:pos="2425" w:val="left" w:leader="none"/>
                <w:tab w:pos="3371" w:val="left" w:leader="none"/>
                <w:tab w:pos="4905" w:val="left" w:leader="none"/>
                <w:tab w:pos="5502" w:val="left" w:leader="none"/>
                <w:tab w:pos="5811" w:val="left" w:leader="none"/>
                <w:tab w:pos="6407" w:val="left" w:leader="none"/>
              </w:tabs>
              <w:spacing w:before="27"/>
              <w:ind w:left="199"/>
              <w:jc w:val="left"/>
              <w:rPr>
                <w:b/>
                <w:sz w:val="13"/>
              </w:rPr>
            </w:pPr>
            <w:r>
              <w:rPr>
                <w:w w:val="120"/>
                <w:sz w:val="13"/>
              </w:rPr>
              <w:t>0.39</w:t>
              <w:tab/>
              <w:t>0.66</w:t>
              <w:tab/>
              <w:t>0.16</w:t>
              <w:tab/>
            </w:r>
            <w:r>
              <w:rPr>
                <w:b/>
                <w:w w:val="120"/>
                <w:sz w:val="13"/>
                <w:shd w:fill="D9D9D9" w:color="auto" w:val="clear"/>
              </w:rPr>
              <w:t>0.05*</w:t>
            </w:r>
            <w:r>
              <w:rPr>
                <w:b/>
                <w:w w:val="120"/>
                <w:sz w:val="13"/>
              </w:rPr>
              <w:tab/>
            </w:r>
            <w:r>
              <w:rPr>
                <w:w w:val="120"/>
                <w:sz w:val="13"/>
              </w:rPr>
              <w:t>0.43       </w:t>
            </w:r>
            <w:r>
              <w:rPr>
                <w:spacing w:val="34"/>
                <w:w w:val="120"/>
                <w:sz w:val="13"/>
              </w:rPr>
              <w:t> </w:t>
            </w:r>
            <w:r>
              <w:rPr>
                <w:b/>
                <w:w w:val="120"/>
                <w:sz w:val="13"/>
                <w:shd w:fill="D9D9D9" w:color="auto" w:val="clear"/>
              </w:rPr>
              <w:t>0.05*</w:t>
            </w:r>
            <w:r>
              <w:rPr>
                <w:b/>
                <w:w w:val="120"/>
                <w:sz w:val="13"/>
              </w:rPr>
              <w:tab/>
            </w:r>
            <w:r>
              <w:rPr>
                <w:w w:val="120"/>
                <w:sz w:val="13"/>
              </w:rPr>
              <w:t>0.07</w:t>
              <w:tab/>
            </w:r>
            <w:r>
              <w:rPr>
                <w:b/>
                <w:w w:val="120"/>
                <w:sz w:val="13"/>
                <w:shd w:fill="D9D9D9" w:color="auto" w:val="clear"/>
              </w:rPr>
              <w:tab/>
              <w:t>0.05</w:t>
            </w:r>
            <w:r>
              <w:rPr>
                <w:b/>
                <w:sz w:val="13"/>
                <w:shd w:fill="D9D9D9" w:color="auto" w:val="clear"/>
              </w:rPr>
              <w:tab/>
            </w:r>
          </w:p>
          <w:p>
            <w:pPr>
              <w:pStyle w:val="TableParagraph"/>
              <w:tabs>
                <w:tab w:pos="864" w:val="left" w:leader="none"/>
                <w:tab w:pos="1679" w:val="left" w:leader="none"/>
                <w:tab w:pos="2537" w:val="left" w:leader="none"/>
                <w:tab w:pos="3262" w:val="left" w:leader="none"/>
                <w:tab w:pos="3987" w:val="left" w:leader="none"/>
                <w:tab w:pos="4796" w:val="left" w:leader="none"/>
                <w:tab w:pos="5618" w:val="left" w:leader="none"/>
              </w:tabs>
              <w:spacing w:before="32"/>
              <w:ind w:left="91"/>
              <w:jc w:val="left"/>
              <w:rPr>
                <w:sz w:val="13"/>
              </w:rPr>
            </w:pPr>
            <w:r>
              <w:rPr>
                <w:w w:val="120"/>
                <w:sz w:val="13"/>
              </w:rPr>
              <w:t>0.2</w:t>
            </w:r>
            <w:r>
              <w:rPr>
                <w:rFonts w:ascii="Calibri" w:hAnsi="Calibri"/>
                <w:w w:val="120"/>
                <w:sz w:val="13"/>
              </w:rPr>
              <w:t>±</w:t>
            </w:r>
            <w:r>
              <w:rPr>
                <w:w w:val="120"/>
                <w:sz w:val="13"/>
              </w:rPr>
              <w:t>0.4</w:t>
              <w:tab/>
              <w:t>2.2</w:t>
            </w:r>
            <w:r>
              <w:rPr>
                <w:rFonts w:ascii="Calibri" w:hAnsi="Calibri"/>
                <w:w w:val="120"/>
                <w:sz w:val="13"/>
              </w:rPr>
              <w:t>±</w:t>
            </w:r>
            <w:r>
              <w:rPr>
                <w:w w:val="120"/>
                <w:sz w:val="13"/>
              </w:rPr>
              <w:t>2.3</w:t>
              <w:tab/>
              <w:t>11.4</w:t>
            </w:r>
            <w:r>
              <w:rPr>
                <w:rFonts w:ascii="Calibri" w:hAnsi="Calibri"/>
                <w:w w:val="120"/>
                <w:sz w:val="13"/>
              </w:rPr>
              <w:t>±</w:t>
            </w:r>
            <w:r>
              <w:rPr>
                <w:w w:val="120"/>
                <w:sz w:val="13"/>
              </w:rPr>
              <w:t>8.6</w:t>
              <w:tab/>
              <w:t>4.2</w:t>
            </w:r>
            <w:r>
              <w:rPr>
                <w:rFonts w:ascii="Calibri" w:hAnsi="Calibri"/>
                <w:w w:val="120"/>
                <w:sz w:val="13"/>
              </w:rPr>
              <w:t>±</w:t>
            </w:r>
            <w:r>
              <w:rPr>
                <w:w w:val="120"/>
                <w:sz w:val="13"/>
              </w:rPr>
              <w:t>4.2</w:t>
              <w:tab/>
              <w:t>2.6</w:t>
            </w:r>
            <w:r>
              <w:rPr>
                <w:rFonts w:ascii="Calibri" w:hAnsi="Calibri"/>
                <w:w w:val="120"/>
                <w:sz w:val="13"/>
              </w:rPr>
              <w:t>±</w:t>
            </w:r>
            <w:r>
              <w:rPr>
                <w:w w:val="120"/>
                <w:sz w:val="13"/>
              </w:rPr>
              <w:t>2.7</w:t>
              <w:tab/>
              <w:t>0.4</w:t>
            </w:r>
            <w:r>
              <w:rPr>
                <w:rFonts w:ascii="Calibri" w:hAnsi="Calibri"/>
                <w:w w:val="120"/>
                <w:sz w:val="13"/>
              </w:rPr>
              <w:t>±</w:t>
            </w:r>
            <w:r>
              <w:rPr>
                <w:w w:val="120"/>
                <w:sz w:val="13"/>
              </w:rPr>
              <w:t>0.5</w:t>
              <w:tab/>
              <w:t>5.6</w:t>
            </w:r>
            <w:r>
              <w:rPr>
                <w:rFonts w:ascii="Calibri" w:hAnsi="Calibri"/>
                <w:w w:val="120"/>
                <w:sz w:val="13"/>
              </w:rPr>
              <w:t>±</w:t>
            </w:r>
            <w:r>
              <w:rPr>
                <w:w w:val="120"/>
                <w:sz w:val="13"/>
              </w:rPr>
              <w:t>5.9</w:t>
              <w:tab/>
              <w:t>27.6</w:t>
            </w:r>
            <w:r>
              <w:rPr>
                <w:rFonts w:ascii="Calibri" w:hAnsi="Calibri"/>
                <w:w w:val="120"/>
                <w:sz w:val="13"/>
              </w:rPr>
              <w:t>±</w:t>
            </w:r>
            <w:r>
              <w:rPr>
                <w:w w:val="120"/>
                <w:sz w:val="13"/>
              </w:rPr>
              <w:t>18.8</w:t>
            </w:r>
          </w:p>
        </w:tc>
      </w:tr>
      <w:tr>
        <w:trPr>
          <w:trHeight w:val="560" w:hRule="exact"/>
        </w:trPr>
        <w:tc>
          <w:tcPr>
            <w:tcW w:w="350" w:type="dxa"/>
            <w:vMerge/>
            <w:tcBorders>
              <w:left w:val="nil"/>
              <w:right w:val="dotted" w:sz="5" w:space="0" w:color="000000"/>
            </w:tcBorders>
            <w:textDirection w:val="btLr"/>
          </w:tcPr>
          <w:p>
            <w:pPr/>
          </w:p>
        </w:tc>
        <w:tc>
          <w:tcPr>
            <w:tcW w:w="905" w:type="dxa"/>
            <w:tcBorders>
              <w:top w:val="dotted" w:sz="4" w:space="0" w:color="000000"/>
              <w:left w:val="dotted" w:sz="5" w:space="0" w:color="000000"/>
              <w:bottom w:val="dotted" w:sz="4" w:space="0" w:color="000000"/>
              <w:right w:val="dotted" w:sz="5" w:space="0" w:color="000000"/>
            </w:tcBorders>
          </w:tcPr>
          <w:p>
            <w:pPr>
              <w:pStyle w:val="TableParagraph"/>
              <w:spacing w:before="1"/>
              <w:jc w:val="left"/>
              <w:rPr>
                <w:rFonts w:ascii="Calibri"/>
                <w:sz w:val="16"/>
              </w:rPr>
            </w:pPr>
          </w:p>
          <w:p>
            <w:pPr>
              <w:pStyle w:val="TableParagraph"/>
              <w:spacing w:before="0"/>
              <w:ind w:left="9"/>
              <w:jc w:val="left"/>
              <w:rPr>
                <w:b/>
                <w:sz w:val="13"/>
              </w:rPr>
            </w:pPr>
            <w:r>
              <w:rPr>
                <w:b/>
                <w:w w:val="120"/>
                <w:sz w:val="13"/>
              </w:rPr>
              <w:t>Pescado</w:t>
            </w:r>
          </w:p>
        </w:tc>
        <w:tc>
          <w:tcPr>
            <w:tcW w:w="995" w:type="dxa"/>
            <w:tcBorders>
              <w:top w:val="dotted" w:sz="4" w:space="0" w:color="000000"/>
              <w:left w:val="dotted" w:sz="5" w:space="0" w:color="000000"/>
              <w:bottom w:val="dotted" w:sz="4" w:space="0" w:color="000000"/>
              <w:right w:val="dotted" w:sz="10" w:space="0" w:color="A6A6A6"/>
            </w:tcBorders>
          </w:tcPr>
          <w:p>
            <w:pPr>
              <w:pStyle w:val="TableParagraph"/>
              <w:spacing w:before="17"/>
              <w:ind w:left="10"/>
              <w:jc w:val="left"/>
              <w:rPr>
                <w:sz w:val="13"/>
              </w:rPr>
            </w:pPr>
            <w:r>
              <w:rPr>
                <w:w w:val="120"/>
                <w:sz w:val="13"/>
              </w:rPr>
              <w:t>Si</w:t>
            </w:r>
          </w:p>
          <w:p>
            <w:pPr>
              <w:pStyle w:val="TableParagraph"/>
              <w:spacing w:before="34"/>
              <w:ind w:right="1"/>
              <w:jc w:val="right"/>
              <w:rPr>
                <w:b/>
                <w:sz w:val="13"/>
              </w:rPr>
            </w:pPr>
            <w:r>
              <w:rPr>
                <w:b/>
                <w:w w:val="120"/>
                <w:sz w:val="13"/>
              </w:rPr>
              <w:t>p</w:t>
            </w:r>
          </w:p>
          <w:p>
            <w:pPr>
              <w:pStyle w:val="TableParagraph"/>
              <w:spacing w:before="34"/>
              <w:ind w:left="10"/>
              <w:jc w:val="left"/>
              <w:rPr>
                <w:sz w:val="13"/>
              </w:rPr>
            </w:pPr>
            <w:r>
              <w:rPr>
                <w:w w:val="120"/>
                <w:sz w:val="13"/>
              </w:rPr>
              <w:t>No</w:t>
            </w:r>
          </w:p>
        </w:tc>
        <w:tc>
          <w:tcPr>
            <w:tcW w:w="6425" w:type="dxa"/>
            <w:tcBorders>
              <w:top w:val="dotted" w:sz="4" w:space="0" w:color="000000"/>
              <w:left w:val="dotted" w:sz="10" w:space="0" w:color="A6A6A6"/>
              <w:bottom w:val="dotted" w:sz="4" w:space="0" w:color="000000"/>
              <w:right w:val="nil"/>
            </w:tcBorders>
          </w:tcPr>
          <w:p>
            <w:pPr>
              <w:pStyle w:val="TableParagraph"/>
              <w:tabs>
                <w:tab w:pos="772" w:val="left" w:leader="none"/>
                <w:tab w:pos="1540" w:val="left" w:leader="none"/>
                <w:tab w:pos="2446" w:val="left" w:leader="none"/>
                <w:tab w:pos="3171" w:val="left" w:leader="none"/>
                <w:tab w:pos="3896" w:val="left" w:leader="none"/>
                <w:tab w:pos="4621" w:val="left" w:leader="none"/>
                <w:tab w:pos="5527" w:val="left" w:leader="none"/>
              </w:tabs>
              <w:spacing w:before="15"/>
              <w:ind w:right="9"/>
              <w:rPr>
                <w:sz w:val="13"/>
              </w:rPr>
            </w:pPr>
            <w:r>
              <w:rPr>
                <w:w w:val="120"/>
                <w:sz w:val="13"/>
              </w:rPr>
              <w:t>0.5</w:t>
            </w:r>
            <w:r>
              <w:rPr>
                <w:rFonts w:ascii="Calibri" w:hAnsi="Calibri"/>
                <w:w w:val="120"/>
                <w:sz w:val="13"/>
              </w:rPr>
              <w:t>±</w:t>
            </w:r>
            <w:r>
              <w:rPr>
                <w:w w:val="120"/>
                <w:sz w:val="13"/>
              </w:rPr>
              <w:t>0.8</w:t>
              <w:tab/>
              <w:t>1.7</w:t>
            </w:r>
            <w:r>
              <w:rPr>
                <w:rFonts w:ascii="Calibri" w:hAnsi="Calibri"/>
                <w:w w:val="120"/>
                <w:sz w:val="13"/>
              </w:rPr>
              <w:t>±</w:t>
            </w:r>
            <w:r>
              <w:rPr>
                <w:w w:val="120"/>
                <w:sz w:val="13"/>
              </w:rPr>
              <w:t>2.0</w:t>
              <w:tab/>
              <w:t>18.6</w:t>
            </w:r>
            <w:r>
              <w:rPr>
                <w:rFonts w:ascii="Calibri" w:hAnsi="Calibri"/>
                <w:w w:val="120"/>
                <w:sz w:val="13"/>
              </w:rPr>
              <w:t>±</w:t>
            </w:r>
            <w:r>
              <w:rPr>
                <w:w w:val="120"/>
                <w:sz w:val="13"/>
              </w:rPr>
              <w:t>10.7</w:t>
              <w:tab/>
              <w:t>9.2</w:t>
            </w:r>
            <w:r>
              <w:rPr>
                <w:rFonts w:ascii="Calibri" w:hAnsi="Calibri"/>
                <w:w w:val="120"/>
                <w:sz w:val="13"/>
              </w:rPr>
              <w:t>±</w:t>
            </w:r>
            <w:r>
              <w:rPr>
                <w:w w:val="120"/>
                <w:sz w:val="13"/>
              </w:rPr>
              <w:t>7.2</w:t>
              <w:tab/>
              <w:t>5.5</w:t>
            </w:r>
            <w:r>
              <w:rPr>
                <w:rFonts w:ascii="Calibri" w:hAnsi="Calibri"/>
                <w:w w:val="120"/>
                <w:sz w:val="13"/>
              </w:rPr>
              <w:t>±</w:t>
            </w:r>
            <w:r>
              <w:rPr>
                <w:w w:val="120"/>
                <w:sz w:val="13"/>
              </w:rPr>
              <w:t>6.5</w:t>
              <w:tab/>
              <w:t>2.0</w:t>
            </w:r>
            <w:r>
              <w:rPr>
                <w:rFonts w:ascii="Calibri" w:hAnsi="Calibri"/>
                <w:w w:val="120"/>
                <w:sz w:val="13"/>
              </w:rPr>
              <w:t>±</w:t>
            </w:r>
            <w:r>
              <w:rPr>
                <w:w w:val="120"/>
                <w:sz w:val="13"/>
              </w:rPr>
              <w:t>1.8</w:t>
              <w:tab/>
              <w:t>14.6</w:t>
            </w:r>
            <w:r>
              <w:rPr>
                <w:rFonts w:ascii="Calibri" w:hAnsi="Calibri"/>
                <w:w w:val="120"/>
                <w:sz w:val="13"/>
              </w:rPr>
              <w:t>±</w:t>
            </w:r>
            <w:r>
              <w:rPr>
                <w:w w:val="120"/>
                <w:sz w:val="13"/>
              </w:rPr>
              <w:t>12.7</w:t>
              <w:tab/>
              <w:t>51.8</w:t>
            </w:r>
            <w:r>
              <w:rPr>
                <w:rFonts w:ascii="Calibri" w:hAnsi="Calibri"/>
                <w:w w:val="120"/>
                <w:sz w:val="13"/>
              </w:rPr>
              <w:t>±</w:t>
            </w:r>
            <w:r>
              <w:rPr>
                <w:w w:val="120"/>
                <w:sz w:val="13"/>
              </w:rPr>
              <w:t>21.0</w:t>
            </w:r>
          </w:p>
          <w:p>
            <w:pPr>
              <w:pStyle w:val="TableParagraph"/>
              <w:tabs>
                <w:tab w:pos="772" w:val="left" w:leader="none"/>
                <w:tab w:pos="1624" w:val="left" w:leader="none"/>
                <w:tab w:pos="2446" w:val="left" w:leader="none"/>
                <w:tab w:pos="3171" w:val="left" w:leader="none"/>
                <w:tab w:pos="3896" w:val="left" w:leader="none"/>
                <w:tab w:pos="4705" w:val="left" w:leader="none"/>
                <w:tab w:pos="5612" w:val="left" w:leader="none"/>
              </w:tabs>
              <w:spacing w:before="27"/>
              <w:ind w:right="94"/>
              <w:rPr>
                <w:sz w:val="13"/>
              </w:rPr>
            </w:pPr>
            <w:r>
              <w:rPr>
                <w:w w:val="120"/>
                <w:sz w:val="13"/>
              </w:rPr>
              <w:t>0.94</w:t>
              <w:tab/>
              <w:t>0.79</w:t>
              <w:tab/>
              <w:t>0.21</w:t>
              <w:tab/>
              <w:t>0.46</w:t>
              <w:tab/>
              <w:t>0.62</w:t>
              <w:tab/>
              <w:t>0.49</w:t>
              <w:tab/>
              <w:t>0.09</w:t>
              <w:tab/>
              <w:t>0.13</w:t>
            </w:r>
          </w:p>
          <w:p>
            <w:pPr>
              <w:pStyle w:val="TableParagraph"/>
              <w:tabs>
                <w:tab w:pos="772" w:val="left" w:leader="none"/>
                <w:tab w:pos="1588" w:val="left" w:leader="none"/>
                <w:tab w:pos="2446" w:val="left" w:leader="none"/>
                <w:tab w:pos="3171" w:val="left" w:leader="none"/>
                <w:tab w:pos="3896" w:val="left" w:leader="none"/>
                <w:tab w:pos="4621" w:val="left" w:leader="none"/>
                <w:tab w:pos="5527" w:val="left" w:leader="none"/>
              </w:tabs>
              <w:spacing w:before="32"/>
              <w:ind w:right="9"/>
              <w:rPr>
                <w:sz w:val="13"/>
              </w:rPr>
            </w:pPr>
            <w:r>
              <w:rPr>
                <w:w w:val="120"/>
                <w:sz w:val="13"/>
              </w:rPr>
              <w:t>0.4</w:t>
            </w:r>
            <w:r>
              <w:rPr>
                <w:rFonts w:ascii="Calibri" w:hAnsi="Calibri"/>
                <w:w w:val="120"/>
                <w:sz w:val="13"/>
              </w:rPr>
              <w:t>±</w:t>
            </w:r>
            <w:r>
              <w:rPr>
                <w:w w:val="120"/>
                <w:sz w:val="13"/>
              </w:rPr>
              <w:t>0.6</w:t>
              <w:tab/>
              <w:t>1.7</w:t>
            </w:r>
            <w:r>
              <w:rPr>
                <w:rFonts w:ascii="Calibri" w:hAnsi="Calibri"/>
                <w:w w:val="120"/>
                <w:sz w:val="13"/>
              </w:rPr>
              <w:t>±</w:t>
            </w:r>
            <w:r>
              <w:rPr>
                <w:w w:val="120"/>
                <w:sz w:val="13"/>
              </w:rPr>
              <w:t>1.6</w:t>
              <w:tab/>
              <w:t>15.1</w:t>
            </w:r>
            <w:r>
              <w:rPr>
                <w:rFonts w:ascii="Calibri" w:hAnsi="Calibri"/>
                <w:w w:val="120"/>
                <w:sz w:val="13"/>
              </w:rPr>
              <w:t>±</w:t>
            </w:r>
            <w:r>
              <w:rPr>
                <w:w w:val="120"/>
                <w:sz w:val="13"/>
              </w:rPr>
              <w:t>8.1</w:t>
              <w:tab/>
              <w:t>9.2</w:t>
            </w:r>
            <w:r>
              <w:rPr>
                <w:rFonts w:ascii="Calibri" w:hAnsi="Calibri"/>
                <w:w w:val="120"/>
                <w:sz w:val="13"/>
              </w:rPr>
              <w:t>±</w:t>
            </w:r>
            <w:r>
              <w:rPr>
                <w:w w:val="120"/>
                <w:sz w:val="13"/>
              </w:rPr>
              <w:t>5.4</w:t>
              <w:tab/>
              <w:t>5.0</w:t>
            </w:r>
            <w:r>
              <w:rPr>
                <w:rFonts w:ascii="Calibri" w:hAnsi="Calibri"/>
                <w:w w:val="120"/>
                <w:sz w:val="13"/>
              </w:rPr>
              <w:t>±</w:t>
            </w:r>
            <w:r>
              <w:rPr>
                <w:w w:val="120"/>
                <w:sz w:val="13"/>
              </w:rPr>
              <w:t>6.1</w:t>
              <w:tab/>
              <w:t>2.3</w:t>
            </w:r>
            <w:r>
              <w:rPr>
                <w:rFonts w:ascii="Calibri" w:hAnsi="Calibri"/>
                <w:w w:val="120"/>
                <w:sz w:val="13"/>
              </w:rPr>
              <w:t>±</w:t>
            </w:r>
            <w:r>
              <w:rPr>
                <w:w w:val="120"/>
                <w:sz w:val="13"/>
              </w:rPr>
              <w:t>3.1</w:t>
              <w:tab/>
              <w:t>11.0</w:t>
            </w:r>
            <w:r>
              <w:rPr>
                <w:rFonts w:ascii="Calibri" w:hAnsi="Calibri"/>
                <w:w w:val="120"/>
                <w:sz w:val="13"/>
              </w:rPr>
              <w:t>±</w:t>
            </w:r>
            <w:r>
              <w:rPr>
                <w:w w:val="120"/>
                <w:sz w:val="13"/>
              </w:rPr>
              <w:t>11.2</w:t>
              <w:tab/>
              <w:t>44.6</w:t>
            </w:r>
            <w:r>
              <w:rPr>
                <w:rFonts w:ascii="Calibri" w:hAnsi="Calibri"/>
                <w:w w:val="120"/>
                <w:sz w:val="13"/>
              </w:rPr>
              <w:t>±</w:t>
            </w:r>
            <w:r>
              <w:rPr>
                <w:w w:val="120"/>
                <w:sz w:val="13"/>
              </w:rPr>
              <w:t>20.7</w:t>
            </w:r>
          </w:p>
        </w:tc>
      </w:tr>
      <w:tr>
        <w:trPr>
          <w:trHeight w:val="550" w:hRule="exact"/>
        </w:trPr>
        <w:tc>
          <w:tcPr>
            <w:tcW w:w="350" w:type="dxa"/>
            <w:vMerge/>
            <w:tcBorders>
              <w:left w:val="nil"/>
              <w:right w:val="dotted" w:sz="5" w:space="0" w:color="000000"/>
            </w:tcBorders>
            <w:textDirection w:val="btLr"/>
          </w:tcPr>
          <w:p>
            <w:pPr/>
          </w:p>
        </w:tc>
        <w:tc>
          <w:tcPr>
            <w:tcW w:w="905" w:type="dxa"/>
            <w:tcBorders>
              <w:top w:val="dotted" w:sz="4" w:space="0" w:color="000000"/>
              <w:left w:val="dotted" w:sz="5" w:space="0" w:color="000000"/>
              <w:bottom w:val="dotted" w:sz="4" w:space="0" w:color="000000"/>
              <w:right w:val="dotted" w:sz="5" w:space="0" w:color="000000"/>
            </w:tcBorders>
          </w:tcPr>
          <w:p>
            <w:pPr>
              <w:pStyle w:val="TableParagraph"/>
              <w:spacing w:before="6"/>
              <w:jc w:val="left"/>
              <w:rPr>
                <w:rFonts w:ascii="Calibri"/>
                <w:sz w:val="15"/>
              </w:rPr>
            </w:pPr>
          </w:p>
          <w:p>
            <w:pPr>
              <w:pStyle w:val="TableParagraph"/>
              <w:spacing w:before="0"/>
              <w:ind w:left="9"/>
              <w:jc w:val="left"/>
              <w:rPr>
                <w:b/>
                <w:sz w:val="13"/>
              </w:rPr>
            </w:pPr>
            <w:r>
              <w:rPr>
                <w:b/>
                <w:w w:val="120"/>
                <w:sz w:val="13"/>
              </w:rPr>
              <w:t>Carne</w:t>
            </w:r>
          </w:p>
        </w:tc>
        <w:tc>
          <w:tcPr>
            <w:tcW w:w="995" w:type="dxa"/>
            <w:tcBorders>
              <w:top w:val="dotted" w:sz="4" w:space="0" w:color="000000"/>
              <w:left w:val="dotted" w:sz="5" w:space="0" w:color="000000"/>
              <w:bottom w:val="dotted" w:sz="4" w:space="0" w:color="000000"/>
              <w:right w:val="dotted" w:sz="10" w:space="0" w:color="A6A6A6"/>
            </w:tcBorders>
          </w:tcPr>
          <w:p>
            <w:pPr>
              <w:pStyle w:val="TableParagraph"/>
              <w:spacing w:before="9"/>
              <w:ind w:left="10"/>
              <w:jc w:val="left"/>
              <w:rPr>
                <w:sz w:val="13"/>
              </w:rPr>
            </w:pPr>
            <w:r>
              <w:rPr>
                <w:w w:val="120"/>
                <w:sz w:val="13"/>
              </w:rPr>
              <w:t>Si</w:t>
            </w:r>
          </w:p>
          <w:p>
            <w:pPr>
              <w:pStyle w:val="TableParagraph"/>
              <w:spacing w:before="34"/>
              <w:ind w:right="1"/>
              <w:jc w:val="right"/>
              <w:rPr>
                <w:b/>
                <w:sz w:val="13"/>
              </w:rPr>
            </w:pPr>
            <w:r>
              <w:rPr>
                <w:b/>
                <w:w w:val="120"/>
                <w:sz w:val="13"/>
              </w:rPr>
              <w:t>p</w:t>
            </w:r>
          </w:p>
          <w:p>
            <w:pPr>
              <w:pStyle w:val="TableParagraph"/>
              <w:spacing w:before="34"/>
              <w:ind w:left="10"/>
              <w:jc w:val="left"/>
              <w:rPr>
                <w:sz w:val="13"/>
              </w:rPr>
            </w:pPr>
            <w:r>
              <w:rPr>
                <w:w w:val="120"/>
                <w:sz w:val="13"/>
              </w:rPr>
              <w:t>No</w:t>
            </w:r>
          </w:p>
        </w:tc>
        <w:tc>
          <w:tcPr>
            <w:tcW w:w="6425" w:type="dxa"/>
            <w:tcBorders>
              <w:top w:val="dotted" w:sz="4" w:space="0" w:color="000000"/>
              <w:left w:val="dotted" w:sz="10" w:space="0" w:color="A6A6A6"/>
              <w:bottom w:val="dotted" w:sz="4" w:space="0" w:color="000000"/>
              <w:right w:val="nil"/>
            </w:tcBorders>
          </w:tcPr>
          <w:p>
            <w:pPr>
              <w:pStyle w:val="TableParagraph"/>
              <w:tabs>
                <w:tab w:pos="772" w:val="left" w:leader="none"/>
                <w:tab w:pos="1588" w:val="left" w:leader="none"/>
                <w:tab w:pos="2446" w:val="left" w:leader="none"/>
                <w:tab w:pos="3171" w:val="left" w:leader="none"/>
                <w:tab w:pos="3896" w:val="left" w:leader="none"/>
                <w:tab w:pos="4621" w:val="left" w:leader="none"/>
                <w:tab w:pos="5527" w:val="left" w:leader="none"/>
              </w:tabs>
              <w:spacing w:before="7"/>
              <w:ind w:right="9"/>
              <w:rPr>
                <w:sz w:val="13"/>
              </w:rPr>
            </w:pPr>
            <w:r>
              <w:rPr>
                <w:w w:val="120"/>
                <w:sz w:val="13"/>
              </w:rPr>
              <w:t>0.4</w:t>
            </w:r>
            <w:r>
              <w:rPr>
                <w:rFonts w:ascii="Calibri" w:hAnsi="Calibri"/>
                <w:w w:val="120"/>
                <w:sz w:val="13"/>
              </w:rPr>
              <w:t>±</w:t>
            </w:r>
            <w:r>
              <w:rPr>
                <w:w w:val="120"/>
                <w:sz w:val="13"/>
              </w:rPr>
              <w:t>0.7</w:t>
              <w:tab/>
              <w:t>1.7</w:t>
            </w:r>
            <w:r>
              <w:rPr>
                <w:rFonts w:ascii="Calibri" w:hAnsi="Calibri"/>
                <w:w w:val="120"/>
                <w:sz w:val="13"/>
              </w:rPr>
              <w:t>±</w:t>
            </w:r>
            <w:r>
              <w:rPr>
                <w:w w:val="120"/>
                <w:sz w:val="13"/>
              </w:rPr>
              <w:t>1.8</w:t>
              <w:tab/>
              <w:t>16.7</w:t>
            </w:r>
            <w:r>
              <w:rPr>
                <w:rFonts w:ascii="Calibri" w:hAnsi="Calibri"/>
                <w:w w:val="120"/>
                <w:sz w:val="13"/>
              </w:rPr>
              <w:t>±</w:t>
            </w:r>
            <w:r>
              <w:rPr>
                <w:w w:val="120"/>
                <w:sz w:val="13"/>
              </w:rPr>
              <w:t>9.3</w:t>
              <w:tab/>
              <w:t>9.2</w:t>
            </w:r>
            <w:r>
              <w:rPr>
                <w:rFonts w:ascii="Calibri" w:hAnsi="Calibri"/>
                <w:w w:val="120"/>
                <w:sz w:val="13"/>
              </w:rPr>
              <w:t>±</w:t>
            </w:r>
            <w:r>
              <w:rPr>
                <w:w w:val="120"/>
                <w:sz w:val="13"/>
              </w:rPr>
              <w:t>6.2</w:t>
              <w:tab/>
              <w:t>5.0</w:t>
            </w:r>
            <w:r>
              <w:rPr>
                <w:rFonts w:ascii="Calibri" w:hAnsi="Calibri"/>
                <w:w w:val="120"/>
                <w:sz w:val="13"/>
              </w:rPr>
              <w:t>±</w:t>
            </w:r>
            <w:r>
              <w:rPr>
                <w:w w:val="120"/>
                <w:sz w:val="13"/>
              </w:rPr>
              <w:t>6.1</w:t>
              <w:tab/>
              <w:t>2.1</w:t>
            </w:r>
            <w:r>
              <w:rPr>
                <w:rFonts w:ascii="Calibri" w:hAnsi="Calibri"/>
                <w:w w:val="120"/>
                <w:sz w:val="13"/>
              </w:rPr>
              <w:t>±</w:t>
            </w:r>
            <w:r>
              <w:rPr>
                <w:w w:val="120"/>
                <w:sz w:val="13"/>
              </w:rPr>
              <w:t>2.6</w:t>
              <w:tab/>
              <w:t>12.4</w:t>
            </w:r>
            <w:r>
              <w:rPr>
                <w:rFonts w:ascii="Calibri" w:hAnsi="Calibri"/>
                <w:w w:val="120"/>
                <w:sz w:val="13"/>
              </w:rPr>
              <w:t>±</w:t>
            </w:r>
            <w:r>
              <w:rPr>
                <w:w w:val="120"/>
                <w:sz w:val="13"/>
              </w:rPr>
              <w:t>12.0</w:t>
              <w:tab/>
              <w:t>47.4</w:t>
            </w:r>
            <w:r>
              <w:rPr>
                <w:rFonts w:ascii="Calibri" w:hAnsi="Calibri"/>
                <w:w w:val="120"/>
                <w:sz w:val="13"/>
              </w:rPr>
              <w:t>±</w:t>
            </w:r>
            <w:r>
              <w:rPr>
                <w:w w:val="120"/>
                <w:sz w:val="13"/>
              </w:rPr>
              <w:t>21.1</w:t>
            </w:r>
          </w:p>
          <w:p>
            <w:pPr>
              <w:pStyle w:val="TableParagraph"/>
              <w:tabs>
                <w:tab w:pos="772" w:val="left" w:leader="none"/>
                <w:tab w:pos="1624" w:val="left" w:leader="none"/>
                <w:tab w:pos="2446" w:val="left" w:leader="none"/>
                <w:tab w:pos="3171" w:val="left" w:leader="none"/>
                <w:tab w:pos="3896" w:val="left" w:leader="none"/>
                <w:tab w:pos="4705" w:val="left" w:leader="none"/>
                <w:tab w:pos="5612" w:val="left" w:leader="none"/>
              </w:tabs>
              <w:spacing w:before="27"/>
              <w:ind w:right="94"/>
              <w:rPr>
                <w:sz w:val="13"/>
              </w:rPr>
            </w:pPr>
            <w:r>
              <w:rPr>
                <w:w w:val="120"/>
                <w:sz w:val="13"/>
              </w:rPr>
              <w:t>0.25</w:t>
              <w:tab/>
              <w:t>0.31</w:t>
              <w:tab/>
              <w:t>0.25</w:t>
              <w:tab/>
              <w:t>0.63</w:t>
              <w:tab/>
              <w:t>0.13</w:t>
              <w:tab/>
              <w:t>0.13</w:t>
              <w:tab/>
              <w:t>0.49</w:t>
              <w:tab/>
              <w:t>0.62</w:t>
            </w:r>
          </w:p>
          <w:p>
            <w:pPr>
              <w:pStyle w:val="TableParagraph"/>
              <w:tabs>
                <w:tab w:pos="772" w:val="left" w:leader="none"/>
                <w:tab w:pos="1624" w:val="left" w:leader="none"/>
                <w:tab w:pos="2397" w:val="left" w:leader="none"/>
                <w:tab w:pos="4669" w:val="left" w:leader="none"/>
                <w:tab w:pos="5575" w:val="left" w:leader="none"/>
              </w:tabs>
              <w:spacing w:before="32"/>
              <w:ind w:right="46"/>
              <w:rPr>
                <w:sz w:val="13"/>
              </w:rPr>
            </w:pPr>
            <w:r>
              <w:rPr>
                <w:w w:val="120"/>
                <w:sz w:val="13"/>
              </w:rPr>
              <w:t>1.0</w:t>
            </w:r>
            <w:r>
              <w:rPr>
                <w:rFonts w:ascii="Calibri" w:hAnsi="Calibri"/>
                <w:w w:val="120"/>
                <w:sz w:val="13"/>
              </w:rPr>
              <w:t>±</w:t>
            </w:r>
            <w:r>
              <w:rPr>
                <w:w w:val="120"/>
                <w:sz w:val="13"/>
              </w:rPr>
              <w:t>0.0</w:t>
              <w:tab/>
              <w:t>3.0</w:t>
            </w:r>
            <w:r>
              <w:rPr>
                <w:rFonts w:ascii="Calibri" w:hAnsi="Calibri"/>
                <w:w w:val="120"/>
                <w:sz w:val="13"/>
              </w:rPr>
              <w:t>±</w:t>
            </w:r>
            <w:r>
              <w:rPr>
                <w:w w:val="120"/>
                <w:sz w:val="13"/>
              </w:rPr>
              <w:t>0.0</w:t>
              <w:tab/>
              <w:t>7.0</w:t>
            </w:r>
            <w:r>
              <w:rPr>
                <w:rFonts w:ascii="Calibri" w:hAnsi="Calibri"/>
                <w:w w:val="120"/>
                <w:sz w:val="13"/>
              </w:rPr>
              <w:t>±</w:t>
            </w:r>
            <w:r>
              <w:rPr>
                <w:w w:val="120"/>
                <w:sz w:val="13"/>
              </w:rPr>
              <w:t>0.0</w:t>
              <w:tab/>
              <w:t>10.0</w:t>
            </w:r>
            <w:r>
              <w:rPr>
                <w:rFonts w:ascii="Calibri" w:hAnsi="Calibri"/>
                <w:w w:val="120"/>
                <w:sz w:val="13"/>
              </w:rPr>
              <w:t>±</w:t>
            </w:r>
            <w:r>
              <w:rPr>
                <w:w w:val="120"/>
                <w:sz w:val="13"/>
              </w:rPr>
              <w:t>0.0 </w:t>
            </w:r>
            <w:r>
              <w:rPr>
                <w:spacing w:val="37"/>
                <w:w w:val="120"/>
                <w:sz w:val="13"/>
              </w:rPr>
              <w:t> </w:t>
            </w:r>
            <w:r>
              <w:rPr>
                <w:w w:val="120"/>
                <w:sz w:val="13"/>
              </w:rPr>
              <w:t>16.0</w:t>
            </w:r>
            <w:r>
              <w:rPr>
                <w:rFonts w:ascii="Calibri" w:hAnsi="Calibri"/>
                <w:w w:val="120"/>
                <w:sz w:val="13"/>
              </w:rPr>
              <w:t>±</w:t>
            </w:r>
            <w:r>
              <w:rPr>
                <w:w w:val="120"/>
                <w:sz w:val="13"/>
              </w:rPr>
              <w:t>0.0   </w:t>
            </w:r>
            <w:r>
              <w:rPr>
                <w:spacing w:val="2"/>
                <w:w w:val="120"/>
                <w:sz w:val="13"/>
              </w:rPr>
              <w:t> </w:t>
            </w:r>
            <w:r>
              <w:rPr>
                <w:w w:val="120"/>
                <w:sz w:val="13"/>
              </w:rPr>
              <w:t>6.0</w:t>
            </w:r>
            <w:r>
              <w:rPr>
                <w:rFonts w:ascii="Calibri" w:hAnsi="Calibri"/>
                <w:w w:val="120"/>
                <w:sz w:val="13"/>
              </w:rPr>
              <w:t>±</w:t>
            </w:r>
            <w:r>
              <w:rPr>
                <w:w w:val="120"/>
                <w:sz w:val="13"/>
              </w:rPr>
              <w:t>0.0</w:t>
              <w:tab/>
              <w:t>14.0</w:t>
            </w:r>
            <w:r>
              <w:rPr>
                <w:rFonts w:ascii="Calibri" w:hAnsi="Calibri"/>
                <w:w w:val="120"/>
                <w:sz w:val="13"/>
              </w:rPr>
              <w:t>±</w:t>
            </w:r>
            <w:r>
              <w:rPr>
                <w:w w:val="120"/>
                <w:sz w:val="13"/>
              </w:rPr>
              <w:t>0.0</w:t>
              <w:tab/>
              <w:t>56.0</w:t>
            </w:r>
            <w:r>
              <w:rPr>
                <w:rFonts w:ascii="Calibri" w:hAnsi="Calibri"/>
                <w:w w:val="120"/>
                <w:sz w:val="13"/>
              </w:rPr>
              <w:t>±</w:t>
            </w:r>
            <w:r>
              <w:rPr>
                <w:w w:val="120"/>
                <w:sz w:val="13"/>
              </w:rPr>
              <w:t>0.0</w:t>
            </w:r>
          </w:p>
        </w:tc>
      </w:tr>
      <w:tr>
        <w:trPr>
          <w:trHeight w:val="550" w:hRule="exact"/>
        </w:trPr>
        <w:tc>
          <w:tcPr>
            <w:tcW w:w="350" w:type="dxa"/>
            <w:vMerge/>
            <w:tcBorders>
              <w:left w:val="nil"/>
              <w:right w:val="dotted" w:sz="5" w:space="0" w:color="000000"/>
            </w:tcBorders>
            <w:textDirection w:val="btLr"/>
          </w:tcPr>
          <w:p>
            <w:pPr/>
          </w:p>
        </w:tc>
        <w:tc>
          <w:tcPr>
            <w:tcW w:w="905" w:type="dxa"/>
            <w:tcBorders>
              <w:top w:val="dotted" w:sz="4" w:space="0" w:color="000000"/>
              <w:left w:val="dotted" w:sz="5" w:space="0" w:color="000000"/>
              <w:bottom w:val="dotted" w:sz="4" w:space="0" w:color="000000"/>
              <w:right w:val="dotted" w:sz="5" w:space="0" w:color="000000"/>
            </w:tcBorders>
          </w:tcPr>
          <w:p>
            <w:pPr>
              <w:pStyle w:val="TableParagraph"/>
              <w:spacing w:before="8"/>
              <w:jc w:val="left"/>
              <w:rPr>
                <w:rFonts w:ascii="Calibri"/>
                <w:sz w:val="15"/>
              </w:rPr>
            </w:pPr>
          </w:p>
          <w:p>
            <w:pPr>
              <w:pStyle w:val="TableParagraph"/>
              <w:spacing w:before="0"/>
              <w:ind w:left="9"/>
              <w:jc w:val="left"/>
              <w:rPr>
                <w:b/>
                <w:sz w:val="13"/>
              </w:rPr>
            </w:pPr>
            <w:r>
              <w:rPr>
                <w:b/>
                <w:w w:val="120"/>
                <w:sz w:val="13"/>
              </w:rPr>
              <w:t>Té</w:t>
            </w:r>
          </w:p>
        </w:tc>
        <w:tc>
          <w:tcPr>
            <w:tcW w:w="995" w:type="dxa"/>
            <w:tcBorders>
              <w:top w:val="dotted" w:sz="4" w:space="0" w:color="000000"/>
              <w:left w:val="dotted" w:sz="5" w:space="0" w:color="000000"/>
              <w:bottom w:val="dotted" w:sz="4" w:space="0" w:color="000000"/>
              <w:right w:val="dotted" w:sz="10" w:space="0" w:color="A6A6A6"/>
            </w:tcBorders>
          </w:tcPr>
          <w:p>
            <w:pPr>
              <w:pStyle w:val="TableParagraph"/>
              <w:spacing w:before="11"/>
              <w:ind w:left="10"/>
              <w:jc w:val="left"/>
              <w:rPr>
                <w:sz w:val="13"/>
              </w:rPr>
            </w:pPr>
            <w:r>
              <w:rPr>
                <w:w w:val="120"/>
                <w:sz w:val="13"/>
              </w:rPr>
              <w:t>Si</w:t>
            </w:r>
          </w:p>
          <w:p>
            <w:pPr>
              <w:pStyle w:val="TableParagraph"/>
              <w:spacing w:before="34"/>
              <w:ind w:right="1"/>
              <w:jc w:val="right"/>
              <w:rPr>
                <w:b/>
                <w:sz w:val="13"/>
              </w:rPr>
            </w:pPr>
            <w:r>
              <w:rPr>
                <w:b/>
                <w:w w:val="120"/>
                <w:sz w:val="13"/>
              </w:rPr>
              <w:t>p</w:t>
            </w:r>
          </w:p>
          <w:p>
            <w:pPr>
              <w:pStyle w:val="TableParagraph"/>
              <w:spacing w:before="35"/>
              <w:ind w:left="10"/>
              <w:jc w:val="left"/>
              <w:rPr>
                <w:sz w:val="13"/>
              </w:rPr>
            </w:pPr>
            <w:r>
              <w:rPr>
                <w:w w:val="120"/>
                <w:sz w:val="13"/>
              </w:rPr>
              <w:t>No</w:t>
            </w:r>
          </w:p>
        </w:tc>
        <w:tc>
          <w:tcPr>
            <w:tcW w:w="6425" w:type="dxa"/>
            <w:tcBorders>
              <w:top w:val="dotted" w:sz="4" w:space="0" w:color="000000"/>
              <w:left w:val="dotted" w:sz="10" w:space="0" w:color="A6A6A6"/>
              <w:bottom w:val="dotted" w:sz="4" w:space="0" w:color="000000"/>
              <w:right w:val="nil"/>
            </w:tcBorders>
          </w:tcPr>
          <w:p>
            <w:pPr>
              <w:pStyle w:val="TableParagraph"/>
              <w:tabs>
                <w:tab w:pos="864" w:val="left" w:leader="none"/>
                <w:tab w:pos="1679" w:val="left" w:leader="none"/>
                <w:tab w:pos="2537" w:val="left" w:leader="none"/>
                <w:tab w:pos="3262" w:val="left" w:leader="none"/>
                <w:tab w:pos="3987" w:val="left" w:leader="none"/>
                <w:tab w:pos="4712" w:val="left" w:leader="none"/>
                <w:tab w:pos="5618" w:val="left" w:leader="none"/>
              </w:tabs>
              <w:spacing w:before="10"/>
              <w:ind w:left="91"/>
              <w:jc w:val="left"/>
              <w:rPr>
                <w:sz w:val="13"/>
              </w:rPr>
            </w:pPr>
            <w:r>
              <w:rPr>
                <w:w w:val="120"/>
                <w:sz w:val="13"/>
              </w:rPr>
              <w:t>0.5</w:t>
            </w:r>
            <w:r>
              <w:rPr>
                <w:rFonts w:ascii="Calibri" w:hAnsi="Calibri"/>
                <w:w w:val="120"/>
                <w:sz w:val="13"/>
              </w:rPr>
              <w:t>±</w:t>
            </w:r>
            <w:r>
              <w:rPr>
                <w:w w:val="120"/>
                <w:sz w:val="13"/>
              </w:rPr>
              <w:t>0.8</w:t>
              <w:tab/>
              <w:t>1.6</w:t>
            </w:r>
            <w:r>
              <w:rPr>
                <w:rFonts w:ascii="Calibri" w:hAnsi="Calibri"/>
                <w:w w:val="120"/>
                <w:sz w:val="13"/>
              </w:rPr>
              <w:t>±</w:t>
            </w:r>
            <w:r>
              <w:rPr>
                <w:w w:val="120"/>
                <w:sz w:val="13"/>
              </w:rPr>
              <w:t>1.9</w:t>
              <w:tab/>
              <w:t>18.3</w:t>
            </w:r>
            <w:r>
              <w:rPr>
                <w:rFonts w:ascii="Calibri" w:hAnsi="Calibri"/>
                <w:w w:val="120"/>
                <w:sz w:val="13"/>
              </w:rPr>
              <w:t>±</w:t>
            </w:r>
            <w:r>
              <w:rPr>
                <w:w w:val="120"/>
                <w:sz w:val="13"/>
              </w:rPr>
              <w:t>9.6</w:t>
              <w:tab/>
              <w:t>9.4</w:t>
            </w:r>
            <w:r>
              <w:rPr>
                <w:rFonts w:ascii="Calibri" w:hAnsi="Calibri"/>
                <w:w w:val="120"/>
                <w:sz w:val="13"/>
              </w:rPr>
              <w:t>±</w:t>
            </w:r>
            <w:r>
              <w:rPr>
                <w:w w:val="120"/>
                <w:sz w:val="13"/>
              </w:rPr>
              <w:t>7.2</w:t>
              <w:tab/>
              <w:t>5.2</w:t>
            </w:r>
            <w:r>
              <w:rPr>
                <w:rFonts w:ascii="Calibri" w:hAnsi="Calibri"/>
                <w:w w:val="120"/>
                <w:sz w:val="13"/>
              </w:rPr>
              <w:t>±</w:t>
            </w:r>
            <w:r>
              <w:rPr>
                <w:w w:val="120"/>
                <w:sz w:val="13"/>
              </w:rPr>
              <w:t>6.3</w:t>
              <w:tab/>
              <w:t>2.4</w:t>
            </w:r>
            <w:r>
              <w:rPr>
                <w:rFonts w:ascii="Calibri" w:hAnsi="Calibri"/>
                <w:w w:val="120"/>
                <w:sz w:val="13"/>
              </w:rPr>
              <w:t>±</w:t>
            </w:r>
            <w:r>
              <w:rPr>
                <w:w w:val="120"/>
                <w:sz w:val="13"/>
              </w:rPr>
              <w:t>2.9</w:t>
              <w:tab/>
              <w:t>14.2</w:t>
            </w:r>
            <w:r>
              <w:rPr>
                <w:rFonts w:ascii="Calibri" w:hAnsi="Calibri"/>
                <w:w w:val="120"/>
                <w:sz w:val="13"/>
              </w:rPr>
              <w:t>±</w:t>
            </w:r>
            <w:r>
              <w:rPr>
                <w:w w:val="120"/>
                <w:sz w:val="13"/>
              </w:rPr>
              <w:t>13.0</w:t>
              <w:tab/>
              <w:t>51.4</w:t>
            </w:r>
            <w:r>
              <w:rPr>
                <w:rFonts w:ascii="Calibri" w:hAnsi="Calibri"/>
                <w:w w:val="120"/>
                <w:sz w:val="13"/>
              </w:rPr>
              <w:t>±</w:t>
            </w:r>
            <w:r>
              <w:rPr>
                <w:w w:val="120"/>
                <w:sz w:val="13"/>
              </w:rPr>
              <w:t>22.1</w:t>
            </w:r>
          </w:p>
          <w:p>
            <w:pPr>
              <w:pStyle w:val="TableParagraph"/>
              <w:tabs>
                <w:tab w:pos="972" w:val="left" w:leader="none"/>
                <w:tab w:pos="1520" w:val="left" w:leader="none"/>
                <w:tab w:pos="1800" w:val="left" w:leader="none"/>
                <w:tab w:pos="2425" w:val="left" w:leader="none"/>
                <w:tab w:pos="2646" w:val="left" w:leader="none"/>
                <w:tab w:pos="3371" w:val="left" w:leader="none"/>
                <w:tab w:pos="4096" w:val="left" w:leader="none"/>
                <w:tab w:pos="4905" w:val="left" w:leader="none"/>
                <w:tab w:pos="5502" w:val="left" w:leader="none"/>
                <w:tab w:pos="5787" w:val="left" w:leader="none"/>
                <w:tab w:pos="6407" w:val="left" w:leader="none"/>
              </w:tabs>
              <w:spacing w:before="27"/>
              <w:ind w:left="199"/>
              <w:jc w:val="left"/>
              <w:rPr>
                <w:b/>
                <w:sz w:val="13"/>
              </w:rPr>
            </w:pPr>
            <w:r>
              <w:rPr>
                <w:w w:val="120"/>
                <w:sz w:val="13"/>
              </w:rPr>
              <w:t>0.17</w:t>
              <w:tab/>
              <w:t>0.32</w:t>
              <w:tab/>
            </w:r>
            <w:r>
              <w:rPr>
                <w:b/>
                <w:w w:val="120"/>
                <w:sz w:val="13"/>
                <w:shd w:fill="D9D9D9" w:color="auto" w:val="clear"/>
              </w:rPr>
              <w:tab/>
              <w:t>0.04*</w:t>
              <w:tab/>
            </w:r>
            <w:r>
              <w:rPr>
                <w:b/>
                <w:w w:val="120"/>
                <w:sz w:val="13"/>
              </w:rPr>
              <w:tab/>
            </w:r>
            <w:r>
              <w:rPr>
                <w:w w:val="120"/>
                <w:sz w:val="13"/>
              </w:rPr>
              <w:t>0.53</w:t>
              <w:tab/>
              <w:t>0.65</w:t>
              <w:tab/>
              <w:t>0.68</w:t>
              <w:tab/>
              <w:t>0.09</w:t>
              <w:tab/>
            </w:r>
            <w:r>
              <w:rPr>
                <w:b/>
                <w:w w:val="120"/>
                <w:sz w:val="13"/>
                <w:shd w:fill="D9D9D9" w:color="auto" w:val="clear"/>
              </w:rPr>
              <w:tab/>
              <w:t>0.03*</w:t>
            </w:r>
            <w:r>
              <w:rPr>
                <w:b/>
                <w:sz w:val="13"/>
                <w:shd w:fill="D9D9D9" w:color="auto" w:val="clear"/>
              </w:rPr>
              <w:tab/>
            </w:r>
          </w:p>
          <w:p>
            <w:pPr>
              <w:pStyle w:val="TableParagraph"/>
              <w:tabs>
                <w:tab w:pos="864" w:val="left" w:leader="none"/>
                <w:tab w:pos="1679" w:val="left" w:leader="none"/>
                <w:tab w:pos="2537" w:val="left" w:leader="none"/>
                <w:tab w:pos="3262" w:val="left" w:leader="none"/>
                <w:tab w:pos="3987" w:val="left" w:leader="none"/>
                <w:tab w:pos="4796" w:val="left" w:leader="none"/>
                <w:tab w:pos="5618" w:val="left" w:leader="none"/>
              </w:tabs>
              <w:spacing w:before="33"/>
              <w:ind w:left="91"/>
              <w:jc w:val="left"/>
              <w:rPr>
                <w:sz w:val="13"/>
              </w:rPr>
            </w:pPr>
            <w:r>
              <w:rPr>
                <w:w w:val="120"/>
                <w:sz w:val="13"/>
              </w:rPr>
              <w:t>0.3</w:t>
            </w:r>
            <w:r>
              <w:rPr>
                <w:rFonts w:ascii="Calibri" w:hAnsi="Calibri"/>
                <w:w w:val="120"/>
                <w:sz w:val="13"/>
              </w:rPr>
              <w:t>±</w:t>
            </w:r>
            <w:r>
              <w:rPr>
                <w:w w:val="120"/>
                <w:sz w:val="13"/>
              </w:rPr>
              <w:t>0.5</w:t>
              <w:tab/>
              <w:t>1.9</w:t>
            </w:r>
            <w:r>
              <w:rPr>
                <w:rFonts w:ascii="Calibri" w:hAnsi="Calibri"/>
                <w:w w:val="120"/>
                <w:sz w:val="13"/>
              </w:rPr>
              <w:t>±</w:t>
            </w:r>
            <w:r>
              <w:rPr>
                <w:w w:val="120"/>
                <w:sz w:val="13"/>
              </w:rPr>
              <w:t>1.6</w:t>
              <w:tab/>
              <w:t>13.5</w:t>
            </w:r>
            <w:r>
              <w:rPr>
                <w:rFonts w:ascii="Calibri" w:hAnsi="Calibri"/>
                <w:w w:val="120"/>
                <w:sz w:val="13"/>
              </w:rPr>
              <w:t>±</w:t>
            </w:r>
            <w:r>
              <w:rPr>
                <w:w w:val="120"/>
                <w:sz w:val="13"/>
              </w:rPr>
              <w:t>8.2</w:t>
              <w:tab/>
              <w:t>8.9</w:t>
            </w:r>
            <w:r>
              <w:rPr>
                <w:rFonts w:ascii="Calibri" w:hAnsi="Calibri"/>
                <w:w w:val="120"/>
                <w:sz w:val="13"/>
              </w:rPr>
              <w:t>±</w:t>
            </w:r>
            <w:r>
              <w:rPr>
                <w:w w:val="120"/>
                <w:sz w:val="13"/>
              </w:rPr>
              <w:t>3.8</w:t>
              <w:tab/>
              <w:t>5.1</w:t>
            </w:r>
            <w:r>
              <w:rPr>
                <w:rFonts w:ascii="Calibri" w:hAnsi="Calibri"/>
                <w:w w:val="120"/>
                <w:sz w:val="13"/>
              </w:rPr>
              <w:t>±</w:t>
            </w:r>
            <w:r>
              <w:rPr>
                <w:w w:val="120"/>
                <w:sz w:val="13"/>
              </w:rPr>
              <w:t>6.2</w:t>
              <w:tab/>
              <w:t>1.7</w:t>
            </w:r>
            <w:r>
              <w:rPr>
                <w:rFonts w:ascii="Calibri" w:hAnsi="Calibri"/>
                <w:w w:val="120"/>
                <w:sz w:val="13"/>
              </w:rPr>
              <w:t>±</w:t>
            </w:r>
            <w:r>
              <w:rPr>
                <w:w w:val="120"/>
                <w:sz w:val="13"/>
              </w:rPr>
              <w:t>2.0</w:t>
              <w:tab/>
              <w:t>9.4</w:t>
            </w:r>
            <w:r>
              <w:rPr>
                <w:rFonts w:ascii="Calibri" w:hAnsi="Calibri"/>
                <w:w w:val="120"/>
                <w:sz w:val="13"/>
              </w:rPr>
              <w:t>±</w:t>
            </w:r>
            <w:r>
              <w:rPr>
                <w:w w:val="120"/>
                <w:sz w:val="13"/>
              </w:rPr>
              <w:t>9.1</w:t>
              <w:tab/>
              <w:t>41.0</w:t>
            </w:r>
            <w:r>
              <w:rPr>
                <w:rFonts w:ascii="Calibri" w:hAnsi="Calibri"/>
                <w:w w:val="120"/>
                <w:sz w:val="13"/>
              </w:rPr>
              <w:t>±</w:t>
            </w:r>
            <w:r>
              <w:rPr>
                <w:w w:val="120"/>
                <w:sz w:val="13"/>
              </w:rPr>
              <w:t>17.4</w:t>
            </w:r>
          </w:p>
        </w:tc>
      </w:tr>
      <w:tr>
        <w:trPr>
          <w:trHeight w:val="550" w:hRule="exact"/>
        </w:trPr>
        <w:tc>
          <w:tcPr>
            <w:tcW w:w="350" w:type="dxa"/>
            <w:vMerge/>
            <w:tcBorders>
              <w:left w:val="nil"/>
              <w:right w:val="dotted" w:sz="5" w:space="0" w:color="000000"/>
            </w:tcBorders>
            <w:textDirection w:val="btLr"/>
          </w:tcPr>
          <w:p>
            <w:pPr/>
          </w:p>
        </w:tc>
        <w:tc>
          <w:tcPr>
            <w:tcW w:w="905" w:type="dxa"/>
            <w:tcBorders>
              <w:top w:val="dotted" w:sz="4" w:space="0" w:color="000000"/>
              <w:left w:val="dotted" w:sz="5" w:space="0" w:color="000000"/>
              <w:bottom w:val="dotted" w:sz="4" w:space="0" w:color="000000"/>
              <w:right w:val="dotted" w:sz="5" w:space="0" w:color="000000"/>
            </w:tcBorders>
          </w:tcPr>
          <w:p>
            <w:pPr>
              <w:pStyle w:val="TableParagraph"/>
              <w:spacing w:before="11"/>
              <w:jc w:val="left"/>
              <w:rPr>
                <w:rFonts w:ascii="Calibri"/>
                <w:sz w:val="15"/>
              </w:rPr>
            </w:pPr>
          </w:p>
          <w:p>
            <w:pPr>
              <w:pStyle w:val="TableParagraph"/>
              <w:spacing w:before="0"/>
              <w:ind w:left="9"/>
              <w:jc w:val="left"/>
              <w:rPr>
                <w:b/>
                <w:sz w:val="13"/>
              </w:rPr>
            </w:pPr>
            <w:r>
              <w:rPr>
                <w:b/>
                <w:w w:val="120"/>
                <w:sz w:val="13"/>
              </w:rPr>
              <w:t>Café</w:t>
            </w:r>
          </w:p>
        </w:tc>
        <w:tc>
          <w:tcPr>
            <w:tcW w:w="995" w:type="dxa"/>
            <w:tcBorders>
              <w:top w:val="dotted" w:sz="4" w:space="0" w:color="000000"/>
              <w:left w:val="dotted" w:sz="5" w:space="0" w:color="000000"/>
              <w:bottom w:val="dotted" w:sz="4" w:space="0" w:color="000000"/>
              <w:right w:val="dotted" w:sz="10" w:space="0" w:color="A6A6A6"/>
            </w:tcBorders>
          </w:tcPr>
          <w:p>
            <w:pPr>
              <w:pStyle w:val="TableParagraph"/>
              <w:spacing w:before="14"/>
              <w:ind w:left="10"/>
              <w:jc w:val="left"/>
              <w:rPr>
                <w:sz w:val="13"/>
              </w:rPr>
            </w:pPr>
            <w:r>
              <w:rPr>
                <w:w w:val="120"/>
                <w:sz w:val="13"/>
              </w:rPr>
              <w:t>Si</w:t>
            </w:r>
          </w:p>
          <w:p>
            <w:pPr>
              <w:pStyle w:val="TableParagraph"/>
              <w:spacing w:before="34"/>
              <w:ind w:right="1"/>
              <w:jc w:val="right"/>
              <w:rPr>
                <w:b/>
                <w:sz w:val="13"/>
              </w:rPr>
            </w:pPr>
            <w:r>
              <w:rPr>
                <w:b/>
                <w:w w:val="120"/>
                <w:sz w:val="13"/>
              </w:rPr>
              <w:t>p</w:t>
            </w:r>
          </w:p>
          <w:p>
            <w:pPr>
              <w:pStyle w:val="TableParagraph"/>
              <w:spacing w:before="34"/>
              <w:ind w:left="10"/>
              <w:jc w:val="left"/>
              <w:rPr>
                <w:sz w:val="13"/>
              </w:rPr>
            </w:pPr>
            <w:r>
              <w:rPr>
                <w:w w:val="120"/>
                <w:sz w:val="13"/>
              </w:rPr>
              <w:t>No</w:t>
            </w:r>
          </w:p>
        </w:tc>
        <w:tc>
          <w:tcPr>
            <w:tcW w:w="6425" w:type="dxa"/>
            <w:tcBorders>
              <w:top w:val="dotted" w:sz="4" w:space="0" w:color="000000"/>
              <w:left w:val="dotted" w:sz="10" w:space="0" w:color="A6A6A6"/>
              <w:bottom w:val="dotted" w:sz="4" w:space="0" w:color="000000"/>
              <w:right w:val="nil"/>
            </w:tcBorders>
          </w:tcPr>
          <w:p>
            <w:pPr>
              <w:pStyle w:val="TableParagraph"/>
              <w:tabs>
                <w:tab w:pos="772" w:val="left" w:leader="none"/>
                <w:tab w:pos="1588" w:val="left" w:leader="none"/>
                <w:tab w:pos="2446" w:val="left" w:leader="none"/>
                <w:tab w:pos="3171" w:val="left" w:leader="none"/>
                <w:tab w:pos="3896" w:val="left" w:leader="none"/>
                <w:tab w:pos="4621" w:val="left" w:leader="none"/>
                <w:tab w:pos="5527" w:val="left" w:leader="none"/>
              </w:tabs>
              <w:spacing w:before="12"/>
              <w:ind w:right="9"/>
              <w:rPr>
                <w:sz w:val="13"/>
              </w:rPr>
            </w:pPr>
            <w:r>
              <w:rPr>
                <w:w w:val="120"/>
                <w:sz w:val="13"/>
              </w:rPr>
              <w:t>0.5</w:t>
            </w:r>
            <w:r>
              <w:rPr>
                <w:rFonts w:ascii="Calibri" w:hAnsi="Calibri"/>
                <w:w w:val="120"/>
                <w:sz w:val="13"/>
              </w:rPr>
              <w:t>±</w:t>
            </w:r>
            <w:r>
              <w:rPr>
                <w:w w:val="120"/>
                <w:sz w:val="13"/>
              </w:rPr>
              <w:t>0.7</w:t>
              <w:tab/>
              <w:t>1.4</w:t>
            </w:r>
            <w:r>
              <w:rPr>
                <w:rFonts w:ascii="Calibri" w:hAnsi="Calibri"/>
                <w:w w:val="120"/>
                <w:sz w:val="13"/>
              </w:rPr>
              <w:t>±</w:t>
            </w:r>
            <w:r>
              <w:rPr>
                <w:w w:val="120"/>
                <w:sz w:val="13"/>
              </w:rPr>
              <w:t>1.7</w:t>
              <w:tab/>
              <w:t>18.3</w:t>
            </w:r>
            <w:r>
              <w:rPr>
                <w:rFonts w:ascii="Calibri" w:hAnsi="Calibri"/>
                <w:w w:val="120"/>
                <w:sz w:val="13"/>
              </w:rPr>
              <w:t>±</w:t>
            </w:r>
            <w:r>
              <w:rPr>
                <w:w w:val="120"/>
                <w:sz w:val="13"/>
              </w:rPr>
              <w:t>9.8</w:t>
              <w:tab/>
              <w:t>9.4</w:t>
            </w:r>
            <w:r>
              <w:rPr>
                <w:rFonts w:ascii="Calibri" w:hAnsi="Calibri"/>
                <w:w w:val="120"/>
                <w:sz w:val="13"/>
              </w:rPr>
              <w:t>±</w:t>
            </w:r>
            <w:r>
              <w:rPr>
                <w:w w:val="120"/>
                <w:sz w:val="13"/>
              </w:rPr>
              <w:t>6.8</w:t>
              <w:tab/>
              <w:t>5.1</w:t>
            </w:r>
            <w:r>
              <w:rPr>
                <w:rFonts w:ascii="Calibri" w:hAnsi="Calibri"/>
                <w:w w:val="120"/>
                <w:sz w:val="13"/>
              </w:rPr>
              <w:t>±</w:t>
            </w:r>
            <w:r>
              <w:rPr>
                <w:w w:val="120"/>
                <w:sz w:val="13"/>
              </w:rPr>
              <w:t>6.3</w:t>
              <w:tab/>
              <w:t>2.0</w:t>
            </w:r>
            <w:r>
              <w:rPr>
                <w:rFonts w:ascii="Calibri" w:hAnsi="Calibri"/>
                <w:w w:val="120"/>
                <w:sz w:val="13"/>
              </w:rPr>
              <w:t>±</w:t>
            </w:r>
            <w:r>
              <w:rPr>
                <w:w w:val="120"/>
                <w:sz w:val="13"/>
              </w:rPr>
              <w:t>2.4</w:t>
              <w:tab/>
              <w:t>14.5</w:t>
            </w:r>
            <w:r>
              <w:rPr>
                <w:rFonts w:ascii="Calibri" w:hAnsi="Calibri"/>
                <w:w w:val="120"/>
                <w:sz w:val="13"/>
              </w:rPr>
              <w:t>±</w:t>
            </w:r>
            <w:r>
              <w:rPr>
                <w:w w:val="120"/>
                <w:sz w:val="13"/>
              </w:rPr>
              <w:t>12.6</w:t>
              <w:tab/>
              <w:t>50.9</w:t>
            </w:r>
            <w:r>
              <w:rPr>
                <w:rFonts w:ascii="Calibri" w:hAnsi="Calibri"/>
                <w:w w:val="120"/>
                <w:sz w:val="13"/>
              </w:rPr>
              <w:t>±</w:t>
            </w:r>
            <w:r>
              <w:rPr>
                <w:w w:val="120"/>
                <w:sz w:val="13"/>
              </w:rPr>
              <w:t>18.9</w:t>
            </w:r>
          </w:p>
          <w:p>
            <w:pPr>
              <w:pStyle w:val="TableParagraph"/>
              <w:tabs>
                <w:tab w:pos="772" w:val="left" w:leader="none"/>
                <w:tab w:pos="1624" w:val="left" w:leader="none"/>
                <w:tab w:pos="2446" w:val="left" w:leader="none"/>
                <w:tab w:pos="3171" w:val="left" w:leader="none"/>
                <w:tab w:pos="3896" w:val="left" w:leader="none"/>
                <w:tab w:pos="4705" w:val="left" w:leader="none"/>
                <w:tab w:pos="5612" w:val="left" w:leader="none"/>
              </w:tabs>
              <w:spacing w:before="27"/>
              <w:ind w:right="94"/>
              <w:rPr>
                <w:sz w:val="13"/>
              </w:rPr>
            </w:pPr>
            <w:r>
              <w:rPr>
                <w:w w:val="120"/>
                <w:sz w:val="13"/>
              </w:rPr>
              <w:t>0.32</w:t>
              <w:tab/>
              <w:t>0.11</w:t>
              <w:tab/>
              <w:t>0.15</w:t>
              <w:tab/>
              <w:t>0.87</w:t>
              <w:tab/>
              <w:t>0.94</w:t>
              <w:tab/>
              <w:t>0.64</w:t>
              <w:tab/>
              <w:t>0.07</w:t>
              <w:tab/>
              <w:t>0.09</w:t>
            </w:r>
          </w:p>
          <w:p>
            <w:pPr>
              <w:pStyle w:val="TableParagraph"/>
              <w:tabs>
                <w:tab w:pos="772" w:val="left" w:leader="none"/>
                <w:tab w:pos="1588" w:val="left" w:leader="none"/>
                <w:tab w:pos="2446" w:val="left" w:leader="none"/>
                <w:tab w:pos="3171" w:val="left" w:leader="none"/>
                <w:tab w:pos="3896" w:val="left" w:leader="none"/>
                <w:tab w:pos="4621" w:val="left" w:leader="none"/>
                <w:tab w:pos="5527" w:val="left" w:leader="none"/>
              </w:tabs>
              <w:spacing w:before="32"/>
              <w:ind w:right="9"/>
              <w:rPr>
                <w:sz w:val="13"/>
              </w:rPr>
            </w:pPr>
            <w:r>
              <w:rPr>
                <w:w w:val="120"/>
                <w:sz w:val="13"/>
              </w:rPr>
              <w:t>0.4</w:t>
            </w:r>
            <w:r>
              <w:rPr>
                <w:rFonts w:ascii="Calibri" w:hAnsi="Calibri"/>
                <w:w w:val="120"/>
                <w:sz w:val="13"/>
              </w:rPr>
              <w:t>±</w:t>
            </w:r>
            <w:r>
              <w:rPr>
                <w:w w:val="120"/>
                <w:sz w:val="13"/>
              </w:rPr>
              <w:t>0.7</w:t>
              <w:tab/>
              <w:t>2.0</w:t>
            </w:r>
            <w:r>
              <w:rPr>
                <w:rFonts w:ascii="Calibri" w:hAnsi="Calibri"/>
                <w:w w:val="120"/>
                <w:sz w:val="13"/>
              </w:rPr>
              <w:t>±</w:t>
            </w:r>
            <w:r>
              <w:rPr>
                <w:w w:val="120"/>
                <w:sz w:val="13"/>
              </w:rPr>
              <w:t>1.8</w:t>
              <w:tab/>
              <w:t>14.6</w:t>
            </w:r>
            <w:r>
              <w:rPr>
                <w:rFonts w:ascii="Calibri" w:hAnsi="Calibri"/>
                <w:w w:val="120"/>
                <w:sz w:val="13"/>
              </w:rPr>
              <w:t>±</w:t>
            </w:r>
            <w:r>
              <w:rPr>
                <w:w w:val="120"/>
                <w:sz w:val="13"/>
              </w:rPr>
              <w:t>8.5</w:t>
              <w:tab/>
              <w:t>9.0</w:t>
            </w:r>
            <w:r>
              <w:rPr>
                <w:rFonts w:ascii="Calibri" w:hAnsi="Calibri"/>
                <w:w w:val="120"/>
                <w:sz w:val="13"/>
              </w:rPr>
              <w:t>±</w:t>
            </w:r>
            <w:r>
              <w:rPr>
                <w:w w:val="120"/>
                <w:sz w:val="13"/>
              </w:rPr>
              <w:t>5.5</w:t>
              <w:tab/>
              <w:t>5.3</w:t>
            </w:r>
            <w:r>
              <w:rPr>
                <w:rFonts w:ascii="Calibri" w:hAnsi="Calibri"/>
                <w:w w:val="120"/>
                <w:sz w:val="13"/>
              </w:rPr>
              <w:t>±</w:t>
            </w:r>
            <w:r>
              <w:rPr>
                <w:w w:val="120"/>
                <w:sz w:val="13"/>
              </w:rPr>
              <w:t>6.3</w:t>
              <w:tab/>
              <w:t>2.4</w:t>
            </w:r>
            <w:r>
              <w:rPr>
                <w:rFonts w:ascii="Calibri" w:hAnsi="Calibri"/>
                <w:w w:val="120"/>
                <w:sz w:val="13"/>
              </w:rPr>
              <w:t>±</w:t>
            </w:r>
            <w:r>
              <w:rPr>
                <w:w w:val="120"/>
                <w:sz w:val="13"/>
              </w:rPr>
              <w:t>2.9</w:t>
              <w:tab/>
              <w:t>10.2</w:t>
            </w:r>
            <w:r>
              <w:rPr>
                <w:rFonts w:ascii="Calibri" w:hAnsi="Calibri"/>
                <w:w w:val="120"/>
                <w:sz w:val="13"/>
              </w:rPr>
              <w:t>±</w:t>
            </w:r>
            <w:r>
              <w:rPr>
                <w:w w:val="120"/>
                <w:sz w:val="13"/>
              </w:rPr>
              <w:t>10.7</w:t>
              <w:tab/>
              <w:t>43.9</w:t>
            </w:r>
            <w:r>
              <w:rPr>
                <w:rFonts w:ascii="Calibri" w:hAnsi="Calibri"/>
                <w:w w:val="120"/>
                <w:sz w:val="13"/>
              </w:rPr>
              <w:t>±</w:t>
            </w:r>
            <w:r>
              <w:rPr>
                <w:w w:val="120"/>
                <w:sz w:val="13"/>
              </w:rPr>
              <w:t>22.8</w:t>
            </w:r>
          </w:p>
        </w:tc>
      </w:tr>
      <w:tr>
        <w:trPr>
          <w:trHeight w:val="550" w:hRule="exact"/>
        </w:trPr>
        <w:tc>
          <w:tcPr>
            <w:tcW w:w="350" w:type="dxa"/>
            <w:vMerge/>
            <w:tcBorders>
              <w:left w:val="nil"/>
              <w:right w:val="dotted" w:sz="5" w:space="0" w:color="000000"/>
            </w:tcBorders>
            <w:textDirection w:val="btLr"/>
          </w:tcPr>
          <w:p>
            <w:pPr/>
          </w:p>
        </w:tc>
        <w:tc>
          <w:tcPr>
            <w:tcW w:w="905" w:type="dxa"/>
            <w:tcBorders>
              <w:top w:val="dotted" w:sz="4" w:space="0" w:color="000000"/>
              <w:left w:val="dotted" w:sz="5" w:space="0" w:color="000000"/>
              <w:bottom w:val="dotted" w:sz="4" w:space="0" w:color="000000"/>
              <w:right w:val="dotted" w:sz="5" w:space="0" w:color="000000"/>
            </w:tcBorders>
          </w:tcPr>
          <w:p>
            <w:pPr>
              <w:pStyle w:val="TableParagraph"/>
              <w:spacing w:line="297" w:lineRule="auto" w:before="16"/>
              <w:ind w:left="9" w:right="465"/>
              <w:jc w:val="left"/>
              <w:rPr>
                <w:b/>
                <w:sz w:val="13"/>
              </w:rPr>
            </w:pPr>
            <w:r>
              <w:rPr>
                <w:b/>
                <w:w w:val="120"/>
                <w:sz w:val="13"/>
              </w:rPr>
              <w:t>Café con leche</w:t>
            </w:r>
          </w:p>
        </w:tc>
        <w:tc>
          <w:tcPr>
            <w:tcW w:w="995" w:type="dxa"/>
            <w:tcBorders>
              <w:top w:val="dotted" w:sz="4" w:space="0" w:color="000000"/>
              <w:left w:val="dotted" w:sz="5" w:space="0" w:color="000000"/>
              <w:bottom w:val="dotted" w:sz="4" w:space="0" w:color="000000"/>
              <w:right w:val="dotted" w:sz="10" w:space="0" w:color="A6A6A6"/>
            </w:tcBorders>
          </w:tcPr>
          <w:p>
            <w:pPr>
              <w:pStyle w:val="TableParagraph"/>
              <w:spacing w:before="16"/>
              <w:ind w:left="10"/>
              <w:jc w:val="left"/>
              <w:rPr>
                <w:sz w:val="13"/>
              </w:rPr>
            </w:pPr>
            <w:r>
              <w:rPr>
                <w:w w:val="120"/>
                <w:sz w:val="13"/>
              </w:rPr>
              <w:t>Si</w:t>
            </w:r>
          </w:p>
          <w:p>
            <w:pPr>
              <w:pStyle w:val="TableParagraph"/>
              <w:spacing w:before="35"/>
              <w:ind w:right="1"/>
              <w:jc w:val="right"/>
              <w:rPr>
                <w:b/>
                <w:sz w:val="13"/>
              </w:rPr>
            </w:pPr>
            <w:r>
              <w:rPr>
                <w:b/>
                <w:w w:val="120"/>
                <w:sz w:val="13"/>
              </w:rPr>
              <w:t>p</w:t>
            </w:r>
          </w:p>
          <w:p>
            <w:pPr>
              <w:pStyle w:val="TableParagraph"/>
              <w:spacing w:before="34"/>
              <w:ind w:left="10"/>
              <w:jc w:val="left"/>
              <w:rPr>
                <w:sz w:val="13"/>
              </w:rPr>
            </w:pPr>
            <w:r>
              <w:rPr>
                <w:w w:val="120"/>
                <w:sz w:val="13"/>
              </w:rPr>
              <w:t>No</w:t>
            </w:r>
          </w:p>
        </w:tc>
        <w:tc>
          <w:tcPr>
            <w:tcW w:w="6425" w:type="dxa"/>
            <w:tcBorders>
              <w:top w:val="dotted" w:sz="4" w:space="0" w:color="000000"/>
              <w:left w:val="dotted" w:sz="10" w:space="0" w:color="A6A6A6"/>
              <w:bottom w:val="dotted" w:sz="4" w:space="0" w:color="000000"/>
              <w:right w:val="nil"/>
            </w:tcBorders>
          </w:tcPr>
          <w:p>
            <w:pPr>
              <w:pStyle w:val="TableParagraph"/>
              <w:tabs>
                <w:tab w:pos="772" w:val="left" w:leader="none"/>
                <w:tab w:pos="1588" w:val="left" w:leader="none"/>
                <w:tab w:pos="2446" w:val="left" w:leader="none"/>
                <w:tab w:pos="3171" w:val="left" w:leader="none"/>
                <w:tab w:pos="3896" w:val="left" w:leader="none"/>
                <w:tab w:pos="4621" w:val="left" w:leader="none"/>
                <w:tab w:pos="5527" w:val="left" w:leader="none"/>
              </w:tabs>
              <w:spacing w:before="14"/>
              <w:ind w:right="9"/>
              <w:rPr>
                <w:sz w:val="13"/>
              </w:rPr>
            </w:pPr>
            <w:r>
              <w:rPr>
                <w:w w:val="120"/>
                <w:sz w:val="13"/>
              </w:rPr>
              <w:t>0.5</w:t>
            </w:r>
            <w:r>
              <w:rPr>
                <w:rFonts w:ascii="Calibri" w:hAnsi="Calibri"/>
                <w:w w:val="120"/>
                <w:sz w:val="13"/>
              </w:rPr>
              <w:t>±</w:t>
            </w:r>
            <w:r>
              <w:rPr>
                <w:w w:val="120"/>
                <w:sz w:val="13"/>
              </w:rPr>
              <w:t>0.8</w:t>
              <w:tab/>
              <w:t>1.9</w:t>
            </w:r>
            <w:r>
              <w:rPr>
                <w:rFonts w:ascii="Calibri" w:hAnsi="Calibri"/>
                <w:w w:val="120"/>
                <w:sz w:val="13"/>
              </w:rPr>
              <w:t>±</w:t>
            </w:r>
            <w:r>
              <w:rPr>
                <w:w w:val="120"/>
                <w:sz w:val="13"/>
              </w:rPr>
              <w:t>2.3</w:t>
              <w:tab/>
              <w:t>18.2</w:t>
            </w:r>
            <w:r>
              <w:rPr>
                <w:rFonts w:ascii="Calibri" w:hAnsi="Calibri"/>
                <w:w w:val="120"/>
                <w:sz w:val="13"/>
              </w:rPr>
              <w:t>±</w:t>
            </w:r>
            <w:r>
              <w:rPr>
                <w:w w:val="120"/>
                <w:sz w:val="13"/>
              </w:rPr>
              <w:t>9.9</w:t>
              <w:tab/>
              <w:t>9.2</w:t>
            </w:r>
            <w:r>
              <w:rPr>
                <w:rFonts w:ascii="Calibri" w:hAnsi="Calibri"/>
                <w:w w:val="120"/>
                <w:sz w:val="13"/>
              </w:rPr>
              <w:t>±</w:t>
            </w:r>
            <w:r>
              <w:rPr>
                <w:w w:val="120"/>
                <w:sz w:val="13"/>
              </w:rPr>
              <w:t>7.0</w:t>
              <w:tab/>
              <w:t>5.6</w:t>
            </w:r>
            <w:r>
              <w:rPr>
                <w:rFonts w:ascii="Calibri" w:hAnsi="Calibri"/>
                <w:w w:val="120"/>
                <w:sz w:val="13"/>
              </w:rPr>
              <w:t>±</w:t>
            </w:r>
            <w:r>
              <w:rPr>
                <w:w w:val="120"/>
                <w:sz w:val="13"/>
              </w:rPr>
              <w:t>6.8</w:t>
              <w:tab/>
              <w:t>1.9</w:t>
            </w:r>
            <w:r>
              <w:rPr>
                <w:rFonts w:ascii="Calibri" w:hAnsi="Calibri"/>
                <w:w w:val="120"/>
                <w:sz w:val="13"/>
              </w:rPr>
              <w:t>±</w:t>
            </w:r>
            <w:r>
              <w:rPr>
                <w:w w:val="120"/>
                <w:sz w:val="13"/>
              </w:rPr>
              <w:t>2.4</w:t>
              <w:tab/>
              <w:t>13.2</w:t>
            </w:r>
            <w:r>
              <w:rPr>
                <w:rFonts w:ascii="Calibri" w:hAnsi="Calibri"/>
                <w:w w:val="120"/>
                <w:sz w:val="13"/>
              </w:rPr>
              <w:t>±</w:t>
            </w:r>
            <w:r>
              <w:rPr>
                <w:w w:val="120"/>
                <w:sz w:val="13"/>
              </w:rPr>
              <w:t>12.9</w:t>
              <w:tab/>
              <w:t>50.6</w:t>
            </w:r>
            <w:r>
              <w:rPr>
                <w:rFonts w:ascii="Calibri" w:hAnsi="Calibri"/>
                <w:w w:val="120"/>
                <w:sz w:val="13"/>
              </w:rPr>
              <w:t>±</w:t>
            </w:r>
            <w:r>
              <w:rPr>
                <w:w w:val="120"/>
                <w:sz w:val="13"/>
              </w:rPr>
              <w:t>20.3</w:t>
            </w:r>
          </w:p>
          <w:p>
            <w:pPr>
              <w:pStyle w:val="TableParagraph"/>
              <w:tabs>
                <w:tab w:pos="772" w:val="left" w:leader="none"/>
                <w:tab w:pos="1624" w:val="left" w:leader="none"/>
                <w:tab w:pos="2446" w:val="left" w:leader="none"/>
                <w:tab w:pos="3171" w:val="left" w:leader="none"/>
                <w:tab w:pos="3896" w:val="left" w:leader="none"/>
                <w:tab w:pos="4705" w:val="left" w:leader="none"/>
                <w:tab w:pos="5612" w:val="left" w:leader="none"/>
              </w:tabs>
              <w:spacing w:before="27"/>
              <w:ind w:right="94"/>
              <w:rPr>
                <w:sz w:val="13"/>
              </w:rPr>
            </w:pPr>
            <w:r>
              <w:rPr>
                <w:w w:val="120"/>
                <w:sz w:val="13"/>
              </w:rPr>
              <w:t>0.91</w:t>
              <w:tab/>
              <w:t>0.61</w:t>
              <w:tab/>
              <w:t>0.26</w:t>
              <w:tab/>
              <w:t>0.59</w:t>
              <w:tab/>
              <w:t>0.61</w:t>
              <w:tab/>
              <w:t>0.58</w:t>
              <w:tab/>
              <w:t>0.71</w:t>
              <w:tab/>
              <w:t>0.12</w:t>
            </w:r>
          </w:p>
          <w:p>
            <w:pPr>
              <w:pStyle w:val="TableParagraph"/>
              <w:tabs>
                <w:tab w:pos="772" w:val="left" w:leader="none"/>
                <w:tab w:pos="1588" w:val="left" w:leader="none"/>
                <w:tab w:pos="2446" w:val="left" w:leader="none"/>
                <w:tab w:pos="3171" w:val="left" w:leader="none"/>
                <w:tab w:pos="3896" w:val="left" w:leader="none"/>
                <w:tab w:pos="4621" w:val="left" w:leader="none"/>
                <w:tab w:pos="5527" w:val="left" w:leader="none"/>
              </w:tabs>
              <w:spacing w:before="32"/>
              <w:ind w:right="9"/>
              <w:rPr>
                <w:sz w:val="13"/>
              </w:rPr>
            </w:pPr>
            <w:r>
              <w:rPr>
                <w:w w:val="120"/>
                <w:sz w:val="13"/>
              </w:rPr>
              <w:t>0.4</w:t>
            </w:r>
            <w:r>
              <w:rPr>
                <w:rFonts w:ascii="Calibri" w:hAnsi="Calibri"/>
                <w:w w:val="120"/>
                <w:sz w:val="13"/>
              </w:rPr>
              <w:t>±</w:t>
            </w:r>
            <w:r>
              <w:rPr>
                <w:w w:val="120"/>
                <w:sz w:val="13"/>
              </w:rPr>
              <w:t>0.6</w:t>
              <w:tab/>
              <w:t>1.5</w:t>
            </w:r>
            <w:r>
              <w:rPr>
                <w:rFonts w:ascii="Calibri" w:hAnsi="Calibri"/>
                <w:w w:val="120"/>
                <w:sz w:val="13"/>
              </w:rPr>
              <w:t>±</w:t>
            </w:r>
            <w:r>
              <w:rPr>
                <w:w w:val="120"/>
                <w:sz w:val="13"/>
              </w:rPr>
              <w:t>1.1</w:t>
              <w:tab/>
              <w:t>14.9</w:t>
            </w:r>
            <w:r>
              <w:rPr>
                <w:rFonts w:ascii="Calibri" w:hAnsi="Calibri"/>
                <w:w w:val="120"/>
                <w:sz w:val="13"/>
              </w:rPr>
              <w:t>±</w:t>
            </w:r>
            <w:r>
              <w:rPr>
                <w:w w:val="120"/>
                <w:sz w:val="13"/>
              </w:rPr>
              <w:t>8.6</w:t>
              <w:tab/>
              <w:t>9.1</w:t>
            </w:r>
            <w:r>
              <w:rPr>
                <w:rFonts w:ascii="Calibri" w:hAnsi="Calibri"/>
                <w:w w:val="120"/>
                <w:sz w:val="13"/>
              </w:rPr>
              <w:t>±</w:t>
            </w:r>
            <w:r>
              <w:rPr>
                <w:w w:val="120"/>
                <w:sz w:val="13"/>
              </w:rPr>
              <w:t>5.3</w:t>
              <w:tab/>
              <w:t>4.7</w:t>
            </w:r>
            <w:r>
              <w:rPr>
                <w:rFonts w:ascii="Calibri" w:hAnsi="Calibri"/>
                <w:w w:val="120"/>
                <w:sz w:val="13"/>
              </w:rPr>
              <w:t>±</w:t>
            </w:r>
            <w:r>
              <w:rPr>
                <w:w w:val="120"/>
                <w:sz w:val="13"/>
              </w:rPr>
              <w:t>5.7</w:t>
              <w:tab/>
              <w:t>2.4</w:t>
            </w:r>
            <w:r>
              <w:rPr>
                <w:rFonts w:ascii="Calibri" w:hAnsi="Calibri"/>
                <w:w w:val="120"/>
                <w:sz w:val="13"/>
              </w:rPr>
              <w:t>±</w:t>
            </w:r>
            <w:r>
              <w:rPr>
                <w:w w:val="120"/>
                <w:sz w:val="13"/>
              </w:rPr>
              <w:t>2.9</w:t>
              <w:tab/>
              <w:t>11.7</w:t>
            </w:r>
            <w:r>
              <w:rPr>
                <w:rFonts w:ascii="Calibri" w:hAnsi="Calibri"/>
                <w:w w:val="120"/>
                <w:sz w:val="13"/>
              </w:rPr>
              <w:t>±</w:t>
            </w:r>
            <w:r>
              <w:rPr>
                <w:w w:val="120"/>
                <w:sz w:val="13"/>
              </w:rPr>
              <w:t>11.0</w:t>
              <w:tab/>
              <w:t>44.7</w:t>
            </w:r>
            <w:r>
              <w:rPr>
                <w:rFonts w:ascii="Calibri" w:hAnsi="Calibri"/>
                <w:w w:val="120"/>
                <w:sz w:val="13"/>
              </w:rPr>
              <w:t>±</w:t>
            </w:r>
            <w:r>
              <w:rPr>
                <w:w w:val="120"/>
                <w:sz w:val="13"/>
              </w:rPr>
              <w:t>21.6</w:t>
            </w:r>
          </w:p>
        </w:tc>
      </w:tr>
      <w:tr>
        <w:trPr>
          <w:trHeight w:val="560" w:hRule="exact"/>
        </w:trPr>
        <w:tc>
          <w:tcPr>
            <w:tcW w:w="350" w:type="dxa"/>
            <w:vMerge/>
            <w:tcBorders>
              <w:left w:val="nil"/>
              <w:bottom w:val="dotted" w:sz="4" w:space="0" w:color="000000"/>
              <w:right w:val="dotted" w:sz="5" w:space="0" w:color="000000"/>
            </w:tcBorders>
            <w:textDirection w:val="btLr"/>
          </w:tcPr>
          <w:p>
            <w:pPr/>
          </w:p>
        </w:tc>
        <w:tc>
          <w:tcPr>
            <w:tcW w:w="905" w:type="dxa"/>
            <w:tcBorders>
              <w:top w:val="dotted" w:sz="4" w:space="0" w:color="000000"/>
              <w:left w:val="dotted" w:sz="5" w:space="0" w:color="000000"/>
              <w:bottom w:val="dotted" w:sz="4" w:space="0" w:color="000000"/>
              <w:right w:val="dotted" w:sz="5" w:space="0" w:color="000000"/>
            </w:tcBorders>
          </w:tcPr>
          <w:p>
            <w:pPr>
              <w:pStyle w:val="TableParagraph"/>
              <w:spacing w:before="3"/>
              <w:jc w:val="left"/>
              <w:rPr>
                <w:rFonts w:ascii="Calibri"/>
                <w:sz w:val="16"/>
              </w:rPr>
            </w:pPr>
          </w:p>
          <w:p>
            <w:pPr>
              <w:pStyle w:val="TableParagraph"/>
              <w:spacing w:before="0"/>
              <w:ind w:left="9"/>
              <w:jc w:val="left"/>
              <w:rPr>
                <w:b/>
                <w:sz w:val="13"/>
              </w:rPr>
            </w:pPr>
            <w:r>
              <w:rPr>
                <w:b/>
                <w:w w:val="120"/>
                <w:sz w:val="13"/>
              </w:rPr>
              <w:t>Vitaminas</w:t>
            </w:r>
          </w:p>
        </w:tc>
        <w:tc>
          <w:tcPr>
            <w:tcW w:w="995" w:type="dxa"/>
            <w:tcBorders>
              <w:top w:val="dotted" w:sz="4" w:space="0" w:color="000000"/>
              <w:left w:val="dotted" w:sz="5" w:space="0" w:color="000000"/>
              <w:bottom w:val="dotted" w:sz="4" w:space="0" w:color="000000"/>
              <w:right w:val="dotted" w:sz="10" w:space="0" w:color="A6A6A6"/>
            </w:tcBorders>
          </w:tcPr>
          <w:p>
            <w:pPr>
              <w:pStyle w:val="TableParagraph"/>
              <w:spacing w:before="19"/>
              <w:ind w:left="10"/>
              <w:jc w:val="left"/>
              <w:rPr>
                <w:sz w:val="13"/>
              </w:rPr>
            </w:pPr>
            <w:r>
              <w:rPr>
                <w:w w:val="120"/>
                <w:sz w:val="13"/>
              </w:rPr>
              <w:t>Si</w:t>
            </w:r>
          </w:p>
          <w:p>
            <w:pPr>
              <w:pStyle w:val="TableParagraph"/>
              <w:spacing w:before="34"/>
              <w:ind w:right="1"/>
              <w:jc w:val="right"/>
              <w:rPr>
                <w:b/>
                <w:sz w:val="13"/>
              </w:rPr>
            </w:pPr>
            <w:r>
              <w:rPr>
                <w:b/>
                <w:w w:val="120"/>
                <w:sz w:val="13"/>
              </w:rPr>
              <w:t>p</w:t>
            </w:r>
          </w:p>
          <w:p>
            <w:pPr>
              <w:pStyle w:val="TableParagraph"/>
              <w:spacing w:before="35"/>
              <w:ind w:left="10"/>
              <w:jc w:val="left"/>
              <w:rPr>
                <w:sz w:val="13"/>
              </w:rPr>
            </w:pPr>
            <w:r>
              <w:rPr>
                <w:w w:val="120"/>
                <w:sz w:val="13"/>
              </w:rPr>
              <w:t>No</w:t>
            </w:r>
          </w:p>
        </w:tc>
        <w:tc>
          <w:tcPr>
            <w:tcW w:w="6425" w:type="dxa"/>
            <w:tcBorders>
              <w:top w:val="dotted" w:sz="4" w:space="0" w:color="000000"/>
              <w:left w:val="dotted" w:sz="10" w:space="0" w:color="A6A6A6"/>
              <w:bottom w:val="dotted" w:sz="4" w:space="0" w:color="000000"/>
              <w:right w:val="nil"/>
            </w:tcBorders>
          </w:tcPr>
          <w:p>
            <w:pPr>
              <w:pStyle w:val="TableParagraph"/>
              <w:tabs>
                <w:tab w:pos="772" w:val="left" w:leader="none"/>
                <w:tab w:pos="1588" w:val="left" w:leader="none"/>
                <w:tab w:pos="2397" w:val="left" w:leader="none"/>
                <w:tab w:pos="3896" w:val="left" w:leader="none"/>
                <w:tab w:pos="4621" w:val="left" w:leader="none"/>
                <w:tab w:pos="5527" w:val="left" w:leader="none"/>
              </w:tabs>
              <w:spacing w:before="17"/>
              <w:ind w:right="9"/>
              <w:rPr>
                <w:sz w:val="13"/>
              </w:rPr>
            </w:pPr>
            <w:r>
              <w:rPr>
                <w:w w:val="120"/>
                <w:sz w:val="13"/>
              </w:rPr>
              <w:t>0.6</w:t>
            </w:r>
            <w:r>
              <w:rPr>
                <w:rFonts w:ascii="Calibri" w:hAnsi="Calibri"/>
                <w:w w:val="120"/>
                <w:sz w:val="13"/>
              </w:rPr>
              <w:t>±</w:t>
            </w:r>
            <w:r>
              <w:rPr>
                <w:w w:val="120"/>
                <w:sz w:val="13"/>
              </w:rPr>
              <w:t>0.5</w:t>
              <w:tab/>
              <w:t>0.8</w:t>
            </w:r>
            <w:r>
              <w:rPr>
                <w:rFonts w:ascii="Calibri" w:hAnsi="Calibri"/>
                <w:w w:val="120"/>
                <w:sz w:val="13"/>
              </w:rPr>
              <w:t>±</w:t>
            </w:r>
            <w:r>
              <w:rPr>
                <w:w w:val="120"/>
                <w:sz w:val="13"/>
              </w:rPr>
              <w:t>0.8</w:t>
              <w:tab/>
              <w:t>11.6</w:t>
            </w:r>
            <w:r>
              <w:rPr>
                <w:rFonts w:ascii="Calibri" w:hAnsi="Calibri"/>
                <w:w w:val="120"/>
                <w:sz w:val="13"/>
              </w:rPr>
              <w:t>±</w:t>
            </w:r>
            <w:r>
              <w:rPr>
                <w:w w:val="120"/>
                <w:sz w:val="13"/>
              </w:rPr>
              <w:t>7.5</w:t>
              <w:tab/>
              <w:t>10.2</w:t>
            </w:r>
            <w:r>
              <w:rPr>
                <w:rFonts w:ascii="Calibri" w:hAnsi="Calibri"/>
                <w:w w:val="120"/>
                <w:sz w:val="13"/>
              </w:rPr>
              <w:t>±</w:t>
            </w:r>
            <w:r>
              <w:rPr>
                <w:w w:val="120"/>
                <w:sz w:val="13"/>
              </w:rPr>
              <w:t>2.6   </w:t>
            </w:r>
            <w:r>
              <w:rPr>
                <w:spacing w:val="2"/>
                <w:w w:val="120"/>
                <w:sz w:val="13"/>
              </w:rPr>
              <w:t> </w:t>
            </w:r>
            <w:r>
              <w:rPr>
                <w:w w:val="120"/>
                <w:sz w:val="13"/>
              </w:rPr>
              <w:t>1.8</w:t>
            </w:r>
            <w:r>
              <w:rPr>
                <w:rFonts w:ascii="Calibri" w:hAnsi="Calibri"/>
                <w:w w:val="120"/>
                <w:sz w:val="13"/>
              </w:rPr>
              <w:t>±</w:t>
            </w:r>
            <w:r>
              <w:rPr>
                <w:w w:val="120"/>
                <w:sz w:val="13"/>
              </w:rPr>
              <w:t>2.3</w:t>
              <w:tab/>
              <w:t>1.6</w:t>
            </w:r>
            <w:r>
              <w:rPr>
                <w:rFonts w:ascii="Calibri" w:hAnsi="Calibri"/>
                <w:w w:val="120"/>
                <w:sz w:val="13"/>
              </w:rPr>
              <w:t>±</w:t>
            </w:r>
            <w:r>
              <w:rPr>
                <w:w w:val="120"/>
                <w:sz w:val="13"/>
              </w:rPr>
              <w:t>1.1</w:t>
              <w:tab/>
              <w:t>17.6</w:t>
            </w:r>
            <w:r>
              <w:rPr>
                <w:rFonts w:ascii="Calibri" w:hAnsi="Calibri"/>
                <w:w w:val="120"/>
                <w:sz w:val="13"/>
              </w:rPr>
              <w:t>±</w:t>
            </w:r>
            <w:r>
              <w:rPr>
                <w:w w:val="120"/>
                <w:sz w:val="13"/>
              </w:rPr>
              <w:t>15.7</w:t>
              <w:tab/>
              <w:t>43.6</w:t>
            </w:r>
            <w:r>
              <w:rPr>
                <w:rFonts w:ascii="Calibri" w:hAnsi="Calibri"/>
                <w:w w:val="120"/>
                <w:sz w:val="13"/>
              </w:rPr>
              <w:t>±</w:t>
            </w:r>
            <w:r>
              <w:rPr>
                <w:w w:val="120"/>
                <w:sz w:val="13"/>
              </w:rPr>
              <w:t>22.5</w:t>
            </w:r>
          </w:p>
          <w:p>
            <w:pPr>
              <w:pStyle w:val="TableParagraph"/>
              <w:tabs>
                <w:tab w:pos="772" w:val="left" w:leader="none"/>
                <w:tab w:pos="1624" w:val="left" w:leader="none"/>
                <w:tab w:pos="2446" w:val="left" w:leader="none"/>
                <w:tab w:pos="3171" w:val="left" w:leader="none"/>
                <w:tab w:pos="3896" w:val="left" w:leader="none"/>
                <w:tab w:pos="4705" w:val="left" w:leader="none"/>
                <w:tab w:pos="5612" w:val="left" w:leader="none"/>
              </w:tabs>
              <w:spacing w:before="27"/>
              <w:ind w:right="94"/>
              <w:rPr>
                <w:sz w:val="13"/>
              </w:rPr>
            </w:pPr>
            <w:r>
              <w:rPr>
                <w:w w:val="120"/>
                <w:sz w:val="13"/>
              </w:rPr>
              <w:t>0.37</w:t>
              <w:tab/>
              <w:t>0.24</w:t>
              <w:tab/>
              <w:t>0.26</w:t>
              <w:tab/>
              <w:t>0.32</w:t>
              <w:tab/>
              <w:t>0.17</w:t>
              <w:tab/>
              <w:t>0.96</w:t>
              <w:tab/>
              <w:t>0.59</w:t>
              <w:tab/>
              <w:t>0.63</w:t>
            </w:r>
          </w:p>
          <w:p>
            <w:pPr>
              <w:pStyle w:val="TableParagraph"/>
              <w:tabs>
                <w:tab w:pos="772" w:val="left" w:leader="none"/>
                <w:tab w:pos="1588" w:val="left" w:leader="none"/>
                <w:tab w:pos="2446" w:val="left" w:leader="none"/>
                <w:tab w:pos="3171" w:val="left" w:leader="none"/>
                <w:tab w:pos="3896" w:val="left" w:leader="none"/>
                <w:tab w:pos="4621" w:val="left" w:leader="none"/>
                <w:tab w:pos="5527" w:val="left" w:leader="none"/>
              </w:tabs>
              <w:spacing w:before="33"/>
              <w:ind w:right="9"/>
              <w:rPr>
                <w:sz w:val="13"/>
              </w:rPr>
            </w:pPr>
            <w:r>
              <w:rPr>
                <w:w w:val="120"/>
                <w:sz w:val="13"/>
              </w:rPr>
              <w:t>0.4</w:t>
            </w:r>
            <w:r>
              <w:rPr>
                <w:rFonts w:ascii="Calibri" w:hAnsi="Calibri"/>
                <w:w w:val="120"/>
                <w:sz w:val="13"/>
              </w:rPr>
              <w:t>±</w:t>
            </w:r>
            <w:r>
              <w:rPr>
                <w:w w:val="120"/>
                <w:sz w:val="13"/>
              </w:rPr>
              <w:t>0.7</w:t>
              <w:tab/>
              <w:t>1.8</w:t>
            </w:r>
            <w:r>
              <w:rPr>
                <w:rFonts w:ascii="Calibri" w:hAnsi="Calibri"/>
                <w:w w:val="120"/>
                <w:sz w:val="13"/>
              </w:rPr>
              <w:t>±</w:t>
            </w:r>
            <w:r>
              <w:rPr>
                <w:w w:val="120"/>
                <w:sz w:val="13"/>
              </w:rPr>
              <w:t>1.8</w:t>
              <w:tab/>
              <w:t>17.0</w:t>
            </w:r>
            <w:r>
              <w:rPr>
                <w:rFonts w:ascii="Calibri" w:hAnsi="Calibri"/>
                <w:w w:val="120"/>
                <w:sz w:val="13"/>
              </w:rPr>
              <w:t>±</w:t>
            </w:r>
            <w:r>
              <w:rPr>
                <w:w w:val="120"/>
                <w:sz w:val="13"/>
              </w:rPr>
              <w:t>9.4</w:t>
              <w:tab/>
              <w:t>9.1</w:t>
            </w:r>
            <w:r>
              <w:rPr>
                <w:rFonts w:ascii="Calibri" w:hAnsi="Calibri"/>
                <w:w w:val="120"/>
                <w:sz w:val="13"/>
              </w:rPr>
              <w:t>±</w:t>
            </w:r>
            <w:r>
              <w:rPr>
                <w:w w:val="120"/>
                <w:sz w:val="13"/>
              </w:rPr>
              <w:t>6.4</w:t>
              <w:tab/>
              <w:t>5.5</w:t>
            </w:r>
            <w:r>
              <w:rPr>
                <w:rFonts w:ascii="Calibri" w:hAnsi="Calibri"/>
                <w:w w:val="120"/>
                <w:sz w:val="13"/>
              </w:rPr>
              <w:t>±</w:t>
            </w:r>
            <w:r>
              <w:rPr>
                <w:w w:val="120"/>
                <w:sz w:val="13"/>
              </w:rPr>
              <w:t>6.4</w:t>
              <w:tab/>
              <w:t>2.2</w:t>
            </w:r>
            <w:r>
              <w:rPr>
                <w:rFonts w:ascii="Calibri" w:hAnsi="Calibri"/>
                <w:w w:val="120"/>
                <w:sz w:val="13"/>
              </w:rPr>
              <w:t>±</w:t>
            </w:r>
            <w:r>
              <w:rPr>
                <w:w w:val="120"/>
                <w:sz w:val="13"/>
              </w:rPr>
              <w:t>2.7</w:t>
              <w:tab/>
              <w:t>12.0</w:t>
            </w:r>
            <w:r>
              <w:rPr>
                <w:rFonts w:ascii="Calibri" w:hAnsi="Calibri"/>
                <w:w w:val="120"/>
                <w:sz w:val="13"/>
              </w:rPr>
              <w:t>±</w:t>
            </w:r>
            <w:r>
              <w:rPr>
                <w:w w:val="120"/>
                <w:sz w:val="13"/>
              </w:rPr>
              <w:t>11.6</w:t>
              <w:tab/>
              <w:t>47.9</w:t>
            </w:r>
            <w:r>
              <w:rPr>
                <w:rFonts w:ascii="Calibri" w:hAnsi="Calibri"/>
                <w:w w:val="120"/>
                <w:sz w:val="13"/>
              </w:rPr>
              <w:t>±</w:t>
            </w:r>
            <w:r>
              <w:rPr>
                <w:w w:val="120"/>
                <w:sz w:val="13"/>
              </w:rPr>
              <w:t>21.0</w:t>
            </w:r>
          </w:p>
        </w:tc>
      </w:tr>
      <w:tr>
        <w:trPr>
          <w:trHeight w:val="550" w:hRule="exact"/>
        </w:trPr>
        <w:tc>
          <w:tcPr>
            <w:tcW w:w="1255" w:type="dxa"/>
            <w:gridSpan w:val="2"/>
            <w:tcBorders>
              <w:top w:val="dotted" w:sz="4" w:space="0" w:color="000000"/>
              <w:left w:val="nil"/>
              <w:bottom w:val="dotted" w:sz="4" w:space="0" w:color="000000"/>
              <w:right w:val="dotted" w:sz="5" w:space="0" w:color="000000"/>
            </w:tcBorders>
          </w:tcPr>
          <w:p>
            <w:pPr>
              <w:pStyle w:val="TableParagraph"/>
              <w:spacing w:line="297" w:lineRule="auto" w:before="11"/>
              <w:ind w:left="135" w:right="149"/>
              <w:rPr>
                <w:b/>
                <w:sz w:val="13"/>
              </w:rPr>
            </w:pPr>
            <w:r>
              <w:rPr>
                <w:b/>
                <w:w w:val="120"/>
                <w:sz w:val="13"/>
              </w:rPr>
              <w:t>Lavado de frutas y verduras</w:t>
            </w:r>
          </w:p>
        </w:tc>
        <w:tc>
          <w:tcPr>
            <w:tcW w:w="995" w:type="dxa"/>
            <w:tcBorders>
              <w:top w:val="dotted" w:sz="4" w:space="0" w:color="000000"/>
              <w:left w:val="dotted" w:sz="5" w:space="0" w:color="000000"/>
              <w:bottom w:val="dotted" w:sz="4" w:space="0" w:color="000000"/>
              <w:right w:val="dotted" w:sz="10" w:space="0" w:color="A6A6A6"/>
            </w:tcBorders>
          </w:tcPr>
          <w:p>
            <w:pPr>
              <w:pStyle w:val="TableParagraph"/>
              <w:spacing w:before="11"/>
              <w:ind w:right="34"/>
              <w:jc w:val="right"/>
              <w:rPr>
                <w:sz w:val="13"/>
              </w:rPr>
            </w:pPr>
            <w:r>
              <w:rPr>
                <w:w w:val="120"/>
                <w:sz w:val="13"/>
              </w:rPr>
              <w:t>Agua y jabón</w:t>
            </w:r>
          </w:p>
          <w:p>
            <w:pPr>
              <w:pStyle w:val="TableParagraph"/>
              <w:spacing w:before="34"/>
              <w:ind w:right="1"/>
              <w:jc w:val="right"/>
              <w:rPr>
                <w:b/>
                <w:sz w:val="13"/>
              </w:rPr>
            </w:pPr>
            <w:r>
              <w:rPr>
                <w:b/>
                <w:w w:val="120"/>
                <w:sz w:val="13"/>
              </w:rPr>
              <w:t>p</w:t>
            </w:r>
          </w:p>
          <w:p>
            <w:pPr>
              <w:pStyle w:val="TableParagraph"/>
              <w:spacing w:before="34"/>
              <w:ind w:left="10"/>
              <w:jc w:val="left"/>
              <w:rPr>
                <w:sz w:val="13"/>
              </w:rPr>
            </w:pPr>
            <w:r>
              <w:rPr>
                <w:w w:val="120"/>
                <w:sz w:val="13"/>
              </w:rPr>
              <w:t>Agua</w:t>
            </w:r>
          </w:p>
        </w:tc>
        <w:tc>
          <w:tcPr>
            <w:tcW w:w="6425" w:type="dxa"/>
            <w:tcBorders>
              <w:top w:val="dotted" w:sz="4" w:space="0" w:color="000000"/>
              <w:left w:val="dotted" w:sz="10" w:space="0" w:color="A6A6A6"/>
              <w:bottom w:val="dotted" w:sz="4" w:space="0" w:color="000000"/>
              <w:right w:val="nil"/>
            </w:tcBorders>
          </w:tcPr>
          <w:p>
            <w:pPr>
              <w:pStyle w:val="TableParagraph"/>
              <w:tabs>
                <w:tab w:pos="772" w:val="left" w:leader="none"/>
                <w:tab w:pos="1588" w:val="left" w:leader="none"/>
                <w:tab w:pos="2446" w:val="left" w:leader="none"/>
                <w:tab w:pos="3171" w:val="left" w:leader="none"/>
                <w:tab w:pos="3896" w:val="left" w:leader="none"/>
                <w:tab w:pos="4621" w:val="left" w:leader="none"/>
                <w:tab w:pos="5527" w:val="left" w:leader="none"/>
              </w:tabs>
              <w:spacing w:before="9"/>
              <w:ind w:right="9"/>
              <w:rPr>
                <w:sz w:val="13"/>
              </w:rPr>
            </w:pPr>
            <w:r>
              <w:rPr>
                <w:w w:val="120"/>
                <w:sz w:val="13"/>
              </w:rPr>
              <w:t>0.5</w:t>
            </w:r>
            <w:r>
              <w:rPr>
                <w:rFonts w:ascii="Calibri" w:hAnsi="Calibri"/>
                <w:w w:val="120"/>
                <w:sz w:val="13"/>
              </w:rPr>
              <w:t>±</w:t>
            </w:r>
            <w:r>
              <w:rPr>
                <w:w w:val="120"/>
                <w:sz w:val="13"/>
              </w:rPr>
              <w:t>0.7</w:t>
              <w:tab/>
              <w:t>1.8</w:t>
            </w:r>
            <w:r>
              <w:rPr>
                <w:rFonts w:ascii="Calibri" w:hAnsi="Calibri"/>
                <w:w w:val="120"/>
                <w:sz w:val="13"/>
              </w:rPr>
              <w:t>±</w:t>
            </w:r>
            <w:r>
              <w:rPr>
                <w:w w:val="120"/>
                <w:sz w:val="13"/>
              </w:rPr>
              <w:t>1.8</w:t>
              <w:tab/>
              <w:t>17.5</w:t>
            </w:r>
            <w:r>
              <w:rPr>
                <w:rFonts w:ascii="Calibri" w:hAnsi="Calibri"/>
                <w:w w:val="120"/>
                <w:sz w:val="13"/>
              </w:rPr>
              <w:t>±</w:t>
            </w:r>
            <w:r>
              <w:rPr>
                <w:w w:val="120"/>
                <w:sz w:val="13"/>
              </w:rPr>
              <w:t>9.4</w:t>
              <w:tab/>
              <w:t>9.5</w:t>
            </w:r>
            <w:r>
              <w:rPr>
                <w:rFonts w:ascii="Calibri" w:hAnsi="Calibri"/>
                <w:w w:val="120"/>
                <w:sz w:val="13"/>
              </w:rPr>
              <w:t>±</w:t>
            </w:r>
            <w:r>
              <w:rPr>
                <w:w w:val="120"/>
                <w:sz w:val="13"/>
              </w:rPr>
              <w:t>6.3</w:t>
              <w:tab/>
              <w:t>4.8</w:t>
            </w:r>
            <w:r>
              <w:rPr>
                <w:rFonts w:ascii="Calibri" w:hAnsi="Calibri"/>
                <w:w w:val="120"/>
                <w:sz w:val="13"/>
              </w:rPr>
              <w:t>±</w:t>
            </w:r>
            <w:r>
              <w:rPr>
                <w:w w:val="120"/>
                <w:sz w:val="13"/>
              </w:rPr>
              <w:t>6.1</w:t>
              <w:tab/>
              <w:t>2.2</w:t>
            </w:r>
            <w:r>
              <w:rPr>
                <w:rFonts w:ascii="Calibri" w:hAnsi="Calibri"/>
                <w:w w:val="120"/>
                <w:sz w:val="13"/>
              </w:rPr>
              <w:t>±</w:t>
            </w:r>
            <w:r>
              <w:rPr>
                <w:w w:val="120"/>
                <w:sz w:val="13"/>
              </w:rPr>
              <w:t>2.8</w:t>
              <w:tab/>
              <w:t>13.5</w:t>
            </w:r>
            <w:r>
              <w:rPr>
                <w:rFonts w:ascii="Calibri" w:hAnsi="Calibri"/>
                <w:w w:val="120"/>
                <w:sz w:val="13"/>
              </w:rPr>
              <w:t>±</w:t>
            </w:r>
            <w:r>
              <w:rPr>
                <w:w w:val="120"/>
                <w:sz w:val="13"/>
              </w:rPr>
              <w:t>12.7</w:t>
              <w:tab/>
              <w:t>49.7</w:t>
            </w:r>
            <w:r>
              <w:rPr>
                <w:rFonts w:ascii="Calibri" w:hAnsi="Calibri"/>
                <w:w w:val="120"/>
                <w:sz w:val="13"/>
              </w:rPr>
              <w:t>±</w:t>
            </w:r>
            <w:r>
              <w:rPr>
                <w:w w:val="120"/>
                <w:sz w:val="13"/>
              </w:rPr>
              <w:t>21.4</w:t>
            </w:r>
          </w:p>
          <w:p>
            <w:pPr>
              <w:pStyle w:val="TableParagraph"/>
              <w:tabs>
                <w:tab w:pos="772" w:val="left" w:leader="none"/>
                <w:tab w:pos="1624" w:val="left" w:leader="none"/>
                <w:tab w:pos="2446" w:val="left" w:leader="none"/>
                <w:tab w:pos="3171" w:val="left" w:leader="none"/>
                <w:tab w:pos="3896" w:val="left" w:leader="none"/>
                <w:tab w:pos="4705" w:val="left" w:leader="none"/>
                <w:tab w:pos="5612" w:val="left" w:leader="none"/>
              </w:tabs>
              <w:spacing w:before="27"/>
              <w:ind w:right="94"/>
              <w:rPr>
                <w:sz w:val="13"/>
              </w:rPr>
            </w:pPr>
            <w:r>
              <w:rPr>
                <w:w w:val="120"/>
                <w:sz w:val="13"/>
              </w:rPr>
              <w:t>0.74</w:t>
              <w:tab/>
              <w:t>0.42</w:t>
              <w:tab/>
              <w:t>0.13</w:t>
              <w:tab/>
              <w:t>0.37</w:t>
              <w:tab/>
              <w:t>0.44</w:t>
              <w:tab/>
              <w:t>0.92</w:t>
              <w:tab/>
              <w:t>0.26</w:t>
              <w:tab/>
              <w:t>0.22</w:t>
            </w:r>
          </w:p>
          <w:p>
            <w:pPr>
              <w:pStyle w:val="TableParagraph"/>
              <w:tabs>
                <w:tab w:pos="772" w:val="left" w:leader="none"/>
                <w:tab w:pos="1588" w:val="left" w:leader="none"/>
                <w:tab w:pos="2446" w:val="left" w:leader="none"/>
                <w:tab w:pos="3171" w:val="left" w:leader="none"/>
                <w:tab w:pos="3896" w:val="left" w:leader="none"/>
                <w:tab w:pos="4705" w:val="left" w:leader="none"/>
                <w:tab w:pos="5527" w:val="left" w:leader="none"/>
              </w:tabs>
              <w:spacing w:before="33"/>
              <w:ind w:right="9"/>
              <w:rPr>
                <w:sz w:val="13"/>
              </w:rPr>
            </w:pPr>
            <w:r>
              <w:rPr>
                <w:w w:val="120"/>
                <w:sz w:val="13"/>
              </w:rPr>
              <w:t>0.4</w:t>
            </w:r>
            <w:r>
              <w:rPr>
                <w:rFonts w:ascii="Calibri" w:hAnsi="Calibri"/>
                <w:w w:val="120"/>
                <w:sz w:val="13"/>
              </w:rPr>
              <w:t>±</w:t>
            </w:r>
            <w:r>
              <w:rPr>
                <w:w w:val="120"/>
                <w:sz w:val="13"/>
              </w:rPr>
              <w:t>0.6</w:t>
              <w:tab/>
              <w:t>1.4</w:t>
            </w:r>
            <w:r>
              <w:rPr>
                <w:rFonts w:ascii="Calibri" w:hAnsi="Calibri"/>
                <w:w w:val="120"/>
                <w:sz w:val="13"/>
              </w:rPr>
              <w:t>±</w:t>
            </w:r>
            <w:r>
              <w:rPr>
                <w:w w:val="120"/>
                <w:sz w:val="13"/>
              </w:rPr>
              <w:t>1.7</w:t>
              <w:tab/>
              <w:t>13.4</w:t>
            </w:r>
            <w:r>
              <w:rPr>
                <w:rFonts w:ascii="Calibri" w:hAnsi="Calibri"/>
                <w:w w:val="120"/>
                <w:sz w:val="13"/>
              </w:rPr>
              <w:t>±</w:t>
            </w:r>
            <w:r>
              <w:rPr>
                <w:w w:val="120"/>
                <w:sz w:val="13"/>
              </w:rPr>
              <w:t>8.8</w:t>
              <w:tab/>
              <w:t>8.2</w:t>
            </w:r>
            <w:r>
              <w:rPr>
                <w:rFonts w:ascii="Calibri" w:hAnsi="Calibri"/>
                <w:w w:val="120"/>
                <w:sz w:val="13"/>
              </w:rPr>
              <w:t>±</w:t>
            </w:r>
            <w:r>
              <w:rPr>
                <w:w w:val="120"/>
                <w:sz w:val="13"/>
              </w:rPr>
              <w:t>5.7</w:t>
              <w:tab/>
              <w:t>6.4</w:t>
            </w:r>
            <w:r>
              <w:rPr>
                <w:rFonts w:ascii="Calibri" w:hAnsi="Calibri"/>
                <w:w w:val="120"/>
                <w:sz w:val="13"/>
              </w:rPr>
              <w:t>±</w:t>
            </w:r>
            <w:r>
              <w:rPr>
                <w:w w:val="120"/>
                <w:sz w:val="13"/>
              </w:rPr>
              <w:t>6.7</w:t>
              <w:tab/>
              <w:t>1.9</w:t>
            </w:r>
            <w:r>
              <w:rPr>
                <w:rFonts w:ascii="Calibri" w:hAnsi="Calibri"/>
                <w:w w:val="120"/>
                <w:sz w:val="13"/>
              </w:rPr>
              <w:t>±</w:t>
            </w:r>
            <w:r>
              <w:rPr>
                <w:w w:val="120"/>
                <w:sz w:val="13"/>
              </w:rPr>
              <w:t>2.1</w:t>
              <w:tab/>
              <w:t>9.3</w:t>
            </w:r>
            <w:r>
              <w:rPr>
                <w:rFonts w:ascii="Calibri" w:hAnsi="Calibri"/>
                <w:w w:val="120"/>
                <w:sz w:val="13"/>
              </w:rPr>
              <w:t>±</w:t>
            </w:r>
            <w:r>
              <w:rPr>
                <w:w w:val="120"/>
                <w:sz w:val="13"/>
              </w:rPr>
              <w:t>8.4</w:t>
              <w:tab/>
              <w:t>40.8</w:t>
            </w:r>
            <w:r>
              <w:rPr>
                <w:rFonts w:ascii="Calibri" w:hAnsi="Calibri"/>
                <w:w w:val="120"/>
                <w:sz w:val="13"/>
              </w:rPr>
              <w:t>±</w:t>
            </w:r>
            <w:r>
              <w:rPr>
                <w:w w:val="120"/>
                <w:sz w:val="13"/>
              </w:rPr>
              <w:t>18.8</w:t>
            </w:r>
          </w:p>
        </w:tc>
      </w:tr>
      <w:tr>
        <w:trPr>
          <w:trHeight w:val="550" w:hRule="exact"/>
        </w:trPr>
        <w:tc>
          <w:tcPr>
            <w:tcW w:w="1255" w:type="dxa"/>
            <w:gridSpan w:val="2"/>
            <w:tcBorders>
              <w:top w:val="dotted" w:sz="4" w:space="0" w:color="000000"/>
              <w:left w:val="nil"/>
              <w:bottom w:val="dotted" w:sz="4" w:space="0" w:color="000000"/>
              <w:right w:val="dotted" w:sz="5" w:space="0" w:color="000000"/>
            </w:tcBorders>
          </w:tcPr>
          <w:p>
            <w:pPr>
              <w:pStyle w:val="TableParagraph"/>
              <w:spacing w:line="297" w:lineRule="auto" w:before="13"/>
              <w:ind w:left="253" w:right="86" w:hanging="134"/>
              <w:jc w:val="left"/>
              <w:rPr>
                <w:b/>
                <w:sz w:val="13"/>
              </w:rPr>
            </w:pPr>
            <w:r>
              <w:rPr>
                <w:b/>
                <w:w w:val="120"/>
                <w:sz w:val="13"/>
              </w:rPr>
              <w:t>Antecedentes familiares de cáncer</w:t>
            </w:r>
          </w:p>
        </w:tc>
        <w:tc>
          <w:tcPr>
            <w:tcW w:w="995" w:type="dxa"/>
            <w:tcBorders>
              <w:top w:val="dotted" w:sz="4" w:space="0" w:color="000000"/>
              <w:left w:val="dotted" w:sz="5" w:space="0" w:color="000000"/>
              <w:bottom w:val="dotted" w:sz="4" w:space="0" w:color="000000"/>
              <w:right w:val="dotted" w:sz="10" w:space="0" w:color="A6A6A6"/>
            </w:tcBorders>
          </w:tcPr>
          <w:p>
            <w:pPr>
              <w:pStyle w:val="TableParagraph"/>
              <w:spacing w:before="13"/>
              <w:ind w:left="10"/>
              <w:jc w:val="left"/>
              <w:rPr>
                <w:sz w:val="13"/>
              </w:rPr>
            </w:pPr>
            <w:r>
              <w:rPr>
                <w:w w:val="120"/>
                <w:sz w:val="13"/>
              </w:rPr>
              <w:t>Si</w:t>
            </w:r>
          </w:p>
          <w:p>
            <w:pPr>
              <w:pStyle w:val="TableParagraph"/>
              <w:spacing w:before="35"/>
              <w:ind w:right="1"/>
              <w:jc w:val="right"/>
              <w:rPr>
                <w:b/>
                <w:sz w:val="13"/>
              </w:rPr>
            </w:pPr>
            <w:r>
              <w:rPr>
                <w:b/>
                <w:w w:val="120"/>
                <w:sz w:val="13"/>
              </w:rPr>
              <w:t>p</w:t>
            </w:r>
          </w:p>
          <w:p>
            <w:pPr>
              <w:pStyle w:val="TableParagraph"/>
              <w:spacing w:before="34"/>
              <w:ind w:left="10"/>
              <w:jc w:val="left"/>
              <w:rPr>
                <w:sz w:val="13"/>
              </w:rPr>
            </w:pPr>
            <w:r>
              <w:rPr>
                <w:w w:val="120"/>
                <w:sz w:val="13"/>
              </w:rPr>
              <w:t>No</w:t>
            </w:r>
          </w:p>
        </w:tc>
        <w:tc>
          <w:tcPr>
            <w:tcW w:w="6425" w:type="dxa"/>
            <w:tcBorders>
              <w:top w:val="dotted" w:sz="4" w:space="0" w:color="000000"/>
              <w:left w:val="dotted" w:sz="10" w:space="0" w:color="A6A6A6"/>
              <w:bottom w:val="dotted" w:sz="4" w:space="0" w:color="000000"/>
              <w:right w:val="nil"/>
            </w:tcBorders>
          </w:tcPr>
          <w:p>
            <w:pPr>
              <w:pStyle w:val="TableParagraph"/>
              <w:tabs>
                <w:tab w:pos="772" w:val="left" w:leader="none"/>
                <w:tab w:pos="1540" w:val="left" w:leader="none"/>
                <w:tab w:pos="2446" w:val="left" w:leader="none"/>
                <w:tab w:pos="3171" w:val="left" w:leader="none"/>
                <w:tab w:pos="3896" w:val="left" w:leader="none"/>
                <w:tab w:pos="4621" w:val="left" w:leader="none"/>
                <w:tab w:pos="5527" w:val="left" w:leader="none"/>
              </w:tabs>
              <w:spacing w:before="12"/>
              <w:ind w:right="9"/>
              <w:rPr>
                <w:sz w:val="13"/>
              </w:rPr>
            </w:pPr>
            <w:r>
              <w:rPr>
                <w:w w:val="120"/>
                <w:sz w:val="13"/>
              </w:rPr>
              <w:t>0.6</w:t>
            </w:r>
            <w:r>
              <w:rPr>
                <w:rFonts w:ascii="Calibri" w:hAnsi="Calibri"/>
                <w:w w:val="120"/>
                <w:sz w:val="13"/>
              </w:rPr>
              <w:t>±</w:t>
            </w:r>
            <w:r>
              <w:rPr>
                <w:w w:val="120"/>
                <w:sz w:val="13"/>
              </w:rPr>
              <w:t>0.8</w:t>
              <w:tab/>
              <w:t>0.8</w:t>
            </w:r>
            <w:r>
              <w:rPr>
                <w:rFonts w:ascii="Calibri" w:hAnsi="Calibri"/>
                <w:w w:val="120"/>
                <w:sz w:val="13"/>
              </w:rPr>
              <w:t>±</w:t>
            </w:r>
            <w:r>
              <w:rPr>
                <w:w w:val="120"/>
                <w:sz w:val="13"/>
              </w:rPr>
              <w:t>1.6</w:t>
              <w:tab/>
              <w:t>22.1</w:t>
            </w:r>
            <w:r>
              <w:rPr>
                <w:rFonts w:ascii="Calibri" w:hAnsi="Calibri"/>
                <w:w w:val="120"/>
                <w:sz w:val="13"/>
              </w:rPr>
              <w:t>±</w:t>
            </w:r>
            <w:r>
              <w:rPr>
                <w:w w:val="120"/>
                <w:sz w:val="13"/>
              </w:rPr>
              <w:t>14.1</w:t>
              <w:tab/>
              <w:t>7.3</w:t>
            </w:r>
            <w:r>
              <w:rPr>
                <w:rFonts w:ascii="Calibri" w:hAnsi="Calibri"/>
                <w:w w:val="120"/>
                <w:sz w:val="13"/>
              </w:rPr>
              <w:t>±</w:t>
            </w:r>
            <w:r>
              <w:rPr>
                <w:w w:val="120"/>
                <w:sz w:val="13"/>
              </w:rPr>
              <w:t>4.8</w:t>
              <w:tab/>
              <w:t>7.5</w:t>
            </w:r>
            <w:r>
              <w:rPr>
                <w:rFonts w:ascii="Calibri" w:hAnsi="Calibri"/>
                <w:w w:val="120"/>
                <w:sz w:val="13"/>
              </w:rPr>
              <w:t>±</w:t>
            </w:r>
            <w:r>
              <w:rPr>
                <w:w w:val="120"/>
                <w:sz w:val="13"/>
              </w:rPr>
              <w:t>8.8</w:t>
              <w:tab/>
              <w:t>3.1</w:t>
            </w:r>
            <w:r>
              <w:rPr>
                <w:rFonts w:ascii="Calibri" w:hAnsi="Calibri"/>
                <w:w w:val="120"/>
                <w:sz w:val="13"/>
              </w:rPr>
              <w:t>±</w:t>
            </w:r>
            <w:r>
              <w:rPr>
                <w:w w:val="120"/>
                <w:sz w:val="13"/>
              </w:rPr>
              <w:t>4.4</w:t>
              <w:tab/>
              <w:t>12.5</w:t>
            </w:r>
            <w:r>
              <w:rPr>
                <w:rFonts w:ascii="Calibri" w:hAnsi="Calibri"/>
                <w:w w:val="120"/>
                <w:sz w:val="13"/>
              </w:rPr>
              <w:t>±</w:t>
            </w:r>
            <w:r>
              <w:rPr>
                <w:w w:val="120"/>
                <w:sz w:val="13"/>
              </w:rPr>
              <w:t>10.6</w:t>
              <w:tab/>
              <w:t>53.5</w:t>
            </w:r>
            <w:r>
              <w:rPr>
                <w:rFonts w:ascii="Calibri" w:hAnsi="Calibri"/>
                <w:w w:val="120"/>
                <w:sz w:val="13"/>
              </w:rPr>
              <w:t>±</w:t>
            </w:r>
            <w:r>
              <w:rPr>
                <w:w w:val="120"/>
                <w:sz w:val="13"/>
              </w:rPr>
              <w:t>20.7</w:t>
            </w:r>
          </w:p>
          <w:p>
            <w:pPr>
              <w:pStyle w:val="TableParagraph"/>
              <w:tabs>
                <w:tab w:pos="772" w:val="left" w:leader="none"/>
                <w:tab w:pos="1624" w:val="left" w:leader="none"/>
                <w:tab w:pos="2446" w:val="left" w:leader="none"/>
                <w:tab w:pos="3171" w:val="left" w:leader="none"/>
                <w:tab w:pos="3896" w:val="left" w:leader="none"/>
                <w:tab w:pos="4705" w:val="left" w:leader="none"/>
                <w:tab w:pos="5612" w:val="left" w:leader="none"/>
              </w:tabs>
              <w:spacing w:before="27"/>
              <w:ind w:right="94"/>
              <w:rPr>
                <w:sz w:val="13"/>
              </w:rPr>
            </w:pPr>
            <w:r>
              <w:rPr>
                <w:w w:val="120"/>
                <w:sz w:val="13"/>
              </w:rPr>
              <w:t>0.43</w:t>
              <w:tab/>
              <w:t>0.10</w:t>
              <w:tab/>
              <w:t>0.34</w:t>
              <w:tab/>
              <w:t>0.27</w:t>
              <w:tab/>
              <w:t>0.30</w:t>
              <w:tab/>
              <w:t>0.98</w:t>
              <w:tab/>
              <w:t>0.86</w:t>
              <w:tab/>
              <w:t>0.38</w:t>
            </w:r>
          </w:p>
          <w:p>
            <w:pPr>
              <w:pStyle w:val="TableParagraph"/>
              <w:tabs>
                <w:tab w:pos="772" w:val="left" w:leader="none"/>
                <w:tab w:pos="1588" w:val="left" w:leader="none"/>
                <w:tab w:pos="2446" w:val="left" w:leader="none"/>
                <w:tab w:pos="3171" w:val="left" w:leader="none"/>
                <w:tab w:pos="3896" w:val="left" w:leader="none"/>
                <w:tab w:pos="4621" w:val="left" w:leader="none"/>
                <w:tab w:pos="5527" w:val="left" w:leader="none"/>
              </w:tabs>
              <w:spacing w:before="32"/>
              <w:ind w:right="9"/>
              <w:rPr>
                <w:sz w:val="13"/>
              </w:rPr>
            </w:pPr>
            <w:r>
              <w:rPr>
                <w:w w:val="120"/>
                <w:sz w:val="13"/>
              </w:rPr>
              <w:t>0.4</w:t>
            </w:r>
            <w:r>
              <w:rPr>
                <w:rFonts w:ascii="Calibri" w:hAnsi="Calibri"/>
                <w:w w:val="120"/>
                <w:sz w:val="13"/>
              </w:rPr>
              <w:t>±</w:t>
            </w:r>
            <w:r>
              <w:rPr>
                <w:w w:val="120"/>
                <w:sz w:val="13"/>
              </w:rPr>
              <w:t>0.7</w:t>
              <w:tab/>
              <w:t>1.8</w:t>
            </w:r>
            <w:r>
              <w:rPr>
                <w:rFonts w:ascii="Calibri" w:hAnsi="Calibri"/>
                <w:w w:val="120"/>
                <w:sz w:val="13"/>
              </w:rPr>
              <w:t>±</w:t>
            </w:r>
            <w:r>
              <w:rPr>
                <w:w w:val="120"/>
                <w:sz w:val="13"/>
              </w:rPr>
              <w:t>1.8</w:t>
              <w:tab/>
              <w:t>16.0</w:t>
            </w:r>
            <w:r>
              <w:rPr>
                <w:rFonts w:ascii="Calibri" w:hAnsi="Calibri"/>
                <w:w w:val="120"/>
                <w:sz w:val="13"/>
              </w:rPr>
              <w:t>±</w:t>
            </w:r>
            <w:r>
              <w:rPr>
                <w:w w:val="120"/>
                <w:sz w:val="13"/>
              </w:rPr>
              <w:t>8.7</w:t>
              <w:tab/>
              <w:t>9.4</w:t>
            </w:r>
            <w:r>
              <w:rPr>
                <w:rFonts w:ascii="Calibri" w:hAnsi="Calibri"/>
                <w:w w:val="120"/>
                <w:sz w:val="13"/>
              </w:rPr>
              <w:t>±</w:t>
            </w:r>
            <w:r>
              <w:rPr>
                <w:w w:val="120"/>
                <w:sz w:val="13"/>
              </w:rPr>
              <w:t>6.3</w:t>
              <w:tab/>
              <w:t>4.9</w:t>
            </w:r>
            <w:r>
              <w:rPr>
                <w:rFonts w:ascii="Calibri" w:hAnsi="Calibri"/>
                <w:w w:val="120"/>
                <w:sz w:val="13"/>
              </w:rPr>
              <w:t>±</w:t>
            </w:r>
            <w:r>
              <w:rPr>
                <w:w w:val="120"/>
                <w:sz w:val="13"/>
              </w:rPr>
              <w:t>5.9</w:t>
              <w:tab/>
              <w:t>2.1</w:t>
            </w:r>
            <w:r>
              <w:rPr>
                <w:rFonts w:ascii="Calibri" w:hAnsi="Calibri"/>
                <w:w w:val="120"/>
                <w:sz w:val="13"/>
              </w:rPr>
              <w:t>±</w:t>
            </w:r>
            <w:r>
              <w:rPr>
                <w:w w:val="120"/>
                <w:sz w:val="13"/>
              </w:rPr>
              <w:t>2.4</w:t>
              <w:tab/>
              <w:t>12.5</w:t>
            </w:r>
            <w:r>
              <w:rPr>
                <w:rFonts w:ascii="Calibri" w:hAnsi="Calibri"/>
                <w:w w:val="120"/>
                <w:sz w:val="13"/>
              </w:rPr>
              <w:t>±</w:t>
            </w:r>
            <w:r>
              <w:rPr>
                <w:w w:val="120"/>
                <w:sz w:val="13"/>
              </w:rPr>
              <w:t>12.1</w:t>
              <w:tab/>
              <w:t>47.0</w:t>
            </w:r>
            <w:r>
              <w:rPr>
                <w:rFonts w:ascii="Calibri" w:hAnsi="Calibri"/>
                <w:w w:val="120"/>
                <w:sz w:val="13"/>
              </w:rPr>
              <w:t>±</w:t>
            </w:r>
            <w:r>
              <w:rPr>
                <w:w w:val="120"/>
                <w:sz w:val="13"/>
              </w:rPr>
              <w:t>21.1</w:t>
            </w:r>
          </w:p>
        </w:tc>
      </w:tr>
      <w:tr>
        <w:trPr>
          <w:trHeight w:val="550" w:hRule="exact"/>
        </w:trPr>
        <w:tc>
          <w:tcPr>
            <w:tcW w:w="1255" w:type="dxa"/>
            <w:gridSpan w:val="2"/>
            <w:tcBorders>
              <w:top w:val="dotted" w:sz="4" w:space="0" w:color="000000"/>
              <w:left w:val="nil"/>
              <w:bottom w:val="dotted" w:sz="4" w:space="0" w:color="000000"/>
              <w:right w:val="dotted" w:sz="5" w:space="0" w:color="000000"/>
            </w:tcBorders>
          </w:tcPr>
          <w:p>
            <w:pPr>
              <w:pStyle w:val="TableParagraph"/>
              <w:spacing w:line="297" w:lineRule="auto" w:before="16"/>
              <w:ind w:left="205" w:right="210" w:firstLine="3"/>
              <w:rPr>
                <w:b/>
                <w:sz w:val="13"/>
              </w:rPr>
            </w:pPr>
            <w:r>
              <w:rPr>
                <w:b/>
                <w:w w:val="120"/>
                <w:sz w:val="13"/>
              </w:rPr>
              <w:t>Problemas de    nacimiento</w:t>
            </w:r>
          </w:p>
        </w:tc>
        <w:tc>
          <w:tcPr>
            <w:tcW w:w="995" w:type="dxa"/>
            <w:tcBorders>
              <w:top w:val="dotted" w:sz="4" w:space="0" w:color="000000"/>
              <w:left w:val="dotted" w:sz="5" w:space="0" w:color="000000"/>
              <w:bottom w:val="dotted" w:sz="4" w:space="0" w:color="000000"/>
              <w:right w:val="dotted" w:sz="10" w:space="0" w:color="A6A6A6"/>
            </w:tcBorders>
          </w:tcPr>
          <w:p>
            <w:pPr>
              <w:pStyle w:val="TableParagraph"/>
              <w:spacing w:before="16"/>
              <w:ind w:left="10"/>
              <w:jc w:val="left"/>
              <w:rPr>
                <w:sz w:val="13"/>
              </w:rPr>
            </w:pPr>
            <w:r>
              <w:rPr>
                <w:w w:val="120"/>
                <w:sz w:val="13"/>
              </w:rPr>
              <w:t>Si</w:t>
            </w:r>
          </w:p>
          <w:p>
            <w:pPr>
              <w:pStyle w:val="TableParagraph"/>
              <w:spacing w:before="34"/>
              <w:ind w:right="1"/>
              <w:jc w:val="right"/>
              <w:rPr>
                <w:b/>
                <w:sz w:val="13"/>
              </w:rPr>
            </w:pPr>
            <w:r>
              <w:rPr>
                <w:b/>
                <w:w w:val="120"/>
                <w:sz w:val="13"/>
              </w:rPr>
              <w:t>p</w:t>
            </w:r>
          </w:p>
          <w:p>
            <w:pPr>
              <w:pStyle w:val="TableParagraph"/>
              <w:spacing w:before="34"/>
              <w:ind w:left="10"/>
              <w:jc w:val="left"/>
              <w:rPr>
                <w:sz w:val="13"/>
              </w:rPr>
            </w:pPr>
            <w:r>
              <w:rPr>
                <w:w w:val="120"/>
                <w:sz w:val="13"/>
              </w:rPr>
              <w:t>No</w:t>
            </w:r>
          </w:p>
        </w:tc>
        <w:tc>
          <w:tcPr>
            <w:tcW w:w="6425" w:type="dxa"/>
            <w:tcBorders>
              <w:top w:val="dotted" w:sz="4" w:space="0" w:color="000000"/>
              <w:left w:val="dotted" w:sz="10" w:space="0" w:color="A6A6A6"/>
              <w:bottom w:val="dotted" w:sz="4" w:space="0" w:color="000000"/>
              <w:right w:val="nil"/>
            </w:tcBorders>
          </w:tcPr>
          <w:p>
            <w:pPr>
              <w:pStyle w:val="TableParagraph"/>
              <w:tabs>
                <w:tab w:pos="772" w:val="left" w:leader="none"/>
                <w:tab w:pos="1540" w:val="left" w:leader="none"/>
                <w:tab w:pos="3896" w:val="left" w:leader="none"/>
                <w:tab w:pos="4621" w:val="left" w:leader="none"/>
                <w:tab w:pos="5527" w:val="left" w:leader="none"/>
              </w:tabs>
              <w:spacing w:before="14"/>
              <w:ind w:right="9"/>
              <w:rPr>
                <w:sz w:val="13"/>
              </w:rPr>
            </w:pPr>
            <w:r>
              <w:rPr>
                <w:w w:val="120"/>
                <w:sz w:val="13"/>
              </w:rPr>
              <w:t>0.6</w:t>
            </w:r>
            <w:r>
              <w:rPr>
                <w:rFonts w:ascii="Calibri" w:hAnsi="Calibri"/>
                <w:w w:val="120"/>
                <w:sz w:val="13"/>
              </w:rPr>
              <w:t>±</w:t>
            </w:r>
            <w:r>
              <w:rPr>
                <w:w w:val="120"/>
                <w:sz w:val="13"/>
              </w:rPr>
              <w:t>0.9</w:t>
              <w:tab/>
              <w:t>2.1</w:t>
            </w:r>
            <w:r>
              <w:rPr>
                <w:rFonts w:ascii="Calibri" w:hAnsi="Calibri"/>
                <w:w w:val="120"/>
                <w:sz w:val="13"/>
              </w:rPr>
              <w:t>±</w:t>
            </w:r>
            <w:r>
              <w:rPr>
                <w:w w:val="120"/>
                <w:sz w:val="13"/>
              </w:rPr>
              <w:t>2.0</w:t>
              <w:tab/>
              <w:t>16.2</w:t>
            </w:r>
            <w:r>
              <w:rPr>
                <w:rFonts w:ascii="Calibri" w:hAnsi="Calibri"/>
                <w:w w:val="120"/>
                <w:sz w:val="13"/>
              </w:rPr>
              <w:t>±</w:t>
            </w:r>
            <w:r>
              <w:rPr>
                <w:w w:val="120"/>
                <w:sz w:val="13"/>
              </w:rPr>
              <w:t>10.9  </w:t>
            </w:r>
            <w:r>
              <w:rPr>
                <w:spacing w:val="41"/>
                <w:w w:val="120"/>
                <w:sz w:val="13"/>
              </w:rPr>
              <w:t> </w:t>
            </w:r>
            <w:r>
              <w:rPr>
                <w:w w:val="120"/>
                <w:sz w:val="13"/>
              </w:rPr>
              <w:t>10.0</w:t>
            </w:r>
            <w:r>
              <w:rPr>
                <w:rFonts w:ascii="Calibri" w:hAnsi="Calibri"/>
                <w:w w:val="120"/>
                <w:sz w:val="13"/>
              </w:rPr>
              <w:t>±</w:t>
            </w:r>
            <w:r>
              <w:rPr>
                <w:w w:val="120"/>
                <w:sz w:val="13"/>
              </w:rPr>
              <w:t>7.0  </w:t>
            </w:r>
            <w:r>
              <w:rPr>
                <w:spacing w:val="41"/>
                <w:w w:val="120"/>
                <w:sz w:val="13"/>
              </w:rPr>
              <w:t> </w:t>
            </w:r>
            <w:r>
              <w:rPr>
                <w:w w:val="120"/>
                <w:sz w:val="13"/>
              </w:rPr>
              <w:t>5.0</w:t>
            </w:r>
            <w:r>
              <w:rPr>
                <w:rFonts w:ascii="Calibri" w:hAnsi="Calibri"/>
                <w:w w:val="120"/>
                <w:sz w:val="13"/>
              </w:rPr>
              <w:t>±</w:t>
            </w:r>
            <w:r>
              <w:rPr>
                <w:w w:val="120"/>
                <w:sz w:val="13"/>
              </w:rPr>
              <w:t>6.2</w:t>
              <w:tab/>
              <w:t>1.5</w:t>
            </w:r>
            <w:r>
              <w:rPr>
                <w:rFonts w:ascii="Calibri" w:hAnsi="Calibri"/>
                <w:w w:val="120"/>
                <w:sz w:val="13"/>
              </w:rPr>
              <w:t>±</w:t>
            </w:r>
            <w:r>
              <w:rPr>
                <w:w w:val="120"/>
                <w:sz w:val="13"/>
              </w:rPr>
              <w:t>1.6</w:t>
              <w:tab/>
              <w:t>14.0</w:t>
            </w:r>
            <w:r>
              <w:rPr>
                <w:rFonts w:ascii="Calibri" w:hAnsi="Calibri"/>
                <w:w w:val="120"/>
                <w:sz w:val="13"/>
              </w:rPr>
              <w:t>±</w:t>
            </w:r>
            <w:r>
              <w:rPr>
                <w:w w:val="120"/>
                <w:sz w:val="13"/>
              </w:rPr>
              <w:t>14.8</w:t>
              <w:tab/>
              <w:t>49.1</w:t>
            </w:r>
            <w:r>
              <w:rPr>
                <w:rFonts w:ascii="Calibri" w:hAnsi="Calibri"/>
                <w:w w:val="120"/>
                <w:sz w:val="13"/>
              </w:rPr>
              <w:t>±</w:t>
            </w:r>
            <w:r>
              <w:rPr>
                <w:w w:val="120"/>
                <w:sz w:val="13"/>
              </w:rPr>
              <w:t>17.7</w:t>
            </w:r>
          </w:p>
          <w:p>
            <w:pPr>
              <w:pStyle w:val="TableParagraph"/>
              <w:tabs>
                <w:tab w:pos="772" w:val="left" w:leader="none"/>
                <w:tab w:pos="1624" w:val="left" w:leader="none"/>
                <w:tab w:pos="2446" w:val="left" w:leader="none"/>
                <w:tab w:pos="3171" w:val="left" w:leader="none"/>
                <w:tab w:pos="3896" w:val="left" w:leader="none"/>
                <w:tab w:pos="4705" w:val="left" w:leader="none"/>
                <w:tab w:pos="5612" w:val="left" w:leader="none"/>
              </w:tabs>
              <w:spacing w:before="27"/>
              <w:ind w:right="94"/>
              <w:rPr>
                <w:sz w:val="13"/>
              </w:rPr>
            </w:pPr>
            <w:r>
              <w:rPr>
                <w:w w:val="120"/>
                <w:sz w:val="13"/>
              </w:rPr>
              <w:t>0.52</w:t>
              <w:tab/>
              <w:t>0.41</w:t>
              <w:tab/>
              <w:t>0.79</w:t>
              <w:tab/>
              <w:t>0.59</w:t>
              <w:tab/>
              <w:t>0.74</w:t>
              <w:tab/>
              <w:t>0.47</w:t>
              <w:tab/>
              <w:t>0.68</w:t>
              <w:tab/>
              <w:t>0.81</w:t>
            </w:r>
          </w:p>
          <w:p>
            <w:pPr>
              <w:pStyle w:val="TableParagraph"/>
              <w:tabs>
                <w:tab w:pos="772" w:val="left" w:leader="none"/>
                <w:tab w:pos="1588" w:val="left" w:leader="none"/>
                <w:tab w:pos="2446" w:val="left" w:leader="none"/>
                <w:tab w:pos="3171" w:val="left" w:leader="none"/>
                <w:tab w:pos="3896" w:val="left" w:leader="none"/>
                <w:tab w:pos="4621" w:val="left" w:leader="none"/>
                <w:tab w:pos="5527" w:val="left" w:leader="none"/>
              </w:tabs>
              <w:spacing w:before="32"/>
              <w:ind w:right="9"/>
              <w:rPr>
                <w:sz w:val="13"/>
              </w:rPr>
            </w:pPr>
            <w:r>
              <w:rPr>
                <w:w w:val="120"/>
                <w:sz w:val="13"/>
              </w:rPr>
              <w:t>0.4</w:t>
            </w:r>
            <w:r>
              <w:rPr>
                <w:rFonts w:ascii="Calibri" w:hAnsi="Calibri"/>
                <w:w w:val="120"/>
                <w:sz w:val="13"/>
              </w:rPr>
              <w:t>±</w:t>
            </w:r>
            <w:r>
              <w:rPr>
                <w:w w:val="120"/>
                <w:sz w:val="13"/>
              </w:rPr>
              <w:t>0.6</w:t>
              <w:tab/>
              <w:t>1.6</w:t>
            </w:r>
            <w:r>
              <w:rPr>
                <w:rFonts w:ascii="Calibri" w:hAnsi="Calibri"/>
                <w:w w:val="120"/>
                <w:sz w:val="13"/>
              </w:rPr>
              <w:t>±</w:t>
            </w:r>
            <w:r>
              <w:rPr>
                <w:w w:val="120"/>
                <w:sz w:val="13"/>
              </w:rPr>
              <w:t>1.7</w:t>
              <w:tab/>
              <w:t>16.6</w:t>
            </w:r>
            <w:r>
              <w:rPr>
                <w:rFonts w:ascii="Calibri" w:hAnsi="Calibri"/>
                <w:w w:val="120"/>
                <w:sz w:val="13"/>
              </w:rPr>
              <w:t>±</w:t>
            </w:r>
            <w:r>
              <w:rPr>
                <w:w w:val="120"/>
                <w:sz w:val="13"/>
              </w:rPr>
              <w:t>9.1</w:t>
              <w:tab/>
              <w:t>9.0</w:t>
            </w:r>
            <w:r>
              <w:rPr>
                <w:rFonts w:ascii="Calibri" w:hAnsi="Calibri"/>
                <w:w w:val="120"/>
                <w:sz w:val="13"/>
              </w:rPr>
              <w:t>±</w:t>
            </w:r>
            <w:r>
              <w:rPr>
                <w:w w:val="120"/>
                <w:sz w:val="13"/>
              </w:rPr>
              <w:t>6.0</w:t>
              <w:tab/>
              <w:t>5.2</w:t>
            </w:r>
            <w:r>
              <w:rPr>
                <w:rFonts w:ascii="Calibri" w:hAnsi="Calibri"/>
                <w:w w:val="120"/>
                <w:sz w:val="13"/>
              </w:rPr>
              <w:t>±</w:t>
            </w:r>
            <w:r>
              <w:rPr>
                <w:w w:val="120"/>
                <w:sz w:val="13"/>
              </w:rPr>
              <w:t>6.3</w:t>
              <w:tab/>
              <w:t>2.3</w:t>
            </w:r>
            <w:r>
              <w:rPr>
                <w:rFonts w:ascii="Calibri" w:hAnsi="Calibri"/>
                <w:w w:val="120"/>
                <w:sz w:val="13"/>
              </w:rPr>
              <w:t>±</w:t>
            </w:r>
            <w:r>
              <w:rPr>
                <w:w w:val="120"/>
                <w:sz w:val="13"/>
              </w:rPr>
              <w:t>2.8</w:t>
              <w:tab/>
              <w:t>12.1</w:t>
            </w:r>
            <w:r>
              <w:rPr>
                <w:rFonts w:ascii="Calibri" w:hAnsi="Calibri"/>
                <w:w w:val="120"/>
                <w:sz w:val="13"/>
              </w:rPr>
              <w:t>±</w:t>
            </w:r>
            <w:r>
              <w:rPr>
                <w:w w:val="120"/>
                <w:sz w:val="13"/>
              </w:rPr>
              <w:t>11.2</w:t>
              <w:tab/>
              <w:t>47.2</w:t>
            </w:r>
            <w:r>
              <w:rPr>
                <w:rFonts w:ascii="Calibri" w:hAnsi="Calibri"/>
                <w:w w:val="120"/>
                <w:sz w:val="13"/>
              </w:rPr>
              <w:t>±</w:t>
            </w:r>
            <w:r>
              <w:rPr>
                <w:w w:val="120"/>
                <w:sz w:val="13"/>
              </w:rPr>
              <w:t>21.8</w:t>
            </w:r>
          </w:p>
        </w:tc>
      </w:tr>
      <w:tr>
        <w:trPr>
          <w:trHeight w:val="550" w:hRule="exact"/>
        </w:trPr>
        <w:tc>
          <w:tcPr>
            <w:tcW w:w="1255" w:type="dxa"/>
            <w:gridSpan w:val="2"/>
            <w:tcBorders>
              <w:top w:val="dotted" w:sz="4" w:space="0" w:color="000000"/>
              <w:left w:val="nil"/>
              <w:bottom w:val="dotted" w:sz="4" w:space="0" w:color="000000"/>
              <w:right w:val="dotted" w:sz="5" w:space="0" w:color="000000"/>
            </w:tcBorders>
          </w:tcPr>
          <w:p>
            <w:pPr>
              <w:pStyle w:val="TableParagraph"/>
              <w:spacing w:before="18"/>
              <w:ind w:left="278" w:right="86"/>
              <w:jc w:val="left"/>
              <w:rPr>
                <w:b/>
                <w:sz w:val="13"/>
              </w:rPr>
            </w:pPr>
            <w:r>
              <w:rPr>
                <w:b/>
                <w:w w:val="120"/>
                <w:sz w:val="13"/>
              </w:rPr>
              <w:t>Fumador</w:t>
            </w:r>
          </w:p>
          <w:p>
            <w:pPr>
              <w:pStyle w:val="TableParagraph"/>
              <w:spacing w:before="30"/>
              <w:ind w:left="374" w:right="272"/>
              <w:jc w:val="left"/>
              <w:rPr>
                <w:b/>
                <w:sz w:val="13"/>
              </w:rPr>
            </w:pPr>
            <w:r>
              <w:rPr>
                <w:b/>
                <w:w w:val="120"/>
                <w:sz w:val="13"/>
              </w:rPr>
              <w:t>pasivo</w:t>
            </w:r>
          </w:p>
        </w:tc>
        <w:tc>
          <w:tcPr>
            <w:tcW w:w="995" w:type="dxa"/>
            <w:tcBorders>
              <w:top w:val="dotted" w:sz="4" w:space="0" w:color="000000"/>
              <w:left w:val="dotted" w:sz="5" w:space="0" w:color="000000"/>
              <w:bottom w:val="dotted" w:sz="4" w:space="0" w:color="000000"/>
              <w:right w:val="dotted" w:sz="10" w:space="0" w:color="A6A6A6"/>
            </w:tcBorders>
          </w:tcPr>
          <w:p>
            <w:pPr>
              <w:pStyle w:val="TableParagraph"/>
              <w:spacing w:before="18"/>
              <w:ind w:left="10"/>
              <w:jc w:val="left"/>
              <w:rPr>
                <w:sz w:val="13"/>
              </w:rPr>
            </w:pPr>
            <w:r>
              <w:rPr>
                <w:w w:val="120"/>
                <w:sz w:val="13"/>
              </w:rPr>
              <w:t>Si</w:t>
            </w:r>
          </w:p>
          <w:p>
            <w:pPr>
              <w:pStyle w:val="TableParagraph"/>
              <w:spacing w:before="34"/>
              <w:ind w:right="1"/>
              <w:jc w:val="right"/>
              <w:rPr>
                <w:b/>
                <w:sz w:val="13"/>
              </w:rPr>
            </w:pPr>
            <w:r>
              <w:rPr>
                <w:b/>
                <w:w w:val="120"/>
                <w:sz w:val="13"/>
              </w:rPr>
              <w:t>p</w:t>
            </w:r>
          </w:p>
          <w:p>
            <w:pPr>
              <w:pStyle w:val="TableParagraph"/>
              <w:spacing w:before="34"/>
              <w:ind w:left="10"/>
              <w:jc w:val="left"/>
              <w:rPr>
                <w:sz w:val="13"/>
              </w:rPr>
            </w:pPr>
            <w:r>
              <w:rPr>
                <w:w w:val="120"/>
                <w:sz w:val="13"/>
              </w:rPr>
              <w:t>No</w:t>
            </w:r>
          </w:p>
        </w:tc>
        <w:tc>
          <w:tcPr>
            <w:tcW w:w="6425" w:type="dxa"/>
            <w:tcBorders>
              <w:top w:val="dotted" w:sz="4" w:space="0" w:color="000000"/>
              <w:left w:val="dotted" w:sz="10" w:space="0" w:color="A6A6A6"/>
              <w:bottom w:val="dotted" w:sz="4" w:space="0" w:color="000000"/>
              <w:right w:val="nil"/>
            </w:tcBorders>
          </w:tcPr>
          <w:p>
            <w:pPr>
              <w:pStyle w:val="TableParagraph"/>
              <w:tabs>
                <w:tab w:pos="772" w:val="left" w:leader="none"/>
                <w:tab w:pos="1588" w:val="left" w:leader="none"/>
                <w:tab w:pos="2446" w:val="left" w:leader="none"/>
                <w:tab w:pos="3171" w:val="left" w:leader="none"/>
                <w:tab w:pos="3896" w:val="left" w:leader="none"/>
                <w:tab w:pos="4621" w:val="left" w:leader="none"/>
                <w:tab w:pos="5527" w:val="left" w:leader="none"/>
              </w:tabs>
              <w:spacing w:before="17"/>
              <w:ind w:right="9"/>
              <w:rPr>
                <w:sz w:val="13"/>
              </w:rPr>
            </w:pPr>
            <w:r>
              <w:rPr>
                <w:w w:val="120"/>
                <w:sz w:val="13"/>
              </w:rPr>
              <w:t>0.4</w:t>
            </w:r>
            <w:r>
              <w:rPr>
                <w:rFonts w:ascii="Calibri" w:hAnsi="Calibri"/>
                <w:w w:val="120"/>
                <w:sz w:val="13"/>
              </w:rPr>
              <w:t>±</w:t>
            </w:r>
            <w:r>
              <w:rPr>
                <w:w w:val="120"/>
                <w:sz w:val="13"/>
              </w:rPr>
              <w:t>0.6</w:t>
              <w:tab/>
              <w:t>1.4</w:t>
            </w:r>
            <w:r>
              <w:rPr>
                <w:rFonts w:ascii="Calibri" w:hAnsi="Calibri"/>
                <w:w w:val="120"/>
                <w:sz w:val="13"/>
              </w:rPr>
              <w:t>±</w:t>
            </w:r>
            <w:r>
              <w:rPr>
                <w:w w:val="120"/>
                <w:sz w:val="13"/>
              </w:rPr>
              <w:t>1.8</w:t>
              <w:tab/>
              <w:t>16.6</w:t>
            </w:r>
            <w:r>
              <w:rPr>
                <w:rFonts w:ascii="Calibri" w:hAnsi="Calibri"/>
                <w:w w:val="120"/>
                <w:sz w:val="13"/>
              </w:rPr>
              <w:t>±</w:t>
            </w:r>
            <w:r>
              <w:rPr>
                <w:w w:val="120"/>
                <w:sz w:val="13"/>
              </w:rPr>
              <w:t>7.1</w:t>
              <w:tab/>
              <w:t>9.2</w:t>
            </w:r>
            <w:r>
              <w:rPr>
                <w:rFonts w:ascii="Calibri" w:hAnsi="Calibri"/>
                <w:w w:val="120"/>
                <w:sz w:val="13"/>
              </w:rPr>
              <w:t>±</w:t>
            </w:r>
            <w:r>
              <w:rPr>
                <w:w w:val="120"/>
                <w:sz w:val="13"/>
              </w:rPr>
              <w:t>3.1</w:t>
              <w:tab/>
              <w:t>6.2</w:t>
            </w:r>
            <w:r>
              <w:rPr>
                <w:rFonts w:ascii="Calibri" w:hAnsi="Calibri"/>
                <w:w w:val="120"/>
                <w:sz w:val="13"/>
              </w:rPr>
              <w:t>±</w:t>
            </w:r>
            <w:r>
              <w:rPr>
                <w:w w:val="120"/>
                <w:sz w:val="13"/>
              </w:rPr>
              <w:t>6.7</w:t>
              <w:tab/>
              <w:t>2.4</w:t>
            </w:r>
            <w:r>
              <w:rPr>
                <w:rFonts w:ascii="Calibri" w:hAnsi="Calibri"/>
                <w:w w:val="120"/>
                <w:sz w:val="13"/>
              </w:rPr>
              <w:t>±</w:t>
            </w:r>
            <w:r>
              <w:rPr>
                <w:w w:val="120"/>
                <w:sz w:val="13"/>
              </w:rPr>
              <w:t>3.1</w:t>
              <w:tab/>
              <w:t>15.9</w:t>
            </w:r>
            <w:r>
              <w:rPr>
                <w:rFonts w:ascii="Calibri" w:hAnsi="Calibri"/>
                <w:w w:val="120"/>
                <w:sz w:val="13"/>
              </w:rPr>
              <w:t>±</w:t>
            </w:r>
            <w:r>
              <w:rPr>
                <w:w w:val="120"/>
                <w:sz w:val="13"/>
              </w:rPr>
              <w:t>14.9</w:t>
              <w:tab/>
              <w:t>52.3</w:t>
            </w:r>
            <w:r>
              <w:rPr>
                <w:rFonts w:ascii="Calibri" w:hAnsi="Calibri"/>
                <w:w w:val="120"/>
                <w:sz w:val="13"/>
              </w:rPr>
              <w:t>±</w:t>
            </w:r>
            <w:r>
              <w:rPr>
                <w:w w:val="120"/>
                <w:sz w:val="13"/>
              </w:rPr>
              <w:t>22.6</w:t>
            </w:r>
          </w:p>
          <w:p>
            <w:pPr>
              <w:pStyle w:val="TableParagraph"/>
              <w:tabs>
                <w:tab w:pos="772" w:val="left" w:leader="none"/>
                <w:tab w:pos="1624" w:val="left" w:leader="none"/>
                <w:tab w:pos="2446" w:val="left" w:leader="none"/>
                <w:tab w:pos="3171" w:val="left" w:leader="none"/>
                <w:tab w:pos="3896" w:val="left" w:leader="none"/>
                <w:tab w:pos="4705" w:val="left" w:leader="none"/>
                <w:tab w:pos="5612" w:val="left" w:leader="none"/>
              </w:tabs>
              <w:spacing w:before="27"/>
              <w:ind w:right="94"/>
              <w:rPr>
                <w:sz w:val="13"/>
              </w:rPr>
            </w:pPr>
            <w:r>
              <w:rPr>
                <w:w w:val="120"/>
                <w:sz w:val="13"/>
              </w:rPr>
              <w:t>0.74</w:t>
              <w:tab/>
              <w:t>0.34</w:t>
              <w:tab/>
              <w:t>0.93</w:t>
              <w:tab/>
              <w:t>0.40</w:t>
              <w:tab/>
              <w:t>0.42</w:t>
              <w:tab/>
              <w:t>0.93</w:t>
              <w:tab/>
              <w:t>0.45</w:t>
              <w:tab/>
              <w:t>0.47</w:t>
            </w:r>
          </w:p>
          <w:p>
            <w:pPr>
              <w:pStyle w:val="TableParagraph"/>
              <w:tabs>
                <w:tab w:pos="772" w:val="left" w:leader="none"/>
                <w:tab w:pos="1540" w:val="left" w:leader="none"/>
                <w:tab w:pos="2446" w:val="left" w:leader="none"/>
                <w:tab w:pos="3171" w:val="left" w:leader="none"/>
                <w:tab w:pos="3896" w:val="left" w:leader="none"/>
                <w:tab w:pos="4621" w:val="left" w:leader="none"/>
                <w:tab w:pos="5527" w:val="left" w:leader="none"/>
              </w:tabs>
              <w:spacing w:before="33"/>
              <w:ind w:right="9"/>
              <w:rPr>
                <w:sz w:val="13"/>
              </w:rPr>
            </w:pPr>
            <w:r>
              <w:rPr>
                <w:w w:val="120"/>
                <w:sz w:val="13"/>
              </w:rPr>
              <w:t>0.5</w:t>
            </w:r>
            <w:r>
              <w:rPr>
                <w:rFonts w:ascii="Calibri" w:hAnsi="Calibri"/>
                <w:w w:val="120"/>
                <w:sz w:val="13"/>
              </w:rPr>
              <w:t>±</w:t>
            </w:r>
            <w:r>
              <w:rPr>
                <w:w w:val="120"/>
                <w:sz w:val="13"/>
              </w:rPr>
              <w:t>0.7</w:t>
              <w:tab/>
              <w:t>1.8</w:t>
            </w:r>
            <w:r>
              <w:rPr>
                <w:rFonts w:ascii="Calibri" w:hAnsi="Calibri"/>
                <w:w w:val="120"/>
                <w:sz w:val="13"/>
              </w:rPr>
              <w:t>±</w:t>
            </w:r>
            <w:r>
              <w:rPr>
                <w:w w:val="120"/>
                <w:sz w:val="13"/>
              </w:rPr>
              <w:t>1.8</w:t>
              <w:tab/>
              <w:t>16.5</w:t>
            </w:r>
            <w:r>
              <w:rPr>
                <w:rFonts w:ascii="Calibri" w:hAnsi="Calibri"/>
                <w:w w:val="120"/>
                <w:sz w:val="13"/>
              </w:rPr>
              <w:t>±</w:t>
            </w:r>
            <w:r>
              <w:rPr>
                <w:w w:val="120"/>
                <w:sz w:val="13"/>
              </w:rPr>
              <w:t>10.0</w:t>
              <w:tab/>
              <w:t>9.2</w:t>
            </w:r>
            <w:r>
              <w:rPr>
                <w:rFonts w:ascii="Calibri" w:hAnsi="Calibri"/>
                <w:w w:val="120"/>
                <w:sz w:val="13"/>
              </w:rPr>
              <w:t>±</w:t>
            </w:r>
            <w:r>
              <w:rPr>
                <w:w w:val="120"/>
                <w:sz w:val="13"/>
              </w:rPr>
              <w:t>6.9</w:t>
              <w:tab/>
              <w:t>4.9</w:t>
            </w:r>
            <w:r>
              <w:rPr>
                <w:rFonts w:ascii="Calibri" w:hAnsi="Calibri"/>
                <w:w w:val="120"/>
                <w:sz w:val="13"/>
              </w:rPr>
              <w:t>±</w:t>
            </w:r>
            <w:r>
              <w:rPr>
                <w:w w:val="120"/>
                <w:sz w:val="13"/>
              </w:rPr>
              <w:t>6.1</w:t>
              <w:tab/>
              <w:t>2.1</w:t>
            </w:r>
            <w:r>
              <w:rPr>
                <w:rFonts w:ascii="Calibri" w:hAnsi="Calibri"/>
                <w:w w:val="120"/>
                <w:sz w:val="13"/>
              </w:rPr>
              <w:t>±</w:t>
            </w:r>
            <w:r>
              <w:rPr>
                <w:w w:val="120"/>
                <w:sz w:val="13"/>
              </w:rPr>
              <w:t>2.5</w:t>
              <w:tab/>
              <w:t>11.4</w:t>
            </w:r>
            <w:r>
              <w:rPr>
                <w:rFonts w:ascii="Calibri" w:hAnsi="Calibri"/>
                <w:w w:val="120"/>
                <w:sz w:val="13"/>
              </w:rPr>
              <w:t>±</w:t>
            </w:r>
            <w:r>
              <w:rPr>
                <w:w w:val="120"/>
                <w:sz w:val="13"/>
              </w:rPr>
              <w:t>10.7</w:t>
              <w:tab/>
              <w:t>46.1</w:t>
            </w:r>
            <w:r>
              <w:rPr>
                <w:rFonts w:ascii="Calibri" w:hAnsi="Calibri"/>
                <w:w w:val="120"/>
                <w:sz w:val="13"/>
              </w:rPr>
              <w:t>±</w:t>
            </w:r>
            <w:r>
              <w:rPr>
                <w:w w:val="120"/>
                <w:sz w:val="13"/>
              </w:rPr>
              <w:t>20.5</w:t>
            </w:r>
          </w:p>
        </w:tc>
      </w:tr>
    </w:tbl>
    <w:p>
      <w:pPr>
        <w:spacing w:line="280" w:lineRule="auto" w:before="9"/>
        <w:ind w:left="1644" w:right="5189" w:firstLine="0"/>
        <w:jc w:val="left"/>
        <w:rPr>
          <w:sz w:val="12"/>
        </w:rPr>
      </w:pPr>
      <w:r>
        <w:rPr>
          <w:w w:val="120"/>
          <w:sz w:val="12"/>
        </w:rPr>
        <w:t>Valores expresados en M</w:t>
      </w:r>
      <w:r>
        <w:rPr>
          <w:rFonts w:ascii="Calibri" w:hAnsi="Calibri"/>
          <w:w w:val="120"/>
          <w:sz w:val="12"/>
        </w:rPr>
        <w:t>±</w:t>
      </w:r>
      <w:r>
        <w:rPr>
          <w:w w:val="120"/>
          <w:sz w:val="12"/>
        </w:rPr>
        <w:t>DE; ̴Correlación de Spearman; *U de Mann-Whitney Indíce de Masa Corporal (IMC)</w:t>
      </w:r>
    </w:p>
    <w:p>
      <w:pPr>
        <w:spacing w:before="9"/>
        <w:ind w:left="1644" w:right="1703" w:firstLine="0"/>
        <w:jc w:val="left"/>
        <w:rPr>
          <w:sz w:val="12"/>
        </w:rPr>
      </w:pPr>
      <w:r>
        <w:rPr>
          <w:w w:val="120"/>
          <w:sz w:val="12"/>
        </w:rPr>
        <w:t>Micronúcloes  (MN); Núcleo  Lobulado  (NL); Picnosis  (PC); Cromatina  Condensada  (CC); Cariorrexis  (CR); Cariolisis  (CL); Total de</w:t>
      </w:r>
    </w:p>
    <w:p>
      <w:pPr>
        <w:spacing w:before="22"/>
        <w:ind w:left="1644" w:right="1703" w:firstLine="0"/>
        <w:jc w:val="left"/>
        <w:rPr>
          <w:sz w:val="13"/>
        </w:rPr>
      </w:pPr>
      <w:r>
        <w:rPr>
          <w:w w:val="120"/>
          <w:sz w:val="12"/>
        </w:rPr>
        <w:t>Alteraciones Nucleares (TAN</w:t>
      </w:r>
      <w:r>
        <w:rPr>
          <w:w w:val="120"/>
          <w:sz w:val="13"/>
        </w:rPr>
        <w:t>)</w:t>
      </w:r>
    </w:p>
    <w:p>
      <w:pPr>
        <w:spacing w:after="0"/>
        <w:jc w:val="left"/>
        <w:rPr>
          <w:sz w:val="13"/>
        </w:rPr>
        <w:sectPr>
          <w:pgSz w:w="12240" w:h="15840"/>
          <w:pgMar w:header="0" w:footer="599" w:top="1500" w:bottom="780" w:left="0" w:right="0"/>
        </w:sectPr>
      </w:pPr>
    </w:p>
    <w:p>
      <w:pPr>
        <w:pStyle w:val="BodyText"/>
        <w:spacing w:before="4"/>
        <w:rPr>
          <w:sz w:val="11"/>
        </w:rPr>
      </w:pPr>
    </w:p>
    <w:p>
      <w:pPr>
        <w:pStyle w:val="Heading4"/>
        <w:numPr>
          <w:ilvl w:val="1"/>
          <w:numId w:val="34"/>
        </w:numPr>
        <w:tabs>
          <w:tab w:pos="2139" w:val="left" w:leader="none"/>
        </w:tabs>
        <w:spacing w:line="240" w:lineRule="auto" w:before="69" w:after="0"/>
        <w:ind w:left="2138" w:right="0" w:hanging="360"/>
        <w:jc w:val="left"/>
      </w:pPr>
      <w:r>
        <w:rPr/>
        <w:t>Descripción General de</w:t>
      </w:r>
      <w:r>
        <w:rPr>
          <w:spacing w:val="-9"/>
        </w:rPr>
        <w:t> </w:t>
      </w:r>
      <w:r>
        <w:rPr/>
        <w:t>Resultados</w:t>
      </w:r>
    </w:p>
    <w:p>
      <w:pPr>
        <w:pStyle w:val="BodyText"/>
        <w:rPr>
          <w:b/>
        </w:rPr>
      </w:pPr>
    </w:p>
    <w:p>
      <w:pPr>
        <w:pStyle w:val="BodyText"/>
        <w:spacing w:before="10"/>
        <w:rPr>
          <w:b/>
          <w:sz w:val="23"/>
        </w:rPr>
      </w:pPr>
    </w:p>
    <w:p>
      <w:pPr>
        <w:pStyle w:val="ListParagraph"/>
        <w:numPr>
          <w:ilvl w:val="1"/>
          <w:numId w:val="33"/>
        </w:numPr>
        <w:tabs>
          <w:tab w:pos="2138" w:val="left" w:leader="none"/>
          <w:tab w:pos="2139" w:val="left" w:leader="none"/>
        </w:tabs>
        <w:spacing w:line="240" w:lineRule="auto" w:before="1" w:after="0"/>
        <w:ind w:left="2138" w:right="0" w:hanging="360"/>
        <w:jc w:val="left"/>
        <w:rPr>
          <w:b/>
          <w:sz w:val="24"/>
        </w:rPr>
      </w:pPr>
      <w:r>
        <w:rPr>
          <w:b/>
          <w:sz w:val="24"/>
        </w:rPr>
        <w:t>Características de las</w:t>
      </w:r>
      <w:r>
        <w:rPr>
          <w:b/>
          <w:spacing w:val="-9"/>
          <w:sz w:val="24"/>
        </w:rPr>
        <w:t> </w:t>
      </w:r>
      <w:r>
        <w:rPr>
          <w:b/>
          <w:sz w:val="24"/>
        </w:rPr>
        <w:t>poblaciones</w:t>
      </w:r>
    </w:p>
    <w:p>
      <w:pPr>
        <w:pStyle w:val="BodyText"/>
        <w:spacing w:before="3"/>
        <w:rPr>
          <w:b/>
          <w:sz w:val="46"/>
        </w:rPr>
      </w:pPr>
    </w:p>
    <w:p>
      <w:pPr>
        <w:pStyle w:val="BodyText"/>
        <w:spacing w:line="360" w:lineRule="auto"/>
        <w:ind w:left="1418" w:right="1704"/>
        <w:jc w:val="both"/>
      </w:pPr>
      <w:r>
        <w:rPr/>
        <w:t>Los niños de las poblaciones de San José Villa Guerrero (8.4±1.8) y Mexicaltzingo (9.5±2.0) tienen una distribución de edad similar, la proporción de sexos (F/M) fue del 26/37 en el grupo expuesto y 36/27 en el grupo no expuesto. El Índice de Masa Corporal en el grupo expuesto fue de 16.5±1.8, cuatro niños de este grupo mostraron desnutrición; el IMC en el grupo no expuesto fue de 17.9±2.2 y dos niños  presentaron sobrepeso (Tabla</w:t>
      </w:r>
      <w:r>
        <w:rPr>
          <w:spacing w:val="-11"/>
        </w:rPr>
        <w:t> </w:t>
      </w:r>
      <w:r>
        <w:rPr/>
        <w:t>5).</w:t>
      </w:r>
    </w:p>
    <w:p>
      <w:pPr>
        <w:pStyle w:val="BodyText"/>
      </w:pPr>
    </w:p>
    <w:p>
      <w:pPr>
        <w:pStyle w:val="Heading4"/>
        <w:numPr>
          <w:ilvl w:val="1"/>
          <w:numId w:val="33"/>
        </w:numPr>
        <w:tabs>
          <w:tab w:pos="2138" w:val="left" w:leader="none"/>
          <w:tab w:pos="2139" w:val="left" w:leader="none"/>
        </w:tabs>
        <w:spacing w:line="240" w:lineRule="auto" w:before="141" w:after="0"/>
        <w:ind w:left="2138" w:right="0" w:hanging="360"/>
        <w:jc w:val="left"/>
      </w:pPr>
      <w:r>
        <w:rPr/>
        <w:t>Características de la</w:t>
      </w:r>
      <w:r>
        <w:rPr>
          <w:spacing w:val="-10"/>
        </w:rPr>
        <w:t> </w:t>
      </w:r>
      <w:r>
        <w:rPr/>
        <w:t>exposición</w:t>
      </w:r>
    </w:p>
    <w:p>
      <w:pPr>
        <w:pStyle w:val="BodyText"/>
        <w:spacing w:before="6"/>
        <w:rPr>
          <w:b/>
          <w:sz w:val="46"/>
        </w:rPr>
      </w:pPr>
    </w:p>
    <w:p>
      <w:pPr>
        <w:pStyle w:val="BodyText"/>
        <w:spacing w:line="360" w:lineRule="auto"/>
        <w:ind w:left="1418" w:right="1703"/>
        <w:jc w:val="both"/>
      </w:pPr>
      <w:r>
        <w:rPr/>
        <w:t>La mayoría de los padres 58/63 y madres 7/63 de los niños expuestos laboran en la floricultura, sus domicilios de 58/63 de los niños expuestos se encuentran a rango menor de 100 metros de distancia de un invernadero (Tabla 7)</w:t>
      </w:r>
    </w:p>
    <w:p>
      <w:pPr>
        <w:pStyle w:val="BodyText"/>
      </w:pPr>
    </w:p>
    <w:p>
      <w:pPr>
        <w:pStyle w:val="BodyText"/>
        <w:spacing w:line="360" w:lineRule="auto" w:before="142"/>
        <w:ind w:left="1418" w:right="1697"/>
        <w:jc w:val="both"/>
      </w:pPr>
      <w:r>
        <w:rPr/>
        <w:t>Los niños del grupo expuesto participan en diversas actividades (43/63) como desbotonamiento, acarreo y empaquetamiento de la flor y limpieza del invernadero, de estos 37/43 realizan dicho trabajo de dos a tres veces por semana en los invernaderos, 6/43 realizan estas actividades una vez al mes, ningún niño indico colaborar en la aplicación de plaguicidas (Tabla 8).</w:t>
      </w:r>
    </w:p>
    <w:p>
      <w:pPr>
        <w:pStyle w:val="BodyText"/>
      </w:pPr>
    </w:p>
    <w:p>
      <w:pPr>
        <w:pStyle w:val="BodyText"/>
        <w:spacing w:line="360" w:lineRule="auto" w:before="142"/>
        <w:ind w:left="1418" w:right="1707"/>
        <w:jc w:val="both"/>
      </w:pPr>
      <w:r>
        <w:rPr/>
        <w:t>Niños y padres expuestos no suelen bañarse después de sus actividades (14/63), la ropa usada en el invernadero la colocan dentro de su casa (21/63), y se lava con la del resto de la familia (12/63) (Tabla 9).</w:t>
      </w:r>
    </w:p>
    <w:p>
      <w:pPr>
        <w:spacing w:after="0" w:line="360" w:lineRule="auto"/>
        <w:jc w:val="both"/>
        <w:sectPr>
          <w:pgSz w:w="12240" w:h="15840"/>
          <w:pgMar w:header="0" w:footer="599" w:top="1500" w:bottom="780" w:left="0" w:right="0"/>
        </w:sectPr>
      </w:pPr>
    </w:p>
    <w:p>
      <w:pPr>
        <w:pStyle w:val="BodyText"/>
        <w:spacing w:before="9"/>
        <w:rPr>
          <w:sz w:val="13"/>
        </w:rPr>
      </w:pPr>
    </w:p>
    <w:p>
      <w:pPr>
        <w:pStyle w:val="Heading4"/>
        <w:numPr>
          <w:ilvl w:val="1"/>
          <w:numId w:val="33"/>
        </w:numPr>
        <w:tabs>
          <w:tab w:pos="2138" w:val="left" w:leader="none"/>
          <w:tab w:pos="2139" w:val="left" w:leader="none"/>
        </w:tabs>
        <w:spacing w:line="312" w:lineRule="auto" w:before="41" w:after="0"/>
        <w:ind w:left="2138" w:right="1703" w:hanging="360"/>
        <w:jc w:val="left"/>
      </w:pPr>
      <w:r>
        <w:rPr/>
        <w:t>Análisis de micronúcleos y anormalidades nucleares entre el grupo expuesto y no</w:t>
      </w:r>
      <w:r>
        <w:rPr>
          <w:spacing w:val="-5"/>
        </w:rPr>
        <w:t> </w:t>
      </w:r>
      <w:r>
        <w:rPr/>
        <w:t>expuesto</w:t>
      </w:r>
    </w:p>
    <w:p>
      <w:pPr>
        <w:pStyle w:val="BodyText"/>
        <w:rPr>
          <w:b/>
        </w:rPr>
      </w:pPr>
    </w:p>
    <w:p>
      <w:pPr>
        <w:pStyle w:val="BodyText"/>
        <w:spacing w:line="360" w:lineRule="auto" w:before="195"/>
        <w:ind w:left="1418" w:right="1699"/>
        <w:jc w:val="both"/>
      </w:pPr>
      <w:r>
        <w:rPr/>
        <w:t>La población infantil expuesta a plaguicidas presentó mayor frecuencia de células BN (p=0.002) con relación a los controles, la diferencia fue significativa. En el grupo control se observó diferencia significativa en el número de células con CR (p=0.006) en comparación con el grupo expuesto (Tabla 6).</w:t>
      </w:r>
    </w:p>
    <w:p>
      <w:pPr>
        <w:pStyle w:val="BodyText"/>
      </w:pPr>
    </w:p>
    <w:p>
      <w:pPr>
        <w:pStyle w:val="BodyText"/>
        <w:spacing w:line="360" w:lineRule="auto" w:before="142"/>
        <w:ind w:left="1418" w:right="1705"/>
        <w:jc w:val="both"/>
      </w:pPr>
      <w:r>
        <w:rPr/>
        <w:t>Los niños expuestos a plaguicidas mostraron baja frecuencia de MN, las células con NL, CC y el TAN se presentaron en mayor proporción en el grupo expuesto, en tanto que la frecuencia de células con CL se mostró más alta en el grupo control, sin embargo, no se observaron diferencias significativas (Tabla 6).</w:t>
      </w:r>
    </w:p>
    <w:p>
      <w:pPr>
        <w:pStyle w:val="BodyText"/>
      </w:pPr>
    </w:p>
    <w:p>
      <w:pPr>
        <w:pStyle w:val="Heading4"/>
        <w:numPr>
          <w:ilvl w:val="1"/>
          <w:numId w:val="33"/>
        </w:numPr>
        <w:tabs>
          <w:tab w:pos="2138" w:val="left" w:leader="none"/>
          <w:tab w:pos="2139" w:val="left" w:leader="none"/>
        </w:tabs>
        <w:spacing w:line="314" w:lineRule="auto" w:before="141" w:after="0"/>
        <w:ind w:left="2138" w:right="1699" w:hanging="360"/>
        <w:jc w:val="left"/>
      </w:pPr>
      <w:r>
        <w:rPr/>
        <w:t>Análisis de micronúcleos y anormalidades nucleares en relación a la exposición</w:t>
      </w:r>
    </w:p>
    <w:p>
      <w:pPr>
        <w:pStyle w:val="BodyText"/>
        <w:rPr>
          <w:b/>
        </w:rPr>
      </w:pPr>
    </w:p>
    <w:p>
      <w:pPr>
        <w:pStyle w:val="BodyText"/>
        <w:spacing w:line="360" w:lineRule="auto" w:before="193"/>
        <w:ind w:left="1418" w:right="1697"/>
        <w:jc w:val="both"/>
      </w:pPr>
      <w:r>
        <w:rPr/>
        <w:t>Los niños de padres dedicados a la floricultura, presentaron diferencias significativas en la frecuencia de células con CL (p=0.05) y en el TAN (p=0.04). Los niños de madres dedicadas al hogar mostraron valores significativos en las células con CL (p=0.02). Los niños que viven cerca de un invernadero y realizan actividades tres veces por semana dentro del mismo no mostraron valores significativos en oposición con los niños que realizan actividades una vez al mes en el invernadero quienes presentaron diferencias significativas en el TAN (p=0.001) (Tabla 7 y 8).</w:t>
      </w:r>
    </w:p>
    <w:p>
      <w:pPr>
        <w:pStyle w:val="BodyText"/>
      </w:pPr>
    </w:p>
    <w:p>
      <w:pPr>
        <w:pStyle w:val="BodyText"/>
        <w:spacing w:line="360" w:lineRule="auto" w:before="142"/>
        <w:ind w:left="1418" w:right="1696"/>
        <w:jc w:val="both"/>
      </w:pPr>
      <w:r>
        <w:rPr/>
        <w:t>Los niños que no suelen bañarse después de sus actividades, colocan la ropa usada en el invernadero dentro de su casa y su ropa se lava con la del resto de la familia no mostraron cifras significativas de MN y AN (Tabla 9).</w:t>
      </w:r>
    </w:p>
    <w:p>
      <w:pPr>
        <w:spacing w:after="0" w:line="360" w:lineRule="auto"/>
        <w:jc w:val="both"/>
        <w:sectPr>
          <w:pgSz w:w="12240" w:h="15840"/>
          <w:pgMar w:header="0" w:footer="599" w:top="1500" w:bottom="780" w:left="0" w:right="0"/>
        </w:sectPr>
      </w:pPr>
    </w:p>
    <w:p>
      <w:pPr>
        <w:pStyle w:val="BodyText"/>
        <w:spacing w:before="9"/>
        <w:rPr>
          <w:sz w:val="13"/>
        </w:rPr>
      </w:pPr>
    </w:p>
    <w:p>
      <w:pPr>
        <w:pStyle w:val="Heading4"/>
        <w:numPr>
          <w:ilvl w:val="1"/>
          <w:numId w:val="33"/>
        </w:numPr>
        <w:tabs>
          <w:tab w:pos="2138" w:val="left" w:leader="none"/>
          <w:tab w:pos="2139" w:val="left" w:leader="none"/>
        </w:tabs>
        <w:spacing w:line="240" w:lineRule="auto" w:before="41" w:after="0"/>
        <w:ind w:left="2138" w:right="0" w:hanging="360"/>
        <w:jc w:val="left"/>
      </w:pPr>
      <w:r>
        <w:rPr/>
        <w:t>Factores de variabilidad del grupo</w:t>
      </w:r>
      <w:r>
        <w:rPr>
          <w:spacing w:val="-14"/>
        </w:rPr>
        <w:t> </w:t>
      </w:r>
      <w:r>
        <w:rPr/>
        <w:t>expuesto</w:t>
      </w:r>
    </w:p>
    <w:p>
      <w:pPr>
        <w:pStyle w:val="BodyText"/>
        <w:spacing w:before="3"/>
        <w:rPr>
          <w:b/>
          <w:sz w:val="46"/>
        </w:rPr>
      </w:pPr>
    </w:p>
    <w:p>
      <w:pPr>
        <w:pStyle w:val="BodyText"/>
        <w:spacing w:line="360" w:lineRule="auto"/>
        <w:ind w:left="1418" w:right="1698"/>
        <w:jc w:val="both"/>
      </w:pPr>
      <w:r>
        <w:rPr/>
        <w:t>El 52% de los niños utilizaron cepillo y pasta dental, ninguno indicó uso de enjuague bucal, el 4.8% asistió a consulta dental, de estos niños el 3.2% recibieron como tratamiento dental obturaciones con amalgama o resina (Tabla 5).</w:t>
      </w:r>
    </w:p>
    <w:p>
      <w:pPr>
        <w:pStyle w:val="BodyText"/>
      </w:pPr>
    </w:p>
    <w:p>
      <w:pPr>
        <w:pStyle w:val="BodyText"/>
        <w:spacing w:line="360" w:lineRule="auto" w:before="142"/>
        <w:ind w:left="1418" w:right="1705"/>
        <w:jc w:val="both"/>
      </w:pPr>
      <w:r>
        <w:rPr/>
        <w:t>El consumo de alimentos enlatados y embutidos fue bajo (7.9/17.5%), así como el consumo de pescado (15.9%), el consumo de frutas y verduras fue del 82% y 69.8% el lavado de estas se realizó con agua y jabón, únicamente el 30.2% se lavo con agua. El consumo de carne fue del 100%, té 71.4% y café 42.9%, se manifestó bajo consumo de vitaminas (4.8%) (Tabla 5).</w:t>
      </w:r>
    </w:p>
    <w:p>
      <w:pPr>
        <w:pStyle w:val="BodyText"/>
      </w:pPr>
    </w:p>
    <w:p>
      <w:pPr>
        <w:pStyle w:val="BodyText"/>
        <w:spacing w:line="360" w:lineRule="auto" w:before="142"/>
        <w:ind w:left="1418" w:right="1698"/>
        <w:jc w:val="both"/>
      </w:pPr>
      <w:r>
        <w:rPr/>
        <w:t>El 17.5% de las madres de los niños entrevistadas refirieron tener familiares con cáncer, el 23.8% manifestaron antecedentes de problemas durante el nacimiento y/o embarazo (Tabla 5).</w:t>
      </w:r>
    </w:p>
    <w:p>
      <w:pPr>
        <w:pStyle w:val="BodyText"/>
      </w:pPr>
    </w:p>
    <w:p>
      <w:pPr>
        <w:spacing w:before="142"/>
        <w:ind w:left="1418" w:right="0" w:firstLine="0"/>
        <w:jc w:val="both"/>
        <w:rPr>
          <w:sz w:val="24"/>
        </w:rPr>
      </w:pPr>
      <w:r>
        <w:rPr>
          <w:sz w:val="24"/>
        </w:rPr>
        <w:t>El 41.3% </w:t>
      </w:r>
      <w:r>
        <w:rPr>
          <w:sz w:val="22"/>
        </w:rPr>
        <w:t>de los </w:t>
      </w:r>
      <w:r>
        <w:rPr>
          <w:sz w:val="24"/>
        </w:rPr>
        <w:t>niños de la comunidad de San José, son </w:t>
      </w:r>
      <w:r>
        <w:rPr>
          <w:sz w:val="22"/>
        </w:rPr>
        <w:t>fumadores pasivos (</w:t>
      </w:r>
      <w:r>
        <w:rPr>
          <w:sz w:val="24"/>
        </w:rPr>
        <w:t>Tabla 5).</w:t>
      </w:r>
    </w:p>
    <w:p>
      <w:pPr>
        <w:pStyle w:val="BodyText"/>
      </w:pPr>
    </w:p>
    <w:p>
      <w:pPr>
        <w:pStyle w:val="BodyText"/>
        <w:spacing w:before="10"/>
        <w:rPr>
          <w:sz w:val="23"/>
        </w:rPr>
      </w:pPr>
    </w:p>
    <w:p>
      <w:pPr>
        <w:pStyle w:val="Heading4"/>
        <w:numPr>
          <w:ilvl w:val="1"/>
          <w:numId w:val="33"/>
        </w:numPr>
        <w:tabs>
          <w:tab w:pos="2138" w:val="left" w:leader="none"/>
          <w:tab w:pos="2139" w:val="left" w:leader="none"/>
        </w:tabs>
        <w:spacing w:line="312" w:lineRule="auto" w:before="1" w:after="0"/>
        <w:ind w:left="2138" w:right="1699" w:hanging="360"/>
        <w:jc w:val="left"/>
      </w:pPr>
      <w:r>
        <w:rPr/>
        <w:t>Formación de micronúcleos y anormalidades nucleares respecto a los factores de variabilidad, grupo</w:t>
      </w:r>
      <w:r>
        <w:rPr>
          <w:spacing w:val="-12"/>
        </w:rPr>
        <w:t> </w:t>
      </w:r>
      <w:r>
        <w:rPr/>
        <w:t>expuesto</w:t>
      </w:r>
    </w:p>
    <w:p>
      <w:pPr>
        <w:pStyle w:val="BodyText"/>
        <w:rPr>
          <w:b/>
        </w:rPr>
      </w:pPr>
    </w:p>
    <w:p>
      <w:pPr>
        <w:pStyle w:val="BodyText"/>
        <w:spacing w:line="360" w:lineRule="auto" w:before="195"/>
        <w:ind w:left="1418" w:right="1706"/>
        <w:jc w:val="both"/>
      </w:pPr>
      <w:r>
        <w:rPr/>
        <w:t>El IMC en los niños del grupo expuesto mostró valores significativos de células BN (p=0.01), así como aquellos con tratamiento dental con resina y/o amalgama  (p=0.04) (Tabla</w:t>
      </w:r>
      <w:r>
        <w:rPr>
          <w:spacing w:val="-5"/>
        </w:rPr>
        <w:t> </w:t>
      </w:r>
      <w:r>
        <w:rPr/>
        <w:t>10).</w:t>
      </w:r>
    </w:p>
    <w:p>
      <w:pPr>
        <w:pStyle w:val="BodyText"/>
      </w:pPr>
    </w:p>
    <w:p>
      <w:pPr>
        <w:pStyle w:val="BodyText"/>
        <w:spacing w:line="360" w:lineRule="auto" w:before="142"/>
        <w:ind w:left="1418" w:right="1703"/>
        <w:jc w:val="both"/>
      </w:pPr>
      <w:r>
        <w:rPr/>
        <w:t>En los niños que consumieron alimentos enlatados se observaron valores significativos en la frecuencia de CL (p=0.03) (Tabla 10).</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60" w:lineRule="auto" w:before="69"/>
        <w:ind w:left="1418" w:right="1701"/>
        <w:jc w:val="both"/>
      </w:pPr>
      <w:r>
        <w:rPr/>
        <w:t>Los niños de madres que refirieron antecedentes familiares con cáncer mostraron diferencias estadísticamente significativas en la frecuencia de MN (p=0.05) y los fumadores pasivos (p=0.05) (Tabla 10).</w:t>
      </w:r>
    </w:p>
    <w:p>
      <w:pPr>
        <w:pStyle w:val="BodyText"/>
      </w:pPr>
    </w:p>
    <w:p>
      <w:pPr>
        <w:pStyle w:val="BodyText"/>
        <w:spacing w:line="360" w:lineRule="auto" w:before="142"/>
        <w:ind w:left="1418" w:right="1705"/>
        <w:jc w:val="both"/>
      </w:pPr>
      <w:r>
        <w:rPr/>
        <w:t>Las variables edad, género, consumo de vitaminas, problemas de nacimiento y otros hábitos alimenticios no mostraron diferencias significativas (Tabla 10).</w:t>
      </w:r>
    </w:p>
    <w:p>
      <w:pPr>
        <w:pStyle w:val="BodyText"/>
      </w:pPr>
    </w:p>
    <w:p>
      <w:pPr>
        <w:pStyle w:val="Heading4"/>
        <w:numPr>
          <w:ilvl w:val="1"/>
          <w:numId w:val="33"/>
        </w:numPr>
        <w:tabs>
          <w:tab w:pos="2138" w:val="left" w:leader="none"/>
          <w:tab w:pos="2139" w:val="left" w:leader="none"/>
        </w:tabs>
        <w:spacing w:line="240" w:lineRule="auto" w:before="143" w:after="0"/>
        <w:ind w:left="2138" w:right="0" w:hanging="360"/>
        <w:jc w:val="left"/>
      </w:pPr>
      <w:r>
        <w:rPr/>
        <w:t>Factores de variabilidad del grupo no</w:t>
      </w:r>
      <w:r>
        <w:rPr>
          <w:spacing w:val="-13"/>
        </w:rPr>
        <w:t> </w:t>
      </w:r>
      <w:r>
        <w:rPr/>
        <w:t>expuesto</w:t>
      </w:r>
    </w:p>
    <w:p>
      <w:pPr>
        <w:pStyle w:val="BodyText"/>
        <w:rPr>
          <w:b/>
          <w:sz w:val="32"/>
        </w:rPr>
      </w:pPr>
    </w:p>
    <w:p>
      <w:pPr>
        <w:pStyle w:val="BodyText"/>
        <w:spacing w:before="7"/>
        <w:rPr>
          <w:b/>
          <w:sz w:val="31"/>
        </w:rPr>
      </w:pPr>
    </w:p>
    <w:p>
      <w:pPr>
        <w:pStyle w:val="BodyText"/>
        <w:spacing w:line="360" w:lineRule="auto" w:before="1"/>
        <w:ind w:left="1418" w:right="1696"/>
        <w:jc w:val="both"/>
      </w:pPr>
      <w:r>
        <w:rPr/>
        <w:t>El 95.2% de los niños de este grupo utilizó cepillo y pasta dental, 34.9% enjuague bucal, de los cuales 3.2% reportaron contenido de alcohol de este auxiliar dental. La asistencia a consulta dental (6.3%) fue mínima y el 1.6% de los niños reportaron como tratamiento dental, obturación con amalgama o resina (Tabla 5).</w:t>
      </w:r>
    </w:p>
    <w:p>
      <w:pPr>
        <w:pStyle w:val="BodyText"/>
      </w:pPr>
    </w:p>
    <w:p>
      <w:pPr>
        <w:pStyle w:val="BodyText"/>
        <w:spacing w:line="360" w:lineRule="auto" w:before="142"/>
        <w:ind w:left="1418" w:right="1702"/>
        <w:jc w:val="both"/>
      </w:pPr>
      <w:r>
        <w:rPr/>
        <w:t>Los niños reportaron bajo consumo de alimentos enlatados (4.8%), el 30.2% reportaron consumir embutidos y un alto porcentaje refirieron el consumo de frutas y verduras (98.4%) y carne (98.4%). Aproximadamente el 50% de los niños consumieron café y/o café con leche, mientras el 63.5% consumieron té, y el 23.8% de los niños son fumadores pasivos (Tabla 5).</w:t>
      </w:r>
    </w:p>
    <w:p>
      <w:pPr>
        <w:pStyle w:val="BodyText"/>
      </w:pPr>
    </w:p>
    <w:p>
      <w:pPr>
        <w:pStyle w:val="BodyText"/>
        <w:spacing w:line="360" w:lineRule="auto" w:before="142"/>
        <w:ind w:left="1418" w:right="1706"/>
        <w:jc w:val="both"/>
      </w:pPr>
      <w:r>
        <w:rPr/>
        <w:t>El 9.5% de las madres de los niños entrevistadas refirieron tener familiares con cáncer y 19% problemas durante el nacimiento y/o embarazo (Tabla 5).</w:t>
      </w:r>
    </w:p>
    <w:p>
      <w:pPr>
        <w:pStyle w:val="BodyText"/>
      </w:pPr>
    </w:p>
    <w:p>
      <w:pPr>
        <w:pStyle w:val="Heading4"/>
        <w:numPr>
          <w:ilvl w:val="1"/>
          <w:numId w:val="33"/>
        </w:numPr>
        <w:tabs>
          <w:tab w:pos="2138" w:val="left" w:leader="none"/>
          <w:tab w:pos="2139" w:val="left" w:leader="none"/>
        </w:tabs>
        <w:spacing w:line="314" w:lineRule="auto" w:before="139" w:after="0"/>
        <w:ind w:left="2138" w:right="1704" w:hanging="360"/>
        <w:jc w:val="left"/>
      </w:pPr>
      <w:r>
        <w:rPr/>
        <w:t>Formación de micronúcleos y anormalidades nucleares respecto a los factores de variabilidad, grupo no</w:t>
      </w:r>
      <w:r>
        <w:rPr>
          <w:spacing w:val="-16"/>
        </w:rPr>
        <w:t> </w:t>
      </w:r>
      <w:r>
        <w:rPr/>
        <w:t>expuesto</w:t>
      </w:r>
    </w:p>
    <w:p>
      <w:pPr>
        <w:pStyle w:val="BodyText"/>
        <w:rPr>
          <w:b/>
        </w:rPr>
      </w:pPr>
    </w:p>
    <w:p>
      <w:pPr>
        <w:pStyle w:val="BodyText"/>
        <w:spacing w:line="360" w:lineRule="auto" w:before="193"/>
        <w:ind w:left="1418" w:right="1699"/>
        <w:jc w:val="both"/>
      </w:pPr>
      <w:r>
        <w:rPr/>
        <w:t>En el grupo no expuesto, se observaron valores significativos de células BN (p=0.04) relacionados con el uso del cepillo dental, células con CL (p=0.05) por uso de enjuague bucal y células con NL (p=0.01), así como TAN (p=0.05) por tratamiento dental (Tabla 11).</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60" w:lineRule="auto" w:before="69"/>
        <w:ind w:left="1418" w:right="1698"/>
        <w:jc w:val="both"/>
      </w:pPr>
      <w:r>
        <w:rPr/>
        <w:t>El consumo de frutas y verduras mostró diferencias significativas de PC (p=0.05), CR (p=0.05) y TAN (p=0.05), mientras que en el consumo de té se observaron valores significativos de NL (p=0.04) y TAN (p=0.03) (Tabla 11).</w:t>
      </w:r>
    </w:p>
    <w:p>
      <w:pPr>
        <w:pStyle w:val="BodyText"/>
        <w:spacing w:line="360" w:lineRule="auto" w:before="204"/>
        <w:ind w:left="1418" w:right="1696"/>
        <w:jc w:val="both"/>
      </w:pPr>
      <w:r>
        <w:rPr/>
        <w:t>Las variables edad, género, consumo de vitaminas, problemas de nacimiento y otros hábitos alimenticios no mostraron diferencias significativas (Tabla 11), </w:t>
      </w:r>
      <w:r>
        <w:rPr>
          <w:spacing w:val="5"/>
        </w:rPr>
        <w:t>en </w:t>
      </w:r>
      <w:r>
        <w:rPr/>
        <w:t>la Figura  13 se muestra fotografías de MN y AN tomadas durante el análisis de las</w:t>
      </w:r>
      <w:r>
        <w:rPr>
          <w:spacing w:val="-26"/>
        </w:rPr>
        <w:t> </w:t>
      </w:r>
      <w:r>
        <w:rPr/>
        <w:t>muestras.</w:t>
      </w:r>
    </w:p>
    <w:p>
      <w:pPr>
        <w:spacing w:after="0" w:line="360" w:lineRule="auto"/>
        <w:jc w:val="both"/>
        <w:sectPr>
          <w:pgSz w:w="12240" w:h="15840"/>
          <w:pgMar w:header="0" w:footer="599" w:top="1500" w:bottom="780" w:left="0" w:right="0"/>
        </w:sectPr>
      </w:pPr>
    </w:p>
    <w:p>
      <w:pPr>
        <w:pStyle w:val="BodyText"/>
        <w:spacing w:before="4"/>
        <w:rPr>
          <w:sz w:val="11"/>
        </w:rPr>
      </w:pPr>
    </w:p>
    <w:p>
      <w:pPr>
        <w:pStyle w:val="Heading4"/>
        <w:numPr>
          <w:ilvl w:val="2"/>
          <w:numId w:val="3"/>
        </w:numPr>
        <w:tabs>
          <w:tab w:pos="1781" w:val="left" w:leader="none"/>
        </w:tabs>
        <w:spacing w:line="240" w:lineRule="auto" w:before="69" w:after="0"/>
        <w:ind w:left="1780" w:right="0" w:hanging="362"/>
        <w:jc w:val="left"/>
      </w:pPr>
      <w:r>
        <w:rPr/>
        <w:t>TABLAS Y</w:t>
      </w:r>
      <w:r>
        <w:rPr>
          <w:spacing w:val="-13"/>
        </w:rPr>
        <w:t> </w:t>
      </w:r>
      <w:r>
        <w:rPr/>
        <w:t>FIGURAS</w:t>
      </w:r>
    </w:p>
    <w:p>
      <w:pPr>
        <w:pStyle w:val="BodyText"/>
        <w:rPr>
          <w:b/>
          <w:sz w:val="20"/>
        </w:rPr>
      </w:pPr>
    </w:p>
    <w:p>
      <w:pPr>
        <w:pStyle w:val="BodyText"/>
        <w:spacing w:before="4"/>
        <w:rPr>
          <w:b/>
          <w:sz w:val="27"/>
        </w:rPr>
      </w:pPr>
    </w:p>
    <w:p>
      <w:pPr>
        <w:spacing w:before="70"/>
        <w:ind w:left="2498" w:right="1703" w:firstLine="0"/>
        <w:jc w:val="left"/>
        <w:rPr>
          <w:b/>
          <w:sz w:val="24"/>
        </w:rPr>
      </w:pPr>
      <w:r>
        <w:rPr>
          <w:b/>
          <w:sz w:val="24"/>
        </w:rPr>
        <w:t>Tabla 5. Características de las poblaciones</w:t>
      </w:r>
    </w:p>
    <w:p>
      <w:pPr>
        <w:pStyle w:val="BodyText"/>
        <w:spacing w:before="9"/>
        <w:rPr>
          <w:b/>
          <w:sz w:val="19"/>
        </w:rPr>
      </w:pPr>
    </w:p>
    <w:tbl>
      <w:tblPr>
        <w:tblW w:w="0" w:type="auto"/>
        <w:jc w:val="left"/>
        <w:tblInd w:w="25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53"/>
        <w:gridCol w:w="3416"/>
        <w:gridCol w:w="1445"/>
        <w:gridCol w:w="1515"/>
      </w:tblGrid>
      <w:tr>
        <w:trPr>
          <w:trHeight w:val="799" w:hRule="exact"/>
        </w:trPr>
        <w:tc>
          <w:tcPr>
            <w:tcW w:w="7028" w:type="dxa"/>
            <w:gridSpan w:val="4"/>
            <w:tcBorders>
              <w:left w:val="dotted" w:sz="5" w:space="0" w:color="30859C"/>
            </w:tcBorders>
            <w:shd w:val="clear" w:color="auto" w:fill="33CCCC"/>
          </w:tcPr>
          <w:p>
            <w:pPr>
              <w:pStyle w:val="TableParagraph"/>
              <w:tabs>
                <w:tab w:pos="4266" w:val="left" w:leader="none"/>
                <w:tab w:pos="5598" w:val="left" w:leader="none"/>
                <w:tab w:pos="5801" w:val="left" w:leader="none"/>
              </w:tabs>
              <w:spacing w:line="290" w:lineRule="auto" w:before="143"/>
              <w:ind w:left="4317" w:right="91" w:hanging="2742"/>
              <w:jc w:val="left"/>
              <w:rPr>
                <w:b/>
                <w:sz w:val="20"/>
              </w:rPr>
            </w:pPr>
            <w:r>
              <w:rPr>
                <w:b/>
                <w:spacing w:val="-3"/>
                <w:sz w:val="20"/>
              </w:rPr>
              <w:t>Variables</w:t>
              <w:tab/>
            </w:r>
            <w:r>
              <w:rPr>
                <w:b/>
                <w:sz w:val="20"/>
              </w:rPr>
              <w:t>Expuestos</w:t>
              <w:tab/>
            </w:r>
            <w:r>
              <w:rPr>
                <w:b/>
                <w:spacing w:val="2"/>
                <w:sz w:val="20"/>
              </w:rPr>
              <w:t>No</w:t>
            </w:r>
            <w:r>
              <w:rPr>
                <w:b/>
                <w:spacing w:val="7"/>
                <w:sz w:val="20"/>
              </w:rPr>
              <w:t> </w:t>
            </w:r>
            <w:r>
              <w:rPr>
                <w:b/>
                <w:sz w:val="20"/>
              </w:rPr>
              <w:t>expuestos</w:t>
            </w:r>
            <w:r>
              <w:rPr>
                <w:b/>
                <w:w w:val="101"/>
                <w:sz w:val="20"/>
              </w:rPr>
              <w:t> </w:t>
            </w:r>
            <w:r>
              <w:rPr>
                <w:b/>
                <w:sz w:val="20"/>
              </w:rPr>
              <w:t>n =</w:t>
            </w:r>
            <w:r>
              <w:rPr>
                <w:b/>
                <w:spacing w:val="-10"/>
                <w:sz w:val="20"/>
              </w:rPr>
              <w:t> </w:t>
            </w:r>
            <w:r>
              <w:rPr>
                <w:b/>
                <w:sz w:val="20"/>
              </w:rPr>
              <w:t>63</w:t>
            </w:r>
            <w:r>
              <w:rPr>
                <w:b/>
                <w:spacing w:val="-1"/>
                <w:sz w:val="20"/>
              </w:rPr>
              <w:t> </w:t>
            </w:r>
            <w:r>
              <w:rPr>
                <w:b/>
                <w:spacing w:val="-3"/>
                <w:sz w:val="20"/>
              </w:rPr>
              <w:t>(%)</w:t>
              <w:tab/>
              <w:tab/>
            </w:r>
            <w:r>
              <w:rPr>
                <w:b/>
                <w:sz w:val="20"/>
              </w:rPr>
              <w:t>n = 63</w:t>
            </w:r>
            <w:r>
              <w:rPr>
                <w:b/>
                <w:spacing w:val="-3"/>
                <w:sz w:val="20"/>
              </w:rPr>
              <w:t> (%)</w:t>
            </w:r>
          </w:p>
        </w:tc>
      </w:tr>
      <w:tr>
        <w:trPr>
          <w:trHeight w:val="342" w:hRule="exact"/>
        </w:trPr>
        <w:tc>
          <w:tcPr>
            <w:tcW w:w="4069" w:type="dxa"/>
            <w:gridSpan w:val="2"/>
            <w:tcBorders>
              <w:right w:val="dotted" w:sz="5" w:space="0" w:color="30859C"/>
            </w:tcBorders>
            <w:shd w:val="clear" w:color="auto" w:fill="B4EDEC"/>
          </w:tcPr>
          <w:p>
            <w:pPr>
              <w:pStyle w:val="TableParagraph"/>
              <w:spacing w:before="113"/>
              <w:ind w:left="45"/>
              <w:jc w:val="left"/>
              <w:rPr>
                <w:b/>
                <w:sz w:val="16"/>
              </w:rPr>
            </w:pPr>
            <w:r>
              <w:rPr>
                <w:b/>
                <w:w w:val="105"/>
                <w:sz w:val="16"/>
              </w:rPr>
              <w:t>Edad</w:t>
            </w:r>
          </w:p>
        </w:tc>
        <w:tc>
          <w:tcPr>
            <w:tcW w:w="1445" w:type="dxa"/>
            <w:tcBorders>
              <w:left w:val="dotted" w:sz="5" w:space="0" w:color="30859C"/>
              <w:right w:val="dotted" w:sz="5" w:space="0" w:color="30859C"/>
            </w:tcBorders>
            <w:shd w:val="clear" w:color="auto" w:fill="B4EDEC"/>
          </w:tcPr>
          <w:p>
            <w:pPr>
              <w:pStyle w:val="TableParagraph"/>
              <w:spacing w:before="136"/>
              <w:ind w:left="95" w:right="101"/>
              <w:rPr>
                <w:sz w:val="16"/>
              </w:rPr>
            </w:pPr>
            <w:r>
              <w:rPr>
                <w:w w:val="105"/>
                <w:sz w:val="16"/>
              </w:rPr>
              <w:t>8.4 </w:t>
            </w:r>
            <w:r>
              <w:rPr>
                <w:rFonts w:ascii="Calibri" w:hAnsi="Calibri"/>
                <w:w w:val="105"/>
                <w:sz w:val="16"/>
              </w:rPr>
              <w:t>± </w:t>
            </w:r>
            <w:r>
              <w:rPr>
                <w:w w:val="105"/>
                <w:sz w:val="16"/>
              </w:rPr>
              <w:t>1.8 (6-11)*</w:t>
            </w:r>
          </w:p>
        </w:tc>
        <w:tc>
          <w:tcPr>
            <w:tcW w:w="1515" w:type="dxa"/>
            <w:tcBorders>
              <w:left w:val="dotted" w:sz="5" w:space="0" w:color="30859C"/>
            </w:tcBorders>
            <w:shd w:val="clear" w:color="auto" w:fill="B4EDEC"/>
          </w:tcPr>
          <w:p>
            <w:pPr>
              <w:pStyle w:val="TableParagraph"/>
              <w:spacing w:before="136"/>
              <w:ind w:left="134" w:right="137"/>
              <w:rPr>
                <w:sz w:val="16"/>
              </w:rPr>
            </w:pPr>
            <w:r>
              <w:rPr>
                <w:w w:val="105"/>
                <w:sz w:val="16"/>
              </w:rPr>
              <w:t>9.5 </w:t>
            </w:r>
            <w:r>
              <w:rPr>
                <w:rFonts w:ascii="Calibri" w:hAnsi="Calibri"/>
                <w:w w:val="105"/>
                <w:sz w:val="16"/>
              </w:rPr>
              <w:t>± </w:t>
            </w:r>
            <w:r>
              <w:rPr>
                <w:w w:val="105"/>
                <w:sz w:val="16"/>
              </w:rPr>
              <w:t>2.0 (6-12)*</w:t>
            </w:r>
          </w:p>
        </w:tc>
      </w:tr>
      <w:tr>
        <w:trPr>
          <w:trHeight w:val="355" w:hRule="exact"/>
        </w:trPr>
        <w:tc>
          <w:tcPr>
            <w:tcW w:w="4069" w:type="dxa"/>
            <w:gridSpan w:val="2"/>
            <w:tcBorders>
              <w:right w:val="dotted" w:sz="5" w:space="0" w:color="30859C"/>
            </w:tcBorders>
            <w:shd w:val="clear" w:color="auto" w:fill="77DFDD"/>
          </w:tcPr>
          <w:p>
            <w:pPr>
              <w:pStyle w:val="TableParagraph"/>
              <w:spacing w:before="120"/>
              <w:ind w:left="45"/>
              <w:jc w:val="left"/>
              <w:rPr>
                <w:b/>
                <w:sz w:val="16"/>
              </w:rPr>
            </w:pPr>
            <w:r>
              <w:rPr>
                <w:b/>
                <w:w w:val="105"/>
                <w:sz w:val="16"/>
              </w:rPr>
              <w:t>IMC</w:t>
            </w:r>
          </w:p>
        </w:tc>
        <w:tc>
          <w:tcPr>
            <w:tcW w:w="1445" w:type="dxa"/>
            <w:tcBorders>
              <w:left w:val="dotted" w:sz="5" w:space="0" w:color="30859C"/>
              <w:right w:val="dotted" w:sz="5" w:space="0" w:color="30859C"/>
            </w:tcBorders>
            <w:shd w:val="clear" w:color="auto" w:fill="77DFDD"/>
          </w:tcPr>
          <w:p>
            <w:pPr>
              <w:pStyle w:val="TableParagraph"/>
              <w:spacing w:before="6"/>
              <w:jc w:val="left"/>
              <w:rPr>
                <w:b/>
                <w:sz w:val="12"/>
              </w:rPr>
            </w:pPr>
          </w:p>
          <w:p>
            <w:pPr>
              <w:pStyle w:val="TableParagraph"/>
              <w:spacing w:before="0"/>
              <w:ind w:left="95" w:right="91"/>
              <w:rPr>
                <w:sz w:val="16"/>
              </w:rPr>
            </w:pPr>
            <w:r>
              <w:rPr>
                <w:w w:val="105"/>
                <w:sz w:val="16"/>
              </w:rPr>
              <w:t>16.5 </w:t>
            </w:r>
            <w:r>
              <w:rPr>
                <w:rFonts w:ascii="Calibri" w:hAnsi="Calibri"/>
                <w:w w:val="105"/>
                <w:sz w:val="16"/>
              </w:rPr>
              <w:t>± </w:t>
            </w:r>
            <w:r>
              <w:rPr>
                <w:w w:val="105"/>
                <w:sz w:val="16"/>
              </w:rPr>
              <w:t>1.8*</w:t>
            </w:r>
          </w:p>
        </w:tc>
        <w:tc>
          <w:tcPr>
            <w:tcW w:w="1515" w:type="dxa"/>
            <w:tcBorders>
              <w:left w:val="dotted" w:sz="5" w:space="0" w:color="30859C"/>
            </w:tcBorders>
            <w:shd w:val="clear" w:color="auto" w:fill="77DFDD"/>
          </w:tcPr>
          <w:p>
            <w:pPr>
              <w:pStyle w:val="TableParagraph"/>
              <w:spacing w:before="6"/>
              <w:jc w:val="left"/>
              <w:rPr>
                <w:b/>
                <w:sz w:val="12"/>
              </w:rPr>
            </w:pPr>
          </w:p>
          <w:p>
            <w:pPr>
              <w:pStyle w:val="TableParagraph"/>
              <w:spacing w:before="0"/>
              <w:ind w:left="134" w:right="128"/>
              <w:rPr>
                <w:sz w:val="16"/>
              </w:rPr>
            </w:pPr>
            <w:r>
              <w:rPr>
                <w:w w:val="105"/>
                <w:sz w:val="16"/>
              </w:rPr>
              <w:t>17.9 </w:t>
            </w:r>
            <w:r>
              <w:rPr>
                <w:rFonts w:ascii="Calibri" w:hAnsi="Calibri"/>
                <w:w w:val="105"/>
                <w:sz w:val="16"/>
              </w:rPr>
              <w:t>± </w:t>
            </w:r>
            <w:r>
              <w:rPr>
                <w:w w:val="105"/>
                <w:sz w:val="16"/>
              </w:rPr>
              <w:t>2.2*</w:t>
            </w:r>
          </w:p>
        </w:tc>
      </w:tr>
      <w:tr>
        <w:trPr>
          <w:trHeight w:val="583" w:hRule="exact"/>
        </w:trPr>
        <w:tc>
          <w:tcPr>
            <w:tcW w:w="4069" w:type="dxa"/>
            <w:gridSpan w:val="2"/>
            <w:tcBorders>
              <w:right w:val="dotted" w:sz="5" w:space="0" w:color="30859C"/>
            </w:tcBorders>
            <w:shd w:val="clear" w:color="auto" w:fill="B4EDEC"/>
          </w:tcPr>
          <w:p>
            <w:pPr>
              <w:pStyle w:val="TableParagraph"/>
              <w:tabs>
                <w:tab w:pos="3212" w:val="left" w:leader="none"/>
              </w:tabs>
              <w:spacing w:line="296" w:lineRule="exact" w:before="23"/>
              <w:ind w:right="659"/>
              <w:jc w:val="right"/>
              <w:rPr>
                <w:sz w:val="19"/>
              </w:rPr>
            </w:pPr>
            <w:r>
              <w:rPr>
                <w:b/>
                <w:sz w:val="16"/>
              </w:rPr>
              <w:t>Sexo</w:t>
              <w:tab/>
            </w:r>
            <w:r>
              <w:rPr>
                <w:position w:val="9"/>
                <w:sz w:val="19"/>
              </w:rPr>
              <w:t>♀</w:t>
            </w:r>
          </w:p>
          <w:p>
            <w:pPr>
              <w:pStyle w:val="TableParagraph"/>
              <w:spacing w:line="212" w:lineRule="exact" w:before="0"/>
              <w:ind w:right="659"/>
              <w:jc w:val="right"/>
              <w:rPr>
                <w:sz w:val="19"/>
              </w:rPr>
            </w:pPr>
            <w:r>
              <w:rPr>
                <w:w w:val="99"/>
                <w:sz w:val="19"/>
              </w:rPr>
              <w:t>♂</w:t>
            </w:r>
          </w:p>
        </w:tc>
        <w:tc>
          <w:tcPr>
            <w:tcW w:w="1445" w:type="dxa"/>
            <w:tcBorders>
              <w:left w:val="dotted" w:sz="5" w:space="0" w:color="30859C"/>
              <w:right w:val="dotted" w:sz="5" w:space="0" w:color="30859C"/>
            </w:tcBorders>
            <w:shd w:val="clear" w:color="auto" w:fill="B4EDEC"/>
          </w:tcPr>
          <w:p>
            <w:pPr>
              <w:pStyle w:val="TableParagraph"/>
              <w:spacing w:before="90"/>
              <w:ind w:left="400"/>
              <w:jc w:val="left"/>
              <w:rPr>
                <w:sz w:val="16"/>
              </w:rPr>
            </w:pPr>
            <w:r>
              <w:rPr>
                <w:sz w:val="16"/>
              </w:rPr>
              <w:t>26 (41.3)</w:t>
            </w:r>
          </w:p>
          <w:p>
            <w:pPr>
              <w:pStyle w:val="TableParagraph"/>
              <w:spacing w:before="95"/>
              <w:ind w:left="400"/>
              <w:jc w:val="left"/>
              <w:rPr>
                <w:sz w:val="16"/>
              </w:rPr>
            </w:pPr>
            <w:r>
              <w:rPr>
                <w:sz w:val="16"/>
              </w:rPr>
              <w:t>37 (58.7)</w:t>
            </w:r>
          </w:p>
        </w:tc>
        <w:tc>
          <w:tcPr>
            <w:tcW w:w="1515" w:type="dxa"/>
            <w:tcBorders>
              <w:left w:val="dotted" w:sz="5" w:space="0" w:color="30859C"/>
            </w:tcBorders>
            <w:shd w:val="clear" w:color="auto" w:fill="B4EDEC"/>
          </w:tcPr>
          <w:p>
            <w:pPr>
              <w:pStyle w:val="TableParagraph"/>
              <w:spacing w:before="90"/>
              <w:ind w:left="439"/>
              <w:jc w:val="left"/>
              <w:rPr>
                <w:sz w:val="16"/>
              </w:rPr>
            </w:pPr>
            <w:r>
              <w:rPr>
                <w:sz w:val="16"/>
              </w:rPr>
              <w:t>36 (57.1)</w:t>
            </w:r>
          </w:p>
          <w:p>
            <w:pPr>
              <w:pStyle w:val="TableParagraph"/>
              <w:spacing w:before="95"/>
              <w:ind w:left="439"/>
              <w:jc w:val="left"/>
              <w:rPr>
                <w:sz w:val="16"/>
              </w:rPr>
            </w:pPr>
            <w:r>
              <w:rPr>
                <w:sz w:val="16"/>
              </w:rPr>
              <w:t>27 (42.9)</w:t>
            </w:r>
          </w:p>
        </w:tc>
      </w:tr>
      <w:tr>
        <w:trPr>
          <w:trHeight w:val="583" w:hRule="exact"/>
        </w:trPr>
        <w:tc>
          <w:tcPr>
            <w:tcW w:w="653" w:type="dxa"/>
            <w:vMerge w:val="restart"/>
            <w:shd w:val="clear" w:color="auto" w:fill="77DFDD"/>
            <w:textDirection w:val="btLr"/>
          </w:tcPr>
          <w:p>
            <w:pPr>
              <w:pStyle w:val="TableParagraph"/>
              <w:spacing w:line="297" w:lineRule="auto" w:before="73"/>
              <w:ind w:left="791" w:right="234" w:hanging="559"/>
              <w:jc w:val="left"/>
              <w:rPr>
                <w:b/>
                <w:sz w:val="16"/>
              </w:rPr>
            </w:pPr>
            <w:r>
              <w:rPr>
                <w:b/>
                <w:spacing w:val="-6"/>
                <w:w w:val="103"/>
                <w:sz w:val="16"/>
              </w:rPr>
              <w:t>H</w:t>
            </w:r>
            <w:r>
              <w:rPr>
                <w:b/>
                <w:spacing w:val="-4"/>
                <w:w w:val="103"/>
                <w:sz w:val="16"/>
              </w:rPr>
              <w:t>á</w:t>
            </w:r>
            <w:r>
              <w:rPr>
                <w:b/>
                <w:w w:val="103"/>
                <w:sz w:val="16"/>
              </w:rPr>
              <w:t>b</w:t>
            </w:r>
            <w:r>
              <w:rPr>
                <w:b/>
                <w:spacing w:val="5"/>
                <w:w w:val="103"/>
                <w:sz w:val="16"/>
              </w:rPr>
              <w:t>i</w:t>
            </w:r>
            <w:r>
              <w:rPr>
                <w:b/>
                <w:spacing w:val="-5"/>
                <w:w w:val="103"/>
                <w:sz w:val="16"/>
              </w:rPr>
              <w:t>t</w:t>
            </w:r>
            <w:r>
              <w:rPr>
                <w:b/>
                <w:w w:val="103"/>
                <w:sz w:val="16"/>
              </w:rPr>
              <w:t>os</w:t>
            </w:r>
            <w:r>
              <w:rPr>
                <w:b/>
                <w:spacing w:val="3"/>
                <w:sz w:val="16"/>
              </w:rPr>
              <w:t> </w:t>
            </w:r>
            <w:r>
              <w:rPr>
                <w:b/>
                <w:w w:val="103"/>
                <w:sz w:val="16"/>
              </w:rPr>
              <w:t>h</w:t>
            </w:r>
            <w:r>
              <w:rPr>
                <w:b/>
                <w:spacing w:val="5"/>
                <w:w w:val="103"/>
                <w:sz w:val="16"/>
              </w:rPr>
              <w:t>i</w:t>
            </w:r>
            <w:r>
              <w:rPr>
                <w:b/>
                <w:w w:val="103"/>
                <w:sz w:val="16"/>
              </w:rPr>
              <w:t>g</w:t>
            </w:r>
            <w:r>
              <w:rPr>
                <w:b/>
                <w:spacing w:val="5"/>
                <w:w w:val="103"/>
                <w:sz w:val="16"/>
              </w:rPr>
              <w:t>i</w:t>
            </w:r>
            <w:r>
              <w:rPr>
                <w:b/>
                <w:spacing w:val="-4"/>
                <w:w w:val="103"/>
                <w:sz w:val="16"/>
              </w:rPr>
              <w:t>é</w:t>
            </w:r>
            <w:r>
              <w:rPr>
                <w:b/>
                <w:w w:val="103"/>
                <w:sz w:val="16"/>
              </w:rPr>
              <w:t>n</w:t>
            </w:r>
            <w:r>
              <w:rPr>
                <w:b/>
                <w:spacing w:val="5"/>
                <w:w w:val="103"/>
                <w:sz w:val="16"/>
              </w:rPr>
              <w:t>i</w:t>
            </w:r>
            <w:r>
              <w:rPr>
                <w:b/>
                <w:spacing w:val="-4"/>
                <w:w w:val="103"/>
                <w:sz w:val="16"/>
              </w:rPr>
              <w:t>c</w:t>
            </w:r>
            <w:r>
              <w:rPr>
                <w:b/>
                <w:spacing w:val="2"/>
                <w:w w:val="103"/>
                <w:sz w:val="16"/>
              </w:rPr>
              <w:t>o</w:t>
            </w:r>
            <w:r>
              <w:rPr>
                <w:b/>
                <w:spacing w:val="-5"/>
                <w:w w:val="103"/>
                <w:sz w:val="16"/>
              </w:rPr>
              <w:t>-</w:t>
            </w:r>
            <w:r>
              <w:rPr>
                <w:b/>
                <w:w w:val="103"/>
                <w:sz w:val="16"/>
              </w:rPr>
              <w:t>d</w:t>
            </w:r>
            <w:r>
              <w:rPr>
                <w:b/>
                <w:spacing w:val="-3"/>
                <w:w w:val="103"/>
                <w:sz w:val="16"/>
              </w:rPr>
              <w:t>e</w:t>
            </w:r>
            <w:r>
              <w:rPr>
                <w:b/>
                <w:w w:val="103"/>
                <w:sz w:val="16"/>
              </w:rPr>
              <w:t>n</w:t>
            </w:r>
            <w:r>
              <w:rPr>
                <w:b/>
                <w:spacing w:val="-4"/>
                <w:w w:val="103"/>
                <w:sz w:val="16"/>
              </w:rPr>
              <w:t>t</w:t>
            </w:r>
            <w:r>
              <w:rPr>
                <w:b/>
                <w:spacing w:val="-4"/>
                <w:w w:val="103"/>
                <w:sz w:val="16"/>
              </w:rPr>
              <w:t>a</w:t>
            </w:r>
            <w:r>
              <w:rPr>
                <w:b/>
                <w:spacing w:val="4"/>
                <w:w w:val="103"/>
                <w:sz w:val="16"/>
              </w:rPr>
              <w:t>l</w:t>
            </w:r>
            <w:r>
              <w:rPr>
                <w:b/>
                <w:spacing w:val="-4"/>
                <w:w w:val="103"/>
                <w:sz w:val="16"/>
              </w:rPr>
              <w:t>e</w:t>
            </w:r>
            <w:r>
              <w:rPr>
                <w:b/>
                <w:w w:val="103"/>
                <w:sz w:val="16"/>
              </w:rPr>
              <w:t>s </w:t>
            </w:r>
            <w:r>
              <w:rPr>
                <w:b/>
                <w:spacing w:val="-5"/>
                <w:w w:val="103"/>
                <w:sz w:val="16"/>
              </w:rPr>
              <w:t>(</w:t>
            </w:r>
            <w:r>
              <w:rPr>
                <w:b/>
                <w:w w:val="103"/>
                <w:sz w:val="16"/>
              </w:rPr>
              <w:t>ú</w:t>
            </w:r>
            <w:r>
              <w:rPr>
                <w:b/>
                <w:spacing w:val="5"/>
                <w:w w:val="103"/>
                <w:sz w:val="16"/>
              </w:rPr>
              <w:t>l</w:t>
            </w:r>
            <w:r>
              <w:rPr>
                <w:b/>
                <w:spacing w:val="-5"/>
                <w:w w:val="103"/>
                <w:sz w:val="16"/>
              </w:rPr>
              <w:t>t</w:t>
            </w:r>
            <w:r>
              <w:rPr>
                <w:b/>
                <w:spacing w:val="4"/>
                <w:w w:val="103"/>
                <w:sz w:val="16"/>
              </w:rPr>
              <w:t>i</w:t>
            </w:r>
            <w:r>
              <w:rPr>
                <w:b/>
                <w:spacing w:val="5"/>
                <w:w w:val="103"/>
                <w:sz w:val="16"/>
              </w:rPr>
              <w:t>m</w:t>
            </w:r>
            <w:r>
              <w:rPr>
                <w:b/>
                <w:w w:val="103"/>
                <w:sz w:val="16"/>
              </w:rPr>
              <w:t>o</w:t>
            </w:r>
            <w:r>
              <w:rPr>
                <w:b/>
                <w:spacing w:val="-6"/>
                <w:sz w:val="16"/>
              </w:rPr>
              <w:t> </w:t>
            </w:r>
            <w:r>
              <w:rPr>
                <w:b/>
                <w:spacing w:val="5"/>
                <w:w w:val="103"/>
                <w:sz w:val="16"/>
              </w:rPr>
              <w:t>m</w:t>
            </w:r>
            <w:r>
              <w:rPr>
                <w:b/>
                <w:spacing w:val="-4"/>
                <w:w w:val="103"/>
                <w:sz w:val="16"/>
              </w:rPr>
              <w:t>es</w:t>
            </w:r>
            <w:r>
              <w:rPr>
                <w:b/>
                <w:w w:val="103"/>
                <w:sz w:val="16"/>
              </w:rPr>
              <w:t>)</w:t>
            </w:r>
          </w:p>
        </w:tc>
        <w:tc>
          <w:tcPr>
            <w:tcW w:w="3416" w:type="dxa"/>
            <w:tcBorders>
              <w:right w:val="dotted" w:sz="5" w:space="0" w:color="30859C"/>
            </w:tcBorders>
            <w:shd w:val="clear" w:color="auto" w:fill="77DFDD"/>
          </w:tcPr>
          <w:p>
            <w:pPr>
              <w:pStyle w:val="TableParagraph"/>
              <w:tabs>
                <w:tab w:pos="2642" w:val="left" w:leader="none"/>
              </w:tabs>
              <w:spacing w:before="142"/>
              <w:ind w:left="53"/>
              <w:jc w:val="left"/>
              <w:rPr>
                <w:sz w:val="16"/>
              </w:rPr>
            </w:pPr>
            <w:r>
              <w:rPr>
                <w:b/>
                <w:spacing w:val="-4"/>
                <w:w w:val="105"/>
                <w:sz w:val="16"/>
              </w:rPr>
              <w:t>Uso</w:t>
            </w:r>
            <w:r>
              <w:rPr>
                <w:b/>
                <w:spacing w:val="1"/>
                <w:w w:val="105"/>
                <w:sz w:val="16"/>
              </w:rPr>
              <w:t> </w:t>
            </w:r>
            <w:r>
              <w:rPr>
                <w:b/>
                <w:w w:val="105"/>
                <w:sz w:val="16"/>
              </w:rPr>
              <w:t>de</w:t>
            </w:r>
            <w:r>
              <w:rPr>
                <w:b/>
                <w:spacing w:val="-2"/>
                <w:w w:val="105"/>
                <w:sz w:val="16"/>
              </w:rPr>
              <w:t> </w:t>
            </w:r>
            <w:r>
              <w:rPr>
                <w:b/>
                <w:w w:val="105"/>
                <w:sz w:val="16"/>
              </w:rPr>
              <w:t>cepillo</w:t>
              <w:tab/>
            </w:r>
            <w:r>
              <w:rPr>
                <w:spacing w:val="4"/>
                <w:w w:val="105"/>
                <w:sz w:val="16"/>
              </w:rPr>
              <w:t>Si</w:t>
            </w:r>
          </w:p>
          <w:p>
            <w:pPr>
              <w:pStyle w:val="TableParagraph"/>
              <w:tabs>
                <w:tab w:pos="2604" w:val="left" w:leader="none"/>
              </w:tabs>
              <w:spacing w:before="44"/>
              <w:ind w:left="53"/>
              <w:jc w:val="left"/>
              <w:rPr>
                <w:sz w:val="16"/>
              </w:rPr>
            </w:pPr>
            <w:r>
              <w:rPr>
                <w:b/>
                <w:w w:val="105"/>
                <w:sz w:val="16"/>
              </w:rPr>
              <w:t>y</w:t>
            </w:r>
            <w:r>
              <w:rPr>
                <w:b/>
                <w:spacing w:val="-18"/>
                <w:w w:val="105"/>
                <w:sz w:val="16"/>
              </w:rPr>
              <w:t> </w:t>
            </w:r>
            <w:r>
              <w:rPr>
                <w:b/>
                <w:spacing w:val="-3"/>
                <w:w w:val="105"/>
                <w:sz w:val="16"/>
              </w:rPr>
              <w:t>pasta</w:t>
            </w:r>
            <w:r>
              <w:rPr>
                <w:b/>
                <w:spacing w:val="4"/>
                <w:w w:val="105"/>
                <w:sz w:val="16"/>
              </w:rPr>
              <w:t> </w:t>
            </w:r>
            <w:r>
              <w:rPr>
                <w:b/>
                <w:w w:val="105"/>
                <w:sz w:val="16"/>
              </w:rPr>
              <w:t>dental</w:t>
              <w:tab/>
            </w:r>
            <w:r>
              <w:rPr>
                <w:spacing w:val="-5"/>
                <w:w w:val="105"/>
                <w:sz w:val="16"/>
              </w:rPr>
              <w:t>No</w:t>
            </w:r>
          </w:p>
        </w:tc>
        <w:tc>
          <w:tcPr>
            <w:tcW w:w="1445" w:type="dxa"/>
            <w:tcBorders>
              <w:left w:val="dotted" w:sz="5" w:space="0" w:color="30859C"/>
              <w:right w:val="dotted" w:sz="5" w:space="0" w:color="30859C"/>
            </w:tcBorders>
            <w:shd w:val="clear" w:color="auto" w:fill="77DFDD"/>
          </w:tcPr>
          <w:p>
            <w:pPr>
              <w:pStyle w:val="TableParagraph"/>
              <w:spacing w:before="142"/>
              <w:ind w:left="400"/>
              <w:jc w:val="left"/>
              <w:rPr>
                <w:sz w:val="16"/>
              </w:rPr>
            </w:pPr>
            <w:r>
              <w:rPr>
                <w:w w:val="105"/>
                <w:sz w:val="16"/>
              </w:rPr>
              <w:t>52 (82.5)</w:t>
            </w:r>
          </w:p>
          <w:p>
            <w:pPr>
              <w:pStyle w:val="TableParagraph"/>
              <w:spacing w:before="44"/>
              <w:ind w:left="400"/>
              <w:jc w:val="left"/>
              <w:rPr>
                <w:sz w:val="16"/>
              </w:rPr>
            </w:pPr>
            <w:r>
              <w:rPr>
                <w:sz w:val="16"/>
              </w:rPr>
              <w:t>11 (17.5)</w:t>
            </w:r>
          </w:p>
        </w:tc>
        <w:tc>
          <w:tcPr>
            <w:tcW w:w="1515" w:type="dxa"/>
            <w:tcBorders>
              <w:left w:val="dotted" w:sz="5" w:space="0" w:color="30859C"/>
            </w:tcBorders>
            <w:shd w:val="clear" w:color="auto" w:fill="77DFDD"/>
          </w:tcPr>
          <w:p>
            <w:pPr>
              <w:pStyle w:val="TableParagraph"/>
              <w:spacing w:before="142"/>
              <w:ind w:left="134" w:right="125"/>
              <w:rPr>
                <w:sz w:val="16"/>
              </w:rPr>
            </w:pPr>
            <w:r>
              <w:rPr>
                <w:w w:val="105"/>
                <w:sz w:val="16"/>
              </w:rPr>
              <w:t>60 (95.2)</w:t>
            </w:r>
          </w:p>
          <w:p>
            <w:pPr>
              <w:pStyle w:val="TableParagraph"/>
              <w:spacing w:before="44"/>
              <w:ind w:left="134" w:right="124"/>
              <w:rPr>
                <w:sz w:val="16"/>
              </w:rPr>
            </w:pPr>
            <w:r>
              <w:rPr>
                <w:w w:val="105"/>
                <w:sz w:val="16"/>
              </w:rPr>
              <w:t>3 (4.8)</w:t>
            </w:r>
          </w:p>
        </w:tc>
      </w:tr>
      <w:tr>
        <w:trPr>
          <w:trHeight w:val="520" w:hRule="exact"/>
        </w:trPr>
        <w:tc>
          <w:tcPr>
            <w:tcW w:w="653" w:type="dxa"/>
            <w:vMerge/>
            <w:shd w:val="clear" w:color="auto" w:fill="77DFDD"/>
            <w:textDirection w:val="btLr"/>
          </w:tcPr>
          <w:p>
            <w:pPr/>
          </w:p>
        </w:tc>
        <w:tc>
          <w:tcPr>
            <w:tcW w:w="3416" w:type="dxa"/>
            <w:tcBorders>
              <w:right w:val="dotted" w:sz="5" w:space="0" w:color="30859C"/>
            </w:tcBorders>
            <w:shd w:val="clear" w:color="auto" w:fill="B4EDEC"/>
          </w:tcPr>
          <w:p>
            <w:pPr>
              <w:pStyle w:val="TableParagraph"/>
              <w:tabs>
                <w:tab w:pos="2589" w:val="left" w:leader="none"/>
              </w:tabs>
              <w:spacing w:before="28"/>
              <w:ind w:right="608"/>
              <w:jc w:val="right"/>
              <w:rPr>
                <w:sz w:val="16"/>
              </w:rPr>
            </w:pPr>
            <w:r>
              <w:rPr>
                <w:b/>
                <w:spacing w:val="-3"/>
                <w:w w:val="105"/>
                <w:sz w:val="16"/>
              </w:rPr>
              <w:t>Uso </w:t>
            </w:r>
            <w:r>
              <w:rPr>
                <w:b/>
                <w:w w:val="105"/>
                <w:sz w:val="16"/>
              </w:rPr>
              <w:t>de</w:t>
            </w:r>
            <w:r>
              <w:rPr>
                <w:b/>
                <w:spacing w:val="-8"/>
                <w:w w:val="105"/>
                <w:sz w:val="16"/>
              </w:rPr>
              <w:t> </w:t>
            </w:r>
            <w:r>
              <w:rPr>
                <w:b/>
                <w:w w:val="105"/>
                <w:sz w:val="16"/>
              </w:rPr>
              <w:t>enjuague</w:t>
            </w:r>
            <w:r>
              <w:rPr>
                <w:b/>
                <w:spacing w:val="3"/>
                <w:w w:val="105"/>
                <w:sz w:val="16"/>
              </w:rPr>
              <w:t> </w:t>
            </w:r>
            <w:r>
              <w:rPr>
                <w:b/>
                <w:w w:val="105"/>
                <w:sz w:val="16"/>
              </w:rPr>
              <w:t>bucal</w:t>
              <w:tab/>
            </w:r>
            <w:r>
              <w:rPr>
                <w:spacing w:val="3"/>
                <w:sz w:val="16"/>
              </w:rPr>
              <w:t>Si</w:t>
            </w:r>
          </w:p>
          <w:p>
            <w:pPr>
              <w:pStyle w:val="TableParagraph"/>
              <w:spacing w:before="44"/>
              <w:ind w:right="600"/>
              <w:jc w:val="right"/>
              <w:rPr>
                <w:sz w:val="16"/>
              </w:rPr>
            </w:pPr>
            <w:r>
              <w:rPr>
                <w:sz w:val="16"/>
              </w:rPr>
              <w:t>No</w:t>
            </w:r>
          </w:p>
        </w:tc>
        <w:tc>
          <w:tcPr>
            <w:tcW w:w="1445" w:type="dxa"/>
            <w:tcBorders>
              <w:left w:val="dotted" w:sz="5" w:space="0" w:color="30859C"/>
              <w:right w:val="dotted" w:sz="5" w:space="0" w:color="30859C"/>
            </w:tcBorders>
            <w:shd w:val="clear" w:color="auto" w:fill="B4EDEC"/>
          </w:tcPr>
          <w:p>
            <w:pPr>
              <w:pStyle w:val="TableParagraph"/>
              <w:spacing w:before="28"/>
              <w:ind w:left="95" w:right="98"/>
              <w:rPr>
                <w:sz w:val="16"/>
              </w:rPr>
            </w:pPr>
            <w:r>
              <w:rPr>
                <w:w w:val="105"/>
                <w:sz w:val="16"/>
              </w:rPr>
              <w:t>0 (0)</w:t>
            </w:r>
          </w:p>
          <w:p>
            <w:pPr>
              <w:pStyle w:val="TableParagraph"/>
              <w:spacing w:before="44"/>
              <w:ind w:left="95" w:right="89"/>
              <w:rPr>
                <w:sz w:val="16"/>
              </w:rPr>
            </w:pPr>
            <w:r>
              <w:rPr>
                <w:w w:val="105"/>
                <w:sz w:val="16"/>
              </w:rPr>
              <w:t>63 (100)</w:t>
            </w:r>
          </w:p>
        </w:tc>
        <w:tc>
          <w:tcPr>
            <w:tcW w:w="1515" w:type="dxa"/>
            <w:tcBorders>
              <w:left w:val="dotted" w:sz="5" w:space="0" w:color="30859C"/>
            </w:tcBorders>
            <w:shd w:val="clear" w:color="auto" w:fill="B4EDEC"/>
          </w:tcPr>
          <w:p>
            <w:pPr>
              <w:pStyle w:val="TableParagraph"/>
              <w:spacing w:before="28"/>
              <w:ind w:left="439"/>
              <w:jc w:val="left"/>
              <w:rPr>
                <w:sz w:val="16"/>
              </w:rPr>
            </w:pPr>
            <w:r>
              <w:rPr>
                <w:sz w:val="16"/>
              </w:rPr>
              <w:t>22 (34.9)</w:t>
            </w:r>
          </w:p>
          <w:p>
            <w:pPr>
              <w:pStyle w:val="TableParagraph"/>
              <w:spacing w:before="44"/>
              <w:ind w:left="439"/>
              <w:jc w:val="left"/>
              <w:rPr>
                <w:sz w:val="16"/>
              </w:rPr>
            </w:pPr>
            <w:r>
              <w:rPr>
                <w:w w:val="105"/>
                <w:sz w:val="16"/>
              </w:rPr>
              <w:t>41 (65.1)</w:t>
            </w:r>
          </w:p>
        </w:tc>
      </w:tr>
      <w:tr>
        <w:trPr>
          <w:trHeight w:val="494" w:hRule="exact"/>
        </w:trPr>
        <w:tc>
          <w:tcPr>
            <w:tcW w:w="653" w:type="dxa"/>
            <w:vMerge/>
            <w:shd w:val="clear" w:color="auto" w:fill="77DFDD"/>
            <w:textDirection w:val="btLr"/>
          </w:tcPr>
          <w:p>
            <w:pPr/>
          </w:p>
        </w:tc>
        <w:tc>
          <w:tcPr>
            <w:tcW w:w="3416" w:type="dxa"/>
            <w:tcBorders>
              <w:right w:val="dotted" w:sz="5" w:space="0" w:color="30859C"/>
            </w:tcBorders>
            <w:shd w:val="clear" w:color="auto" w:fill="77DFDD"/>
          </w:tcPr>
          <w:p>
            <w:pPr>
              <w:pStyle w:val="TableParagraph"/>
              <w:tabs>
                <w:tab w:pos="2642" w:val="left" w:leader="none"/>
              </w:tabs>
              <w:spacing w:before="29"/>
              <w:ind w:left="53"/>
              <w:jc w:val="left"/>
              <w:rPr>
                <w:sz w:val="16"/>
              </w:rPr>
            </w:pPr>
            <w:r>
              <w:rPr>
                <w:b/>
                <w:w w:val="105"/>
                <w:sz w:val="16"/>
              </w:rPr>
              <w:t>Alcohol</w:t>
            </w:r>
            <w:r>
              <w:rPr>
                <w:b/>
                <w:spacing w:val="-12"/>
                <w:w w:val="105"/>
                <w:sz w:val="16"/>
              </w:rPr>
              <w:t> </w:t>
            </w:r>
            <w:r>
              <w:rPr>
                <w:b/>
                <w:w w:val="105"/>
                <w:sz w:val="16"/>
              </w:rPr>
              <w:t>en</w:t>
              <w:tab/>
            </w:r>
            <w:r>
              <w:rPr>
                <w:spacing w:val="4"/>
                <w:w w:val="105"/>
                <w:sz w:val="16"/>
              </w:rPr>
              <w:t>Si</w:t>
            </w:r>
          </w:p>
          <w:p>
            <w:pPr>
              <w:pStyle w:val="TableParagraph"/>
              <w:tabs>
                <w:tab w:pos="2604" w:val="left" w:leader="none"/>
              </w:tabs>
              <w:spacing w:before="44"/>
              <w:ind w:left="53"/>
              <w:jc w:val="left"/>
              <w:rPr>
                <w:sz w:val="16"/>
              </w:rPr>
            </w:pPr>
            <w:r>
              <w:rPr>
                <w:b/>
                <w:w w:val="105"/>
                <w:sz w:val="16"/>
              </w:rPr>
              <w:t>enjuague</w:t>
            </w:r>
            <w:r>
              <w:rPr>
                <w:b/>
                <w:spacing w:val="-10"/>
                <w:w w:val="105"/>
                <w:sz w:val="16"/>
              </w:rPr>
              <w:t> </w:t>
            </w:r>
            <w:r>
              <w:rPr>
                <w:b/>
                <w:w w:val="105"/>
                <w:sz w:val="16"/>
              </w:rPr>
              <w:t>bucal</w:t>
              <w:tab/>
            </w:r>
            <w:r>
              <w:rPr>
                <w:spacing w:val="-5"/>
                <w:w w:val="105"/>
                <w:sz w:val="16"/>
              </w:rPr>
              <w:t>No</w:t>
            </w:r>
          </w:p>
        </w:tc>
        <w:tc>
          <w:tcPr>
            <w:tcW w:w="1445" w:type="dxa"/>
            <w:tcBorders>
              <w:left w:val="dotted" w:sz="5" w:space="0" w:color="30859C"/>
              <w:right w:val="dotted" w:sz="5" w:space="0" w:color="30859C"/>
            </w:tcBorders>
            <w:shd w:val="clear" w:color="auto" w:fill="77DFDD"/>
          </w:tcPr>
          <w:p>
            <w:pPr>
              <w:pStyle w:val="TableParagraph"/>
              <w:spacing w:before="29"/>
              <w:ind w:left="95" w:right="98"/>
              <w:rPr>
                <w:sz w:val="16"/>
              </w:rPr>
            </w:pPr>
            <w:r>
              <w:rPr>
                <w:w w:val="105"/>
                <w:sz w:val="16"/>
              </w:rPr>
              <w:t>0 (0)</w:t>
            </w:r>
          </w:p>
          <w:p>
            <w:pPr>
              <w:pStyle w:val="TableParagraph"/>
              <w:spacing w:before="44"/>
              <w:ind w:left="95" w:right="89"/>
              <w:rPr>
                <w:sz w:val="16"/>
              </w:rPr>
            </w:pPr>
            <w:r>
              <w:rPr>
                <w:w w:val="105"/>
                <w:sz w:val="16"/>
              </w:rPr>
              <w:t>63 (100)</w:t>
            </w:r>
          </w:p>
        </w:tc>
        <w:tc>
          <w:tcPr>
            <w:tcW w:w="1515" w:type="dxa"/>
            <w:tcBorders>
              <w:left w:val="dotted" w:sz="5" w:space="0" w:color="30859C"/>
            </w:tcBorders>
            <w:shd w:val="clear" w:color="auto" w:fill="77DFDD"/>
          </w:tcPr>
          <w:p>
            <w:pPr>
              <w:pStyle w:val="TableParagraph"/>
              <w:spacing w:before="29"/>
              <w:ind w:left="134" w:right="124"/>
              <w:rPr>
                <w:sz w:val="16"/>
              </w:rPr>
            </w:pPr>
            <w:r>
              <w:rPr>
                <w:w w:val="105"/>
                <w:sz w:val="16"/>
              </w:rPr>
              <w:t>2 (3.2)</w:t>
            </w:r>
          </w:p>
          <w:p>
            <w:pPr>
              <w:pStyle w:val="TableParagraph"/>
              <w:spacing w:before="44"/>
              <w:ind w:left="134" w:right="126"/>
              <w:rPr>
                <w:sz w:val="16"/>
              </w:rPr>
            </w:pPr>
            <w:r>
              <w:rPr>
                <w:sz w:val="16"/>
              </w:rPr>
              <w:t>61 (96.8)</w:t>
            </w:r>
          </w:p>
        </w:tc>
      </w:tr>
      <w:tr>
        <w:trPr>
          <w:trHeight w:val="469" w:hRule="exact"/>
        </w:trPr>
        <w:tc>
          <w:tcPr>
            <w:tcW w:w="653" w:type="dxa"/>
            <w:vMerge/>
            <w:shd w:val="clear" w:color="auto" w:fill="77DFDD"/>
            <w:textDirection w:val="btLr"/>
          </w:tcPr>
          <w:p>
            <w:pPr/>
          </w:p>
        </w:tc>
        <w:tc>
          <w:tcPr>
            <w:tcW w:w="3416" w:type="dxa"/>
            <w:tcBorders>
              <w:right w:val="dotted" w:sz="5" w:space="0" w:color="30859C"/>
            </w:tcBorders>
            <w:shd w:val="clear" w:color="auto" w:fill="B4EDEC"/>
          </w:tcPr>
          <w:p>
            <w:pPr>
              <w:pStyle w:val="TableParagraph"/>
              <w:tabs>
                <w:tab w:pos="2589" w:val="left" w:leader="none"/>
              </w:tabs>
              <w:spacing w:before="38"/>
              <w:ind w:right="608"/>
              <w:jc w:val="right"/>
              <w:rPr>
                <w:sz w:val="16"/>
              </w:rPr>
            </w:pPr>
            <w:r>
              <w:rPr>
                <w:b/>
                <w:w w:val="105"/>
                <w:sz w:val="16"/>
              </w:rPr>
              <w:t>Consulta</w:t>
            </w:r>
            <w:r>
              <w:rPr>
                <w:b/>
                <w:spacing w:val="-2"/>
                <w:w w:val="105"/>
                <w:sz w:val="16"/>
              </w:rPr>
              <w:t> </w:t>
            </w:r>
            <w:r>
              <w:rPr>
                <w:b/>
                <w:w w:val="105"/>
                <w:sz w:val="16"/>
              </w:rPr>
              <w:t>dental</w:t>
              <w:tab/>
            </w:r>
            <w:r>
              <w:rPr>
                <w:spacing w:val="3"/>
                <w:sz w:val="16"/>
              </w:rPr>
              <w:t>Si</w:t>
            </w:r>
          </w:p>
          <w:p>
            <w:pPr>
              <w:pStyle w:val="TableParagraph"/>
              <w:spacing w:before="44"/>
              <w:ind w:right="600"/>
              <w:jc w:val="right"/>
              <w:rPr>
                <w:sz w:val="16"/>
              </w:rPr>
            </w:pPr>
            <w:r>
              <w:rPr>
                <w:sz w:val="16"/>
              </w:rPr>
              <w:t>No</w:t>
            </w:r>
          </w:p>
        </w:tc>
        <w:tc>
          <w:tcPr>
            <w:tcW w:w="1445" w:type="dxa"/>
            <w:tcBorders>
              <w:left w:val="dotted" w:sz="5" w:space="0" w:color="30859C"/>
              <w:right w:val="dotted" w:sz="5" w:space="0" w:color="30859C"/>
            </w:tcBorders>
            <w:shd w:val="clear" w:color="auto" w:fill="B4EDEC"/>
          </w:tcPr>
          <w:p>
            <w:pPr>
              <w:pStyle w:val="TableParagraph"/>
              <w:spacing w:before="38"/>
              <w:ind w:left="95" w:right="88"/>
              <w:rPr>
                <w:sz w:val="16"/>
              </w:rPr>
            </w:pPr>
            <w:r>
              <w:rPr>
                <w:w w:val="105"/>
                <w:sz w:val="16"/>
              </w:rPr>
              <w:t>3 (4.8)</w:t>
            </w:r>
          </w:p>
          <w:p>
            <w:pPr>
              <w:pStyle w:val="TableParagraph"/>
              <w:spacing w:before="44"/>
              <w:ind w:left="95" w:right="89"/>
              <w:rPr>
                <w:sz w:val="16"/>
              </w:rPr>
            </w:pPr>
            <w:r>
              <w:rPr>
                <w:w w:val="105"/>
                <w:sz w:val="16"/>
              </w:rPr>
              <w:t>60 (95.2)</w:t>
            </w:r>
          </w:p>
        </w:tc>
        <w:tc>
          <w:tcPr>
            <w:tcW w:w="1515" w:type="dxa"/>
            <w:tcBorders>
              <w:left w:val="dotted" w:sz="5" w:space="0" w:color="30859C"/>
            </w:tcBorders>
            <w:shd w:val="clear" w:color="auto" w:fill="B4EDEC"/>
          </w:tcPr>
          <w:p>
            <w:pPr>
              <w:pStyle w:val="TableParagraph"/>
              <w:spacing w:before="38"/>
              <w:ind w:left="134" w:right="124"/>
              <w:rPr>
                <w:sz w:val="16"/>
              </w:rPr>
            </w:pPr>
            <w:r>
              <w:rPr>
                <w:w w:val="105"/>
                <w:sz w:val="16"/>
              </w:rPr>
              <w:t>4 (6.3)</w:t>
            </w:r>
          </w:p>
          <w:p>
            <w:pPr>
              <w:pStyle w:val="TableParagraph"/>
              <w:spacing w:before="44"/>
              <w:ind w:left="134" w:right="125"/>
              <w:rPr>
                <w:sz w:val="16"/>
              </w:rPr>
            </w:pPr>
            <w:r>
              <w:rPr>
                <w:w w:val="105"/>
                <w:sz w:val="16"/>
              </w:rPr>
              <w:t>59 (93.7)</w:t>
            </w:r>
          </w:p>
        </w:tc>
      </w:tr>
      <w:tr>
        <w:trPr>
          <w:trHeight w:val="507" w:hRule="exact"/>
        </w:trPr>
        <w:tc>
          <w:tcPr>
            <w:tcW w:w="653" w:type="dxa"/>
            <w:vMerge/>
            <w:shd w:val="clear" w:color="auto" w:fill="77DFDD"/>
            <w:textDirection w:val="btLr"/>
          </w:tcPr>
          <w:p>
            <w:pPr/>
          </w:p>
        </w:tc>
        <w:tc>
          <w:tcPr>
            <w:tcW w:w="3416" w:type="dxa"/>
            <w:tcBorders>
              <w:right w:val="dotted" w:sz="5" w:space="0" w:color="30859C"/>
            </w:tcBorders>
            <w:shd w:val="clear" w:color="auto" w:fill="77DFDD"/>
          </w:tcPr>
          <w:p>
            <w:pPr>
              <w:pStyle w:val="TableParagraph"/>
              <w:tabs>
                <w:tab w:pos="2589" w:val="left" w:leader="none"/>
              </w:tabs>
              <w:spacing w:before="36"/>
              <w:ind w:right="608"/>
              <w:jc w:val="right"/>
              <w:rPr>
                <w:sz w:val="16"/>
              </w:rPr>
            </w:pPr>
            <w:r>
              <w:rPr>
                <w:b/>
                <w:w w:val="105"/>
                <w:sz w:val="16"/>
              </w:rPr>
              <w:t>Tratamiento</w:t>
            </w:r>
            <w:r>
              <w:rPr>
                <w:b/>
                <w:spacing w:val="-1"/>
                <w:w w:val="105"/>
                <w:sz w:val="16"/>
              </w:rPr>
              <w:t> </w:t>
            </w:r>
            <w:r>
              <w:rPr>
                <w:b/>
                <w:w w:val="105"/>
                <w:sz w:val="16"/>
              </w:rPr>
              <w:t>dental</w:t>
              <w:tab/>
            </w:r>
            <w:r>
              <w:rPr>
                <w:spacing w:val="3"/>
                <w:sz w:val="16"/>
              </w:rPr>
              <w:t>Si</w:t>
            </w:r>
          </w:p>
          <w:p>
            <w:pPr>
              <w:pStyle w:val="TableParagraph"/>
              <w:spacing w:before="44"/>
              <w:ind w:right="600"/>
              <w:jc w:val="right"/>
              <w:rPr>
                <w:sz w:val="16"/>
              </w:rPr>
            </w:pPr>
            <w:r>
              <w:rPr>
                <w:sz w:val="16"/>
              </w:rPr>
              <w:t>No</w:t>
            </w:r>
          </w:p>
        </w:tc>
        <w:tc>
          <w:tcPr>
            <w:tcW w:w="1445" w:type="dxa"/>
            <w:tcBorders>
              <w:left w:val="dotted" w:sz="5" w:space="0" w:color="30859C"/>
              <w:right w:val="dotted" w:sz="5" w:space="0" w:color="30859C"/>
            </w:tcBorders>
            <w:shd w:val="clear" w:color="auto" w:fill="77DFDD"/>
          </w:tcPr>
          <w:p>
            <w:pPr>
              <w:pStyle w:val="TableParagraph"/>
              <w:spacing w:before="36"/>
              <w:ind w:left="95" w:right="88"/>
              <w:rPr>
                <w:sz w:val="16"/>
              </w:rPr>
            </w:pPr>
            <w:r>
              <w:rPr>
                <w:w w:val="105"/>
                <w:sz w:val="16"/>
              </w:rPr>
              <w:t>2 (3.2)</w:t>
            </w:r>
          </w:p>
          <w:p>
            <w:pPr>
              <w:pStyle w:val="TableParagraph"/>
              <w:spacing w:before="44"/>
              <w:ind w:left="95" w:right="89"/>
              <w:rPr>
                <w:sz w:val="16"/>
              </w:rPr>
            </w:pPr>
            <w:r>
              <w:rPr>
                <w:w w:val="105"/>
                <w:sz w:val="16"/>
              </w:rPr>
              <w:t>61 (96.8)</w:t>
            </w:r>
          </w:p>
        </w:tc>
        <w:tc>
          <w:tcPr>
            <w:tcW w:w="1515" w:type="dxa"/>
            <w:tcBorders>
              <w:left w:val="dotted" w:sz="5" w:space="0" w:color="30859C"/>
            </w:tcBorders>
            <w:shd w:val="clear" w:color="auto" w:fill="77DFDD"/>
          </w:tcPr>
          <w:p>
            <w:pPr>
              <w:pStyle w:val="TableParagraph"/>
              <w:spacing w:before="36"/>
              <w:ind w:left="134" w:right="124"/>
              <w:rPr>
                <w:sz w:val="16"/>
              </w:rPr>
            </w:pPr>
            <w:r>
              <w:rPr>
                <w:w w:val="105"/>
                <w:sz w:val="16"/>
              </w:rPr>
              <w:t>1 (1.6)</w:t>
            </w:r>
          </w:p>
          <w:p>
            <w:pPr>
              <w:pStyle w:val="TableParagraph"/>
              <w:spacing w:before="44"/>
              <w:ind w:left="134" w:right="125"/>
              <w:rPr>
                <w:sz w:val="16"/>
              </w:rPr>
            </w:pPr>
            <w:r>
              <w:rPr>
                <w:w w:val="105"/>
                <w:sz w:val="16"/>
              </w:rPr>
              <w:t>62 (98.4)</w:t>
            </w:r>
          </w:p>
        </w:tc>
      </w:tr>
      <w:tr>
        <w:trPr>
          <w:trHeight w:val="469" w:hRule="exact"/>
        </w:trPr>
        <w:tc>
          <w:tcPr>
            <w:tcW w:w="653" w:type="dxa"/>
            <w:vMerge w:val="restart"/>
            <w:shd w:val="clear" w:color="auto" w:fill="B4EDEC"/>
            <w:textDirection w:val="btLr"/>
          </w:tcPr>
          <w:p>
            <w:pPr>
              <w:pStyle w:val="TableParagraph"/>
              <w:spacing w:line="297" w:lineRule="auto" w:before="73"/>
              <w:ind w:left="1561" w:right="1534" w:hanging="26"/>
              <w:jc w:val="left"/>
              <w:rPr>
                <w:b/>
                <w:sz w:val="16"/>
              </w:rPr>
            </w:pPr>
            <w:r>
              <w:rPr>
                <w:b/>
                <w:spacing w:val="-5"/>
                <w:w w:val="103"/>
                <w:sz w:val="16"/>
              </w:rPr>
              <w:t>H</w:t>
            </w:r>
            <w:r>
              <w:rPr>
                <w:b/>
                <w:spacing w:val="-3"/>
                <w:w w:val="103"/>
                <w:sz w:val="16"/>
              </w:rPr>
              <w:t>á</w:t>
            </w:r>
            <w:r>
              <w:rPr>
                <w:b/>
                <w:w w:val="103"/>
                <w:sz w:val="16"/>
              </w:rPr>
              <w:t>b</w:t>
            </w:r>
            <w:r>
              <w:rPr>
                <w:b/>
                <w:spacing w:val="5"/>
                <w:w w:val="103"/>
                <w:sz w:val="16"/>
              </w:rPr>
              <w:t>i</w:t>
            </w:r>
            <w:r>
              <w:rPr>
                <w:b/>
                <w:spacing w:val="-4"/>
                <w:w w:val="103"/>
                <w:sz w:val="16"/>
              </w:rPr>
              <w:t>t</w:t>
            </w:r>
            <w:r>
              <w:rPr>
                <w:b/>
                <w:w w:val="103"/>
                <w:sz w:val="16"/>
              </w:rPr>
              <w:t>o</w:t>
            </w:r>
            <w:r>
              <w:rPr>
                <w:b/>
                <w:w w:val="103"/>
                <w:sz w:val="16"/>
              </w:rPr>
              <w:t>s</w:t>
            </w:r>
            <w:r>
              <w:rPr>
                <w:b/>
                <w:spacing w:val="3"/>
                <w:sz w:val="16"/>
              </w:rPr>
              <w:t> </w:t>
            </w:r>
            <w:r>
              <w:rPr>
                <w:b/>
                <w:spacing w:val="-3"/>
                <w:w w:val="103"/>
                <w:sz w:val="16"/>
              </w:rPr>
              <w:t>a</w:t>
            </w:r>
            <w:r>
              <w:rPr>
                <w:b/>
                <w:spacing w:val="5"/>
                <w:w w:val="103"/>
                <w:sz w:val="16"/>
              </w:rPr>
              <w:t>li</w:t>
            </w:r>
            <w:r>
              <w:rPr>
                <w:b/>
                <w:spacing w:val="5"/>
                <w:w w:val="103"/>
                <w:sz w:val="16"/>
              </w:rPr>
              <w:t>m</w:t>
            </w:r>
            <w:r>
              <w:rPr>
                <w:b/>
                <w:spacing w:val="-3"/>
                <w:w w:val="103"/>
                <w:sz w:val="16"/>
              </w:rPr>
              <w:t>e</w:t>
            </w:r>
            <w:r>
              <w:rPr>
                <w:b/>
                <w:w w:val="103"/>
                <w:sz w:val="16"/>
              </w:rPr>
              <w:t>n</w:t>
            </w:r>
            <w:r>
              <w:rPr>
                <w:b/>
                <w:spacing w:val="-4"/>
                <w:w w:val="103"/>
                <w:sz w:val="16"/>
              </w:rPr>
              <w:t>t</w:t>
            </w:r>
            <w:r>
              <w:rPr>
                <w:b/>
                <w:spacing w:val="5"/>
                <w:w w:val="103"/>
                <w:sz w:val="16"/>
              </w:rPr>
              <w:t>i</w:t>
            </w:r>
            <w:r>
              <w:rPr>
                <w:b/>
                <w:spacing w:val="-3"/>
                <w:w w:val="103"/>
                <w:sz w:val="16"/>
              </w:rPr>
              <w:t>c</w:t>
            </w:r>
            <w:r>
              <w:rPr>
                <w:b/>
                <w:spacing w:val="5"/>
                <w:w w:val="103"/>
                <w:sz w:val="16"/>
              </w:rPr>
              <w:t>i</w:t>
            </w:r>
            <w:r>
              <w:rPr>
                <w:b/>
                <w:w w:val="103"/>
                <w:sz w:val="16"/>
              </w:rPr>
              <w:t>o</w:t>
            </w:r>
            <w:r>
              <w:rPr>
                <w:b/>
                <w:w w:val="103"/>
                <w:sz w:val="16"/>
              </w:rPr>
              <w:t>s </w:t>
            </w:r>
            <w:r>
              <w:rPr>
                <w:b/>
                <w:spacing w:val="-4"/>
                <w:w w:val="103"/>
                <w:sz w:val="16"/>
              </w:rPr>
              <w:t>(</w:t>
            </w:r>
            <w:r>
              <w:rPr>
                <w:b/>
                <w:w w:val="103"/>
                <w:sz w:val="16"/>
              </w:rPr>
              <w:t>du</w:t>
            </w:r>
            <w:r>
              <w:rPr>
                <w:b/>
                <w:w w:val="103"/>
                <w:sz w:val="16"/>
              </w:rPr>
              <w:t>r</w:t>
            </w:r>
            <w:r>
              <w:rPr>
                <w:b/>
                <w:spacing w:val="-4"/>
                <w:w w:val="103"/>
                <w:sz w:val="16"/>
              </w:rPr>
              <w:t>a</w:t>
            </w:r>
            <w:r>
              <w:rPr>
                <w:b/>
                <w:w w:val="103"/>
                <w:sz w:val="16"/>
              </w:rPr>
              <w:t>n</w:t>
            </w:r>
            <w:r>
              <w:rPr>
                <w:b/>
                <w:spacing w:val="-4"/>
                <w:w w:val="103"/>
                <w:sz w:val="16"/>
              </w:rPr>
              <w:t>t</w:t>
            </w:r>
            <w:r>
              <w:rPr>
                <w:b/>
                <w:w w:val="103"/>
                <w:sz w:val="16"/>
              </w:rPr>
              <w:t>e</w:t>
            </w:r>
            <w:r>
              <w:rPr>
                <w:b/>
                <w:spacing w:val="16"/>
                <w:sz w:val="16"/>
              </w:rPr>
              <w:t> </w:t>
            </w:r>
            <w:r>
              <w:rPr>
                <w:b/>
                <w:spacing w:val="5"/>
                <w:w w:val="103"/>
                <w:sz w:val="16"/>
              </w:rPr>
              <w:t>l</w:t>
            </w:r>
            <w:r>
              <w:rPr>
                <w:b/>
                <w:w w:val="103"/>
                <w:sz w:val="16"/>
              </w:rPr>
              <w:t>a</w:t>
            </w:r>
            <w:r>
              <w:rPr>
                <w:b/>
                <w:spacing w:val="3"/>
                <w:sz w:val="16"/>
              </w:rPr>
              <w:t> </w:t>
            </w:r>
            <w:r>
              <w:rPr>
                <w:b/>
                <w:spacing w:val="-3"/>
                <w:w w:val="103"/>
                <w:sz w:val="16"/>
              </w:rPr>
              <w:t>se</w:t>
            </w:r>
            <w:r>
              <w:rPr>
                <w:b/>
                <w:spacing w:val="5"/>
                <w:w w:val="103"/>
                <w:sz w:val="16"/>
              </w:rPr>
              <w:t>m</w:t>
            </w:r>
            <w:r>
              <w:rPr>
                <w:b/>
                <w:spacing w:val="-3"/>
                <w:w w:val="103"/>
                <w:sz w:val="16"/>
              </w:rPr>
              <w:t>a</w:t>
            </w:r>
            <w:r>
              <w:rPr>
                <w:b/>
                <w:w w:val="103"/>
                <w:sz w:val="16"/>
              </w:rPr>
              <w:t>n</w:t>
            </w:r>
            <w:r>
              <w:rPr>
                <w:b/>
                <w:spacing w:val="-3"/>
                <w:w w:val="103"/>
                <w:sz w:val="16"/>
              </w:rPr>
              <w:t>a</w:t>
            </w:r>
            <w:r>
              <w:rPr>
                <w:b/>
                <w:w w:val="103"/>
                <w:sz w:val="16"/>
              </w:rPr>
              <w:t>)</w:t>
            </w:r>
          </w:p>
        </w:tc>
        <w:tc>
          <w:tcPr>
            <w:tcW w:w="3416" w:type="dxa"/>
            <w:tcBorders>
              <w:right w:val="dotted" w:sz="5" w:space="0" w:color="30859C"/>
            </w:tcBorders>
            <w:shd w:val="clear" w:color="auto" w:fill="B4EDEC"/>
          </w:tcPr>
          <w:p>
            <w:pPr>
              <w:pStyle w:val="TableParagraph"/>
              <w:tabs>
                <w:tab w:pos="2589" w:val="left" w:leader="none"/>
              </w:tabs>
              <w:spacing w:before="36"/>
              <w:ind w:right="610"/>
              <w:jc w:val="right"/>
              <w:rPr>
                <w:sz w:val="16"/>
              </w:rPr>
            </w:pPr>
            <w:r>
              <w:rPr>
                <w:b/>
                <w:w w:val="105"/>
                <w:sz w:val="16"/>
              </w:rPr>
              <w:t>Enlatados</w:t>
              <w:tab/>
            </w:r>
            <w:r>
              <w:rPr>
                <w:spacing w:val="3"/>
                <w:sz w:val="16"/>
              </w:rPr>
              <w:t>Si</w:t>
            </w:r>
          </w:p>
          <w:p>
            <w:pPr>
              <w:pStyle w:val="TableParagraph"/>
              <w:spacing w:before="44"/>
              <w:ind w:right="600"/>
              <w:jc w:val="right"/>
              <w:rPr>
                <w:sz w:val="16"/>
              </w:rPr>
            </w:pPr>
            <w:r>
              <w:rPr>
                <w:sz w:val="16"/>
              </w:rPr>
              <w:t>No</w:t>
            </w:r>
          </w:p>
        </w:tc>
        <w:tc>
          <w:tcPr>
            <w:tcW w:w="1445" w:type="dxa"/>
            <w:tcBorders>
              <w:left w:val="dotted" w:sz="5" w:space="0" w:color="30859C"/>
              <w:right w:val="dotted" w:sz="5" w:space="0" w:color="30859C"/>
            </w:tcBorders>
            <w:shd w:val="clear" w:color="auto" w:fill="B4EDEC"/>
          </w:tcPr>
          <w:p>
            <w:pPr>
              <w:pStyle w:val="TableParagraph"/>
              <w:spacing w:before="36"/>
              <w:ind w:left="95" w:right="88"/>
              <w:rPr>
                <w:sz w:val="16"/>
              </w:rPr>
            </w:pPr>
            <w:r>
              <w:rPr>
                <w:w w:val="105"/>
                <w:sz w:val="16"/>
              </w:rPr>
              <w:t>5 (7.9)</w:t>
            </w:r>
          </w:p>
          <w:p>
            <w:pPr>
              <w:pStyle w:val="TableParagraph"/>
              <w:spacing w:before="44"/>
              <w:ind w:left="95" w:right="89"/>
              <w:rPr>
                <w:sz w:val="16"/>
              </w:rPr>
            </w:pPr>
            <w:r>
              <w:rPr>
                <w:sz w:val="16"/>
              </w:rPr>
              <w:t>58 (92.1)</w:t>
            </w:r>
          </w:p>
        </w:tc>
        <w:tc>
          <w:tcPr>
            <w:tcW w:w="1515" w:type="dxa"/>
            <w:tcBorders>
              <w:left w:val="dotted" w:sz="5" w:space="0" w:color="30859C"/>
            </w:tcBorders>
            <w:shd w:val="clear" w:color="auto" w:fill="B4EDEC"/>
          </w:tcPr>
          <w:p>
            <w:pPr>
              <w:pStyle w:val="TableParagraph"/>
              <w:spacing w:before="36"/>
              <w:ind w:left="134" w:right="124"/>
              <w:rPr>
                <w:sz w:val="16"/>
              </w:rPr>
            </w:pPr>
            <w:r>
              <w:rPr>
                <w:w w:val="105"/>
                <w:sz w:val="16"/>
              </w:rPr>
              <w:t>3 (4.8)</w:t>
            </w:r>
          </w:p>
          <w:p>
            <w:pPr>
              <w:pStyle w:val="TableParagraph"/>
              <w:spacing w:before="44"/>
              <w:ind w:left="134" w:right="126"/>
              <w:rPr>
                <w:sz w:val="16"/>
              </w:rPr>
            </w:pPr>
            <w:r>
              <w:rPr>
                <w:sz w:val="16"/>
              </w:rPr>
              <w:t>60 (95.2)</w:t>
            </w:r>
          </w:p>
        </w:tc>
      </w:tr>
      <w:tr>
        <w:trPr>
          <w:trHeight w:val="469" w:hRule="exact"/>
        </w:trPr>
        <w:tc>
          <w:tcPr>
            <w:tcW w:w="653" w:type="dxa"/>
            <w:vMerge/>
            <w:shd w:val="clear" w:color="auto" w:fill="B4EDEC"/>
            <w:textDirection w:val="btLr"/>
          </w:tcPr>
          <w:p>
            <w:pPr/>
          </w:p>
        </w:tc>
        <w:tc>
          <w:tcPr>
            <w:tcW w:w="3416" w:type="dxa"/>
            <w:tcBorders>
              <w:right w:val="dotted" w:sz="5" w:space="0" w:color="30859C"/>
            </w:tcBorders>
            <w:shd w:val="clear" w:color="auto" w:fill="77DFDD"/>
          </w:tcPr>
          <w:p>
            <w:pPr>
              <w:pStyle w:val="TableParagraph"/>
              <w:tabs>
                <w:tab w:pos="2589" w:val="left" w:leader="none"/>
              </w:tabs>
              <w:spacing w:before="34"/>
              <w:ind w:right="608"/>
              <w:jc w:val="right"/>
              <w:rPr>
                <w:sz w:val="16"/>
              </w:rPr>
            </w:pPr>
            <w:r>
              <w:rPr>
                <w:b/>
                <w:w w:val="105"/>
                <w:sz w:val="16"/>
              </w:rPr>
              <w:t>Embutidos</w:t>
              <w:tab/>
            </w:r>
            <w:r>
              <w:rPr>
                <w:spacing w:val="3"/>
                <w:sz w:val="16"/>
              </w:rPr>
              <w:t>Si</w:t>
            </w:r>
          </w:p>
          <w:p>
            <w:pPr>
              <w:pStyle w:val="TableParagraph"/>
              <w:spacing w:before="44"/>
              <w:ind w:right="600"/>
              <w:jc w:val="right"/>
              <w:rPr>
                <w:sz w:val="16"/>
              </w:rPr>
            </w:pPr>
            <w:r>
              <w:rPr>
                <w:sz w:val="16"/>
              </w:rPr>
              <w:t>No</w:t>
            </w:r>
          </w:p>
        </w:tc>
        <w:tc>
          <w:tcPr>
            <w:tcW w:w="1445" w:type="dxa"/>
            <w:tcBorders>
              <w:left w:val="dotted" w:sz="5" w:space="0" w:color="30859C"/>
              <w:right w:val="dotted" w:sz="5" w:space="0" w:color="30859C"/>
            </w:tcBorders>
            <w:shd w:val="clear" w:color="auto" w:fill="77DFDD"/>
          </w:tcPr>
          <w:p>
            <w:pPr>
              <w:pStyle w:val="TableParagraph"/>
              <w:spacing w:before="34"/>
              <w:ind w:left="400"/>
              <w:jc w:val="left"/>
              <w:rPr>
                <w:sz w:val="16"/>
              </w:rPr>
            </w:pPr>
            <w:r>
              <w:rPr>
                <w:sz w:val="16"/>
              </w:rPr>
              <w:t>11 (17.5)</w:t>
            </w:r>
          </w:p>
          <w:p>
            <w:pPr>
              <w:pStyle w:val="TableParagraph"/>
              <w:spacing w:before="44"/>
              <w:ind w:left="400"/>
              <w:jc w:val="left"/>
              <w:rPr>
                <w:sz w:val="16"/>
              </w:rPr>
            </w:pPr>
            <w:r>
              <w:rPr>
                <w:w w:val="105"/>
                <w:sz w:val="16"/>
              </w:rPr>
              <w:t>52 (82.5)</w:t>
            </w:r>
          </w:p>
        </w:tc>
        <w:tc>
          <w:tcPr>
            <w:tcW w:w="1515" w:type="dxa"/>
            <w:tcBorders>
              <w:left w:val="dotted" w:sz="5" w:space="0" w:color="30859C"/>
            </w:tcBorders>
            <w:shd w:val="clear" w:color="auto" w:fill="77DFDD"/>
          </w:tcPr>
          <w:p>
            <w:pPr>
              <w:pStyle w:val="TableParagraph"/>
              <w:spacing w:before="34"/>
              <w:ind w:left="439"/>
              <w:jc w:val="left"/>
              <w:rPr>
                <w:sz w:val="16"/>
              </w:rPr>
            </w:pPr>
            <w:r>
              <w:rPr>
                <w:sz w:val="16"/>
              </w:rPr>
              <w:t>19 (30.2)</w:t>
            </w:r>
          </w:p>
          <w:p>
            <w:pPr>
              <w:pStyle w:val="TableParagraph"/>
              <w:spacing w:before="44"/>
              <w:ind w:left="439"/>
              <w:jc w:val="left"/>
              <w:rPr>
                <w:sz w:val="16"/>
              </w:rPr>
            </w:pPr>
            <w:r>
              <w:rPr>
                <w:w w:val="105"/>
                <w:sz w:val="16"/>
              </w:rPr>
              <w:t>44 (69.8)</w:t>
            </w:r>
          </w:p>
        </w:tc>
      </w:tr>
      <w:tr>
        <w:trPr>
          <w:trHeight w:val="469" w:hRule="exact"/>
        </w:trPr>
        <w:tc>
          <w:tcPr>
            <w:tcW w:w="653" w:type="dxa"/>
            <w:vMerge/>
            <w:shd w:val="clear" w:color="auto" w:fill="B4EDEC"/>
            <w:textDirection w:val="btLr"/>
          </w:tcPr>
          <w:p>
            <w:pPr/>
          </w:p>
        </w:tc>
        <w:tc>
          <w:tcPr>
            <w:tcW w:w="3416" w:type="dxa"/>
            <w:tcBorders>
              <w:right w:val="dotted" w:sz="5" w:space="0" w:color="30859C"/>
            </w:tcBorders>
            <w:shd w:val="clear" w:color="auto" w:fill="B4EDEC"/>
          </w:tcPr>
          <w:p>
            <w:pPr>
              <w:pStyle w:val="TableParagraph"/>
              <w:tabs>
                <w:tab w:pos="2642" w:val="left" w:leader="none"/>
              </w:tabs>
              <w:spacing w:before="32"/>
              <w:ind w:left="53"/>
              <w:jc w:val="left"/>
              <w:rPr>
                <w:sz w:val="16"/>
              </w:rPr>
            </w:pPr>
            <w:r>
              <w:rPr>
                <w:b/>
                <w:w w:val="105"/>
                <w:sz w:val="16"/>
              </w:rPr>
              <w:t>Frutas</w:t>
            </w:r>
            <w:r>
              <w:rPr>
                <w:b/>
                <w:spacing w:val="-7"/>
                <w:w w:val="105"/>
                <w:sz w:val="16"/>
              </w:rPr>
              <w:t> </w:t>
            </w:r>
            <w:r>
              <w:rPr>
                <w:b/>
                <w:w w:val="105"/>
                <w:sz w:val="16"/>
              </w:rPr>
              <w:t>y</w:t>
              <w:tab/>
            </w:r>
            <w:r>
              <w:rPr>
                <w:spacing w:val="4"/>
                <w:w w:val="105"/>
                <w:sz w:val="16"/>
              </w:rPr>
              <w:t>Si</w:t>
            </w:r>
          </w:p>
          <w:p>
            <w:pPr>
              <w:pStyle w:val="TableParagraph"/>
              <w:tabs>
                <w:tab w:pos="2604" w:val="left" w:leader="none"/>
              </w:tabs>
              <w:spacing w:before="44"/>
              <w:ind w:left="53"/>
              <w:jc w:val="left"/>
              <w:rPr>
                <w:sz w:val="16"/>
              </w:rPr>
            </w:pPr>
            <w:r>
              <w:rPr>
                <w:b/>
                <w:w w:val="105"/>
                <w:sz w:val="16"/>
              </w:rPr>
              <w:t>verduras</w:t>
              <w:tab/>
            </w:r>
            <w:r>
              <w:rPr>
                <w:spacing w:val="-5"/>
                <w:w w:val="105"/>
                <w:sz w:val="16"/>
              </w:rPr>
              <w:t>No</w:t>
            </w:r>
          </w:p>
        </w:tc>
        <w:tc>
          <w:tcPr>
            <w:tcW w:w="1445" w:type="dxa"/>
            <w:tcBorders>
              <w:left w:val="dotted" w:sz="5" w:space="0" w:color="30859C"/>
              <w:right w:val="dotted" w:sz="5" w:space="0" w:color="30859C"/>
            </w:tcBorders>
            <w:shd w:val="clear" w:color="auto" w:fill="B4EDEC"/>
          </w:tcPr>
          <w:p>
            <w:pPr>
              <w:pStyle w:val="TableParagraph"/>
              <w:spacing w:before="32"/>
              <w:ind w:left="464"/>
              <w:jc w:val="left"/>
              <w:rPr>
                <w:sz w:val="16"/>
              </w:rPr>
            </w:pPr>
            <w:r>
              <w:rPr>
                <w:w w:val="105"/>
                <w:sz w:val="16"/>
              </w:rPr>
              <w:t>51 (82)</w:t>
            </w:r>
          </w:p>
          <w:p>
            <w:pPr>
              <w:pStyle w:val="TableParagraph"/>
              <w:spacing w:before="44"/>
              <w:ind w:left="464"/>
              <w:jc w:val="left"/>
              <w:rPr>
                <w:sz w:val="16"/>
              </w:rPr>
            </w:pPr>
            <w:r>
              <w:rPr>
                <w:w w:val="105"/>
                <w:sz w:val="16"/>
              </w:rPr>
              <w:t>12 (19)</w:t>
            </w:r>
          </w:p>
        </w:tc>
        <w:tc>
          <w:tcPr>
            <w:tcW w:w="1515" w:type="dxa"/>
            <w:tcBorders>
              <w:left w:val="dotted" w:sz="5" w:space="0" w:color="30859C"/>
            </w:tcBorders>
            <w:shd w:val="clear" w:color="auto" w:fill="B4EDEC"/>
          </w:tcPr>
          <w:p>
            <w:pPr>
              <w:pStyle w:val="TableParagraph"/>
              <w:spacing w:before="32"/>
              <w:ind w:left="134" w:right="126"/>
              <w:rPr>
                <w:sz w:val="16"/>
              </w:rPr>
            </w:pPr>
            <w:r>
              <w:rPr>
                <w:sz w:val="16"/>
              </w:rPr>
              <w:t>62 (98.4)</w:t>
            </w:r>
          </w:p>
          <w:p>
            <w:pPr>
              <w:pStyle w:val="TableParagraph"/>
              <w:spacing w:before="44"/>
              <w:ind w:left="134" w:right="124"/>
              <w:rPr>
                <w:sz w:val="16"/>
              </w:rPr>
            </w:pPr>
            <w:r>
              <w:rPr>
                <w:w w:val="105"/>
                <w:sz w:val="16"/>
              </w:rPr>
              <w:t>1 (1.6)</w:t>
            </w:r>
          </w:p>
        </w:tc>
      </w:tr>
      <w:tr>
        <w:trPr>
          <w:trHeight w:val="494" w:hRule="exact"/>
        </w:trPr>
        <w:tc>
          <w:tcPr>
            <w:tcW w:w="653" w:type="dxa"/>
            <w:vMerge/>
            <w:shd w:val="clear" w:color="auto" w:fill="B4EDEC"/>
            <w:textDirection w:val="btLr"/>
          </w:tcPr>
          <w:p>
            <w:pPr/>
          </w:p>
        </w:tc>
        <w:tc>
          <w:tcPr>
            <w:tcW w:w="3416" w:type="dxa"/>
            <w:tcBorders>
              <w:right w:val="dotted" w:sz="5" w:space="0" w:color="30859C"/>
            </w:tcBorders>
            <w:shd w:val="clear" w:color="auto" w:fill="77DFDD"/>
          </w:tcPr>
          <w:p>
            <w:pPr>
              <w:pStyle w:val="TableParagraph"/>
              <w:tabs>
                <w:tab w:pos="2224" w:val="left" w:leader="none"/>
              </w:tabs>
              <w:spacing w:before="30"/>
              <w:ind w:left="53"/>
              <w:jc w:val="left"/>
              <w:rPr>
                <w:sz w:val="16"/>
              </w:rPr>
            </w:pPr>
            <w:r>
              <w:rPr>
                <w:b/>
                <w:w w:val="105"/>
                <w:sz w:val="16"/>
              </w:rPr>
              <w:t>Lavado</w:t>
            </w:r>
            <w:r>
              <w:rPr>
                <w:b/>
                <w:spacing w:val="-5"/>
                <w:w w:val="105"/>
                <w:sz w:val="16"/>
              </w:rPr>
              <w:t> </w:t>
            </w:r>
            <w:r>
              <w:rPr>
                <w:b/>
                <w:w w:val="105"/>
                <w:sz w:val="16"/>
              </w:rPr>
              <w:t>de</w:t>
              <w:tab/>
            </w:r>
            <w:r>
              <w:rPr>
                <w:spacing w:val="2"/>
                <w:w w:val="105"/>
                <w:sz w:val="16"/>
              </w:rPr>
              <w:t>Agua </w:t>
            </w:r>
            <w:r>
              <w:rPr>
                <w:w w:val="105"/>
                <w:sz w:val="16"/>
              </w:rPr>
              <w:t>y</w:t>
            </w:r>
            <w:r>
              <w:rPr>
                <w:spacing w:val="-27"/>
                <w:w w:val="105"/>
                <w:sz w:val="16"/>
              </w:rPr>
              <w:t> </w:t>
            </w:r>
            <w:r>
              <w:rPr>
                <w:spacing w:val="3"/>
                <w:w w:val="105"/>
                <w:sz w:val="16"/>
              </w:rPr>
              <w:t>jabón</w:t>
            </w:r>
          </w:p>
          <w:p>
            <w:pPr>
              <w:pStyle w:val="TableParagraph"/>
              <w:tabs>
                <w:tab w:pos="2515" w:val="left" w:leader="none"/>
              </w:tabs>
              <w:spacing w:before="44"/>
              <w:ind w:left="53"/>
              <w:jc w:val="left"/>
              <w:rPr>
                <w:sz w:val="16"/>
              </w:rPr>
            </w:pPr>
            <w:r>
              <w:rPr>
                <w:b/>
                <w:spacing w:val="-3"/>
                <w:w w:val="105"/>
                <w:sz w:val="16"/>
              </w:rPr>
              <w:t>frutas</w:t>
            </w:r>
            <w:r>
              <w:rPr>
                <w:b/>
                <w:spacing w:val="3"/>
                <w:w w:val="105"/>
                <w:sz w:val="16"/>
              </w:rPr>
              <w:t> </w:t>
            </w:r>
            <w:r>
              <w:rPr>
                <w:b/>
                <w:w w:val="105"/>
                <w:sz w:val="16"/>
              </w:rPr>
              <w:t>y</w:t>
            </w:r>
            <w:r>
              <w:rPr>
                <w:b/>
                <w:spacing w:val="-7"/>
                <w:w w:val="105"/>
                <w:sz w:val="16"/>
              </w:rPr>
              <w:t> </w:t>
            </w:r>
            <w:r>
              <w:rPr>
                <w:b/>
                <w:w w:val="105"/>
                <w:sz w:val="16"/>
              </w:rPr>
              <w:t>verduras</w:t>
              <w:tab/>
            </w:r>
            <w:r>
              <w:rPr>
                <w:spacing w:val="2"/>
                <w:w w:val="105"/>
                <w:sz w:val="16"/>
              </w:rPr>
              <w:t>Agua</w:t>
            </w:r>
          </w:p>
        </w:tc>
        <w:tc>
          <w:tcPr>
            <w:tcW w:w="1445" w:type="dxa"/>
            <w:tcBorders>
              <w:left w:val="dotted" w:sz="5" w:space="0" w:color="30859C"/>
              <w:right w:val="dotted" w:sz="5" w:space="0" w:color="30859C"/>
            </w:tcBorders>
            <w:shd w:val="clear" w:color="auto" w:fill="77DFDD"/>
          </w:tcPr>
          <w:p>
            <w:pPr>
              <w:pStyle w:val="TableParagraph"/>
              <w:spacing w:before="30"/>
              <w:ind w:left="400"/>
              <w:jc w:val="left"/>
              <w:rPr>
                <w:sz w:val="16"/>
              </w:rPr>
            </w:pPr>
            <w:r>
              <w:rPr>
                <w:sz w:val="16"/>
              </w:rPr>
              <w:t>44 (69.8)</w:t>
            </w:r>
          </w:p>
          <w:p>
            <w:pPr>
              <w:pStyle w:val="TableParagraph"/>
              <w:spacing w:before="44"/>
              <w:ind w:left="400"/>
              <w:jc w:val="left"/>
              <w:rPr>
                <w:sz w:val="16"/>
              </w:rPr>
            </w:pPr>
            <w:r>
              <w:rPr>
                <w:w w:val="105"/>
                <w:sz w:val="16"/>
              </w:rPr>
              <w:t>19 (30.2)</w:t>
            </w:r>
          </w:p>
        </w:tc>
        <w:tc>
          <w:tcPr>
            <w:tcW w:w="1515" w:type="dxa"/>
            <w:tcBorders>
              <w:left w:val="dotted" w:sz="5" w:space="0" w:color="30859C"/>
            </w:tcBorders>
            <w:shd w:val="clear" w:color="auto" w:fill="77DFDD"/>
          </w:tcPr>
          <w:p>
            <w:pPr>
              <w:pStyle w:val="TableParagraph"/>
              <w:spacing w:before="30"/>
              <w:ind w:left="439"/>
              <w:jc w:val="left"/>
              <w:rPr>
                <w:sz w:val="16"/>
              </w:rPr>
            </w:pPr>
            <w:r>
              <w:rPr>
                <w:sz w:val="16"/>
              </w:rPr>
              <w:t>48 (76.2)</w:t>
            </w:r>
          </w:p>
          <w:p>
            <w:pPr>
              <w:pStyle w:val="TableParagraph"/>
              <w:spacing w:before="44"/>
              <w:ind w:left="439"/>
              <w:jc w:val="left"/>
              <w:rPr>
                <w:sz w:val="16"/>
              </w:rPr>
            </w:pPr>
            <w:r>
              <w:rPr>
                <w:w w:val="105"/>
                <w:sz w:val="16"/>
              </w:rPr>
              <w:t>15 (23.8)</w:t>
            </w:r>
          </w:p>
        </w:tc>
      </w:tr>
      <w:tr>
        <w:trPr>
          <w:trHeight w:val="469" w:hRule="exact"/>
        </w:trPr>
        <w:tc>
          <w:tcPr>
            <w:tcW w:w="653" w:type="dxa"/>
            <w:vMerge/>
            <w:shd w:val="clear" w:color="auto" w:fill="B4EDEC"/>
            <w:textDirection w:val="btLr"/>
          </w:tcPr>
          <w:p>
            <w:pPr/>
          </w:p>
        </w:tc>
        <w:tc>
          <w:tcPr>
            <w:tcW w:w="3416" w:type="dxa"/>
            <w:tcBorders>
              <w:right w:val="dotted" w:sz="5" w:space="0" w:color="30859C"/>
            </w:tcBorders>
            <w:shd w:val="clear" w:color="auto" w:fill="B4EDEC"/>
          </w:tcPr>
          <w:p>
            <w:pPr>
              <w:pStyle w:val="TableParagraph"/>
              <w:tabs>
                <w:tab w:pos="2589" w:val="left" w:leader="none"/>
              </w:tabs>
              <w:spacing w:before="39"/>
              <w:ind w:right="610"/>
              <w:jc w:val="right"/>
              <w:rPr>
                <w:sz w:val="16"/>
              </w:rPr>
            </w:pPr>
            <w:r>
              <w:rPr>
                <w:b/>
                <w:w w:val="105"/>
                <w:sz w:val="16"/>
              </w:rPr>
              <w:t>Pescado</w:t>
              <w:tab/>
            </w:r>
            <w:r>
              <w:rPr>
                <w:spacing w:val="3"/>
                <w:sz w:val="16"/>
              </w:rPr>
              <w:t>Si</w:t>
            </w:r>
          </w:p>
          <w:p>
            <w:pPr>
              <w:pStyle w:val="TableParagraph"/>
              <w:spacing w:before="44"/>
              <w:ind w:right="600"/>
              <w:jc w:val="right"/>
              <w:rPr>
                <w:sz w:val="16"/>
              </w:rPr>
            </w:pPr>
            <w:r>
              <w:rPr>
                <w:sz w:val="16"/>
              </w:rPr>
              <w:t>No</w:t>
            </w:r>
          </w:p>
        </w:tc>
        <w:tc>
          <w:tcPr>
            <w:tcW w:w="1445" w:type="dxa"/>
            <w:tcBorders>
              <w:left w:val="dotted" w:sz="5" w:space="0" w:color="30859C"/>
              <w:right w:val="dotted" w:sz="5" w:space="0" w:color="30859C"/>
            </w:tcBorders>
            <w:shd w:val="clear" w:color="auto" w:fill="B4EDEC"/>
          </w:tcPr>
          <w:p>
            <w:pPr>
              <w:pStyle w:val="TableParagraph"/>
              <w:spacing w:before="39"/>
              <w:ind w:left="400"/>
              <w:jc w:val="left"/>
              <w:rPr>
                <w:sz w:val="16"/>
              </w:rPr>
            </w:pPr>
            <w:r>
              <w:rPr>
                <w:w w:val="105"/>
                <w:sz w:val="16"/>
              </w:rPr>
              <w:t>10 (15.9)</w:t>
            </w:r>
          </w:p>
          <w:p>
            <w:pPr>
              <w:pStyle w:val="TableParagraph"/>
              <w:spacing w:before="44"/>
              <w:ind w:left="400"/>
              <w:jc w:val="left"/>
              <w:rPr>
                <w:sz w:val="16"/>
              </w:rPr>
            </w:pPr>
            <w:r>
              <w:rPr>
                <w:sz w:val="16"/>
              </w:rPr>
              <w:t>53 (84.1)</w:t>
            </w:r>
          </w:p>
        </w:tc>
        <w:tc>
          <w:tcPr>
            <w:tcW w:w="1515" w:type="dxa"/>
            <w:tcBorders>
              <w:left w:val="dotted" w:sz="5" w:space="0" w:color="30859C"/>
            </w:tcBorders>
            <w:shd w:val="clear" w:color="auto" w:fill="B4EDEC"/>
          </w:tcPr>
          <w:p>
            <w:pPr>
              <w:pStyle w:val="TableParagraph"/>
              <w:spacing w:before="39"/>
              <w:ind w:left="439"/>
              <w:jc w:val="left"/>
              <w:rPr>
                <w:sz w:val="16"/>
              </w:rPr>
            </w:pPr>
            <w:r>
              <w:rPr>
                <w:w w:val="105"/>
                <w:sz w:val="16"/>
              </w:rPr>
              <w:t>26 (41.3)</w:t>
            </w:r>
          </w:p>
          <w:p>
            <w:pPr>
              <w:pStyle w:val="TableParagraph"/>
              <w:spacing w:before="44"/>
              <w:ind w:left="439"/>
              <w:jc w:val="left"/>
              <w:rPr>
                <w:sz w:val="16"/>
              </w:rPr>
            </w:pPr>
            <w:r>
              <w:rPr>
                <w:sz w:val="16"/>
              </w:rPr>
              <w:t>37 (58.7)</w:t>
            </w:r>
          </w:p>
        </w:tc>
      </w:tr>
      <w:tr>
        <w:trPr>
          <w:trHeight w:val="469" w:hRule="exact"/>
        </w:trPr>
        <w:tc>
          <w:tcPr>
            <w:tcW w:w="653" w:type="dxa"/>
            <w:vMerge/>
            <w:shd w:val="clear" w:color="auto" w:fill="B4EDEC"/>
            <w:textDirection w:val="btLr"/>
          </w:tcPr>
          <w:p>
            <w:pPr/>
          </w:p>
        </w:tc>
        <w:tc>
          <w:tcPr>
            <w:tcW w:w="3416" w:type="dxa"/>
            <w:tcBorders>
              <w:right w:val="dotted" w:sz="5" w:space="0" w:color="30859C"/>
            </w:tcBorders>
            <w:shd w:val="clear" w:color="auto" w:fill="77DFDD"/>
          </w:tcPr>
          <w:p>
            <w:pPr>
              <w:pStyle w:val="TableParagraph"/>
              <w:tabs>
                <w:tab w:pos="2589" w:val="left" w:leader="none"/>
              </w:tabs>
              <w:spacing w:before="37"/>
              <w:ind w:right="610"/>
              <w:jc w:val="right"/>
              <w:rPr>
                <w:sz w:val="16"/>
              </w:rPr>
            </w:pPr>
            <w:r>
              <w:rPr>
                <w:b/>
                <w:spacing w:val="-3"/>
                <w:w w:val="105"/>
                <w:sz w:val="16"/>
              </w:rPr>
              <w:t>Carne</w:t>
              <w:tab/>
            </w:r>
            <w:r>
              <w:rPr>
                <w:spacing w:val="3"/>
                <w:sz w:val="16"/>
              </w:rPr>
              <w:t>Si</w:t>
            </w:r>
          </w:p>
          <w:p>
            <w:pPr>
              <w:pStyle w:val="TableParagraph"/>
              <w:spacing w:before="44"/>
              <w:ind w:right="600"/>
              <w:jc w:val="right"/>
              <w:rPr>
                <w:sz w:val="16"/>
              </w:rPr>
            </w:pPr>
            <w:r>
              <w:rPr>
                <w:sz w:val="16"/>
              </w:rPr>
              <w:t>No</w:t>
            </w:r>
          </w:p>
        </w:tc>
        <w:tc>
          <w:tcPr>
            <w:tcW w:w="1445" w:type="dxa"/>
            <w:tcBorders>
              <w:left w:val="dotted" w:sz="5" w:space="0" w:color="30859C"/>
              <w:right w:val="dotted" w:sz="5" w:space="0" w:color="30859C"/>
            </w:tcBorders>
            <w:shd w:val="clear" w:color="auto" w:fill="77DFDD"/>
          </w:tcPr>
          <w:p>
            <w:pPr>
              <w:pStyle w:val="TableParagraph"/>
              <w:spacing w:before="37"/>
              <w:ind w:left="95" w:right="89"/>
              <w:rPr>
                <w:sz w:val="16"/>
              </w:rPr>
            </w:pPr>
            <w:r>
              <w:rPr>
                <w:w w:val="105"/>
                <w:sz w:val="16"/>
              </w:rPr>
              <w:t>63 (100)</w:t>
            </w:r>
          </w:p>
          <w:p>
            <w:pPr>
              <w:pStyle w:val="TableParagraph"/>
              <w:spacing w:before="44"/>
              <w:ind w:left="95" w:right="98"/>
              <w:rPr>
                <w:sz w:val="16"/>
              </w:rPr>
            </w:pPr>
            <w:r>
              <w:rPr>
                <w:w w:val="105"/>
                <w:sz w:val="16"/>
              </w:rPr>
              <w:t>0 (0)</w:t>
            </w:r>
          </w:p>
        </w:tc>
        <w:tc>
          <w:tcPr>
            <w:tcW w:w="1515" w:type="dxa"/>
            <w:tcBorders>
              <w:left w:val="dotted" w:sz="5" w:space="0" w:color="30859C"/>
            </w:tcBorders>
            <w:shd w:val="clear" w:color="auto" w:fill="77DFDD"/>
          </w:tcPr>
          <w:p>
            <w:pPr>
              <w:pStyle w:val="TableParagraph"/>
              <w:spacing w:before="37"/>
              <w:ind w:left="134" w:right="125"/>
              <w:rPr>
                <w:sz w:val="16"/>
              </w:rPr>
            </w:pPr>
            <w:r>
              <w:rPr>
                <w:w w:val="105"/>
                <w:sz w:val="16"/>
              </w:rPr>
              <w:t>62 (98.4)</w:t>
            </w:r>
          </w:p>
          <w:p>
            <w:pPr>
              <w:pStyle w:val="TableParagraph"/>
              <w:spacing w:before="44"/>
              <w:ind w:left="134" w:right="124"/>
              <w:rPr>
                <w:sz w:val="16"/>
              </w:rPr>
            </w:pPr>
            <w:r>
              <w:rPr>
                <w:w w:val="105"/>
                <w:sz w:val="16"/>
              </w:rPr>
              <w:t>1 (1.6)</w:t>
            </w:r>
          </w:p>
        </w:tc>
      </w:tr>
      <w:tr>
        <w:trPr>
          <w:trHeight w:val="469" w:hRule="exact"/>
        </w:trPr>
        <w:tc>
          <w:tcPr>
            <w:tcW w:w="653" w:type="dxa"/>
            <w:vMerge/>
            <w:shd w:val="clear" w:color="auto" w:fill="B4EDEC"/>
            <w:textDirection w:val="btLr"/>
          </w:tcPr>
          <w:p>
            <w:pPr/>
          </w:p>
        </w:tc>
        <w:tc>
          <w:tcPr>
            <w:tcW w:w="3416" w:type="dxa"/>
            <w:tcBorders>
              <w:right w:val="dotted" w:sz="5" w:space="0" w:color="30859C"/>
            </w:tcBorders>
            <w:shd w:val="clear" w:color="auto" w:fill="B4EDEC"/>
          </w:tcPr>
          <w:p>
            <w:pPr>
              <w:pStyle w:val="TableParagraph"/>
              <w:tabs>
                <w:tab w:pos="2589" w:val="left" w:leader="none"/>
              </w:tabs>
              <w:spacing w:before="35"/>
              <w:ind w:right="608"/>
              <w:jc w:val="right"/>
              <w:rPr>
                <w:sz w:val="16"/>
              </w:rPr>
            </w:pPr>
            <w:r>
              <w:rPr>
                <w:b/>
                <w:w w:val="105"/>
                <w:sz w:val="16"/>
              </w:rPr>
              <w:t>Té</w:t>
              <w:tab/>
            </w:r>
            <w:r>
              <w:rPr>
                <w:spacing w:val="3"/>
                <w:sz w:val="16"/>
              </w:rPr>
              <w:t>Si</w:t>
            </w:r>
          </w:p>
          <w:p>
            <w:pPr>
              <w:pStyle w:val="TableParagraph"/>
              <w:spacing w:before="44"/>
              <w:ind w:right="600"/>
              <w:jc w:val="right"/>
              <w:rPr>
                <w:sz w:val="16"/>
              </w:rPr>
            </w:pPr>
            <w:r>
              <w:rPr>
                <w:sz w:val="16"/>
              </w:rPr>
              <w:t>No</w:t>
            </w:r>
          </w:p>
        </w:tc>
        <w:tc>
          <w:tcPr>
            <w:tcW w:w="1445" w:type="dxa"/>
            <w:tcBorders>
              <w:left w:val="dotted" w:sz="5" w:space="0" w:color="30859C"/>
              <w:right w:val="dotted" w:sz="5" w:space="0" w:color="30859C"/>
            </w:tcBorders>
            <w:shd w:val="clear" w:color="auto" w:fill="B4EDEC"/>
          </w:tcPr>
          <w:p>
            <w:pPr>
              <w:pStyle w:val="TableParagraph"/>
              <w:spacing w:before="35"/>
              <w:ind w:left="400"/>
              <w:jc w:val="left"/>
              <w:rPr>
                <w:sz w:val="16"/>
              </w:rPr>
            </w:pPr>
            <w:r>
              <w:rPr>
                <w:sz w:val="16"/>
              </w:rPr>
              <w:t>45 (71.4)</w:t>
            </w:r>
          </w:p>
          <w:p>
            <w:pPr>
              <w:pStyle w:val="TableParagraph"/>
              <w:spacing w:before="44"/>
              <w:ind w:left="400"/>
              <w:jc w:val="left"/>
              <w:rPr>
                <w:sz w:val="16"/>
              </w:rPr>
            </w:pPr>
            <w:r>
              <w:rPr>
                <w:w w:val="105"/>
                <w:sz w:val="16"/>
              </w:rPr>
              <w:t>18 (28.6)</w:t>
            </w:r>
          </w:p>
        </w:tc>
        <w:tc>
          <w:tcPr>
            <w:tcW w:w="1515" w:type="dxa"/>
            <w:tcBorders>
              <w:left w:val="dotted" w:sz="5" w:space="0" w:color="30859C"/>
            </w:tcBorders>
            <w:shd w:val="clear" w:color="auto" w:fill="B4EDEC"/>
          </w:tcPr>
          <w:p>
            <w:pPr>
              <w:pStyle w:val="TableParagraph"/>
              <w:spacing w:before="35"/>
              <w:ind w:left="439"/>
              <w:jc w:val="left"/>
              <w:rPr>
                <w:sz w:val="16"/>
              </w:rPr>
            </w:pPr>
            <w:r>
              <w:rPr>
                <w:sz w:val="16"/>
              </w:rPr>
              <w:t>40 (63.5)</w:t>
            </w:r>
          </w:p>
          <w:p>
            <w:pPr>
              <w:pStyle w:val="TableParagraph"/>
              <w:spacing w:before="44"/>
              <w:ind w:left="439"/>
              <w:jc w:val="left"/>
              <w:rPr>
                <w:sz w:val="16"/>
              </w:rPr>
            </w:pPr>
            <w:r>
              <w:rPr>
                <w:w w:val="105"/>
                <w:sz w:val="16"/>
              </w:rPr>
              <w:t>23 (36.5)</w:t>
            </w:r>
          </w:p>
        </w:tc>
      </w:tr>
      <w:tr>
        <w:trPr>
          <w:trHeight w:val="456" w:hRule="exact"/>
        </w:trPr>
        <w:tc>
          <w:tcPr>
            <w:tcW w:w="653" w:type="dxa"/>
            <w:vMerge/>
            <w:shd w:val="clear" w:color="auto" w:fill="B4EDEC"/>
            <w:textDirection w:val="btLr"/>
          </w:tcPr>
          <w:p>
            <w:pPr/>
          </w:p>
        </w:tc>
        <w:tc>
          <w:tcPr>
            <w:tcW w:w="3416" w:type="dxa"/>
            <w:tcBorders>
              <w:right w:val="dotted" w:sz="5" w:space="0" w:color="30859C"/>
            </w:tcBorders>
            <w:shd w:val="clear" w:color="auto" w:fill="77DFDD"/>
          </w:tcPr>
          <w:p>
            <w:pPr>
              <w:pStyle w:val="TableParagraph"/>
              <w:tabs>
                <w:tab w:pos="2589" w:val="left" w:leader="none"/>
              </w:tabs>
              <w:spacing w:before="33"/>
              <w:ind w:right="608"/>
              <w:jc w:val="right"/>
              <w:rPr>
                <w:sz w:val="16"/>
              </w:rPr>
            </w:pPr>
            <w:r>
              <w:rPr>
                <w:b/>
                <w:spacing w:val="-4"/>
                <w:w w:val="105"/>
                <w:sz w:val="16"/>
              </w:rPr>
              <w:t>Café</w:t>
              <w:tab/>
            </w:r>
            <w:r>
              <w:rPr>
                <w:spacing w:val="3"/>
                <w:sz w:val="16"/>
              </w:rPr>
              <w:t>Si</w:t>
            </w:r>
          </w:p>
          <w:p>
            <w:pPr>
              <w:pStyle w:val="TableParagraph"/>
              <w:spacing w:before="44"/>
              <w:ind w:right="600"/>
              <w:jc w:val="right"/>
              <w:rPr>
                <w:sz w:val="16"/>
              </w:rPr>
            </w:pPr>
            <w:r>
              <w:rPr>
                <w:sz w:val="16"/>
              </w:rPr>
              <w:t>No</w:t>
            </w:r>
          </w:p>
        </w:tc>
        <w:tc>
          <w:tcPr>
            <w:tcW w:w="1445" w:type="dxa"/>
            <w:tcBorders>
              <w:left w:val="dotted" w:sz="5" w:space="0" w:color="30859C"/>
              <w:right w:val="dotted" w:sz="5" w:space="0" w:color="30859C"/>
            </w:tcBorders>
            <w:shd w:val="clear" w:color="auto" w:fill="77DFDD"/>
          </w:tcPr>
          <w:p>
            <w:pPr>
              <w:pStyle w:val="TableParagraph"/>
              <w:spacing w:before="33"/>
              <w:ind w:left="400"/>
              <w:jc w:val="left"/>
              <w:rPr>
                <w:sz w:val="16"/>
              </w:rPr>
            </w:pPr>
            <w:r>
              <w:rPr>
                <w:sz w:val="16"/>
              </w:rPr>
              <w:t>27 (42.9)</w:t>
            </w:r>
          </w:p>
          <w:p>
            <w:pPr>
              <w:pStyle w:val="TableParagraph"/>
              <w:spacing w:before="44"/>
              <w:ind w:left="400"/>
              <w:jc w:val="left"/>
              <w:rPr>
                <w:sz w:val="16"/>
              </w:rPr>
            </w:pPr>
            <w:r>
              <w:rPr>
                <w:w w:val="105"/>
                <w:sz w:val="16"/>
              </w:rPr>
              <w:t>36 (57.1)</w:t>
            </w:r>
          </w:p>
        </w:tc>
        <w:tc>
          <w:tcPr>
            <w:tcW w:w="1515" w:type="dxa"/>
            <w:tcBorders>
              <w:left w:val="dotted" w:sz="5" w:space="0" w:color="30859C"/>
            </w:tcBorders>
            <w:shd w:val="clear" w:color="auto" w:fill="77DFDD"/>
          </w:tcPr>
          <w:p>
            <w:pPr>
              <w:pStyle w:val="TableParagraph"/>
              <w:spacing w:before="33"/>
              <w:ind w:left="439"/>
              <w:jc w:val="left"/>
              <w:rPr>
                <w:sz w:val="16"/>
              </w:rPr>
            </w:pPr>
            <w:r>
              <w:rPr>
                <w:sz w:val="16"/>
              </w:rPr>
              <w:t>33 (52.4)</w:t>
            </w:r>
          </w:p>
          <w:p>
            <w:pPr>
              <w:pStyle w:val="TableParagraph"/>
              <w:spacing w:before="44"/>
              <w:ind w:left="439"/>
              <w:jc w:val="left"/>
              <w:rPr>
                <w:sz w:val="16"/>
              </w:rPr>
            </w:pPr>
            <w:r>
              <w:rPr>
                <w:w w:val="105"/>
                <w:sz w:val="16"/>
              </w:rPr>
              <w:t>30 (47.6)</w:t>
            </w:r>
          </w:p>
        </w:tc>
      </w:tr>
      <w:tr>
        <w:trPr>
          <w:trHeight w:val="469" w:hRule="exact"/>
        </w:trPr>
        <w:tc>
          <w:tcPr>
            <w:tcW w:w="653" w:type="dxa"/>
            <w:vMerge/>
            <w:shd w:val="clear" w:color="auto" w:fill="B4EDEC"/>
            <w:textDirection w:val="btLr"/>
          </w:tcPr>
          <w:p>
            <w:pPr/>
          </w:p>
        </w:tc>
        <w:tc>
          <w:tcPr>
            <w:tcW w:w="3416" w:type="dxa"/>
            <w:tcBorders>
              <w:right w:val="dotted" w:sz="5" w:space="0" w:color="30859C"/>
            </w:tcBorders>
            <w:shd w:val="clear" w:color="auto" w:fill="B4EDEC"/>
          </w:tcPr>
          <w:p>
            <w:pPr>
              <w:pStyle w:val="TableParagraph"/>
              <w:tabs>
                <w:tab w:pos="2642" w:val="left" w:leader="none"/>
              </w:tabs>
              <w:spacing w:before="43"/>
              <w:ind w:left="53"/>
              <w:jc w:val="left"/>
              <w:rPr>
                <w:sz w:val="16"/>
              </w:rPr>
            </w:pPr>
            <w:r>
              <w:rPr>
                <w:b/>
                <w:spacing w:val="-4"/>
                <w:w w:val="105"/>
                <w:sz w:val="16"/>
              </w:rPr>
              <w:t>Café </w:t>
            </w:r>
            <w:r>
              <w:rPr>
                <w:b/>
                <w:w w:val="105"/>
                <w:sz w:val="16"/>
              </w:rPr>
              <w:t>con</w:t>
              <w:tab/>
            </w:r>
            <w:r>
              <w:rPr>
                <w:spacing w:val="4"/>
                <w:w w:val="105"/>
                <w:sz w:val="16"/>
              </w:rPr>
              <w:t>Si</w:t>
            </w:r>
          </w:p>
          <w:p>
            <w:pPr>
              <w:pStyle w:val="TableParagraph"/>
              <w:tabs>
                <w:tab w:pos="2604" w:val="left" w:leader="none"/>
              </w:tabs>
              <w:spacing w:before="44"/>
              <w:ind w:left="53"/>
              <w:jc w:val="left"/>
              <w:rPr>
                <w:sz w:val="16"/>
              </w:rPr>
            </w:pPr>
            <w:r>
              <w:rPr>
                <w:b/>
                <w:w w:val="105"/>
                <w:sz w:val="16"/>
              </w:rPr>
              <w:t>leche</w:t>
              <w:tab/>
            </w:r>
            <w:r>
              <w:rPr>
                <w:spacing w:val="-5"/>
                <w:w w:val="105"/>
                <w:sz w:val="16"/>
              </w:rPr>
              <w:t>No</w:t>
            </w:r>
          </w:p>
        </w:tc>
        <w:tc>
          <w:tcPr>
            <w:tcW w:w="1445" w:type="dxa"/>
            <w:tcBorders>
              <w:left w:val="dotted" w:sz="5" w:space="0" w:color="30859C"/>
              <w:right w:val="dotted" w:sz="5" w:space="0" w:color="30859C"/>
            </w:tcBorders>
            <w:shd w:val="clear" w:color="auto" w:fill="B4EDEC"/>
          </w:tcPr>
          <w:p>
            <w:pPr>
              <w:pStyle w:val="TableParagraph"/>
              <w:spacing w:before="43"/>
              <w:ind w:left="400"/>
              <w:jc w:val="left"/>
              <w:rPr>
                <w:sz w:val="16"/>
              </w:rPr>
            </w:pPr>
            <w:r>
              <w:rPr>
                <w:sz w:val="16"/>
              </w:rPr>
              <w:t>19 (30.2)</w:t>
            </w:r>
          </w:p>
          <w:p>
            <w:pPr>
              <w:pStyle w:val="TableParagraph"/>
              <w:spacing w:before="44"/>
              <w:ind w:left="400"/>
              <w:jc w:val="left"/>
              <w:rPr>
                <w:sz w:val="16"/>
              </w:rPr>
            </w:pPr>
            <w:r>
              <w:rPr>
                <w:w w:val="105"/>
                <w:sz w:val="16"/>
              </w:rPr>
              <w:t>44 (69.8)</w:t>
            </w:r>
          </w:p>
        </w:tc>
        <w:tc>
          <w:tcPr>
            <w:tcW w:w="1515" w:type="dxa"/>
            <w:tcBorders>
              <w:left w:val="dotted" w:sz="5" w:space="0" w:color="30859C"/>
            </w:tcBorders>
            <w:shd w:val="clear" w:color="auto" w:fill="B4EDEC"/>
          </w:tcPr>
          <w:p>
            <w:pPr>
              <w:pStyle w:val="TableParagraph"/>
              <w:spacing w:before="43"/>
              <w:ind w:left="439"/>
              <w:jc w:val="left"/>
              <w:rPr>
                <w:sz w:val="16"/>
              </w:rPr>
            </w:pPr>
            <w:r>
              <w:rPr>
                <w:sz w:val="16"/>
              </w:rPr>
              <w:t>31 (49.2)</w:t>
            </w:r>
          </w:p>
          <w:p>
            <w:pPr>
              <w:pStyle w:val="TableParagraph"/>
              <w:spacing w:before="44"/>
              <w:ind w:left="439"/>
              <w:jc w:val="left"/>
              <w:rPr>
                <w:sz w:val="16"/>
              </w:rPr>
            </w:pPr>
            <w:r>
              <w:rPr>
                <w:w w:val="105"/>
                <w:sz w:val="16"/>
              </w:rPr>
              <w:t>32 (50.8)</w:t>
            </w:r>
          </w:p>
        </w:tc>
      </w:tr>
      <w:tr>
        <w:trPr>
          <w:trHeight w:val="469" w:hRule="exact"/>
        </w:trPr>
        <w:tc>
          <w:tcPr>
            <w:tcW w:w="653" w:type="dxa"/>
            <w:vMerge/>
            <w:shd w:val="clear" w:color="auto" w:fill="B4EDEC"/>
            <w:textDirection w:val="btLr"/>
          </w:tcPr>
          <w:p>
            <w:pPr/>
          </w:p>
        </w:tc>
        <w:tc>
          <w:tcPr>
            <w:tcW w:w="3416" w:type="dxa"/>
            <w:tcBorders>
              <w:right w:val="dotted" w:sz="5" w:space="0" w:color="30859C"/>
            </w:tcBorders>
            <w:shd w:val="clear" w:color="auto" w:fill="77DFDD"/>
          </w:tcPr>
          <w:p>
            <w:pPr>
              <w:pStyle w:val="TableParagraph"/>
              <w:tabs>
                <w:tab w:pos="2589" w:val="left" w:leader="none"/>
              </w:tabs>
              <w:spacing w:before="42"/>
              <w:ind w:right="608"/>
              <w:jc w:val="right"/>
              <w:rPr>
                <w:sz w:val="16"/>
              </w:rPr>
            </w:pPr>
            <w:r>
              <w:rPr>
                <w:b/>
                <w:w w:val="105"/>
                <w:sz w:val="16"/>
              </w:rPr>
              <w:t>Vitaminas</w:t>
              <w:tab/>
            </w:r>
            <w:r>
              <w:rPr>
                <w:spacing w:val="3"/>
                <w:sz w:val="16"/>
              </w:rPr>
              <w:t>Si</w:t>
            </w:r>
          </w:p>
          <w:p>
            <w:pPr>
              <w:pStyle w:val="TableParagraph"/>
              <w:spacing w:before="44"/>
              <w:ind w:right="600"/>
              <w:jc w:val="right"/>
              <w:rPr>
                <w:sz w:val="16"/>
              </w:rPr>
            </w:pPr>
            <w:r>
              <w:rPr>
                <w:sz w:val="16"/>
              </w:rPr>
              <w:t>No</w:t>
            </w:r>
          </w:p>
        </w:tc>
        <w:tc>
          <w:tcPr>
            <w:tcW w:w="1445" w:type="dxa"/>
            <w:tcBorders>
              <w:left w:val="dotted" w:sz="5" w:space="0" w:color="30859C"/>
              <w:right w:val="dotted" w:sz="5" w:space="0" w:color="30859C"/>
            </w:tcBorders>
            <w:shd w:val="clear" w:color="auto" w:fill="77DFDD"/>
          </w:tcPr>
          <w:p>
            <w:pPr>
              <w:pStyle w:val="TableParagraph"/>
              <w:spacing w:before="42"/>
              <w:ind w:left="95" w:right="88"/>
              <w:rPr>
                <w:sz w:val="16"/>
              </w:rPr>
            </w:pPr>
            <w:r>
              <w:rPr>
                <w:w w:val="105"/>
                <w:sz w:val="16"/>
              </w:rPr>
              <w:t>3 (4.8)</w:t>
            </w:r>
          </w:p>
          <w:p>
            <w:pPr>
              <w:pStyle w:val="TableParagraph"/>
              <w:spacing w:before="44"/>
              <w:ind w:left="95" w:right="89"/>
              <w:rPr>
                <w:sz w:val="16"/>
              </w:rPr>
            </w:pPr>
            <w:r>
              <w:rPr>
                <w:sz w:val="16"/>
              </w:rPr>
              <w:t>60 (95.2)</w:t>
            </w:r>
          </w:p>
        </w:tc>
        <w:tc>
          <w:tcPr>
            <w:tcW w:w="1515" w:type="dxa"/>
            <w:tcBorders>
              <w:left w:val="dotted" w:sz="5" w:space="0" w:color="30859C"/>
            </w:tcBorders>
            <w:shd w:val="clear" w:color="auto" w:fill="77DFDD"/>
          </w:tcPr>
          <w:p>
            <w:pPr>
              <w:pStyle w:val="TableParagraph"/>
              <w:spacing w:before="42"/>
              <w:ind w:left="134" w:right="124"/>
              <w:rPr>
                <w:sz w:val="16"/>
              </w:rPr>
            </w:pPr>
            <w:r>
              <w:rPr>
                <w:w w:val="105"/>
                <w:sz w:val="16"/>
              </w:rPr>
              <w:t>5 (7.9)</w:t>
            </w:r>
          </w:p>
          <w:p>
            <w:pPr>
              <w:pStyle w:val="TableParagraph"/>
              <w:spacing w:before="44"/>
              <w:ind w:left="134" w:right="126"/>
              <w:rPr>
                <w:sz w:val="16"/>
              </w:rPr>
            </w:pPr>
            <w:r>
              <w:rPr>
                <w:sz w:val="16"/>
              </w:rPr>
              <w:t>58 (92.1)</w:t>
            </w:r>
          </w:p>
        </w:tc>
      </w:tr>
      <w:tr>
        <w:trPr>
          <w:trHeight w:val="507" w:hRule="exact"/>
        </w:trPr>
        <w:tc>
          <w:tcPr>
            <w:tcW w:w="4069" w:type="dxa"/>
            <w:gridSpan w:val="2"/>
            <w:tcBorders>
              <w:right w:val="dotted" w:sz="5" w:space="0" w:color="30859C"/>
            </w:tcBorders>
            <w:shd w:val="clear" w:color="auto" w:fill="B4EDEC"/>
          </w:tcPr>
          <w:p>
            <w:pPr>
              <w:pStyle w:val="TableParagraph"/>
              <w:tabs>
                <w:tab w:pos="3295" w:val="left" w:leader="none"/>
              </w:tabs>
              <w:spacing w:before="40"/>
              <w:ind w:left="45"/>
              <w:jc w:val="left"/>
              <w:rPr>
                <w:sz w:val="16"/>
              </w:rPr>
            </w:pPr>
            <w:r>
              <w:rPr>
                <w:b/>
                <w:spacing w:val="-3"/>
                <w:w w:val="105"/>
                <w:sz w:val="16"/>
              </w:rPr>
              <w:t>Antecedentes</w:t>
            </w:r>
            <w:r>
              <w:rPr>
                <w:b/>
                <w:spacing w:val="27"/>
                <w:w w:val="105"/>
                <w:sz w:val="16"/>
              </w:rPr>
              <w:t> </w:t>
            </w:r>
            <w:r>
              <w:rPr>
                <w:b/>
                <w:w w:val="105"/>
                <w:sz w:val="16"/>
              </w:rPr>
              <w:t>familiares</w:t>
            </w:r>
            <w:r>
              <w:rPr>
                <w:b/>
                <w:spacing w:val="-7"/>
                <w:w w:val="105"/>
                <w:sz w:val="16"/>
              </w:rPr>
              <w:t> </w:t>
            </w:r>
            <w:r>
              <w:rPr>
                <w:b/>
                <w:w w:val="105"/>
                <w:sz w:val="16"/>
              </w:rPr>
              <w:t>de</w:t>
              <w:tab/>
            </w:r>
            <w:r>
              <w:rPr>
                <w:spacing w:val="4"/>
                <w:w w:val="105"/>
                <w:sz w:val="16"/>
              </w:rPr>
              <w:t>Si</w:t>
            </w:r>
          </w:p>
          <w:p>
            <w:pPr>
              <w:pStyle w:val="TableParagraph"/>
              <w:tabs>
                <w:tab w:pos="3257" w:val="left" w:leader="none"/>
              </w:tabs>
              <w:spacing w:before="44"/>
              <w:ind w:left="45"/>
              <w:jc w:val="left"/>
              <w:rPr>
                <w:sz w:val="16"/>
              </w:rPr>
            </w:pPr>
            <w:r>
              <w:rPr>
                <w:b/>
                <w:w w:val="105"/>
                <w:sz w:val="16"/>
              </w:rPr>
              <w:t>cáncer</w:t>
              <w:tab/>
            </w:r>
            <w:r>
              <w:rPr>
                <w:spacing w:val="-5"/>
                <w:w w:val="105"/>
                <w:sz w:val="16"/>
              </w:rPr>
              <w:t>No</w:t>
            </w:r>
          </w:p>
        </w:tc>
        <w:tc>
          <w:tcPr>
            <w:tcW w:w="1445" w:type="dxa"/>
            <w:tcBorders>
              <w:left w:val="dotted" w:sz="5" w:space="0" w:color="30859C"/>
              <w:right w:val="dotted" w:sz="5" w:space="0" w:color="30859C"/>
            </w:tcBorders>
            <w:shd w:val="clear" w:color="auto" w:fill="B4EDEC"/>
          </w:tcPr>
          <w:p>
            <w:pPr>
              <w:pStyle w:val="TableParagraph"/>
              <w:spacing w:before="40"/>
              <w:ind w:left="400"/>
              <w:jc w:val="left"/>
              <w:rPr>
                <w:sz w:val="16"/>
              </w:rPr>
            </w:pPr>
            <w:r>
              <w:rPr>
                <w:w w:val="105"/>
                <w:sz w:val="16"/>
              </w:rPr>
              <w:t>11 (17.5)</w:t>
            </w:r>
          </w:p>
          <w:p>
            <w:pPr>
              <w:pStyle w:val="TableParagraph"/>
              <w:spacing w:before="44"/>
              <w:ind w:left="400"/>
              <w:jc w:val="left"/>
              <w:rPr>
                <w:sz w:val="16"/>
              </w:rPr>
            </w:pPr>
            <w:r>
              <w:rPr>
                <w:sz w:val="16"/>
              </w:rPr>
              <w:t>52 (82.5)</w:t>
            </w:r>
          </w:p>
        </w:tc>
        <w:tc>
          <w:tcPr>
            <w:tcW w:w="1515" w:type="dxa"/>
            <w:tcBorders>
              <w:left w:val="dotted" w:sz="5" w:space="0" w:color="30859C"/>
            </w:tcBorders>
            <w:shd w:val="clear" w:color="auto" w:fill="B4EDEC"/>
          </w:tcPr>
          <w:p>
            <w:pPr>
              <w:pStyle w:val="TableParagraph"/>
              <w:spacing w:before="40"/>
              <w:ind w:left="134" w:right="124"/>
              <w:rPr>
                <w:sz w:val="16"/>
              </w:rPr>
            </w:pPr>
            <w:r>
              <w:rPr>
                <w:w w:val="105"/>
                <w:sz w:val="16"/>
              </w:rPr>
              <w:t>6 (9.5)</w:t>
            </w:r>
          </w:p>
          <w:p>
            <w:pPr>
              <w:pStyle w:val="TableParagraph"/>
              <w:spacing w:before="44"/>
              <w:ind w:left="134" w:right="126"/>
              <w:rPr>
                <w:sz w:val="16"/>
              </w:rPr>
            </w:pPr>
            <w:r>
              <w:rPr>
                <w:sz w:val="16"/>
              </w:rPr>
              <w:t>57 (90.5)</w:t>
            </w:r>
          </w:p>
        </w:tc>
      </w:tr>
      <w:tr>
        <w:trPr>
          <w:trHeight w:val="469" w:hRule="exact"/>
        </w:trPr>
        <w:tc>
          <w:tcPr>
            <w:tcW w:w="4069" w:type="dxa"/>
            <w:gridSpan w:val="2"/>
            <w:tcBorders>
              <w:right w:val="dotted" w:sz="5" w:space="0" w:color="30859C"/>
            </w:tcBorders>
            <w:shd w:val="clear" w:color="auto" w:fill="77DFDD"/>
          </w:tcPr>
          <w:p>
            <w:pPr>
              <w:pStyle w:val="TableParagraph"/>
              <w:tabs>
                <w:tab w:pos="3250" w:val="left" w:leader="none"/>
              </w:tabs>
              <w:spacing w:before="43"/>
              <w:ind w:right="610"/>
              <w:jc w:val="right"/>
              <w:rPr>
                <w:sz w:val="16"/>
              </w:rPr>
            </w:pPr>
            <w:r>
              <w:rPr>
                <w:b/>
                <w:w w:val="105"/>
                <w:sz w:val="16"/>
              </w:rPr>
              <w:t>Problemas</w:t>
            </w:r>
            <w:r>
              <w:rPr>
                <w:b/>
                <w:spacing w:val="-17"/>
                <w:w w:val="105"/>
                <w:sz w:val="16"/>
              </w:rPr>
              <w:t> </w:t>
            </w:r>
            <w:r>
              <w:rPr>
                <w:b/>
                <w:w w:val="105"/>
                <w:sz w:val="16"/>
              </w:rPr>
              <w:t>de</w:t>
            </w:r>
            <w:r>
              <w:rPr>
                <w:b/>
                <w:spacing w:val="3"/>
                <w:w w:val="105"/>
                <w:sz w:val="16"/>
              </w:rPr>
              <w:t> </w:t>
            </w:r>
            <w:r>
              <w:rPr>
                <w:b/>
                <w:w w:val="105"/>
                <w:sz w:val="16"/>
              </w:rPr>
              <w:t>nacimiento</w:t>
              <w:tab/>
            </w:r>
            <w:r>
              <w:rPr>
                <w:spacing w:val="3"/>
                <w:sz w:val="16"/>
              </w:rPr>
              <w:t>Si</w:t>
            </w:r>
          </w:p>
          <w:p>
            <w:pPr>
              <w:pStyle w:val="TableParagraph"/>
              <w:spacing w:before="44"/>
              <w:ind w:right="600"/>
              <w:jc w:val="right"/>
              <w:rPr>
                <w:sz w:val="16"/>
              </w:rPr>
            </w:pPr>
            <w:r>
              <w:rPr>
                <w:sz w:val="16"/>
              </w:rPr>
              <w:t>No</w:t>
            </w:r>
          </w:p>
        </w:tc>
        <w:tc>
          <w:tcPr>
            <w:tcW w:w="1445" w:type="dxa"/>
            <w:tcBorders>
              <w:left w:val="dotted" w:sz="5" w:space="0" w:color="30859C"/>
              <w:right w:val="dotted" w:sz="5" w:space="0" w:color="30859C"/>
            </w:tcBorders>
            <w:shd w:val="clear" w:color="auto" w:fill="77DFDD"/>
          </w:tcPr>
          <w:p>
            <w:pPr>
              <w:pStyle w:val="TableParagraph"/>
              <w:spacing w:before="43"/>
              <w:ind w:left="400"/>
              <w:jc w:val="left"/>
              <w:rPr>
                <w:sz w:val="16"/>
              </w:rPr>
            </w:pPr>
            <w:r>
              <w:rPr>
                <w:w w:val="105"/>
                <w:sz w:val="16"/>
              </w:rPr>
              <w:t>15 (23.8)</w:t>
            </w:r>
          </w:p>
          <w:p>
            <w:pPr>
              <w:pStyle w:val="TableParagraph"/>
              <w:spacing w:before="44"/>
              <w:ind w:left="400"/>
              <w:jc w:val="left"/>
              <w:rPr>
                <w:sz w:val="16"/>
              </w:rPr>
            </w:pPr>
            <w:r>
              <w:rPr>
                <w:sz w:val="16"/>
              </w:rPr>
              <w:t>48 (76.2)</w:t>
            </w:r>
          </w:p>
        </w:tc>
        <w:tc>
          <w:tcPr>
            <w:tcW w:w="1515" w:type="dxa"/>
            <w:tcBorders>
              <w:left w:val="dotted" w:sz="5" w:space="0" w:color="30859C"/>
            </w:tcBorders>
            <w:shd w:val="clear" w:color="auto" w:fill="77DFDD"/>
          </w:tcPr>
          <w:p>
            <w:pPr>
              <w:pStyle w:val="TableParagraph"/>
              <w:spacing w:before="43"/>
              <w:ind w:left="134" w:right="134"/>
              <w:rPr>
                <w:sz w:val="16"/>
              </w:rPr>
            </w:pPr>
            <w:r>
              <w:rPr>
                <w:w w:val="105"/>
                <w:sz w:val="16"/>
              </w:rPr>
              <w:t>12 (19)</w:t>
            </w:r>
          </w:p>
          <w:p>
            <w:pPr>
              <w:pStyle w:val="TableParagraph"/>
              <w:spacing w:before="44"/>
              <w:ind w:left="134" w:right="134"/>
              <w:rPr>
                <w:sz w:val="16"/>
              </w:rPr>
            </w:pPr>
            <w:r>
              <w:rPr>
                <w:w w:val="105"/>
                <w:sz w:val="16"/>
              </w:rPr>
              <w:t>51 (81)</w:t>
            </w:r>
          </w:p>
        </w:tc>
      </w:tr>
      <w:tr>
        <w:trPr>
          <w:trHeight w:val="469" w:hRule="exact"/>
        </w:trPr>
        <w:tc>
          <w:tcPr>
            <w:tcW w:w="4069" w:type="dxa"/>
            <w:gridSpan w:val="2"/>
            <w:tcBorders>
              <w:right w:val="dotted" w:sz="5" w:space="0" w:color="30859C"/>
            </w:tcBorders>
            <w:shd w:val="clear" w:color="auto" w:fill="B4EDEC"/>
          </w:tcPr>
          <w:p>
            <w:pPr>
              <w:pStyle w:val="TableParagraph"/>
              <w:tabs>
                <w:tab w:pos="3250" w:val="left" w:leader="none"/>
              </w:tabs>
              <w:spacing w:before="40"/>
              <w:ind w:right="608"/>
              <w:jc w:val="right"/>
              <w:rPr>
                <w:sz w:val="16"/>
              </w:rPr>
            </w:pPr>
            <w:r>
              <w:rPr>
                <w:b/>
                <w:w w:val="105"/>
                <w:sz w:val="16"/>
              </w:rPr>
              <w:t>Fumador</w:t>
            </w:r>
            <w:r>
              <w:rPr>
                <w:b/>
                <w:spacing w:val="29"/>
                <w:w w:val="105"/>
                <w:sz w:val="16"/>
              </w:rPr>
              <w:t> </w:t>
            </w:r>
            <w:r>
              <w:rPr>
                <w:b/>
                <w:w w:val="105"/>
                <w:sz w:val="16"/>
              </w:rPr>
              <w:t>pasivo</w:t>
              <w:tab/>
            </w:r>
            <w:r>
              <w:rPr>
                <w:spacing w:val="3"/>
                <w:sz w:val="16"/>
              </w:rPr>
              <w:t>Si</w:t>
            </w:r>
          </w:p>
          <w:p>
            <w:pPr>
              <w:pStyle w:val="TableParagraph"/>
              <w:spacing w:before="44"/>
              <w:ind w:right="600"/>
              <w:jc w:val="right"/>
              <w:rPr>
                <w:sz w:val="16"/>
              </w:rPr>
            </w:pPr>
            <w:r>
              <w:rPr>
                <w:sz w:val="16"/>
              </w:rPr>
              <w:t>No</w:t>
            </w:r>
          </w:p>
        </w:tc>
        <w:tc>
          <w:tcPr>
            <w:tcW w:w="1445" w:type="dxa"/>
            <w:tcBorders>
              <w:left w:val="dotted" w:sz="5" w:space="0" w:color="30859C"/>
              <w:right w:val="dotted" w:sz="5" w:space="0" w:color="30859C"/>
            </w:tcBorders>
            <w:shd w:val="clear" w:color="auto" w:fill="B4EDEC"/>
          </w:tcPr>
          <w:p>
            <w:pPr>
              <w:pStyle w:val="TableParagraph"/>
              <w:spacing w:before="40"/>
              <w:ind w:left="400"/>
              <w:jc w:val="left"/>
              <w:rPr>
                <w:sz w:val="16"/>
              </w:rPr>
            </w:pPr>
            <w:r>
              <w:rPr>
                <w:sz w:val="16"/>
              </w:rPr>
              <w:t>26 (41.3)</w:t>
            </w:r>
          </w:p>
          <w:p>
            <w:pPr>
              <w:pStyle w:val="TableParagraph"/>
              <w:spacing w:before="44"/>
              <w:ind w:left="400"/>
              <w:jc w:val="left"/>
              <w:rPr>
                <w:sz w:val="16"/>
              </w:rPr>
            </w:pPr>
            <w:r>
              <w:rPr>
                <w:w w:val="105"/>
                <w:sz w:val="16"/>
              </w:rPr>
              <w:t>37 (58.7)</w:t>
            </w:r>
          </w:p>
        </w:tc>
        <w:tc>
          <w:tcPr>
            <w:tcW w:w="1515" w:type="dxa"/>
            <w:tcBorders>
              <w:left w:val="dotted" w:sz="5" w:space="0" w:color="30859C"/>
            </w:tcBorders>
            <w:shd w:val="clear" w:color="auto" w:fill="B4EDEC"/>
          </w:tcPr>
          <w:p>
            <w:pPr>
              <w:pStyle w:val="TableParagraph"/>
              <w:spacing w:before="40"/>
              <w:ind w:left="439"/>
              <w:jc w:val="left"/>
              <w:rPr>
                <w:sz w:val="16"/>
              </w:rPr>
            </w:pPr>
            <w:r>
              <w:rPr>
                <w:sz w:val="16"/>
              </w:rPr>
              <w:t>15 (23.8)</w:t>
            </w:r>
          </w:p>
          <w:p>
            <w:pPr>
              <w:pStyle w:val="TableParagraph"/>
              <w:spacing w:before="44"/>
              <w:ind w:left="439"/>
              <w:jc w:val="left"/>
              <w:rPr>
                <w:sz w:val="16"/>
              </w:rPr>
            </w:pPr>
            <w:r>
              <w:rPr>
                <w:w w:val="105"/>
                <w:sz w:val="16"/>
              </w:rPr>
              <w:t>48 (76.2)</w:t>
            </w:r>
          </w:p>
        </w:tc>
      </w:tr>
    </w:tbl>
    <w:p>
      <w:pPr>
        <w:spacing w:line="178" w:lineRule="exact" w:before="0"/>
        <w:ind w:left="2539" w:right="5969" w:firstLine="0"/>
        <w:jc w:val="left"/>
        <w:rPr>
          <w:sz w:val="15"/>
        </w:rPr>
      </w:pPr>
      <w:r>
        <w:rPr>
          <w:sz w:val="15"/>
        </w:rPr>
        <w:t>*Datos expresado en Media </w:t>
      </w:r>
      <w:r>
        <w:rPr>
          <w:rFonts w:ascii="Calibri" w:hAnsi="Calibri"/>
          <w:sz w:val="15"/>
        </w:rPr>
        <w:t>± </w:t>
      </w:r>
      <w:r>
        <w:rPr>
          <w:sz w:val="15"/>
        </w:rPr>
        <w:t>Desviación Estándar (IMC) Índice de Masa Corporal</w:t>
      </w:r>
    </w:p>
    <w:p>
      <w:pPr>
        <w:spacing w:after="0" w:line="178" w:lineRule="exact"/>
        <w:jc w:val="left"/>
        <w:rPr>
          <w:sz w:val="15"/>
        </w:rPr>
        <w:sectPr>
          <w:footerReference w:type="default" r:id="rId293"/>
          <w:pgSz w:w="12240" w:h="15840"/>
          <w:pgMar w:footer="599" w:header="0" w:top="1500" w:bottom="780" w:left="0" w:right="0"/>
          <w:pgNumType w:start="100"/>
        </w:sectPr>
      </w:pPr>
    </w:p>
    <w:p>
      <w:pPr>
        <w:pStyle w:val="BodyText"/>
        <w:rPr>
          <w:sz w:val="20"/>
        </w:rPr>
      </w:pPr>
    </w:p>
    <w:p>
      <w:pPr>
        <w:pStyle w:val="BodyText"/>
        <w:spacing w:before="6"/>
        <w:rPr>
          <w:sz w:val="20"/>
        </w:rPr>
      </w:pPr>
    </w:p>
    <w:p>
      <w:pPr>
        <w:pStyle w:val="Heading4"/>
        <w:spacing w:line="360" w:lineRule="auto" w:before="70"/>
        <w:ind w:left="2004" w:right="2595"/>
      </w:pPr>
      <w:r>
        <w:rPr/>
        <w:t>Tabla 6. Micronúcleos y anormalidades nucleares en células de mucosa bucal de niños expuestos y no expuestos a plaguicidas</w:t>
      </w:r>
    </w:p>
    <w:p>
      <w:pPr>
        <w:pStyle w:val="BodyText"/>
        <w:spacing w:before="8"/>
        <w:rPr>
          <w:b/>
          <w:sz w:val="8"/>
        </w:rPr>
      </w:pPr>
    </w:p>
    <w:tbl>
      <w:tblPr>
        <w:tblW w:w="0" w:type="auto"/>
        <w:jc w:val="left"/>
        <w:tblInd w:w="202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22"/>
        <w:gridCol w:w="1065"/>
        <w:gridCol w:w="914"/>
        <w:gridCol w:w="2199"/>
        <w:gridCol w:w="1472"/>
      </w:tblGrid>
      <w:tr>
        <w:trPr>
          <w:trHeight w:val="733" w:hRule="exact"/>
        </w:trPr>
        <w:tc>
          <w:tcPr>
            <w:tcW w:w="2522" w:type="dxa"/>
            <w:shd w:val="clear" w:color="auto" w:fill="33CCCC"/>
          </w:tcPr>
          <w:p>
            <w:pPr>
              <w:pStyle w:val="TableParagraph"/>
              <w:spacing w:before="141"/>
              <w:ind w:left="59" w:right="168"/>
              <w:rPr>
                <w:b/>
                <w:sz w:val="19"/>
              </w:rPr>
            </w:pPr>
            <w:r>
              <w:rPr>
                <w:b/>
                <w:w w:val="105"/>
                <w:sz w:val="19"/>
              </w:rPr>
              <w:t>Variables</w:t>
            </w:r>
          </w:p>
        </w:tc>
        <w:tc>
          <w:tcPr>
            <w:tcW w:w="1978" w:type="dxa"/>
            <w:gridSpan w:val="2"/>
            <w:shd w:val="clear" w:color="auto" w:fill="33CCCC"/>
          </w:tcPr>
          <w:p>
            <w:pPr>
              <w:pStyle w:val="TableParagraph"/>
              <w:spacing w:before="104"/>
              <w:ind w:left="167" w:right="174"/>
              <w:rPr>
                <w:b/>
                <w:sz w:val="19"/>
              </w:rPr>
            </w:pPr>
            <w:r>
              <w:rPr>
                <w:b/>
                <w:w w:val="105"/>
                <w:sz w:val="19"/>
              </w:rPr>
              <w:t>Niños expuestos</w:t>
            </w:r>
          </w:p>
          <w:p>
            <w:pPr>
              <w:pStyle w:val="TableParagraph"/>
              <w:spacing w:before="141"/>
              <w:ind w:left="167" w:right="160"/>
              <w:rPr>
                <w:b/>
                <w:sz w:val="19"/>
              </w:rPr>
            </w:pPr>
            <w:r>
              <w:rPr>
                <w:b/>
                <w:w w:val="105"/>
                <w:sz w:val="19"/>
              </w:rPr>
              <w:t>n = 63</w:t>
            </w:r>
          </w:p>
        </w:tc>
        <w:tc>
          <w:tcPr>
            <w:tcW w:w="2199" w:type="dxa"/>
            <w:shd w:val="clear" w:color="auto" w:fill="33CCCC"/>
          </w:tcPr>
          <w:p>
            <w:pPr>
              <w:pStyle w:val="TableParagraph"/>
              <w:spacing w:before="104"/>
              <w:ind w:left="179" w:right="84"/>
              <w:rPr>
                <w:b/>
                <w:sz w:val="19"/>
              </w:rPr>
            </w:pPr>
            <w:r>
              <w:rPr>
                <w:b/>
                <w:w w:val="105"/>
                <w:sz w:val="19"/>
              </w:rPr>
              <w:t>Niños no expuestos</w:t>
            </w:r>
          </w:p>
          <w:p>
            <w:pPr>
              <w:pStyle w:val="TableParagraph"/>
              <w:spacing w:before="141"/>
              <w:ind w:left="167" w:right="84"/>
              <w:rPr>
                <w:b/>
                <w:sz w:val="19"/>
              </w:rPr>
            </w:pPr>
            <w:r>
              <w:rPr>
                <w:b/>
                <w:w w:val="105"/>
                <w:sz w:val="19"/>
              </w:rPr>
              <w:t>n = 63</w:t>
            </w:r>
          </w:p>
        </w:tc>
        <w:tc>
          <w:tcPr>
            <w:tcW w:w="1472" w:type="dxa"/>
            <w:shd w:val="clear" w:color="auto" w:fill="33CCCC"/>
          </w:tcPr>
          <w:p>
            <w:pPr>
              <w:pStyle w:val="TableParagraph"/>
              <w:spacing w:before="104"/>
              <w:ind w:left="96" w:right="104"/>
              <w:rPr>
                <w:b/>
                <w:sz w:val="19"/>
              </w:rPr>
            </w:pPr>
            <w:r>
              <w:rPr>
                <w:b/>
                <w:w w:val="105"/>
                <w:sz w:val="19"/>
              </w:rPr>
              <w:t>Significancia</w:t>
            </w:r>
          </w:p>
        </w:tc>
      </w:tr>
      <w:tr>
        <w:trPr>
          <w:trHeight w:val="434" w:hRule="exact"/>
        </w:trPr>
        <w:tc>
          <w:tcPr>
            <w:tcW w:w="2522" w:type="dxa"/>
            <w:shd w:val="clear" w:color="auto" w:fill="B4EDEC"/>
          </w:tcPr>
          <w:p>
            <w:pPr>
              <w:pStyle w:val="TableParagraph"/>
              <w:spacing w:before="171"/>
              <w:ind w:left="58" w:right="168"/>
              <w:rPr>
                <w:b/>
                <w:sz w:val="19"/>
              </w:rPr>
            </w:pPr>
            <w:r>
              <w:rPr>
                <w:b/>
                <w:w w:val="105"/>
                <w:sz w:val="19"/>
              </w:rPr>
              <w:t>Micronúcleos</w:t>
            </w:r>
          </w:p>
        </w:tc>
        <w:tc>
          <w:tcPr>
            <w:tcW w:w="1978" w:type="dxa"/>
            <w:gridSpan w:val="2"/>
            <w:shd w:val="clear" w:color="auto" w:fill="B4EDEC"/>
          </w:tcPr>
          <w:p>
            <w:pPr>
              <w:pStyle w:val="TableParagraph"/>
              <w:spacing w:before="168"/>
              <w:ind w:left="607"/>
              <w:jc w:val="left"/>
              <w:rPr>
                <w:sz w:val="19"/>
              </w:rPr>
            </w:pPr>
            <w:r>
              <w:rPr>
                <w:w w:val="105"/>
                <w:sz w:val="19"/>
              </w:rPr>
              <w:t>0.3 </w:t>
            </w:r>
            <w:r>
              <w:rPr>
                <w:rFonts w:ascii="Calibri" w:hAnsi="Calibri"/>
                <w:w w:val="105"/>
                <w:sz w:val="19"/>
              </w:rPr>
              <w:t>± </w:t>
            </w:r>
            <w:r>
              <w:rPr>
                <w:w w:val="105"/>
                <w:sz w:val="19"/>
              </w:rPr>
              <w:t>0.5</w:t>
            </w:r>
          </w:p>
        </w:tc>
        <w:tc>
          <w:tcPr>
            <w:tcW w:w="2199" w:type="dxa"/>
            <w:shd w:val="clear" w:color="auto" w:fill="B4EDEC"/>
          </w:tcPr>
          <w:p>
            <w:pPr>
              <w:pStyle w:val="TableParagraph"/>
              <w:spacing w:before="168"/>
              <w:ind w:left="771"/>
              <w:jc w:val="left"/>
              <w:rPr>
                <w:sz w:val="19"/>
              </w:rPr>
            </w:pPr>
            <w:r>
              <w:rPr>
                <w:w w:val="105"/>
                <w:sz w:val="19"/>
              </w:rPr>
              <w:t>0.4 </w:t>
            </w:r>
            <w:r>
              <w:rPr>
                <w:rFonts w:ascii="Calibri" w:hAnsi="Calibri"/>
                <w:w w:val="105"/>
                <w:sz w:val="19"/>
              </w:rPr>
              <w:t>± </w:t>
            </w:r>
            <w:r>
              <w:rPr>
                <w:w w:val="105"/>
                <w:sz w:val="19"/>
              </w:rPr>
              <w:t>0.7</w:t>
            </w:r>
          </w:p>
        </w:tc>
        <w:tc>
          <w:tcPr>
            <w:tcW w:w="1472" w:type="dxa"/>
            <w:shd w:val="clear" w:color="auto" w:fill="B4EDEC"/>
          </w:tcPr>
          <w:p>
            <w:pPr>
              <w:pStyle w:val="TableParagraph"/>
              <w:spacing w:before="171"/>
              <w:ind w:left="83" w:right="104"/>
              <w:rPr>
                <w:sz w:val="19"/>
              </w:rPr>
            </w:pPr>
            <w:r>
              <w:rPr>
                <w:w w:val="105"/>
                <w:sz w:val="19"/>
              </w:rPr>
              <w:t>0.4</w:t>
            </w:r>
          </w:p>
        </w:tc>
      </w:tr>
      <w:tr>
        <w:trPr>
          <w:trHeight w:val="449" w:hRule="exact"/>
        </w:trPr>
        <w:tc>
          <w:tcPr>
            <w:tcW w:w="2522" w:type="dxa"/>
            <w:shd w:val="clear" w:color="auto" w:fill="77DFDD"/>
          </w:tcPr>
          <w:p>
            <w:pPr>
              <w:pStyle w:val="TableParagraph"/>
              <w:spacing w:before="3"/>
              <w:jc w:val="left"/>
              <w:rPr>
                <w:b/>
                <w:sz w:val="16"/>
              </w:rPr>
            </w:pPr>
          </w:p>
          <w:p>
            <w:pPr>
              <w:pStyle w:val="TableParagraph"/>
              <w:spacing w:before="0"/>
              <w:ind w:left="57" w:right="168"/>
              <w:rPr>
                <w:b/>
                <w:sz w:val="19"/>
              </w:rPr>
            </w:pPr>
            <w:r>
              <w:rPr>
                <w:b/>
                <w:w w:val="105"/>
                <w:sz w:val="19"/>
              </w:rPr>
              <w:t>Células Binucleadas</w:t>
            </w:r>
          </w:p>
        </w:tc>
        <w:tc>
          <w:tcPr>
            <w:tcW w:w="1978" w:type="dxa"/>
            <w:gridSpan w:val="2"/>
            <w:shd w:val="clear" w:color="auto" w:fill="77DFDD"/>
          </w:tcPr>
          <w:p>
            <w:pPr>
              <w:pStyle w:val="TableParagraph"/>
              <w:spacing w:before="0"/>
              <w:jc w:val="left"/>
              <w:rPr>
                <w:b/>
                <w:sz w:val="16"/>
              </w:rPr>
            </w:pPr>
          </w:p>
          <w:p>
            <w:pPr>
              <w:pStyle w:val="TableParagraph"/>
              <w:spacing w:before="0"/>
              <w:ind w:left="607"/>
              <w:jc w:val="left"/>
              <w:rPr>
                <w:sz w:val="19"/>
              </w:rPr>
            </w:pPr>
            <w:r>
              <w:rPr>
                <w:w w:val="105"/>
                <w:sz w:val="19"/>
              </w:rPr>
              <w:t>3.1 </w:t>
            </w:r>
            <w:r>
              <w:rPr>
                <w:rFonts w:ascii="Calibri" w:hAnsi="Calibri"/>
                <w:w w:val="105"/>
                <w:sz w:val="19"/>
              </w:rPr>
              <w:t>± </w:t>
            </w:r>
            <w:r>
              <w:rPr>
                <w:w w:val="105"/>
                <w:sz w:val="19"/>
              </w:rPr>
              <w:t>2.6</w:t>
            </w:r>
          </w:p>
        </w:tc>
        <w:tc>
          <w:tcPr>
            <w:tcW w:w="2199" w:type="dxa"/>
            <w:shd w:val="clear" w:color="auto" w:fill="77DFDD"/>
          </w:tcPr>
          <w:p>
            <w:pPr>
              <w:pStyle w:val="TableParagraph"/>
              <w:spacing w:before="0"/>
              <w:jc w:val="left"/>
              <w:rPr>
                <w:b/>
                <w:sz w:val="16"/>
              </w:rPr>
            </w:pPr>
          </w:p>
          <w:p>
            <w:pPr>
              <w:pStyle w:val="TableParagraph"/>
              <w:spacing w:before="0"/>
              <w:ind w:left="771"/>
              <w:jc w:val="left"/>
              <w:rPr>
                <w:sz w:val="19"/>
              </w:rPr>
            </w:pPr>
            <w:r>
              <w:rPr>
                <w:w w:val="105"/>
                <w:sz w:val="19"/>
              </w:rPr>
              <w:t>1.7 </w:t>
            </w:r>
            <w:r>
              <w:rPr>
                <w:rFonts w:ascii="Calibri" w:hAnsi="Calibri"/>
                <w:w w:val="105"/>
                <w:sz w:val="19"/>
              </w:rPr>
              <w:t>± </w:t>
            </w:r>
            <w:r>
              <w:rPr>
                <w:w w:val="105"/>
                <w:sz w:val="19"/>
              </w:rPr>
              <w:t>1.8</w:t>
            </w:r>
          </w:p>
        </w:tc>
        <w:tc>
          <w:tcPr>
            <w:tcW w:w="1472" w:type="dxa"/>
            <w:shd w:val="clear" w:color="auto" w:fill="77DFDD"/>
          </w:tcPr>
          <w:p>
            <w:pPr>
              <w:pStyle w:val="TableParagraph"/>
              <w:spacing w:before="3"/>
              <w:jc w:val="left"/>
              <w:rPr>
                <w:b/>
                <w:sz w:val="16"/>
              </w:rPr>
            </w:pPr>
          </w:p>
          <w:p>
            <w:pPr>
              <w:pStyle w:val="TableParagraph"/>
              <w:spacing w:before="0"/>
              <w:ind w:left="95" w:right="104"/>
              <w:rPr>
                <w:b/>
                <w:sz w:val="19"/>
              </w:rPr>
            </w:pPr>
            <w:r>
              <w:rPr>
                <w:b/>
                <w:w w:val="105"/>
                <w:sz w:val="19"/>
              </w:rPr>
              <w:t>0.002*</w:t>
            </w:r>
          </w:p>
        </w:tc>
      </w:tr>
      <w:tr>
        <w:trPr>
          <w:trHeight w:val="449" w:hRule="exact"/>
        </w:trPr>
        <w:tc>
          <w:tcPr>
            <w:tcW w:w="2522" w:type="dxa"/>
            <w:shd w:val="clear" w:color="auto" w:fill="B4EDEC"/>
          </w:tcPr>
          <w:p>
            <w:pPr>
              <w:pStyle w:val="TableParagraph"/>
              <w:spacing w:before="4"/>
              <w:jc w:val="left"/>
              <w:rPr>
                <w:b/>
                <w:sz w:val="16"/>
              </w:rPr>
            </w:pPr>
          </w:p>
          <w:p>
            <w:pPr>
              <w:pStyle w:val="TableParagraph"/>
              <w:spacing w:before="0"/>
              <w:ind w:left="58" w:right="168"/>
              <w:rPr>
                <w:b/>
                <w:sz w:val="19"/>
              </w:rPr>
            </w:pPr>
            <w:r>
              <w:rPr>
                <w:b/>
                <w:w w:val="105"/>
                <w:sz w:val="19"/>
              </w:rPr>
              <w:t>Núcleos Lobulados</w:t>
            </w:r>
          </w:p>
        </w:tc>
        <w:tc>
          <w:tcPr>
            <w:tcW w:w="1065" w:type="dxa"/>
            <w:shd w:val="clear" w:color="auto" w:fill="B4EDEC"/>
          </w:tcPr>
          <w:p>
            <w:pPr>
              <w:pStyle w:val="TableParagraph"/>
              <w:spacing w:before="1"/>
              <w:jc w:val="left"/>
              <w:rPr>
                <w:b/>
                <w:sz w:val="16"/>
              </w:rPr>
            </w:pPr>
          </w:p>
          <w:p>
            <w:pPr>
              <w:pStyle w:val="TableParagraph"/>
              <w:spacing w:before="0"/>
              <w:ind w:right="32"/>
              <w:jc w:val="right"/>
              <w:rPr>
                <w:rFonts w:ascii="Calibri" w:hAnsi="Calibri"/>
                <w:sz w:val="19"/>
              </w:rPr>
            </w:pPr>
            <w:r>
              <w:rPr>
                <w:w w:val="105"/>
                <w:sz w:val="19"/>
              </w:rPr>
              <w:t>17.7 </w:t>
            </w:r>
            <w:r>
              <w:rPr>
                <w:rFonts w:ascii="Calibri" w:hAnsi="Calibri"/>
                <w:w w:val="105"/>
                <w:sz w:val="19"/>
              </w:rPr>
              <w:t>±</w:t>
            </w:r>
          </w:p>
        </w:tc>
        <w:tc>
          <w:tcPr>
            <w:tcW w:w="914" w:type="dxa"/>
            <w:shd w:val="clear" w:color="auto" w:fill="B4EDEC"/>
          </w:tcPr>
          <w:p>
            <w:pPr>
              <w:pStyle w:val="TableParagraph"/>
              <w:spacing w:before="4"/>
              <w:jc w:val="left"/>
              <w:rPr>
                <w:b/>
                <w:sz w:val="16"/>
              </w:rPr>
            </w:pPr>
          </w:p>
          <w:p>
            <w:pPr>
              <w:pStyle w:val="TableParagraph"/>
              <w:spacing w:before="0"/>
              <w:ind w:left="34"/>
              <w:jc w:val="left"/>
              <w:rPr>
                <w:sz w:val="19"/>
              </w:rPr>
            </w:pPr>
            <w:r>
              <w:rPr>
                <w:w w:val="105"/>
                <w:sz w:val="19"/>
              </w:rPr>
              <w:t>14.5</w:t>
            </w:r>
          </w:p>
        </w:tc>
        <w:tc>
          <w:tcPr>
            <w:tcW w:w="2199" w:type="dxa"/>
            <w:shd w:val="clear" w:color="auto" w:fill="B4EDEC"/>
          </w:tcPr>
          <w:p>
            <w:pPr>
              <w:pStyle w:val="TableParagraph"/>
              <w:spacing w:before="1"/>
              <w:jc w:val="left"/>
              <w:rPr>
                <w:b/>
                <w:sz w:val="16"/>
              </w:rPr>
            </w:pPr>
          </w:p>
          <w:p>
            <w:pPr>
              <w:pStyle w:val="TableParagraph"/>
              <w:spacing w:before="0"/>
              <w:ind w:left="710"/>
              <w:jc w:val="left"/>
              <w:rPr>
                <w:sz w:val="19"/>
              </w:rPr>
            </w:pPr>
            <w:r>
              <w:rPr>
                <w:w w:val="105"/>
                <w:sz w:val="19"/>
              </w:rPr>
              <w:t>16.6 </w:t>
            </w:r>
            <w:r>
              <w:rPr>
                <w:rFonts w:ascii="Calibri" w:hAnsi="Calibri"/>
                <w:w w:val="105"/>
                <w:sz w:val="19"/>
              </w:rPr>
              <w:t>± </w:t>
            </w:r>
            <w:r>
              <w:rPr>
                <w:w w:val="105"/>
                <w:sz w:val="19"/>
              </w:rPr>
              <w:t>9.3</w:t>
            </w:r>
          </w:p>
        </w:tc>
        <w:tc>
          <w:tcPr>
            <w:tcW w:w="1472" w:type="dxa"/>
            <w:shd w:val="clear" w:color="auto" w:fill="B4EDEC"/>
          </w:tcPr>
          <w:p>
            <w:pPr>
              <w:pStyle w:val="TableParagraph"/>
              <w:spacing w:before="4"/>
              <w:jc w:val="left"/>
              <w:rPr>
                <w:b/>
                <w:sz w:val="16"/>
              </w:rPr>
            </w:pPr>
          </w:p>
          <w:p>
            <w:pPr>
              <w:pStyle w:val="TableParagraph"/>
              <w:spacing w:before="0"/>
              <w:ind w:left="83" w:right="104"/>
              <w:rPr>
                <w:sz w:val="19"/>
              </w:rPr>
            </w:pPr>
            <w:r>
              <w:rPr>
                <w:w w:val="105"/>
                <w:sz w:val="19"/>
              </w:rPr>
              <w:t>0.5</w:t>
            </w:r>
          </w:p>
        </w:tc>
      </w:tr>
      <w:tr>
        <w:trPr>
          <w:trHeight w:val="449" w:hRule="exact"/>
        </w:trPr>
        <w:tc>
          <w:tcPr>
            <w:tcW w:w="2522" w:type="dxa"/>
            <w:shd w:val="clear" w:color="auto" w:fill="77DFDD"/>
          </w:tcPr>
          <w:p>
            <w:pPr>
              <w:pStyle w:val="TableParagraph"/>
              <w:spacing w:before="5"/>
              <w:jc w:val="left"/>
              <w:rPr>
                <w:b/>
                <w:sz w:val="16"/>
              </w:rPr>
            </w:pPr>
          </w:p>
          <w:p>
            <w:pPr>
              <w:pStyle w:val="TableParagraph"/>
              <w:spacing w:before="0"/>
              <w:ind w:left="58" w:right="168"/>
              <w:rPr>
                <w:b/>
                <w:sz w:val="19"/>
              </w:rPr>
            </w:pPr>
            <w:r>
              <w:rPr>
                <w:b/>
                <w:w w:val="105"/>
                <w:sz w:val="19"/>
              </w:rPr>
              <w:t>Picnosis</w:t>
            </w:r>
          </w:p>
        </w:tc>
        <w:tc>
          <w:tcPr>
            <w:tcW w:w="1978" w:type="dxa"/>
            <w:gridSpan w:val="2"/>
            <w:shd w:val="clear" w:color="auto" w:fill="77DFDD"/>
          </w:tcPr>
          <w:p>
            <w:pPr>
              <w:pStyle w:val="TableParagraph"/>
              <w:spacing w:before="2"/>
              <w:jc w:val="left"/>
              <w:rPr>
                <w:b/>
                <w:sz w:val="16"/>
              </w:rPr>
            </w:pPr>
          </w:p>
          <w:p>
            <w:pPr>
              <w:pStyle w:val="TableParagraph"/>
              <w:spacing w:before="0"/>
              <w:ind w:left="607"/>
              <w:jc w:val="left"/>
              <w:rPr>
                <w:sz w:val="19"/>
              </w:rPr>
            </w:pPr>
            <w:r>
              <w:rPr>
                <w:w w:val="105"/>
                <w:sz w:val="19"/>
              </w:rPr>
              <w:t>9.3 </w:t>
            </w:r>
            <w:r>
              <w:rPr>
                <w:rFonts w:ascii="Calibri" w:hAnsi="Calibri"/>
                <w:w w:val="105"/>
                <w:sz w:val="19"/>
              </w:rPr>
              <w:t>± </w:t>
            </w:r>
            <w:r>
              <w:rPr>
                <w:w w:val="105"/>
                <w:sz w:val="19"/>
              </w:rPr>
              <w:t>6.7</w:t>
            </w:r>
          </w:p>
        </w:tc>
        <w:tc>
          <w:tcPr>
            <w:tcW w:w="2199" w:type="dxa"/>
            <w:shd w:val="clear" w:color="auto" w:fill="77DFDD"/>
          </w:tcPr>
          <w:p>
            <w:pPr>
              <w:pStyle w:val="TableParagraph"/>
              <w:spacing w:before="2"/>
              <w:jc w:val="left"/>
              <w:rPr>
                <w:b/>
                <w:sz w:val="16"/>
              </w:rPr>
            </w:pPr>
          </w:p>
          <w:p>
            <w:pPr>
              <w:pStyle w:val="TableParagraph"/>
              <w:spacing w:before="0"/>
              <w:ind w:left="771"/>
              <w:jc w:val="left"/>
              <w:rPr>
                <w:sz w:val="19"/>
              </w:rPr>
            </w:pPr>
            <w:r>
              <w:rPr>
                <w:w w:val="105"/>
                <w:sz w:val="19"/>
              </w:rPr>
              <w:t>9.2 </w:t>
            </w:r>
            <w:r>
              <w:rPr>
                <w:rFonts w:ascii="Calibri" w:hAnsi="Calibri"/>
                <w:w w:val="105"/>
                <w:sz w:val="19"/>
              </w:rPr>
              <w:t>± </w:t>
            </w:r>
            <w:r>
              <w:rPr>
                <w:w w:val="105"/>
                <w:sz w:val="19"/>
              </w:rPr>
              <w:t>6.2</w:t>
            </w:r>
          </w:p>
        </w:tc>
        <w:tc>
          <w:tcPr>
            <w:tcW w:w="1472" w:type="dxa"/>
            <w:shd w:val="clear" w:color="auto" w:fill="77DFDD"/>
          </w:tcPr>
          <w:p>
            <w:pPr>
              <w:pStyle w:val="TableParagraph"/>
              <w:spacing w:before="5"/>
              <w:jc w:val="left"/>
              <w:rPr>
                <w:b/>
                <w:sz w:val="16"/>
              </w:rPr>
            </w:pPr>
          </w:p>
          <w:p>
            <w:pPr>
              <w:pStyle w:val="TableParagraph"/>
              <w:spacing w:before="0"/>
              <w:ind w:left="83" w:right="104"/>
              <w:rPr>
                <w:sz w:val="19"/>
              </w:rPr>
            </w:pPr>
            <w:r>
              <w:rPr>
                <w:w w:val="105"/>
                <w:sz w:val="19"/>
              </w:rPr>
              <w:t>0.9</w:t>
            </w:r>
          </w:p>
        </w:tc>
      </w:tr>
      <w:tr>
        <w:trPr>
          <w:trHeight w:val="449" w:hRule="exact"/>
        </w:trPr>
        <w:tc>
          <w:tcPr>
            <w:tcW w:w="2522" w:type="dxa"/>
            <w:shd w:val="clear" w:color="auto" w:fill="B4EDEC"/>
          </w:tcPr>
          <w:p>
            <w:pPr>
              <w:pStyle w:val="TableParagraph"/>
              <w:spacing w:before="6"/>
              <w:jc w:val="left"/>
              <w:rPr>
                <w:b/>
                <w:sz w:val="16"/>
              </w:rPr>
            </w:pPr>
          </w:p>
          <w:p>
            <w:pPr>
              <w:pStyle w:val="TableParagraph"/>
              <w:spacing w:before="0"/>
              <w:ind w:left="73" w:right="168"/>
              <w:rPr>
                <w:b/>
                <w:sz w:val="19"/>
              </w:rPr>
            </w:pPr>
            <w:r>
              <w:rPr>
                <w:b/>
                <w:w w:val="105"/>
                <w:sz w:val="19"/>
              </w:rPr>
              <w:t>Cromatina Condensada</w:t>
            </w:r>
          </w:p>
        </w:tc>
        <w:tc>
          <w:tcPr>
            <w:tcW w:w="1978" w:type="dxa"/>
            <w:gridSpan w:val="2"/>
            <w:shd w:val="clear" w:color="auto" w:fill="B4EDEC"/>
          </w:tcPr>
          <w:p>
            <w:pPr>
              <w:pStyle w:val="TableParagraph"/>
              <w:spacing w:before="3"/>
              <w:jc w:val="left"/>
              <w:rPr>
                <w:b/>
                <w:sz w:val="16"/>
              </w:rPr>
            </w:pPr>
          </w:p>
          <w:p>
            <w:pPr>
              <w:pStyle w:val="TableParagraph"/>
              <w:spacing w:before="0"/>
              <w:ind w:left="607"/>
              <w:jc w:val="left"/>
              <w:rPr>
                <w:sz w:val="19"/>
              </w:rPr>
            </w:pPr>
            <w:r>
              <w:rPr>
                <w:w w:val="105"/>
                <w:sz w:val="19"/>
              </w:rPr>
              <w:t>7.8 </w:t>
            </w:r>
            <w:r>
              <w:rPr>
                <w:rFonts w:ascii="Calibri" w:hAnsi="Calibri"/>
                <w:w w:val="105"/>
                <w:sz w:val="19"/>
              </w:rPr>
              <w:t>± </w:t>
            </w:r>
            <w:r>
              <w:rPr>
                <w:w w:val="105"/>
                <w:sz w:val="19"/>
              </w:rPr>
              <w:t>9.9</w:t>
            </w:r>
          </w:p>
        </w:tc>
        <w:tc>
          <w:tcPr>
            <w:tcW w:w="2199" w:type="dxa"/>
            <w:shd w:val="clear" w:color="auto" w:fill="B4EDEC"/>
          </w:tcPr>
          <w:p>
            <w:pPr>
              <w:pStyle w:val="TableParagraph"/>
              <w:spacing w:before="3"/>
              <w:jc w:val="left"/>
              <w:rPr>
                <w:b/>
                <w:sz w:val="16"/>
              </w:rPr>
            </w:pPr>
          </w:p>
          <w:p>
            <w:pPr>
              <w:pStyle w:val="TableParagraph"/>
              <w:spacing w:before="0"/>
              <w:ind w:left="771"/>
              <w:jc w:val="left"/>
              <w:rPr>
                <w:sz w:val="19"/>
              </w:rPr>
            </w:pPr>
            <w:r>
              <w:rPr>
                <w:w w:val="105"/>
                <w:sz w:val="19"/>
              </w:rPr>
              <w:t>5.2 </w:t>
            </w:r>
            <w:r>
              <w:rPr>
                <w:rFonts w:ascii="Calibri" w:hAnsi="Calibri"/>
                <w:w w:val="105"/>
                <w:sz w:val="19"/>
              </w:rPr>
              <w:t>± </w:t>
            </w:r>
            <w:r>
              <w:rPr>
                <w:w w:val="105"/>
                <w:sz w:val="19"/>
              </w:rPr>
              <w:t>6.2</w:t>
            </w:r>
          </w:p>
        </w:tc>
        <w:tc>
          <w:tcPr>
            <w:tcW w:w="1472" w:type="dxa"/>
            <w:shd w:val="clear" w:color="auto" w:fill="B4EDEC"/>
          </w:tcPr>
          <w:p>
            <w:pPr>
              <w:pStyle w:val="TableParagraph"/>
              <w:spacing w:before="6"/>
              <w:jc w:val="left"/>
              <w:rPr>
                <w:b/>
                <w:sz w:val="16"/>
              </w:rPr>
            </w:pPr>
          </w:p>
          <w:p>
            <w:pPr>
              <w:pStyle w:val="TableParagraph"/>
              <w:spacing w:before="0"/>
              <w:ind w:left="82" w:right="104"/>
              <w:rPr>
                <w:sz w:val="19"/>
              </w:rPr>
            </w:pPr>
            <w:r>
              <w:rPr>
                <w:w w:val="105"/>
                <w:sz w:val="19"/>
              </w:rPr>
              <w:t>0.1</w:t>
            </w:r>
          </w:p>
        </w:tc>
      </w:tr>
      <w:tr>
        <w:trPr>
          <w:trHeight w:val="449" w:hRule="exact"/>
        </w:trPr>
        <w:tc>
          <w:tcPr>
            <w:tcW w:w="2522" w:type="dxa"/>
            <w:shd w:val="clear" w:color="auto" w:fill="77DFDD"/>
          </w:tcPr>
          <w:p>
            <w:pPr>
              <w:pStyle w:val="TableParagraph"/>
              <w:spacing w:before="7"/>
              <w:jc w:val="left"/>
              <w:rPr>
                <w:b/>
                <w:sz w:val="16"/>
              </w:rPr>
            </w:pPr>
          </w:p>
          <w:p>
            <w:pPr>
              <w:pStyle w:val="TableParagraph"/>
              <w:spacing w:before="0"/>
              <w:ind w:left="58" w:right="168"/>
              <w:rPr>
                <w:b/>
                <w:sz w:val="19"/>
              </w:rPr>
            </w:pPr>
            <w:r>
              <w:rPr>
                <w:b/>
                <w:w w:val="105"/>
                <w:sz w:val="19"/>
              </w:rPr>
              <w:t>Cariorrexis</w:t>
            </w:r>
          </w:p>
        </w:tc>
        <w:tc>
          <w:tcPr>
            <w:tcW w:w="1978" w:type="dxa"/>
            <w:gridSpan w:val="2"/>
            <w:shd w:val="clear" w:color="auto" w:fill="77DFDD"/>
          </w:tcPr>
          <w:p>
            <w:pPr>
              <w:pStyle w:val="TableParagraph"/>
              <w:spacing w:before="4"/>
              <w:jc w:val="left"/>
              <w:rPr>
                <w:b/>
                <w:sz w:val="16"/>
              </w:rPr>
            </w:pPr>
          </w:p>
          <w:p>
            <w:pPr>
              <w:pStyle w:val="TableParagraph"/>
              <w:spacing w:before="0"/>
              <w:ind w:left="607"/>
              <w:jc w:val="left"/>
              <w:rPr>
                <w:sz w:val="19"/>
              </w:rPr>
            </w:pPr>
            <w:r>
              <w:rPr>
                <w:w w:val="105"/>
                <w:sz w:val="19"/>
              </w:rPr>
              <w:t>1.1 </w:t>
            </w:r>
            <w:r>
              <w:rPr>
                <w:rFonts w:ascii="Calibri" w:hAnsi="Calibri"/>
                <w:w w:val="105"/>
                <w:sz w:val="19"/>
              </w:rPr>
              <w:t>± </w:t>
            </w:r>
            <w:r>
              <w:rPr>
                <w:w w:val="105"/>
                <w:sz w:val="19"/>
              </w:rPr>
              <w:t>1.8</w:t>
            </w:r>
          </w:p>
        </w:tc>
        <w:tc>
          <w:tcPr>
            <w:tcW w:w="2199" w:type="dxa"/>
            <w:shd w:val="clear" w:color="auto" w:fill="77DFDD"/>
          </w:tcPr>
          <w:p>
            <w:pPr>
              <w:pStyle w:val="TableParagraph"/>
              <w:spacing w:before="4"/>
              <w:jc w:val="left"/>
              <w:rPr>
                <w:b/>
                <w:sz w:val="16"/>
              </w:rPr>
            </w:pPr>
          </w:p>
          <w:p>
            <w:pPr>
              <w:pStyle w:val="TableParagraph"/>
              <w:spacing w:before="0"/>
              <w:ind w:left="771"/>
              <w:jc w:val="left"/>
              <w:rPr>
                <w:sz w:val="19"/>
              </w:rPr>
            </w:pPr>
            <w:r>
              <w:rPr>
                <w:w w:val="105"/>
                <w:sz w:val="19"/>
              </w:rPr>
              <w:t>2.2 </w:t>
            </w:r>
            <w:r>
              <w:rPr>
                <w:rFonts w:ascii="Calibri" w:hAnsi="Calibri"/>
                <w:w w:val="105"/>
                <w:sz w:val="19"/>
              </w:rPr>
              <w:t>± </w:t>
            </w:r>
            <w:r>
              <w:rPr>
                <w:w w:val="105"/>
                <w:sz w:val="19"/>
              </w:rPr>
              <w:t>2.6</w:t>
            </w:r>
          </w:p>
        </w:tc>
        <w:tc>
          <w:tcPr>
            <w:tcW w:w="1472" w:type="dxa"/>
            <w:shd w:val="clear" w:color="auto" w:fill="77DFDD"/>
          </w:tcPr>
          <w:p>
            <w:pPr>
              <w:pStyle w:val="TableParagraph"/>
              <w:spacing w:before="7"/>
              <w:jc w:val="left"/>
              <w:rPr>
                <w:b/>
                <w:sz w:val="16"/>
              </w:rPr>
            </w:pPr>
          </w:p>
          <w:p>
            <w:pPr>
              <w:pStyle w:val="TableParagraph"/>
              <w:spacing w:before="0"/>
              <w:ind w:left="95" w:right="104"/>
              <w:rPr>
                <w:b/>
                <w:sz w:val="19"/>
              </w:rPr>
            </w:pPr>
            <w:r>
              <w:rPr>
                <w:b/>
                <w:w w:val="105"/>
                <w:sz w:val="19"/>
              </w:rPr>
              <w:t>0.006*</w:t>
            </w:r>
          </w:p>
        </w:tc>
      </w:tr>
      <w:tr>
        <w:trPr>
          <w:trHeight w:val="449" w:hRule="exact"/>
        </w:trPr>
        <w:tc>
          <w:tcPr>
            <w:tcW w:w="2522" w:type="dxa"/>
            <w:shd w:val="clear" w:color="auto" w:fill="B4EDEC"/>
          </w:tcPr>
          <w:p>
            <w:pPr>
              <w:pStyle w:val="TableParagraph"/>
              <w:spacing w:before="8"/>
              <w:jc w:val="left"/>
              <w:rPr>
                <w:b/>
                <w:sz w:val="16"/>
              </w:rPr>
            </w:pPr>
          </w:p>
          <w:p>
            <w:pPr>
              <w:pStyle w:val="TableParagraph"/>
              <w:spacing w:before="0"/>
              <w:ind w:left="72" w:right="168"/>
              <w:rPr>
                <w:b/>
                <w:sz w:val="19"/>
              </w:rPr>
            </w:pPr>
            <w:r>
              <w:rPr>
                <w:b/>
                <w:w w:val="105"/>
                <w:sz w:val="19"/>
              </w:rPr>
              <w:t>Cariolisis</w:t>
            </w:r>
          </w:p>
        </w:tc>
        <w:tc>
          <w:tcPr>
            <w:tcW w:w="1065" w:type="dxa"/>
            <w:shd w:val="clear" w:color="auto" w:fill="B4EDEC"/>
          </w:tcPr>
          <w:p>
            <w:pPr>
              <w:pStyle w:val="TableParagraph"/>
              <w:spacing w:before="5"/>
              <w:jc w:val="left"/>
              <w:rPr>
                <w:b/>
                <w:sz w:val="16"/>
              </w:rPr>
            </w:pPr>
          </w:p>
          <w:p>
            <w:pPr>
              <w:pStyle w:val="TableParagraph"/>
              <w:spacing w:before="0"/>
              <w:ind w:right="32"/>
              <w:jc w:val="right"/>
              <w:rPr>
                <w:rFonts w:ascii="Calibri" w:hAnsi="Calibri"/>
                <w:sz w:val="19"/>
              </w:rPr>
            </w:pPr>
            <w:r>
              <w:rPr>
                <w:w w:val="105"/>
                <w:sz w:val="19"/>
              </w:rPr>
              <w:t>11.2 </w:t>
            </w:r>
            <w:r>
              <w:rPr>
                <w:rFonts w:ascii="Calibri" w:hAnsi="Calibri"/>
                <w:w w:val="105"/>
                <w:sz w:val="19"/>
              </w:rPr>
              <w:t>±</w:t>
            </w:r>
          </w:p>
        </w:tc>
        <w:tc>
          <w:tcPr>
            <w:tcW w:w="914" w:type="dxa"/>
            <w:shd w:val="clear" w:color="auto" w:fill="B4EDEC"/>
          </w:tcPr>
          <w:p>
            <w:pPr>
              <w:pStyle w:val="TableParagraph"/>
              <w:spacing w:before="8"/>
              <w:jc w:val="left"/>
              <w:rPr>
                <w:b/>
                <w:sz w:val="16"/>
              </w:rPr>
            </w:pPr>
          </w:p>
          <w:p>
            <w:pPr>
              <w:pStyle w:val="TableParagraph"/>
              <w:spacing w:before="0"/>
              <w:ind w:left="34"/>
              <w:jc w:val="left"/>
              <w:rPr>
                <w:sz w:val="19"/>
              </w:rPr>
            </w:pPr>
            <w:r>
              <w:rPr>
                <w:w w:val="105"/>
                <w:sz w:val="19"/>
              </w:rPr>
              <w:t>10.4</w:t>
            </w:r>
          </w:p>
        </w:tc>
        <w:tc>
          <w:tcPr>
            <w:tcW w:w="2199" w:type="dxa"/>
            <w:shd w:val="clear" w:color="auto" w:fill="B4EDEC"/>
          </w:tcPr>
          <w:p>
            <w:pPr>
              <w:pStyle w:val="TableParagraph"/>
              <w:spacing w:before="5"/>
              <w:jc w:val="left"/>
              <w:rPr>
                <w:b/>
                <w:sz w:val="16"/>
              </w:rPr>
            </w:pPr>
          </w:p>
          <w:p>
            <w:pPr>
              <w:pStyle w:val="TableParagraph"/>
              <w:spacing w:before="0"/>
              <w:ind w:left="648"/>
              <w:jc w:val="left"/>
              <w:rPr>
                <w:sz w:val="19"/>
              </w:rPr>
            </w:pPr>
            <w:r>
              <w:rPr>
                <w:w w:val="105"/>
                <w:sz w:val="19"/>
              </w:rPr>
              <w:t>12.5 </w:t>
            </w:r>
            <w:r>
              <w:rPr>
                <w:rFonts w:ascii="Calibri" w:hAnsi="Calibri"/>
                <w:w w:val="105"/>
                <w:sz w:val="19"/>
              </w:rPr>
              <w:t>± </w:t>
            </w:r>
            <w:r>
              <w:rPr>
                <w:w w:val="105"/>
                <w:sz w:val="19"/>
              </w:rPr>
              <w:t>11.9</w:t>
            </w:r>
          </w:p>
        </w:tc>
        <w:tc>
          <w:tcPr>
            <w:tcW w:w="1472" w:type="dxa"/>
            <w:shd w:val="clear" w:color="auto" w:fill="B4EDEC"/>
          </w:tcPr>
          <w:p>
            <w:pPr>
              <w:pStyle w:val="TableParagraph"/>
              <w:spacing w:before="8"/>
              <w:jc w:val="left"/>
              <w:rPr>
                <w:b/>
                <w:sz w:val="16"/>
              </w:rPr>
            </w:pPr>
          </w:p>
          <w:p>
            <w:pPr>
              <w:pStyle w:val="TableParagraph"/>
              <w:spacing w:before="0"/>
              <w:ind w:left="83" w:right="104"/>
              <w:rPr>
                <w:sz w:val="19"/>
              </w:rPr>
            </w:pPr>
            <w:r>
              <w:rPr>
                <w:w w:val="105"/>
                <w:sz w:val="19"/>
              </w:rPr>
              <w:t>0.5</w:t>
            </w:r>
          </w:p>
        </w:tc>
      </w:tr>
      <w:tr>
        <w:trPr>
          <w:trHeight w:val="449" w:hRule="exact"/>
        </w:trPr>
        <w:tc>
          <w:tcPr>
            <w:tcW w:w="2522" w:type="dxa"/>
            <w:shd w:val="clear" w:color="auto" w:fill="77DFDD"/>
          </w:tcPr>
          <w:p>
            <w:pPr>
              <w:pStyle w:val="TableParagraph"/>
              <w:spacing w:before="9"/>
              <w:jc w:val="left"/>
              <w:rPr>
                <w:b/>
                <w:sz w:val="16"/>
              </w:rPr>
            </w:pPr>
          </w:p>
          <w:p>
            <w:pPr>
              <w:pStyle w:val="TableParagraph"/>
              <w:spacing w:before="0"/>
              <w:ind w:left="60" w:right="168"/>
              <w:rPr>
                <w:b/>
                <w:sz w:val="19"/>
              </w:rPr>
            </w:pPr>
            <w:r>
              <w:rPr>
                <w:b/>
                <w:w w:val="105"/>
                <w:sz w:val="19"/>
              </w:rPr>
              <w:t>TAN</w:t>
            </w:r>
          </w:p>
        </w:tc>
        <w:tc>
          <w:tcPr>
            <w:tcW w:w="1065" w:type="dxa"/>
            <w:shd w:val="clear" w:color="auto" w:fill="77DFDD"/>
          </w:tcPr>
          <w:p>
            <w:pPr>
              <w:pStyle w:val="TableParagraph"/>
              <w:spacing w:before="6"/>
              <w:jc w:val="left"/>
              <w:rPr>
                <w:b/>
                <w:sz w:val="16"/>
              </w:rPr>
            </w:pPr>
          </w:p>
          <w:p>
            <w:pPr>
              <w:pStyle w:val="TableParagraph"/>
              <w:spacing w:before="0"/>
              <w:ind w:right="32"/>
              <w:jc w:val="right"/>
              <w:rPr>
                <w:rFonts w:ascii="Calibri" w:hAnsi="Calibri"/>
                <w:sz w:val="19"/>
              </w:rPr>
            </w:pPr>
            <w:r>
              <w:rPr>
                <w:w w:val="105"/>
                <w:sz w:val="19"/>
              </w:rPr>
              <w:t>50.4 </w:t>
            </w:r>
            <w:r>
              <w:rPr>
                <w:rFonts w:ascii="Calibri" w:hAnsi="Calibri"/>
                <w:w w:val="105"/>
                <w:sz w:val="19"/>
              </w:rPr>
              <w:t>±</w:t>
            </w:r>
          </w:p>
        </w:tc>
        <w:tc>
          <w:tcPr>
            <w:tcW w:w="914" w:type="dxa"/>
            <w:shd w:val="clear" w:color="auto" w:fill="77DFDD"/>
          </w:tcPr>
          <w:p>
            <w:pPr>
              <w:pStyle w:val="TableParagraph"/>
              <w:spacing w:before="9"/>
              <w:jc w:val="left"/>
              <w:rPr>
                <w:b/>
                <w:sz w:val="16"/>
              </w:rPr>
            </w:pPr>
          </w:p>
          <w:p>
            <w:pPr>
              <w:pStyle w:val="TableParagraph"/>
              <w:spacing w:before="0"/>
              <w:ind w:left="34"/>
              <w:jc w:val="left"/>
              <w:rPr>
                <w:sz w:val="19"/>
              </w:rPr>
            </w:pPr>
            <w:r>
              <w:rPr>
                <w:w w:val="105"/>
                <w:sz w:val="19"/>
              </w:rPr>
              <w:t>28.0</w:t>
            </w:r>
          </w:p>
        </w:tc>
        <w:tc>
          <w:tcPr>
            <w:tcW w:w="2199" w:type="dxa"/>
            <w:shd w:val="clear" w:color="auto" w:fill="77DFDD"/>
          </w:tcPr>
          <w:p>
            <w:pPr>
              <w:pStyle w:val="TableParagraph"/>
              <w:spacing w:before="6"/>
              <w:jc w:val="left"/>
              <w:rPr>
                <w:b/>
                <w:sz w:val="16"/>
              </w:rPr>
            </w:pPr>
          </w:p>
          <w:p>
            <w:pPr>
              <w:pStyle w:val="TableParagraph"/>
              <w:spacing w:before="0"/>
              <w:ind w:left="648"/>
              <w:jc w:val="left"/>
              <w:rPr>
                <w:sz w:val="19"/>
              </w:rPr>
            </w:pPr>
            <w:r>
              <w:rPr>
                <w:w w:val="105"/>
                <w:sz w:val="19"/>
              </w:rPr>
              <w:t>47.6 </w:t>
            </w:r>
            <w:r>
              <w:rPr>
                <w:rFonts w:ascii="Calibri" w:hAnsi="Calibri"/>
                <w:w w:val="105"/>
                <w:sz w:val="19"/>
              </w:rPr>
              <w:t>± </w:t>
            </w:r>
            <w:r>
              <w:rPr>
                <w:w w:val="105"/>
                <w:sz w:val="19"/>
              </w:rPr>
              <w:t>21.0</w:t>
            </w:r>
          </w:p>
        </w:tc>
        <w:tc>
          <w:tcPr>
            <w:tcW w:w="1472" w:type="dxa"/>
            <w:shd w:val="clear" w:color="auto" w:fill="77DFDD"/>
          </w:tcPr>
          <w:p>
            <w:pPr>
              <w:pStyle w:val="TableParagraph"/>
              <w:spacing w:before="9"/>
              <w:jc w:val="left"/>
              <w:rPr>
                <w:b/>
                <w:sz w:val="16"/>
              </w:rPr>
            </w:pPr>
          </w:p>
          <w:p>
            <w:pPr>
              <w:pStyle w:val="TableParagraph"/>
              <w:spacing w:before="0"/>
              <w:ind w:left="83" w:right="104"/>
              <w:rPr>
                <w:sz w:val="19"/>
              </w:rPr>
            </w:pPr>
            <w:r>
              <w:rPr>
                <w:w w:val="105"/>
                <w:sz w:val="19"/>
              </w:rPr>
              <w:t>0.8</w:t>
            </w:r>
          </w:p>
        </w:tc>
      </w:tr>
    </w:tbl>
    <w:p>
      <w:pPr>
        <w:spacing w:before="44"/>
        <w:ind w:left="2062" w:right="1703" w:firstLine="0"/>
        <w:jc w:val="left"/>
        <w:rPr>
          <w:sz w:val="16"/>
        </w:rPr>
      </w:pPr>
      <w:r>
        <w:rPr>
          <w:w w:val="105"/>
          <w:sz w:val="16"/>
        </w:rPr>
        <w:t>Total de Anormalidades Nucleares (TAN)</w:t>
      </w:r>
    </w:p>
    <w:p>
      <w:pPr>
        <w:spacing w:before="9"/>
        <w:ind w:left="2062" w:right="1703" w:firstLine="0"/>
        <w:jc w:val="left"/>
        <w:rPr>
          <w:sz w:val="16"/>
        </w:rPr>
      </w:pPr>
      <w:r>
        <w:rPr>
          <w:w w:val="105"/>
          <w:sz w:val="16"/>
        </w:rPr>
        <w:t>Los datos están expresados en Media </w:t>
      </w:r>
      <w:r>
        <w:rPr>
          <w:rFonts w:ascii="Calibri" w:hAnsi="Calibri"/>
          <w:w w:val="105"/>
          <w:sz w:val="16"/>
        </w:rPr>
        <w:t>± </w:t>
      </w:r>
      <w:r>
        <w:rPr>
          <w:w w:val="105"/>
          <w:sz w:val="16"/>
        </w:rPr>
        <w:t>Desviación Estándar</w:t>
      </w:r>
    </w:p>
    <w:p>
      <w:pPr>
        <w:spacing w:before="2"/>
        <w:ind w:left="2062" w:right="1703" w:firstLine="0"/>
        <w:jc w:val="left"/>
        <w:rPr>
          <w:sz w:val="16"/>
        </w:rPr>
      </w:pPr>
      <w:r>
        <w:rPr>
          <w:w w:val="105"/>
          <w:sz w:val="16"/>
        </w:rPr>
        <w:t>*U de Mann-Whitney</w:t>
      </w:r>
    </w:p>
    <w:p>
      <w:pPr>
        <w:pStyle w:val="BodyText"/>
        <w:rPr>
          <w:sz w:val="20"/>
        </w:rPr>
      </w:pPr>
    </w:p>
    <w:p>
      <w:pPr>
        <w:pStyle w:val="BodyText"/>
        <w:rPr>
          <w:sz w:val="20"/>
        </w:rPr>
      </w:pPr>
    </w:p>
    <w:p>
      <w:pPr>
        <w:pStyle w:val="BodyText"/>
        <w:spacing w:before="2"/>
        <w:rPr>
          <w:sz w:val="28"/>
        </w:rPr>
      </w:pPr>
    </w:p>
    <w:p>
      <w:pPr>
        <w:pStyle w:val="Heading4"/>
        <w:spacing w:before="70"/>
        <w:ind w:left="1553" w:right="1703"/>
      </w:pPr>
      <w:r>
        <w:rPr/>
        <w:t>Tabla 7. Variables de exposición</w:t>
      </w:r>
    </w:p>
    <w:p>
      <w:pPr>
        <w:pStyle w:val="BodyText"/>
        <w:spacing w:before="4" w:after="1"/>
        <w:rPr>
          <w:b/>
          <w:sz w:val="15"/>
        </w:rPr>
      </w:pPr>
    </w:p>
    <w:tbl>
      <w:tblPr>
        <w:tblW w:w="0" w:type="auto"/>
        <w:jc w:val="left"/>
        <w:tblInd w:w="154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900"/>
        <w:gridCol w:w="1087"/>
        <w:gridCol w:w="582"/>
        <w:gridCol w:w="972"/>
        <w:gridCol w:w="574"/>
        <w:gridCol w:w="486"/>
        <w:gridCol w:w="747"/>
        <w:gridCol w:w="598"/>
        <w:gridCol w:w="484"/>
        <w:gridCol w:w="637"/>
        <w:gridCol w:w="562"/>
        <w:gridCol w:w="591"/>
        <w:gridCol w:w="582"/>
        <w:gridCol w:w="422"/>
      </w:tblGrid>
      <w:tr>
        <w:trPr>
          <w:trHeight w:val="702" w:hRule="exact"/>
        </w:trPr>
        <w:tc>
          <w:tcPr>
            <w:tcW w:w="3540" w:type="dxa"/>
            <w:gridSpan w:val="4"/>
            <w:tcBorders>
              <w:right w:val="dotted" w:sz="4" w:space="0" w:color="30859C"/>
            </w:tcBorders>
            <w:shd w:val="clear" w:color="auto" w:fill="33CCCC"/>
          </w:tcPr>
          <w:p>
            <w:pPr>
              <w:pStyle w:val="TableParagraph"/>
              <w:spacing w:before="101"/>
              <w:ind w:left="905"/>
              <w:rPr>
                <w:b/>
                <w:sz w:val="14"/>
              </w:rPr>
            </w:pPr>
            <w:r>
              <w:rPr>
                <w:b/>
                <w:sz w:val="14"/>
              </w:rPr>
              <w:t>Padre floricultor</w:t>
            </w:r>
          </w:p>
          <w:p>
            <w:pPr>
              <w:pStyle w:val="TableParagraph"/>
              <w:spacing w:before="6"/>
              <w:jc w:val="left"/>
              <w:rPr>
                <w:b/>
                <w:sz w:val="16"/>
              </w:rPr>
            </w:pPr>
          </w:p>
          <w:p>
            <w:pPr>
              <w:pStyle w:val="TableParagraph"/>
              <w:tabs>
                <w:tab w:pos="1851" w:val="left" w:leader="none"/>
                <w:tab w:pos="2577" w:val="left" w:leader="none"/>
              </w:tabs>
              <w:spacing w:before="1"/>
              <w:ind w:left="987"/>
              <w:rPr>
                <w:b/>
                <w:sz w:val="14"/>
              </w:rPr>
            </w:pPr>
            <w:r>
              <w:rPr>
                <w:b/>
                <w:sz w:val="14"/>
              </w:rPr>
              <w:t>Si</w:t>
              <w:tab/>
              <w:t>p</w:t>
              <w:tab/>
            </w:r>
            <w:r>
              <w:rPr>
                <w:b/>
                <w:spacing w:val="-5"/>
                <w:sz w:val="14"/>
              </w:rPr>
              <w:t>No</w:t>
            </w:r>
          </w:p>
        </w:tc>
        <w:tc>
          <w:tcPr>
            <w:tcW w:w="2887" w:type="dxa"/>
            <w:gridSpan w:val="5"/>
            <w:tcBorders>
              <w:left w:val="dotted" w:sz="4" w:space="0" w:color="30859C"/>
              <w:right w:val="dotted" w:sz="4" w:space="0" w:color="30859C"/>
            </w:tcBorders>
            <w:shd w:val="clear" w:color="auto" w:fill="33CCCC"/>
          </w:tcPr>
          <w:p>
            <w:pPr>
              <w:pStyle w:val="TableParagraph"/>
              <w:spacing w:before="101"/>
              <w:ind w:left="6"/>
              <w:rPr>
                <w:b/>
                <w:sz w:val="14"/>
              </w:rPr>
            </w:pPr>
            <w:r>
              <w:rPr>
                <w:b/>
                <w:sz w:val="14"/>
              </w:rPr>
              <w:t>Madre floricultora</w:t>
            </w:r>
          </w:p>
          <w:p>
            <w:pPr>
              <w:pStyle w:val="TableParagraph"/>
              <w:spacing w:before="6"/>
              <w:jc w:val="left"/>
              <w:rPr>
                <w:b/>
                <w:sz w:val="16"/>
              </w:rPr>
            </w:pPr>
          </w:p>
          <w:p>
            <w:pPr>
              <w:pStyle w:val="TableParagraph"/>
              <w:tabs>
                <w:tab w:pos="954" w:val="left" w:leader="none"/>
                <w:tab w:pos="1821" w:val="left" w:leader="none"/>
              </w:tabs>
              <w:spacing w:before="1"/>
              <w:ind w:left="13"/>
              <w:rPr>
                <w:b/>
                <w:sz w:val="14"/>
              </w:rPr>
            </w:pPr>
            <w:r>
              <w:rPr>
                <w:b/>
                <w:sz w:val="14"/>
              </w:rPr>
              <w:t>Si</w:t>
              <w:tab/>
              <w:t>p</w:t>
              <w:tab/>
            </w:r>
            <w:r>
              <w:rPr>
                <w:b/>
                <w:spacing w:val="-5"/>
                <w:sz w:val="14"/>
              </w:rPr>
              <w:t>No</w:t>
            </w:r>
          </w:p>
        </w:tc>
        <w:tc>
          <w:tcPr>
            <w:tcW w:w="2794" w:type="dxa"/>
            <w:gridSpan w:val="5"/>
            <w:tcBorders>
              <w:left w:val="dotted" w:sz="4" w:space="0" w:color="30859C"/>
            </w:tcBorders>
            <w:shd w:val="clear" w:color="auto" w:fill="33CCCC"/>
          </w:tcPr>
          <w:p>
            <w:pPr>
              <w:pStyle w:val="TableParagraph"/>
              <w:spacing w:before="101"/>
              <w:rPr>
                <w:b/>
                <w:sz w:val="14"/>
              </w:rPr>
            </w:pPr>
            <w:r>
              <w:rPr>
                <w:b/>
                <w:sz w:val="14"/>
              </w:rPr>
              <w:t>Distancia Invernadero</w:t>
            </w:r>
          </w:p>
          <w:p>
            <w:pPr>
              <w:pStyle w:val="TableParagraph"/>
              <w:tabs>
                <w:tab w:pos="1840" w:val="left" w:leader="none"/>
              </w:tabs>
              <w:spacing w:before="15"/>
              <w:ind w:left="19"/>
              <w:rPr>
                <w:b/>
                <w:sz w:val="14"/>
              </w:rPr>
            </w:pPr>
            <w:r>
              <w:rPr>
                <w:b/>
                <w:sz w:val="14"/>
              </w:rPr>
              <w:t>A</w:t>
            </w:r>
            <w:r>
              <w:rPr>
                <w:b/>
                <w:spacing w:val="-8"/>
                <w:sz w:val="14"/>
              </w:rPr>
              <w:t> </w:t>
            </w:r>
            <w:r>
              <w:rPr>
                <w:b/>
                <w:sz w:val="14"/>
              </w:rPr>
              <w:t>menos</w:t>
              <w:tab/>
              <w:t>A</w:t>
            </w:r>
            <w:r>
              <w:rPr>
                <w:b/>
                <w:spacing w:val="-2"/>
                <w:sz w:val="14"/>
              </w:rPr>
              <w:t> </w:t>
            </w:r>
            <w:r>
              <w:rPr>
                <w:b/>
                <w:sz w:val="14"/>
              </w:rPr>
              <w:t>más</w:t>
            </w:r>
          </w:p>
          <w:p>
            <w:pPr>
              <w:pStyle w:val="TableParagraph"/>
              <w:tabs>
                <w:tab w:pos="1245" w:val="left" w:leader="none"/>
                <w:tab w:pos="1843" w:val="left" w:leader="none"/>
              </w:tabs>
              <w:spacing w:before="15"/>
              <w:ind w:right="8"/>
              <w:rPr>
                <w:b/>
                <w:sz w:val="14"/>
              </w:rPr>
            </w:pPr>
            <w:r>
              <w:rPr>
                <w:b/>
                <w:sz w:val="14"/>
              </w:rPr>
              <w:t>de</w:t>
            </w:r>
            <w:r>
              <w:rPr>
                <w:b/>
                <w:spacing w:val="-8"/>
                <w:sz w:val="14"/>
              </w:rPr>
              <w:t> </w:t>
            </w:r>
            <w:r>
              <w:rPr>
                <w:b/>
                <w:sz w:val="14"/>
              </w:rPr>
              <w:t>100</w:t>
            </w:r>
            <w:r>
              <w:rPr>
                <w:b/>
                <w:spacing w:val="14"/>
                <w:sz w:val="14"/>
              </w:rPr>
              <w:t> </w:t>
            </w:r>
            <w:r>
              <w:rPr>
                <w:b/>
                <w:sz w:val="14"/>
              </w:rPr>
              <w:t>mts</w:t>
              <w:tab/>
              <w:t>p</w:t>
              <w:tab/>
              <w:t>de 2</w:t>
            </w:r>
            <w:r>
              <w:rPr>
                <w:b/>
                <w:spacing w:val="-1"/>
                <w:sz w:val="14"/>
              </w:rPr>
              <w:t> </w:t>
            </w:r>
            <w:r>
              <w:rPr>
                <w:b/>
                <w:sz w:val="14"/>
              </w:rPr>
              <w:t>km</w:t>
            </w:r>
          </w:p>
        </w:tc>
      </w:tr>
      <w:tr>
        <w:trPr>
          <w:trHeight w:val="768" w:hRule="exact"/>
        </w:trPr>
        <w:tc>
          <w:tcPr>
            <w:tcW w:w="900" w:type="dxa"/>
            <w:shd w:val="clear" w:color="auto" w:fill="B4EDEC"/>
          </w:tcPr>
          <w:p>
            <w:pPr>
              <w:pStyle w:val="TableParagraph"/>
              <w:spacing w:line="261" w:lineRule="auto" w:before="46"/>
              <w:ind w:left="293" w:right="284" w:hanging="4"/>
              <w:rPr>
                <w:sz w:val="14"/>
              </w:rPr>
            </w:pPr>
            <w:r>
              <w:rPr>
                <w:sz w:val="14"/>
              </w:rPr>
              <w:t>Total de la</w:t>
            </w:r>
          </w:p>
          <w:p>
            <w:pPr>
              <w:pStyle w:val="TableParagraph"/>
              <w:spacing w:line="261" w:lineRule="auto" w:before="1"/>
              <w:ind w:left="134" w:right="126"/>
              <w:rPr>
                <w:sz w:val="14"/>
              </w:rPr>
            </w:pPr>
            <w:r>
              <w:rPr>
                <w:sz w:val="14"/>
              </w:rPr>
              <w:t>población n = 63</w:t>
            </w:r>
          </w:p>
        </w:tc>
        <w:tc>
          <w:tcPr>
            <w:tcW w:w="1087" w:type="dxa"/>
            <w:shd w:val="clear" w:color="auto" w:fill="B4EDEC"/>
          </w:tcPr>
          <w:p>
            <w:pPr>
              <w:pStyle w:val="TableParagraph"/>
              <w:spacing w:before="0"/>
              <w:jc w:val="left"/>
              <w:rPr>
                <w:b/>
                <w:sz w:val="14"/>
              </w:rPr>
            </w:pPr>
          </w:p>
          <w:p>
            <w:pPr>
              <w:pStyle w:val="TableParagraph"/>
              <w:spacing w:before="0"/>
              <w:jc w:val="left"/>
              <w:rPr>
                <w:b/>
                <w:sz w:val="13"/>
              </w:rPr>
            </w:pPr>
          </w:p>
          <w:p>
            <w:pPr>
              <w:pStyle w:val="TableParagraph"/>
              <w:spacing w:before="0"/>
              <w:ind w:left="106" w:right="99"/>
              <w:rPr>
                <w:sz w:val="14"/>
              </w:rPr>
            </w:pPr>
            <w:r>
              <w:rPr>
                <w:sz w:val="14"/>
              </w:rPr>
              <w:t>58/63(87.9%)</w:t>
            </w:r>
          </w:p>
        </w:tc>
        <w:tc>
          <w:tcPr>
            <w:tcW w:w="582" w:type="dxa"/>
            <w:shd w:val="clear" w:color="auto" w:fill="B4EDEC"/>
          </w:tcPr>
          <w:p>
            <w:pPr/>
          </w:p>
        </w:tc>
        <w:tc>
          <w:tcPr>
            <w:tcW w:w="972" w:type="dxa"/>
            <w:tcBorders>
              <w:right w:val="dotted" w:sz="4" w:space="0" w:color="30859C"/>
            </w:tcBorders>
            <w:shd w:val="clear" w:color="auto" w:fill="B4EDEC"/>
          </w:tcPr>
          <w:p>
            <w:pPr>
              <w:pStyle w:val="TableParagraph"/>
              <w:spacing w:before="0"/>
              <w:jc w:val="left"/>
              <w:rPr>
                <w:b/>
                <w:sz w:val="14"/>
              </w:rPr>
            </w:pPr>
          </w:p>
          <w:p>
            <w:pPr>
              <w:pStyle w:val="TableParagraph"/>
              <w:spacing w:before="0"/>
              <w:jc w:val="left"/>
              <w:rPr>
                <w:b/>
                <w:sz w:val="13"/>
              </w:rPr>
            </w:pPr>
          </w:p>
          <w:p>
            <w:pPr>
              <w:pStyle w:val="TableParagraph"/>
              <w:spacing w:before="0"/>
              <w:ind w:left="88"/>
              <w:jc w:val="left"/>
              <w:rPr>
                <w:sz w:val="14"/>
              </w:rPr>
            </w:pPr>
            <w:r>
              <w:rPr>
                <w:sz w:val="14"/>
              </w:rPr>
              <w:t>5/63 (12.1%)</w:t>
            </w:r>
          </w:p>
        </w:tc>
        <w:tc>
          <w:tcPr>
            <w:tcW w:w="1059" w:type="dxa"/>
            <w:gridSpan w:val="2"/>
            <w:tcBorders>
              <w:left w:val="dotted" w:sz="4" w:space="0" w:color="30859C"/>
            </w:tcBorders>
            <w:shd w:val="clear" w:color="auto" w:fill="B4EDEC"/>
          </w:tcPr>
          <w:p>
            <w:pPr>
              <w:pStyle w:val="TableParagraph"/>
              <w:spacing w:before="0"/>
              <w:jc w:val="left"/>
              <w:rPr>
                <w:b/>
                <w:sz w:val="14"/>
              </w:rPr>
            </w:pPr>
          </w:p>
          <w:p>
            <w:pPr>
              <w:pStyle w:val="TableParagraph"/>
              <w:spacing w:before="8"/>
              <w:jc w:val="left"/>
              <w:rPr>
                <w:b/>
                <w:sz w:val="15"/>
              </w:rPr>
            </w:pPr>
          </w:p>
          <w:p>
            <w:pPr>
              <w:pStyle w:val="TableParagraph"/>
              <w:spacing w:before="0"/>
              <w:ind w:left="120"/>
              <w:jc w:val="left"/>
              <w:rPr>
                <w:sz w:val="14"/>
              </w:rPr>
            </w:pPr>
            <w:r>
              <w:rPr>
                <w:sz w:val="14"/>
              </w:rPr>
              <w:t>7/63 (11.1%)</w:t>
            </w:r>
          </w:p>
        </w:tc>
        <w:tc>
          <w:tcPr>
            <w:tcW w:w="747" w:type="dxa"/>
            <w:shd w:val="clear" w:color="auto" w:fill="B4EDEC"/>
          </w:tcPr>
          <w:p>
            <w:pPr/>
          </w:p>
        </w:tc>
        <w:tc>
          <w:tcPr>
            <w:tcW w:w="1081" w:type="dxa"/>
            <w:gridSpan w:val="2"/>
            <w:tcBorders>
              <w:right w:val="dotted" w:sz="4" w:space="0" w:color="30859C"/>
            </w:tcBorders>
            <w:shd w:val="clear" w:color="auto" w:fill="B4EDEC"/>
          </w:tcPr>
          <w:p>
            <w:pPr>
              <w:pStyle w:val="TableParagraph"/>
              <w:spacing w:before="0"/>
              <w:jc w:val="left"/>
              <w:rPr>
                <w:b/>
                <w:sz w:val="14"/>
              </w:rPr>
            </w:pPr>
          </w:p>
          <w:p>
            <w:pPr>
              <w:pStyle w:val="TableParagraph"/>
              <w:spacing w:before="8"/>
              <w:jc w:val="left"/>
              <w:rPr>
                <w:b/>
                <w:sz w:val="15"/>
              </w:rPr>
            </w:pPr>
          </w:p>
          <w:p>
            <w:pPr>
              <w:pStyle w:val="TableParagraph"/>
              <w:spacing w:before="0"/>
              <w:ind w:left="105"/>
              <w:jc w:val="left"/>
              <w:rPr>
                <w:sz w:val="14"/>
              </w:rPr>
            </w:pPr>
            <w:r>
              <w:rPr>
                <w:sz w:val="14"/>
              </w:rPr>
              <w:t>56/63 (88.9%)</w:t>
            </w:r>
          </w:p>
        </w:tc>
        <w:tc>
          <w:tcPr>
            <w:tcW w:w="1199" w:type="dxa"/>
            <w:gridSpan w:val="2"/>
            <w:tcBorders>
              <w:left w:val="dotted" w:sz="4" w:space="0" w:color="30859C"/>
            </w:tcBorders>
            <w:shd w:val="clear" w:color="auto" w:fill="B4EDEC"/>
          </w:tcPr>
          <w:p>
            <w:pPr>
              <w:pStyle w:val="TableParagraph"/>
              <w:spacing w:before="0"/>
              <w:jc w:val="left"/>
              <w:rPr>
                <w:b/>
                <w:sz w:val="14"/>
              </w:rPr>
            </w:pPr>
          </w:p>
          <w:p>
            <w:pPr>
              <w:pStyle w:val="TableParagraph"/>
              <w:spacing w:before="0"/>
              <w:jc w:val="left"/>
              <w:rPr>
                <w:b/>
                <w:sz w:val="13"/>
              </w:rPr>
            </w:pPr>
          </w:p>
          <w:p>
            <w:pPr>
              <w:pStyle w:val="TableParagraph"/>
              <w:spacing w:before="0"/>
              <w:ind w:left="129"/>
              <w:jc w:val="left"/>
              <w:rPr>
                <w:sz w:val="14"/>
              </w:rPr>
            </w:pPr>
            <w:r>
              <w:rPr>
                <w:sz w:val="14"/>
              </w:rPr>
              <w:t>58/63 (92.1%)</w:t>
            </w:r>
          </w:p>
        </w:tc>
        <w:tc>
          <w:tcPr>
            <w:tcW w:w="591" w:type="dxa"/>
            <w:shd w:val="clear" w:color="auto" w:fill="B4EDEC"/>
          </w:tcPr>
          <w:p>
            <w:pPr/>
          </w:p>
        </w:tc>
        <w:tc>
          <w:tcPr>
            <w:tcW w:w="1004" w:type="dxa"/>
            <w:gridSpan w:val="2"/>
            <w:shd w:val="clear" w:color="auto" w:fill="B4EDEC"/>
          </w:tcPr>
          <w:p>
            <w:pPr>
              <w:pStyle w:val="TableParagraph"/>
              <w:spacing w:before="0"/>
              <w:jc w:val="left"/>
              <w:rPr>
                <w:b/>
                <w:sz w:val="14"/>
              </w:rPr>
            </w:pPr>
          </w:p>
          <w:p>
            <w:pPr>
              <w:pStyle w:val="TableParagraph"/>
              <w:spacing w:before="0"/>
              <w:jc w:val="left"/>
              <w:rPr>
                <w:b/>
                <w:sz w:val="13"/>
              </w:rPr>
            </w:pPr>
          </w:p>
          <w:p>
            <w:pPr>
              <w:pStyle w:val="TableParagraph"/>
              <w:spacing w:before="0"/>
              <w:ind w:left="166"/>
              <w:jc w:val="left"/>
              <w:rPr>
                <w:sz w:val="14"/>
              </w:rPr>
            </w:pPr>
            <w:r>
              <w:rPr>
                <w:sz w:val="14"/>
              </w:rPr>
              <w:t>5/63 (7.9%)</w:t>
            </w:r>
          </w:p>
        </w:tc>
      </w:tr>
      <w:tr>
        <w:trPr>
          <w:trHeight w:val="318" w:hRule="exact"/>
        </w:trPr>
        <w:tc>
          <w:tcPr>
            <w:tcW w:w="900" w:type="dxa"/>
            <w:shd w:val="clear" w:color="auto" w:fill="77DFDD"/>
          </w:tcPr>
          <w:p>
            <w:pPr>
              <w:pStyle w:val="TableParagraph"/>
              <w:spacing w:before="17"/>
              <w:ind w:left="348"/>
              <w:jc w:val="left"/>
              <w:rPr>
                <w:sz w:val="14"/>
              </w:rPr>
            </w:pPr>
            <w:r>
              <w:rPr>
                <w:sz w:val="14"/>
              </w:rPr>
              <w:t>MN</w:t>
            </w:r>
          </w:p>
        </w:tc>
        <w:tc>
          <w:tcPr>
            <w:tcW w:w="1087" w:type="dxa"/>
            <w:shd w:val="clear" w:color="auto" w:fill="77DFDD"/>
          </w:tcPr>
          <w:p>
            <w:pPr>
              <w:pStyle w:val="TableParagraph"/>
              <w:spacing w:before="16"/>
              <w:ind w:left="106" w:right="99"/>
              <w:rPr>
                <w:sz w:val="14"/>
              </w:rPr>
            </w:pPr>
            <w:r>
              <w:rPr>
                <w:sz w:val="14"/>
              </w:rPr>
              <w:t>0.3 </w:t>
            </w:r>
            <w:r>
              <w:rPr>
                <w:rFonts w:ascii="Calibri" w:hAnsi="Calibri"/>
                <w:sz w:val="14"/>
              </w:rPr>
              <w:t>± </w:t>
            </w:r>
            <w:r>
              <w:rPr>
                <w:sz w:val="14"/>
              </w:rPr>
              <w:t>0.5</w:t>
            </w:r>
          </w:p>
        </w:tc>
        <w:tc>
          <w:tcPr>
            <w:tcW w:w="582" w:type="dxa"/>
            <w:shd w:val="clear" w:color="auto" w:fill="77DFDD"/>
          </w:tcPr>
          <w:p>
            <w:pPr>
              <w:pStyle w:val="TableParagraph"/>
              <w:spacing w:before="17"/>
              <w:ind w:left="102" w:right="102"/>
              <w:rPr>
                <w:sz w:val="14"/>
              </w:rPr>
            </w:pPr>
            <w:r>
              <w:rPr>
                <w:sz w:val="14"/>
              </w:rPr>
              <w:t>0.6*</w:t>
            </w:r>
          </w:p>
        </w:tc>
        <w:tc>
          <w:tcPr>
            <w:tcW w:w="972" w:type="dxa"/>
            <w:tcBorders>
              <w:right w:val="dotted" w:sz="4" w:space="0" w:color="30859C"/>
            </w:tcBorders>
            <w:shd w:val="clear" w:color="auto" w:fill="77DFDD"/>
          </w:tcPr>
          <w:p>
            <w:pPr>
              <w:pStyle w:val="TableParagraph"/>
              <w:spacing w:before="16"/>
              <w:ind w:left="220"/>
              <w:jc w:val="left"/>
              <w:rPr>
                <w:sz w:val="14"/>
              </w:rPr>
            </w:pPr>
            <w:r>
              <w:rPr>
                <w:sz w:val="14"/>
              </w:rPr>
              <w:t>0.4 </w:t>
            </w:r>
            <w:r>
              <w:rPr>
                <w:rFonts w:ascii="Calibri" w:hAnsi="Calibri"/>
                <w:sz w:val="14"/>
              </w:rPr>
              <w:t>± </w:t>
            </w:r>
            <w:r>
              <w:rPr>
                <w:sz w:val="14"/>
              </w:rPr>
              <w:t>0.5</w:t>
            </w:r>
          </w:p>
        </w:tc>
        <w:tc>
          <w:tcPr>
            <w:tcW w:w="1059" w:type="dxa"/>
            <w:gridSpan w:val="2"/>
            <w:tcBorders>
              <w:left w:val="dotted" w:sz="4" w:space="0" w:color="30859C"/>
            </w:tcBorders>
            <w:shd w:val="clear" w:color="auto" w:fill="77DFDD"/>
          </w:tcPr>
          <w:p>
            <w:pPr>
              <w:pStyle w:val="TableParagraph"/>
              <w:spacing w:before="16"/>
              <w:ind w:left="252"/>
              <w:jc w:val="left"/>
              <w:rPr>
                <w:sz w:val="14"/>
              </w:rPr>
            </w:pPr>
            <w:r>
              <w:rPr>
                <w:sz w:val="14"/>
              </w:rPr>
              <w:t>0.2 </w:t>
            </w:r>
            <w:r>
              <w:rPr>
                <w:rFonts w:ascii="Calibri" w:hAnsi="Calibri"/>
                <w:sz w:val="14"/>
              </w:rPr>
              <w:t>± </w:t>
            </w:r>
            <w:r>
              <w:rPr>
                <w:sz w:val="14"/>
              </w:rPr>
              <w:t>0.4</w:t>
            </w:r>
          </w:p>
        </w:tc>
        <w:tc>
          <w:tcPr>
            <w:tcW w:w="747" w:type="dxa"/>
            <w:shd w:val="clear" w:color="auto" w:fill="77DFDD"/>
          </w:tcPr>
          <w:p>
            <w:pPr>
              <w:pStyle w:val="TableParagraph"/>
              <w:spacing w:before="17"/>
              <w:ind w:left="187" w:right="181"/>
              <w:rPr>
                <w:sz w:val="14"/>
              </w:rPr>
            </w:pPr>
            <w:r>
              <w:rPr>
                <w:sz w:val="14"/>
              </w:rPr>
              <w:t>0.8*</w:t>
            </w:r>
          </w:p>
        </w:tc>
        <w:tc>
          <w:tcPr>
            <w:tcW w:w="1081" w:type="dxa"/>
            <w:gridSpan w:val="2"/>
            <w:tcBorders>
              <w:right w:val="dotted" w:sz="4" w:space="0" w:color="30859C"/>
            </w:tcBorders>
            <w:shd w:val="clear" w:color="auto" w:fill="77DFDD"/>
          </w:tcPr>
          <w:p>
            <w:pPr>
              <w:pStyle w:val="TableParagraph"/>
              <w:spacing w:before="16"/>
              <w:ind w:left="281"/>
              <w:jc w:val="left"/>
              <w:rPr>
                <w:sz w:val="14"/>
              </w:rPr>
            </w:pPr>
            <w:r>
              <w:rPr>
                <w:sz w:val="14"/>
              </w:rPr>
              <w:t>0.3 </w:t>
            </w:r>
            <w:r>
              <w:rPr>
                <w:rFonts w:ascii="Calibri" w:hAnsi="Calibri"/>
                <w:sz w:val="14"/>
              </w:rPr>
              <w:t>± </w:t>
            </w:r>
            <w:r>
              <w:rPr>
                <w:sz w:val="14"/>
              </w:rPr>
              <w:t>0.5</w:t>
            </w:r>
          </w:p>
        </w:tc>
        <w:tc>
          <w:tcPr>
            <w:tcW w:w="1199" w:type="dxa"/>
            <w:gridSpan w:val="2"/>
            <w:tcBorders>
              <w:left w:val="dotted" w:sz="4" w:space="0" w:color="30859C"/>
            </w:tcBorders>
            <w:shd w:val="clear" w:color="auto" w:fill="77DFDD"/>
          </w:tcPr>
          <w:p>
            <w:pPr>
              <w:pStyle w:val="TableParagraph"/>
              <w:spacing w:before="16"/>
              <w:ind w:left="304"/>
              <w:jc w:val="left"/>
              <w:rPr>
                <w:sz w:val="14"/>
              </w:rPr>
            </w:pPr>
            <w:r>
              <w:rPr>
                <w:sz w:val="14"/>
              </w:rPr>
              <w:t>0.3 </w:t>
            </w:r>
            <w:r>
              <w:rPr>
                <w:rFonts w:ascii="Calibri" w:hAnsi="Calibri"/>
                <w:sz w:val="14"/>
              </w:rPr>
              <w:t>± </w:t>
            </w:r>
            <w:r>
              <w:rPr>
                <w:sz w:val="14"/>
              </w:rPr>
              <w:t>0.5</w:t>
            </w:r>
          </w:p>
        </w:tc>
        <w:tc>
          <w:tcPr>
            <w:tcW w:w="591" w:type="dxa"/>
            <w:shd w:val="clear" w:color="auto" w:fill="77DFDD"/>
          </w:tcPr>
          <w:p>
            <w:pPr>
              <w:pStyle w:val="TableParagraph"/>
              <w:spacing w:before="17"/>
              <w:ind w:left="151" w:right="149"/>
              <w:rPr>
                <w:sz w:val="14"/>
              </w:rPr>
            </w:pPr>
            <w:r>
              <w:rPr>
                <w:sz w:val="14"/>
              </w:rPr>
              <w:t>0.6*</w:t>
            </w:r>
          </w:p>
        </w:tc>
        <w:tc>
          <w:tcPr>
            <w:tcW w:w="1004" w:type="dxa"/>
            <w:gridSpan w:val="2"/>
            <w:shd w:val="clear" w:color="auto" w:fill="77DFDD"/>
          </w:tcPr>
          <w:p>
            <w:pPr>
              <w:pStyle w:val="TableParagraph"/>
              <w:spacing w:before="16"/>
              <w:ind w:left="265"/>
              <w:jc w:val="left"/>
              <w:rPr>
                <w:sz w:val="14"/>
              </w:rPr>
            </w:pPr>
            <w:r>
              <w:rPr>
                <w:sz w:val="14"/>
              </w:rPr>
              <w:t>0.4 </w:t>
            </w:r>
            <w:r>
              <w:rPr>
                <w:rFonts w:ascii="Calibri" w:hAnsi="Calibri"/>
                <w:sz w:val="14"/>
              </w:rPr>
              <w:t>± </w:t>
            </w:r>
            <w:r>
              <w:rPr>
                <w:sz w:val="14"/>
              </w:rPr>
              <w:t>0.5</w:t>
            </w:r>
          </w:p>
        </w:tc>
      </w:tr>
      <w:tr>
        <w:trPr>
          <w:trHeight w:val="318" w:hRule="exact"/>
        </w:trPr>
        <w:tc>
          <w:tcPr>
            <w:tcW w:w="900" w:type="dxa"/>
            <w:shd w:val="clear" w:color="auto" w:fill="B4EDEC"/>
          </w:tcPr>
          <w:p>
            <w:pPr>
              <w:pStyle w:val="TableParagraph"/>
              <w:spacing w:before="19"/>
              <w:ind w:left="359"/>
              <w:jc w:val="left"/>
              <w:rPr>
                <w:sz w:val="14"/>
              </w:rPr>
            </w:pPr>
            <w:r>
              <w:rPr>
                <w:sz w:val="14"/>
              </w:rPr>
              <w:t>CB</w:t>
            </w:r>
          </w:p>
        </w:tc>
        <w:tc>
          <w:tcPr>
            <w:tcW w:w="1087" w:type="dxa"/>
            <w:shd w:val="clear" w:color="auto" w:fill="B4EDEC"/>
          </w:tcPr>
          <w:p>
            <w:pPr>
              <w:pStyle w:val="TableParagraph"/>
              <w:spacing w:before="17"/>
              <w:ind w:left="106" w:right="99"/>
              <w:rPr>
                <w:sz w:val="14"/>
              </w:rPr>
            </w:pPr>
            <w:r>
              <w:rPr>
                <w:sz w:val="14"/>
              </w:rPr>
              <w:t>3.1 </w:t>
            </w:r>
            <w:r>
              <w:rPr>
                <w:rFonts w:ascii="Calibri" w:hAnsi="Calibri"/>
                <w:sz w:val="14"/>
              </w:rPr>
              <w:t>± </w:t>
            </w:r>
            <w:r>
              <w:rPr>
                <w:sz w:val="14"/>
              </w:rPr>
              <w:t>2.7</w:t>
            </w:r>
          </w:p>
        </w:tc>
        <w:tc>
          <w:tcPr>
            <w:tcW w:w="582" w:type="dxa"/>
            <w:shd w:val="clear" w:color="auto" w:fill="B4EDEC"/>
          </w:tcPr>
          <w:p>
            <w:pPr>
              <w:pStyle w:val="TableParagraph"/>
              <w:spacing w:before="19"/>
              <w:ind w:left="102" w:right="102"/>
              <w:rPr>
                <w:sz w:val="14"/>
              </w:rPr>
            </w:pPr>
            <w:r>
              <w:rPr>
                <w:sz w:val="14"/>
              </w:rPr>
              <w:t>0.8*</w:t>
            </w:r>
          </w:p>
        </w:tc>
        <w:tc>
          <w:tcPr>
            <w:tcW w:w="972" w:type="dxa"/>
            <w:tcBorders>
              <w:right w:val="dotted" w:sz="4" w:space="0" w:color="30859C"/>
            </w:tcBorders>
            <w:shd w:val="clear" w:color="auto" w:fill="B4EDEC"/>
          </w:tcPr>
          <w:p>
            <w:pPr>
              <w:pStyle w:val="TableParagraph"/>
              <w:spacing w:before="17"/>
              <w:ind w:left="220"/>
              <w:jc w:val="left"/>
              <w:rPr>
                <w:sz w:val="14"/>
              </w:rPr>
            </w:pPr>
            <w:r>
              <w:rPr>
                <w:sz w:val="14"/>
              </w:rPr>
              <w:t>2.6 </w:t>
            </w:r>
            <w:r>
              <w:rPr>
                <w:rFonts w:ascii="Calibri" w:hAnsi="Calibri"/>
                <w:sz w:val="14"/>
              </w:rPr>
              <w:t>± </w:t>
            </w:r>
            <w:r>
              <w:rPr>
                <w:sz w:val="14"/>
              </w:rPr>
              <w:t>1.5</w:t>
            </w:r>
          </w:p>
        </w:tc>
        <w:tc>
          <w:tcPr>
            <w:tcW w:w="1059" w:type="dxa"/>
            <w:gridSpan w:val="2"/>
            <w:tcBorders>
              <w:left w:val="dotted" w:sz="4" w:space="0" w:color="30859C"/>
            </w:tcBorders>
            <w:shd w:val="clear" w:color="auto" w:fill="B4EDEC"/>
          </w:tcPr>
          <w:p>
            <w:pPr>
              <w:pStyle w:val="TableParagraph"/>
              <w:spacing w:before="17"/>
              <w:ind w:left="252"/>
              <w:jc w:val="left"/>
              <w:rPr>
                <w:sz w:val="14"/>
              </w:rPr>
            </w:pPr>
            <w:r>
              <w:rPr>
                <w:sz w:val="14"/>
              </w:rPr>
              <w:t>3.8 </w:t>
            </w:r>
            <w:r>
              <w:rPr>
                <w:rFonts w:ascii="Calibri" w:hAnsi="Calibri"/>
                <w:sz w:val="14"/>
              </w:rPr>
              <w:t>± </w:t>
            </w:r>
            <w:r>
              <w:rPr>
                <w:sz w:val="14"/>
              </w:rPr>
              <w:t>3.2</w:t>
            </w:r>
          </w:p>
        </w:tc>
        <w:tc>
          <w:tcPr>
            <w:tcW w:w="747" w:type="dxa"/>
            <w:shd w:val="clear" w:color="auto" w:fill="B4EDEC"/>
          </w:tcPr>
          <w:p>
            <w:pPr>
              <w:pStyle w:val="TableParagraph"/>
              <w:spacing w:before="19"/>
              <w:ind w:left="187" w:right="181"/>
              <w:rPr>
                <w:sz w:val="14"/>
              </w:rPr>
            </w:pPr>
            <w:r>
              <w:rPr>
                <w:sz w:val="14"/>
              </w:rPr>
              <w:t>0.5*</w:t>
            </w:r>
          </w:p>
        </w:tc>
        <w:tc>
          <w:tcPr>
            <w:tcW w:w="1081" w:type="dxa"/>
            <w:gridSpan w:val="2"/>
            <w:tcBorders>
              <w:right w:val="dotted" w:sz="4" w:space="0" w:color="30859C"/>
            </w:tcBorders>
            <w:shd w:val="clear" w:color="auto" w:fill="B4EDEC"/>
          </w:tcPr>
          <w:p>
            <w:pPr>
              <w:pStyle w:val="TableParagraph"/>
              <w:spacing w:before="17"/>
              <w:ind w:left="281"/>
              <w:jc w:val="left"/>
              <w:rPr>
                <w:sz w:val="14"/>
              </w:rPr>
            </w:pPr>
            <w:r>
              <w:rPr>
                <w:sz w:val="14"/>
              </w:rPr>
              <w:t>3.0 </w:t>
            </w:r>
            <w:r>
              <w:rPr>
                <w:rFonts w:ascii="Calibri" w:hAnsi="Calibri"/>
                <w:sz w:val="14"/>
              </w:rPr>
              <w:t>± </w:t>
            </w:r>
            <w:r>
              <w:rPr>
                <w:sz w:val="14"/>
              </w:rPr>
              <w:t>2.5</w:t>
            </w:r>
          </w:p>
        </w:tc>
        <w:tc>
          <w:tcPr>
            <w:tcW w:w="1199" w:type="dxa"/>
            <w:gridSpan w:val="2"/>
            <w:tcBorders>
              <w:left w:val="dotted" w:sz="4" w:space="0" w:color="30859C"/>
            </w:tcBorders>
            <w:shd w:val="clear" w:color="auto" w:fill="B4EDEC"/>
          </w:tcPr>
          <w:p>
            <w:pPr>
              <w:pStyle w:val="TableParagraph"/>
              <w:spacing w:before="17"/>
              <w:ind w:left="304"/>
              <w:jc w:val="left"/>
              <w:rPr>
                <w:sz w:val="14"/>
              </w:rPr>
            </w:pPr>
            <w:r>
              <w:rPr>
                <w:sz w:val="14"/>
              </w:rPr>
              <w:t>3.0 </w:t>
            </w:r>
            <w:r>
              <w:rPr>
                <w:rFonts w:ascii="Calibri" w:hAnsi="Calibri"/>
                <w:sz w:val="14"/>
              </w:rPr>
              <w:t>± </w:t>
            </w:r>
            <w:r>
              <w:rPr>
                <w:sz w:val="14"/>
              </w:rPr>
              <w:t>2.6</w:t>
            </w:r>
          </w:p>
        </w:tc>
        <w:tc>
          <w:tcPr>
            <w:tcW w:w="591" w:type="dxa"/>
            <w:shd w:val="clear" w:color="auto" w:fill="B4EDEC"/>
          </w:tcPr>
          <w:p>
            <w:pPr>
              <w:pStyle w:val="TableParagraph"/>
              <w:spacing w:before="19"/>
              <w:ind w:left="151" w:right="148"/>
              <w:rPr>
                <w:sz w:val="14"/>
              </w:rPr>
            </w:pPr>
            <w:r>
              <w:rPr>
                <w:sz w:val="14"/>
              </w:rPr>
              <w:t>0.4*</w:t>
            </w:r>
          </w:p>
        </w:tc>
        <w:tc>
          <w:tcPr>
            <w:tcW w:w="1004" w:type="dxa"/>
            <w:gridSpan w:val="2"/>
            <w:shd w:val="clear" w:color="auto" w:fill="B4EDEC"/>
          </w:tcPr>
          <w:p>
            <w:pPr>
              <w:pStyle w:val="TableParagraph"/>
              <w:spacing w:before="17"/>
              <w:ind w:left="265"/>
              <w:jc w:val="left"/>
              <w:rPr>
                <w:sz w:val="14"/>
              </w:rPr>
            </w:pPr>
            <w:r>
              <w:rPr>
                <w:sz w:val="14"/>
              </w:rPr>
              <w:t>4.0 </w:t>
            </w:r>
            <w:r>
              <w:rPr>
                <w:rFonts w:ascii="Calibri" w:hAnsi="Calibri"/>
                <w:sz w:val="14"/>
              </w:rPr>
              <w:t>± </w:t>
            </w:r>
            <w:r>
              <w:rPr>
                <w:sz w:val="14"/>
              </w:rPr>
              <w:t>3.2</w:t>
            </w:r>
          </w:p>
        </w:tc>
      </w:tr>
      <w:tr>
        <w:trPr>
          <w:trHeight w:val="318" w:hRule="exact"/>
        </w:trPr>
        <w:tc>
          <w:tcPr>
            <w:tcW w:w="900" w:type="dxa"/>
            <w:shd w:val="clear" w:color="auto" w:fill="77DFDD"/>
          </w:tcPr>
          <w:p>
            <w:pPr>
              <w:pStyle w:val="TableParagraph"/>
              <w:spacing w:before="20"/>
              <w:ind w:left="370"/>
              <w:jc w:val="left"/>
              <w:rPr>
                <w:sz w:val="14"/>
              </w:rPr>
            </w:pPr>
            <w:r>
              <w:rPr>
                <w:sz w:val="14"/>
              </w:rPr>
              <w:t>NL</w:t>
            </w:r>
          </w:p>
        </w:tc>
        <w:tc>
          <w:tcPr>
            <w:tcW w:w="1087" w:type="dxa"/>
            <w:shd w:val="clear" w:color="auto" w:fill="77DFDD"/>
          </w:tcPr>
          <w:p>
            <w:pPr>
              <w:pStyle w:val="TableParagraph"/>
              <w:spacing w:before="18"/>
              <w:ind w:left="106" w:right="88"/>
              <w:rPr>
                <w:sz w:val="14"/>
              </w:rPr>
            </w:pPr>
            <w:r>
              <w:rPr>
                <w:sz w:val="14"/>
              </w:rPr>
              <w:t>18.1 </w:t>
            </w:r>
            <w:r>
              <w:rPr>
                <w:rFonts w:ascii="Calibri" w:hAnsi="Calibri"/>
                <w:sz w:val="14"/>
              </w:rPr>
              <w:t>± </w:t>
            </w:r>
            <w:r>
              <w:rPr>
                <w:sz w:val="14"/>
              </w:rPr>
              <w:t>14.9</w:t>
            </w:r>
          </w:p>
        </w:tc>
        <w:tc>
          <w:tcPr>
            <w:tcW w:w="582" w:type="dxa"/>
            <w:shd w:val="clear" w:color="auto" w:fill="77DFDD"/>
          </w:tcPr>
          <w:p>
            <w:pPr>
              <w:pStyle w:val="TableParagraph"/>
              <w:spacing w:before="20"/>
              <w:ind w:left="102" w:right="102"/>
              <w:rPr>
                <w:sz w:val="14"/>
              </w:rPr>
            </w:pPr>
            <w:r>
              <w:rPr>
                <w:sz w:val="14"/>
              </w:rPr>
              <w:t>0.6*</w:t>
            </w:r>
          </w:p>
        </w:tc>
        <w:tc>
          <w:tcPr>
            <w:tcW w:w="972" w:type="dxa"/>
            <w:tcBorders>
              <w:right w:val="dotted" w:sz="4" w:space="0" w:color="30859C"/>
            </w:tcBorders>
            <w:shd w:val="clear" w:color="auto" w:fill="77DFDD"/>
          </w:tcPr>
          <w:p>
            <w:pPr>
              <w:pStyle w:val="TableParagraph"/>
              <w:spacing w:before="18"/>
              <w:ind w:left="176"/>
              <w:jc w:val="left"/>
              <w:rPr>
                <w:sz w:val="14"/>
              </w:rPr>
            </w:pPr>
            <w:r>
              <w:rPr>
                <w:sz w:val="14"/>
              </w:rPr>
              <w:t>13.0 </w:t>
            </w:r>
            <w:r>
              <w:rPr>
                <w:rFonts w:ascii="Calibri" w:hAnsi="Calibri"/>
                <w:sz w:val="14"/>
              </w:rPr>
              <w:t>± </w:t>
            </w:r>
            <w:r>
              <w:rPr>
                <w:sz w:val="14"/>
              </w:rPr>
              <w:t>8.8</w:t>
            </w:r>
          </w:p>
        </w:tc>
        <w:tc>
          <w:tcPr>
            <w:tcW w:w="574" w:type="dxa"/>
            <w:tcBorders>
              <w:left w:val="dotted" w:sz="4" w:space="0" w:color="30859C"/>
            </w:tcBorders>
            <w:shd w:val="clear" w:color="auto" w:fill="77DFDD"/>
          </w:tcPr>
          <w:p>
            <w:pPr>
              <w:pStyle w:val="TableParagraph"/>
              <w:spacing w:before="18"/>
              <w:ind w:right="22"/>
              <w:jc w:val="right"/>
              <w:rPr>
                <w:rFonts w:ascii="Calibri" w:hAnsi="Calibri"/>
                <w:sz w:val="14"/>
              </w:rPr>
            </w:pPr>
            <w:r>
              <w:rPr>
                <w:sz w:val="14"/>
              </w:rPr>
              <w:t>17.0 </w:t>
            </w:r>
            <w:r>
              <w:rPr>
                <w:rFonts w:ascii="Calibri" w:hAnsi="Calibri"/>
                <w:sz w:val="14"/>
              </w:rPr>
              <w:t>±</w:t>
            </w:r>
          </w:p>
        </w:tc>
        <w:tc>
          <w:tcPr>
            <w:tcW w:w="486" w:type="dxa"/>
            <w:shd w:val="clear" w:color="auto" w:fill="77DFDD"/>
          </w:tcPr>
          <w:p>
            <w:pPr>
              <w:pStyle w:val="TableParagraph"/>
              <w:spacing w:before="20"/>
              <w:ind w:left="24"/>
              <w:jc w:val="left"/>
              <w:rPr>
                <w:sz w:val="14"/>
              </w:rPr>
            </w:pPr>
            <w:r>
              <w:rPr>
                <w:sz w:val="14"/>
              </w:rPr>
              <w:t>14.7</w:t>
            </w:r>
          </w:p>
        </w:tc>
        <w:tc>
          <w:tcPr>
            <w:tcW w:w="747" w:type="dxa"/>
            <w:shd w:val="clear" w:color="auto" w:fill="77DFDD"/>
          </w:tcPr>
          <w:p>
            <w:pPr>
              <w:pStyle w:val="TableParagraph"/>
              <w:spacing w:before="20"/>
              <w:ind w:left="187" w:right="181"/>
              <w:rPr>
                <w:sz w:val="14"/>
              </w:rPr>
            </w:pPr>
            <w:r>
              <w:rPr>
                <w:sz w:val="14"/>
              </w:rPr>
              <w:t>0.9*</w:t>
            </w:r>
          </w:p>
        </w:tc>
        <w:tc>
          <w:tcPr>
            <w:tcW w:w="598" w:type="dxa"/>
            <w:shd w:val="clear" w:color="auto" w:fill="77DFDD"/>
          </w:tcPr>
          <w:p>
            <w:pPr>
              <w:pStyle w:val="TableParagraph"/>
              <w:spacing w:before="18"/>
              <w:ind w:right="22"/>
              <w:jc w:val="right"/>
              <w:rPr>
                <w:rFonts w:ascii="Calibri" w:hAnsi="Calibri"/>
                <w:sz w:val="14"/>
              </w:rPr>
            </w:pPr>
            <w:r>
              <w:rPr>
                <w:sz w:val="14"/>
              </w:rPr>
              <w:t>17.7 </w:t>
            </w:r>
            <w:r>
              <w:rPr>
                <w:rFonts w:ascii="Calibri" w:hAnsi="Calibri"/>
                <w:sz w:val="14"/>
              </w:rPr>
              <w:t>±</w:t>
            </w:r>
          </w:p>
        </w:tc>
        <w:tc>
          <w:tcPr>
            <w:tcW w:w="484" w:type="dxa"/>
            <w:tcBorders>
              <w:right w:val="dotted" w:sz="4" w:space="0" w:color="30859C"/>
            </w:tcBorders>
            <w:shd w:val="clear" w:color="auto" w:fill="77DFDD"/>
          </w:tcPr>
          <w:p>
            <w:pPr>
              <w:pStyle w:val="TableParagraph"/>
              <w:spacing w:before="20"/>
              <w:ind w:left="24"/>
              <w:jc w:val="left"/>
              <w:rPr>
                <w:sz w:val="14"/>
              </w:rPr>
            </w:pPr>
            <w:r>
              <w:rPr>
                <w:sz w:val="14"/>
              </w:rPr>
              <w:t>14.7</w:t>
            </w:r>
          </w:p>
        </w:tc>
        <w:tc>
          <w:tcPr>
            <w:tcW w:w="637" w:type="dxa"/>
            <w:tcBorders>
              <w:left w:val="dotted" w:sz="4" w:space="0" w:color="30859C"/>
            </w:tcBorders>
            <w:shd w:val="clear" w:color="auto" w:fill="77DFDD"/>
          </w:tcPr>
          <w:p>
            <w:pPr>
              <w:pStyle w:val="TableParagraph"/>
              <w:spacing w:before="18"/>
              <w:ind w:right="22"/>
              <w:jc w:val="right"/>
              <w:rPr>
                <w:rFonts w:ascii="Calibri" w:hAnsi="Calibri"/>
                <w:sz w:val="14"/>
              </w:rPr>
            </w:pPr>
            <w:r>
              <w:rPr>
                <w:sz w:val="14"/>
              </w:rPr>
              <w:t>17.2 </w:t>
            </w:r>
            <w:r>
              <w:rPr>
                <w:rFonts w:ascii="Calibri" w:hAnsi="Calibri"/>
                <w:sz w:val="14"/>
              </w:rPr>
              <w:t>±</w:t>
            </w:r>
          </w:p>
        </w:tc>
        <w:tc>
          <w:tcPr>
            <w:tcW w:w="562" w:type="dxa"/>
            <w:shd w:val="clear" w:color="auto" w:fill="77DFDD"/>
          </w:tcPr>
          <w:p>
            <w:pPr>
              <w:pStyle w:val="TableParagraph"/>
              <w:spacing w:before="20"/>
              <w:ind w:left="24"/>
              <w:jc w:val="left"/>
              <w:rPr>
                <w:sz w:val="14"/>
              </w:rPr>
            </w:pPr>
            <w:r>
              <w:rPr>
                <w:sz w:val="14"/>
              </w:rPr>
              <w:t>14.4</w:t>
            </w:r>
          </w:p>
        </w:tc>
        <w:tc>
          <w:tcPr>
            <w:tcW w:w="591" w:type="dxa"/>
            <w:shd w:val="clear" w:color="auto" w:fill="77DFDD"/>
          </w:tcPr>
          <w:p>
            <w:pPr>
              <w:pStyle w:val="TableParagraph"/>
              <w:spacing w:before="20"/>
              <w:ind w:left="151" w:right="148"/>
              <w:rPr>
                <w:sz w:val="14"/>
              </w:rPr>
            </w:pPr>
            <w:r>
              <w:rPr>
                <w:sz w:val="14"/>
              </w:rPr>
              <w:t>0.5*</w:t>
            </w:r>
          </w:p>
        </w:tc>
        <w:tc>
          <w:tcPr>
            <w:tcW w:w="582" w:type="dxa"/>
            <w:shd w:val="clear" w:color="auto" w:fill="77DFDD"/>
          </w:tcPr>
          <w:p>
            <w:pPr>
              <w:pStyle w:val="TableParagraph"/>
              <w:spacing w:before="18"/>
              <w:ind w:right="22"/>
              <w:jc w:val="right"/>
              <w:rPr>
                <w:rFonts w:ascii="Calibri" w:hAnsi="Calibri"/>
                <w:sz w:val="14"/>
              </w:rPr>
            </w:pPr>
            <w:r>
              <w:rPr>
                <w:sz w:val="14"/>
              </w:rPr>
              <w:t>22.4 </w:t>
            </w:r>
            <w:r>
              <w:rPr>
                <w:rFonts w:ascii="Calibri" w:hAnsi="Calibri"/>
                <w:sz w:val="14"/>
              </w:rPr>
              <w:t>±</w:t>
            </w:r>
          </w:p>
        </w:tc>
        <w:tc>
          <w:tcPr>
            <w:tcW w:w="422" w:type="dxa"/>
            <w:shd w:val="clear" w:color="auto" w:fill="77DFDD"/>
          </w:tcPr>
          <w:p>
            <w:pPr>
              <w:pStyle w:val="TableParagraph"/>
              <w:spacing w:before="20"/>
              <w:ind w:left="24"/>
              <w:jc w:val="left"/>
              <w:rPr>
                <w:sz w:val="14"/>
              </w:rPr>
            </w:pPr>
            <w:r>
              <w:rPr>
                <w:sz w:val="14"/>
              </w:rPr>
              <w:t>17.7</w:t>
            </w:r>
          </w:p>
        </w:tc>
      </w:tr>
      <w:tr>
        <w:trPr>
          <w:trHeight w:val="318" w:hRule="exact"/>
        </w:trPr>
        <w:tc>
          <w:tcPr>
            <w:tcW w:w="900" w:type="dxa"/>
            <w:shd w:val="clear" w:color="auto" w:fill="B4EDEC"/>
          </w:tcPr>
          <w:p>
            <w:pPr>
              <w:pStyle w:val="TableParagraph"/>
              <w:spacing w:before="21"/>
              <w:ind w:left="359"/>
              <w:jc w:val="left"/>
              <w:rPr>
                <w:sz w:val="14"/>
              </w:rPr>
            </w:pPr>
            <w:r>
              <w:rPr>
                <w:sz w:val="14"/>
              </w:rPr>
              <w:t>PC</w:t>
            </w:r>
          </w:p>
        </w:tc>
        <w:tc>
          <w:tcPr>
            <w:tcW w:w="1087" w:type="dxa"/>
            <w:shd w:val="clear" w:color="auto" w:fill="B4EDEC"/>
          </w:tcPr>
          <w:p>
            <w:pPr>
              <w:pStyle w:val="TableParagraph"/>
              <w:spacing w:before="19"/>
              <w:ind w:left="106" w:right="99"/>
              <w:rPr>
                <w:sz w:val="14"/>
              </w:rPr>
            </w:pPr>
            <w:r>
              <w:rPr>
                <w:sz w:val="14"/>
              </w:rPr>
              <w:t>9.6 </w:t>
            </w:r>
            <w:r>
              <w:rPr>
                <w:rFonts w:ascii="Calibri" w:hAnsi="Calibri"/>
                <w:sz w:val="14"/>
              </w:rPr>
              <w:t>± </w:t>
            </w:r>
            <w:r>
              <w:rPr>
                <w:sz w:val="14"/>
              </w:rPr>
              <w:t>6.8</w:t>
            </w:r>
          </w:p>
        </w:tc>
        <w:tc>
          <w:tcPr>
            <w:tcW w:w="582" w:type="dxa"/>
            <w:shd w:val="clear" w:color="auto" w:fill="B4EDEC"/>
          </w:tcPr>
          <w:p>
            <w:pPr>
              <w:pStyle w:val="TableParagraph"/>
              <w:spacing w:before="21"/>
              <w:ind w:left="102" w:right="102"/>
              <w:rPr>
                <w:sz w:val="14"/>
              </w:rPr>
            </w:pPr>
            <w:r>
              <w:rPr>
                <w:sz w:val="14"/>
              </w:rPr>
              <w:t>0.1*</w:t>
            </w:r>
          </w:p>
        </w:tc>
        <w:tc>
          <w:tcPr>
            <w:tcW w:w="972" w:type="dxa"/>
            <w:tcBorders>
              <w:right w:val="dotted" w:sz="4" w:space="0" w:color="30859C"/>
            </w:tcBorders>
            <w:shd w:val="clear" w:color="auto" w:fill="B4EDEC"/>
          </w:tcPr>
          <w:p>
            <w:pPr>
              <w:pStyle w:val="TableParagraph"/>
              <w:spacing w:before="19"/>
              <w:ind w:left="220"/>
              <w:jc w:val="left"/>
              <w:rPr>
                <w:sz w:val="14"/>
              </w:rPr>
            </w:pPr>
            <w:r>
              <w:rPr>
                <w:sz w:val="14"/>
              </w:rPr>
              <w:t>4.8 </w:t>
            </w:r>
            <w:r>
              <w:rPr>
                <w:rFonts w:ascii="Calibri" w:hAnsi="Calibri"/>
                <w:sz w:val="14"/>
              </w:rPr>
              <w:t>± </w:t>
            </w:r>
            <w:r>
              <w:rPr>
                <w:sz w:val="14"/>
              </w:rPr>
              <w:t>2.7</w:t>
            </w:r>
          </w:p>
        </w:tc>
        <w:tc>
          <w:tcPr>
            <w:tcW w:w="1059" w:type="dxa"/>
            <w:gridSpan w:val="2"/>
            <w:tcBorders>
              <w:left w:val="dotted" w:sz="4" w:space="0" w:color="30859C"/>
            </w:tcBorders>
            <w:shd w:val="clear" w:color="auto" w:fill="B4EDEC"/>
          </w:tcPr>
          <w:p>
            <w:pPr>
              <w:pStyle w:val="TableParagraph"/>
              <w:spacing w:before="19"/>
              <w:ind w:left="252"/>
              <w:jc w:val="left"/>
              <w:rPr>
                <w:sz w:val="14"/>
              </w:rPr>
            </w:pPr>
            <w:r>
              <w:rPr>
                <w:sz w:val="14"/>
              </w:rPr>
              <w:t>9.0 </w:t>
            </w:r>
            <w:r>
              <w:rPr>
                <w:rFonts w:ascii="Calibri" w:hAnsi="Calibri"/>
                <w:sz w:val="14"/>
              </w:rPr>
              <w:t>± </w:t>
            </w:r>
            <w:r>
              <w:rPr>
                <w:sz w:val="14"/>
              </w:rPr>
              <w:t>6.9</w:t>
            </w:r>
          </w:p>
        </w:tc>
        <w:tc>
          <w:tcPr>
            <w:tcW w:w="747" w:type="dxa"/>
            <w:shd w:val="clear" w:color="auto" w:fill="B4EDEC"/>
          </w:tcPr>
          <w:p>
            <w:pPr>
              <w:pStyle w:val="TableParagraph"/>
              <w:spacing w:before="21"/>
              <w:ind w:left="187" w:right="181"/>
              <w:rPr>
                <w:sz w:val="14"/>
              </w:rPr>
            </w:pPr>
            <w:r>
              <w:rPr>
                <w:sz w:val="14"/>
              </w:rPr>
              <w:t>0.9*</w:t>
            </w:r>
          </w:p>
        </w:tc>
        <w:tc>
          <w:tcPr>
            <w:tcW w:w="1081" w:type="dxa"/>
            <w:gridSpan w:val="2"/>
            <w:tcBorders>
              <w:right w:val="dotted" w:sz="4" w:space="0" w:color="30859C"/>
            </w:tcBorders>
            <w:shd w:val="clear" w:color="auto" w:fill="B4EDEC"/>
          </w:tcPr>
          <w:p>
            <w:pPr>
              <w:pStyle w:val="TableParagraph"/>
              <w:spacing w:before="19"/>
              <w:ind w:left="281"/>
              <w:jc w:val="left"/>
              <w:rPr>
                <w:sz w:val="14"/>
              </w:rPr>
            </w:pPr>
            <w:r>
              <w:rPr>
                <w:sz w:val="14"/>
              </w:rPr>
              <w:t>9.3 </w:t>
            </w:r>
            <w:r>
              <w:rPr>
                <w:rFonts w:ascii="Calibri" w:hAnsi="Calibri"/>
                <w:sz w:val="14"/>
              </w:rPr>
              <w:t>± </w:t>
            </w:r>
            <w:r>
              <w:rPr>
                <w:sz w:val="14"/>
              </w:rPr>
              <w:t>6.7</w:t>
            </w:r>
          </w:p>
        </w:tc>
        <w:tc>
          <w:tcPr>
            <w:tcW w:w="1199" w:type="dxa"/>
            <w:gridSpan w:val="2"/>
            <w:tcBorders>
              <w:left w:val="dotted" w:sz="4" w:space="0" w:color="30859C"/>
            </w:tcBorders>
            <w:shd w:val="clear" w:color="auto" w:fill="B4EDEC"/>
          </w:tcPr>
          <w:p>
            <w:pPr>
              <w:pStyle w:val="TableParagraph"/>
              <w:spacing w:before="19"/>
              <w:ind w:left="304"/>
              <w:jc w:val="left"/>
              <w:rPr>
                <w:sz w:val="14"/>
              </w:rPr>
            </w:pPr>
            <w:r>
              <w:rPr>
                <w:sz w:val="14"/>
              </w:rPr>
              <w:t>9.3 </w:t>
            </w:r>
            <w:r>
              <w:rPr>
                <w:rFonts w:ascii="Calibri" w:hAnsi="Calibri"/>
                <w:sz w:val="14"/>
              </w:rPr>
              <w:t>± </w:t>
            </w:r>
            <w:r>
              <w:rPr>
                <w:sz w:val="14"/>
              </w:rPr>
              <w:t>6.8</w:t>
            </w:r>
          </w:p>
        </w:tc>
        <w:tc>
          <w:tcPr>
            <w:tcW w:w="591" w:type="dxa"/>
            <w:shd w:val="clear" w:color="auto" w:fill="B4EDEC"/>
          </w:tcPr>
          <w:p>
            <w:pPr>
              <w:pStyle w:val="TableParagraph"/>
              <w:spacing w:before="21"/>
              <w:ind w:left="151" w:right="149"/>
              <w:rPr>
                <w:sz w:val="14"/>
              </w:rPr>
            </w:pPr>
            <w:r>
              <w:rPr>
                <w:sz w:val="14"/>
              </w:rPr>
              <w:t>0.9*</w:t>
            </w:r>
          </w:p>
        </w:tc>
        <w:tc>
          <w:tcPr>
            <w:tcW w:w="1004" w:type="dxa"/>
            <w:gridSpan w:val="2"/>
            <w:shd w:val="clear" w:color="auto" w:fill="B4EDEC"/>
          </w:tcPr>
          <w:p>
            <w:pPr>
              <w:pStyle w:val="TableParagraph"/>
              <w:spacing w:before="19"/>
              <w:ind w:left="265"/>
              <w:jc w:val="left"/>
              <w:rPr>
                <w:sz w:val="14"/>
              </w:rPr>
            </w:pPr>
            <w:r>
              <w:rPr>
                <w:sz w:val="14"/>
              </w:rPr>
              <w:t>9.2 </w:t>
            </w:r>
            <w:r>
              <w:rPr>
                <w:rFonts w:ascii="Calibri" w:hAnsi="Calibri"/>
                <w:sz w:val="14"/>
              </w:rPr>
              <w:t>± </w:t>
            </w:r>
            <w:r>
              <w:rPr>
                <w:sz w:val="14"/>
              </w:rPr>
              <w:t>6.7</w:t>
            </w:r>
          </w:p>
        </w:tc>
      </w:tr>
      <w:tr>
        <w:trPr>
          <w:trHeight w:val="318" w:hRule="exact"/>
        </w:trPr>
        <w:tc>
          <w:tcPr>
            <w:tcW w:w="900" w:type="dxa"/>
            <w:shd w:val="clear" w:color="auto" w:fill="77DFDD"/>
          </w:tcPr>
          <w:p>
            <w:pPr>
              <w:pStyle w:val="TableParagraph"/>
              <w:spacing w:before="22"/>
              <w:ind w:left="359"/>
              <w:jc w:val="left"/>
              <w:rPr>
                <w:sz w:val="14"/>
              </w:rPr>
            </w:pPr>
            <w:r>
              <w:rPr>
                <w:sz w:val="14"/>
              </w:rPr>
              <w:t>CC</w:t>
            </w:r>
          </w:p>
        </w:tc>
        <w:tc>
          <w:tcPr>
            <w:tcW w:w="1087" w:type="dxa"/>
            <w:shd w:val="clear" w:color="auto" w:fill="77DFDD"/>
          </w:tcPr>
          <w:p>
            <w:pPr>
              <w:pStyle w:val="TableParagraph"/>
              <w:spacing w:before="20"/>
              <w:ind w:left="106" w:right="89"/>
              <w:rPr>
                <w:sz w:val="14"/>
              </w:rPr>
            </w:pPr>
            <w:r>
              <w:rPr>
                <w:sz w:val="14"/>
              </w:rPr>
              <w:t>8.2 </w:t>
            </w:r>
            <w:r>
              <w:rPr>
                <w:rFonts w:ascii="Calibri" w:hAnsi="Calibri"/>
                <w:sz w:val="14"/>
              </w:rPr>
              <w:t>± </w:t>
            </w:r>
            <w:r>
              <w:rPr>
                <w:sz w:val="14"/>
              </w:rPr>
              <w:t>10.3</w:t>
            </w:r>
          </w:p>
        </w:tc>
        <w:tc>
          <w:tcPr>
            <w:tcW w:w="582" w:type="dxa"/>
            <w:shd w:val="clear" w:color="auto" w:fill="77DFDD"/>
          </w:tcPr>
          <w:p>
            <w:pPr>
              <w:pStyle w:val="TableParagraph"/>
              <w:spacing w:before="22"/>
              <w:ind w:left="102" w:right="102"/>
              <w:rPr>
                <w:sz w:val="14"/>
              </w:rPr>
            </w:pPr>
            <w:r>
              <w:rPr>
                <w:sz w:val="14"/>
              </w:rPr>
              <w:t>0.6*</w:t>
            </w:r>
          </w:p>
        </w:tc>
        <w:tc>
          <w:tcPr>
            <w:tcW w:w="972" w:type="dxa"/>
            <w:tcBorders>
              <w:right w:val="dotted" w:sz="4" w:space="0" w:color="30859C"/>
            </w:tcBorders>
            <w:shd w:val="clear" w:color="auto" w:fill="77DFDD"/>
          </w:tcPr>
          <w:p>
            <w:pPr>
              <w:pStyle w:val="TableParagraph"/>
              <w:spacing w:before="20"/>
              <w:ind w:left="220"/>
              <w:jc w:val="left"/>
              <w:rPr>
                <w:sz w:val="14"/>
              </w:rPr>
            </w:pPr>
            <w:r>
              <w:rPr>
                <w:sz w:val="14"/>
              </w:rPr>
              <w:t>4.0 </w:t>
            </w:r>
            <w:r>
              <w:rPr>
                <w:rFonts w:ascii="Calibri" w:hAnsi="Calibri"/>
                <w:sz w:val="14"/>
              </w:rPr>
              <w:t>± </w:t>
            </w:r>
            <w:r>
              <w:rPr>
                <w:sz w:val="14"/>
              </w:rPr>
              <w:t>2.0</w:t>
            </w:r>
          </w:p>
        </w:tc>
        <w:tc>
          <w:tcPr>
            <w:tcW w:w="1059" w:type="dxa"/>
            <w:gridSpan w:val="2"/>
            <w:tcBorders>
              <w:left w:val="dotted" w:sz="4" w:space="0" w:color="30859C"/>
            </w:tcBorders>
            <w:shd w:val="clear" w:color="auto" w:fill="77DFDD"/>
          </w:tcPr>
          <w:p>
            <w:pPr>
              <w:pStyle w:val="TableParagraph"/>
              <w:spacing w:before="20"/>
              <w:ind w:left="252"/>
              <w:jc w:val="left"/>
              <w:rPr>
                <w:sz w:val="14"/>
              </w:rPr>
            </w:pPr>
            <w:r>
              <w:rPr>
                <w:sz w:val="14"/>
              </w:rPr>
              <w:t>3.8 </w:t>
            </w:r>
            <w:r>
              <w:rPr>
                <w:rFonts w:ascii="Calibri" w:hAnsi="Calibri"/>
                <w:sz w:val="14"/>
              </w:rPr>
              <w:t>± </w:t>
            </w:r>
            <w:r>
              <w:rPr>
                <w:sz w:val="14"/>
              </w:rPr>
              <w:t>2.9</w:t>
            </w:r>
          </w:p>
        </w:tc>
        <w:tc>
          <w:tcPr>
            <w:tcW w:w="747" w:type="dxa"/>
            <w:shd w:val="clear" w:color="auto" w:fill="77DFDD"/>
          </w:tcPr>
          <w:p>
            <w:pPr>
              <w:pStyle w:val="TableParagraph"/>
              <w:spacing w:before="22"/>
              <w:ind w:left="187" w:right="181"/>
              <w:rPr>
                <w:sz w:val="14"/>
              </w:rPr>
            </w:pPr>
            <w:r>
              <w:rPr>
                <w:sz w:val="14"/>
              </w:rPr>
              <w:t>0.3*</w:t>
            </w:r>
          </w:p>
        </w:tc>
        <w:tc>
          <w:tcPr>
            <w:tcW w:w="1081" w:type="dxa"/>
            <w:gridSpan w:val="2"/>
            <w:tcBorders>
              <w:right w:val="dotted" w:sz="4" w:space="0" w:color="30859C"/>
            </w:tcBorders>
            <w:shd w:val="clear" w:color="auto" w:fill="77DFDD"/>
          </w:tcPr>
          <w:p>
            <w:pPr>
              <w:pStyle w:val="TableParagraph"/>
              <w:spacing w:before="20"/>
              <w:ind w:left="238"/>
              <w:jc w:val="left"/>
              <w:rPr>
                <w:sz w:val="14"/>
              </w:rPr>
            </w:pPr>
            <w:r>
              <w:rPr>
                <w:sz w:val="14"/>
              </w:rPr>
              <w:t>8.3 </w:t>
            </w:r>
            <w:r>
              <w:rPr>
                <w:rFonts w:ascii="Calibri" w:hAnsi="Calibri"/>
                <w:sz w:val="14"/>
              </w:rPr>
              <w:t>± </w:t>
            </w:r>
            <w:r>
              <w:rPr>
                <w:sz w:val="14"/>
              </w:rPr>
              <w:t>10.4</w:t>
            </w:r>
          </w:p>
        </w:tc>
        <w:tc>
          <w:tcPr>
            <w:tcW w:w="1199" w:type="dxa"/>
            <w:gridSpan w:val="2"/>
            <w:tcBorders>
              <w:left w:val="dotted" w:sz="4" w:space="0" w:color="30859C"/>
            </w:tcBorders>
            <w:shd w:val="clear" w:color="auto" w:fill="77DFDD"/>
          </w:tcPr>
          <w:p>
            <w:pPr>
              <w:pStyle w:val="TableParagraph"/>
              <w:spacing w:before="20"/>
              <w:ind w:left="271"/>
              <w:jc w:val="left"/>
              <w:rPr>
                <w:sz w:val="14"/>
              </w:rPr>
            </w:pPr>
            <w:r>
              <w:rPr>
                <w:sz w:val="14"/>
              </w:rPr>
              <w:t>8.2 </w:t>
            </w:r>
            <w:r>
              <w:rPr>
                <w:rFonts w:ascii="Calibri" w:hAnsi="Calibri"/>
                <w:sz w:val="14"/>
              </w:rPr>
              <w:t>± </w:t>
            </w:r>
            <w:r>
              <w:rPr>
                <w:sz w:val="14"/>
              </w:rPr>
              <w:t>10.1</w:t>
            </w:r>
          </w:p>
        </w:tc>
        <w:tc>
          <w:tcPr>
            <w:tcW w:w="591" w:type="dxa"/>
            <w:shd w:val="clear" w:color="auto" w:fill="77DFDD"/>
          </w:tcPr>
          <w:p>
            <w:pPr>
              <w:pStyle w:val="TableParagraph"/>
              <w:spacing w:before="22"/>
              <w:ind w:left="151" w:right="149"/>
              <w:rPr>
                <w:sz w:val="14"/>
              </w:rPr>
            </w:pPr>
            <w:r>
              <w:rPr>
                <w:sz w:val="14"/>
              </w:rPr>
              <w:t>0.3*</w:t>
            </w:r>
          </w:p>
        </w:tc>
        <w:tc>
          <w:tcPr>
            <w:tcW w:w="1004" w:type="dxa"/>
            <w:gridSpan w:val="2"/>
            <w:shd w:val="clear" w:color="auto" w:fill="77DFDD"/>
          </w:tcPr>
          <w:p>
            <w:pPr>
              <w:pStyle w:val="TableParagraph"/>
              <w:spacing w:before="20"/>
              <w:ind w:left="265"/>
              <w:jc w:val="left"/>
              <w:rPr>
                <w:sz w:val="14"/>
              </w:rPr>
            </w:pPr>
            <w:r>
              <w:rPr>
                <w:sz w:val="14"/>
              </w:rPr>
              <w:t>4.2 </w:t>
            </w:r>
            <w:r>
              <w:rPr>
                <w:rFonts w:ascii="Calibri" w:hAnsi="Calibri"/>
                <w:sz w:val="14"/>
              </w:rPr>
              <w:t>± </w:t>
            </w:r>
            <w:r>
              <w:rPr>
                <w:sz w:val="14"/>
              </w:rPr>
              <w:t>6.2</w:t>
            </w:r>
          </w:p>
        </w:tc>
      </w:tr>
      <w:tr>
        <w:trPr>
          <w:trHeight w:val="318" w:hRule="exact"/>
        </w:trPr>
        <w:tc>
          <w:tcPr>
            <w:tcW w:w="900" w:type="dxa"/>
            <w:shd w:val="clear" w:color="auto" w:fill="B4EDEC"/>
          </w:tcPr>
          <w:p>
            <w:pPr>
              <w:pStyle w:val="TableParagraph"/>
              <w:spacing w:before="23"/>
              <w:ind w:left="359"/>
              <w:jc w:val="left"/>
              <w:rPr>
                <w:sz w:val="14"/>
              </w:rPr>
            </w:pPr>
            <w:r>
              <w:rPr>
                <w:sz w:val="14"/>
              </w:rPr>
              <w:t>CR</w:t>
            </w:r>
          </w:p>
        </w:tc>
        <w:tc>
          <w:tcPr>
            <w:tcW w:w="1087" w:type="dxa"/>
            <w:shd w:val="clear" w:color="auto" w:fill="B4EDEC"/>
          </w:tcPr>
          <w:p>
            <w:pPr>
              <w:pStyle w:val="TableParagraph"/>
              <w:spacing w:before="21"/>
              <w:ind w:left="106" w:right="99"/>
              <w:rPr>
                <w:sz w:val="14"/>
              </w:rPr>
            </w:pPr>
            <w:r>
              <w:rPr>
                <w:sz w:val="14"/>
              </w:rPr>
              <w:t>1.1 </w:t>
            </w:r>
            <w:r>
              <w:rPr>
                <w:rFonts w:ascii="Calibri" w:hAnsi="Calibri"/>
                <w:sz w:val="14"/>
              </w:rPr>
              <w:t>± </w:t>
            </w:r>
            <w:r>
              <w:rPr>
                <w:sz w:val="14"/>
              </w:rPr>
              <w:t>1.8</w:t>
            </w:r>
          </w:p>
        </w:tc>
        <w:tc>
          <w:tcPr>
            <w:tcW w:w="582" w:type="dxa"/>
            <w:shd w:val="clear" w:color="auto" w:fill="B4EDEC"/>
          </w:tcPr>
          <w:p>
            <w:pPr>
              <w:pStyle w:val="TableParagraph"/>
              <w:spacing w:before="23"/>
              <w:ind w:left="102" w:right="102"/>
              <w:rPr>
                <w:sz w:val="14"/>
              </w:rPr>
            </w:pPr>
            <w:r>
              <w:rPr>
                <w:sz w:val="14"/>
              </w:rPr>
              <w:t>0.8*</w:t>
            </w:r>
          </w:p>
        </w:tc>
        <w:tc>
          <w:tcPr>
            <w:tcW w:w="972" w:type="dxa"/>
            <w:tcBorders>
              <w:right w:val="dotted" w:sz="4" w:space="0" w:color="30859C"/>
            </w:tcBorders>
            <w:shd w:val="clear" w:color="auto" w:fill="B4EDEC"/>
          </w:tcPr>
          <w:p>
            <w:pPr>
              <w:pStyle w:val="TableParagraph"/>
              <w:spacing w:before="21"/>
              <w:ind w:left="220"/>
              <w:jc w:val="left"/>
              <w:rPr>
                <w:sz w:val="14"/>
              </w:rPr>
            </w:pPr>
            <w:r>
              <w:rPr>
                <w:sz w:val="14"/>
              </w:rPr>
              <w:t>1.2 </w:t>
            </w:r>
            <w:r>
              <w:rPr>
                <w:rFonts w:ascii="Calibri" w:hAnsi="Calibri"/>
                <w:sz w:val="14"/>
              </w:rPr>
              <w:t>± </w:t>
            </w:r>
            <w:r>
              <w:rPr>
                <w:sz w:val="14"/>
              </w:rPr>
              <w:t>2.1</w:t>
            </w:r>
          </w:p>
        </w:tc>
        <w:tc>
          <w:tcPr>
            <w:tcW w:w="1059" w:type="dxa"/>
            <w:gridSpan w:val="2"/>
            <w:tcBorders>
              <w:left w:val="dotted" w:sz="4" w:space="0" w:color="30859C"/>
            </w:tcBorders>
            <w:shd w:val="clear" w:color="auto" w:fill="B4EDEC"/>
          </w:tcPr>
          <w:p>
            <w:pPr>
              <w:pStyle w:val="TableParagraph"/>
              <w:spacing w:before="21"/>
              <w:ind w:left="252"/>
              <w:jc w:val="left"/>
              <w:rPr>
                <w:sz w:val="14"/>
              </w:rPr>
            </w:pPr>
            <w:r>
              <w:rPr>
                <w:sz w:val="14"/>
              </w:rPr>
              <w:t>0.4 </w:t>
            </w:r>
            <w:r>
              <w:rPr>
                <w:rFonts w:ascii="Calibri" w:hAnsi="Calibri"/>
                <w:sz w:val="14"/>
              </w:rPr>
              <w:t>± </w:t>
            </w:r>
            <w:r>
              <w:rPr>
                <w:sz w:val="14"/>
              </w:rPr>
              <w:t>0.5</w:t>
            </w:r>
          </w:p>
        </w:tc>
        <w:tc>
          <w:tcPr>
            <w:tcW w:w="747" w:type="dxa"/>
            <w:shd w:val="clear" w:color="auto" w:fill="B4EDEC"/>
          </w:tcPr>
          <w:p>
            <w:pPr>
              <w:pStyle w:val="TableParagraph"/>
              <w:spacing w:before="23"/>
              <w:ind w:left="187" w:right="181"/>
              <w:rPr>
                <w:sz w:val="14"/>
              </w:rPr>
            </w:pPr>
            <w:r>
              <w:rPr>
                <w:sz w:val="14"/>
              </w:rPr>
              <w:t>0.4*</w:t>
            </w:r>
          </w:p>
        </w:tc>
        <w:tc>
          <w:tcPr>
            <w:tcW w:w="1081" w:type="dxa"/>
            <w:gridSpan w:val="2"/>
            <w:tcBorders>
              <w:right w:val="dotted" w:sz="4" w:space="0" w:color="30859C"/>
            </w:tcBorders>
            <w:shd w:val="clear" w:color="auto" w:fill="B4EDEC"/>
          </w:tcPr>
          <w:p>
            <w:pPr>
              <w:pStyle w:val="TableParagraph"/>
              <w:spacing w:before="21"/>
              <w:ind w:left="281"/>
              <w:jc w:val="left"/>
              <w:rPr>
                <w:sz w:val="14"/>
              </w:rPr>
            </w:pPr>
            <w:r>
              <w:rPr>
                <w:sz w:val="14"/>
              </w:rPr>
              <w:t>1.2 </w:t>
            </w:r>
            <w:r>
              <w:rPr>
                <w:rFonts w:ascii="Calibri" w:hAnsi="Calibri"/>
                <w:sz w:val="14"/>
              </w:rPr>
              <w:t>± </w:t>
            </w:r>
            <w:r>
              <w:rPr>
                <w:sz w:val="14"/>
              </w:rPr>
              <w:t>1.9</w:t>
            </w:r>
          </w:p>
        </w:tc>
        <w:tc>
          <w:tcPr>
            <w:tcW w:w="1199" w:type="dxa"/>
            <w:gridSpan w:val="2"/>
            <w:tcBorders>
              <w:left w:val="dotted" w:sz="4" w:space="0" w:color="30859C"/>
            </w:tcBorders>
            <w:shd w:val="clear" w:color="auto" w:fill="B4EDEC"/>
          </w:tcPr>
          <w:p>
            <w:pPr>
              <w:pStyle w:val="TableParagraph"/>
              <w:spacing w:before="21"/>
              <w:ind w:left="304"/>
              <w:jc w:val="left"/>
              <w:rPr>
                <w:sz w:val="14"/>
              </w:rPr>
            </w:pPr>
            <w:r>
              <w:rPr>
                <w:sz w:val="14"/>
              </w:rPr>
              <w:t>1.0 </w:t>
            </w:r>
            <w:r>
              <w:rPr>
                <w:rFonts w:ascii="Calibri" w:hAnsi="Calibri"/>
                <w:sz w:val="14"/>
              </w:rPr>
              <w:t>± </w:t>
            </w:r>
            <w:r>
              <w:rPr>
                <w:sz w:val="14"/>
              </w:rPr>
              <w:t>1.7</w:t>
            </w:r>
          </w:p>
        </w:tc>
        <w:tc>
          <w:tcPr>
            <w:tcW w:w="591" w:type="dxa"/>
            <w:shd w:val="clear" w:color="auto" w:fill="B4EDEC"/>
          </w:tcPr>
          <w:p>
            <w:pPr>
              <w:pStyle w:val="TableParagraph"/>
              <w:spacing w:before="23"/>
              <w:ind w:left="151" w:right="149"/>
              <w:rPr>
                <w:sz w:val="14"/>
              </w:rPr>
            </w:pPr>
            <w:r>
              <w:rPr>
                <w:sz w:val="14"/>
              </w:rPr>
              <w:t>0.3*</w:t>
            </w:r>
          </w:p>
        </w:tc>
        <w:tc>
          <w:tcPr>
            <w:tcW w:w="1004" w:type="dxa"/>
            <w:gridSpan w:val="2"/>
            <w:shd w:val="clear" w:color="auto" w:fill="B4EDEC"/>
          </w:tcPr>
          <w:p>
            <w:pPr>
              <w:pStyle w:val="TableParagraph"/>
              <w:spacing w:before="21"/>
              <w:ind w:left="265"/>
              <w:jc w:val="left"/>
              <w:rPr>
                <w:sz w:val="14"/>
              </w:rPr>
            </w:pPr>
            <w:r>
              <w:rPr>
                <w:sz w:val="14"/>
              </w:rPr>
              <w:t>2.2 </w:t>
            </w:r>
            <w:r>
              <w:rPr>
                <w:rFonts w:ascii="Calibri" w:hAnsi="Calibri"/>
                <w:sz w:val="14"/>
              </w:rPr>
              <w:t>± </w:t>
            </w:r>
            <w:r>
              <w:rPr>
                <w:sz w:val="14"/>
              </w:rPr>
              <w:t>2.5</w:t>
            </w:r>
          </w:p>
        </w:tc>
      </w:tr>
      <w:tr>
        <w:trPr>
          <w:trHeight w:val="318" w:hRule="exact"/>
        </w:trPr>
        <w:tc>
          <w:tcPr>
            <w:tcW w:w="900" w:type="dxa"/>
            <w:shd w:val="clear" w:color="auto" w:fill="77DFDD"/>
          </w:tcPr>
          <w:p>
            <w:pPr>
              <w:pStyle w:val="TableParagraph"/>
              <w:spacing w:before="24"/>
              <w:ind w:left="370"/>
              <w:jc w:val="left"/>
              <w:rPr>
                <w:sz w:val="14"/>
              </w:rPr>
            </w:pPr>
            <w:r>
              <w:rPr>
                <w:sz w:val="14"/>
              </w:rPr>
              <w:t>CL</w:t>
            </w:r>
          </w:p>
        </w:tc>
        <w:tc>
          <w:tcPr>
            <w:tcW w:w="1087" w:type="dxa"/>
            <w:shd w:val="clear" w:color="auto" w:fill="77DFDD"/>
          </w:tcPr>
          <w:p>
            <w:pPr>
              <w:pStyle w:val="TableParagraph"/>
              <w:spacing w:before="22"/>
              <w:ind w:left="106" w:right="88"/>
              <w:rPr>
                <w:sz w:val="14"/>
              </w:rPr>
            </w:pPr>
            <w:r>
              <w:rPr>
                <w:sz w:val="14"/>
              </w:rPr>
              <w:t>11.9 </w:t>
            </w:r>
            <w:r>
              <w:rPr>
                <w:rFonts w:ascii="Calibri" w:hAnsi="Calibri"/>
                <w:sz w:val="14"/>
              </w:rPr>
              <w:t>± </w:t>
            </w:r>
            <w:r>
              <w:rPr>
                <w:sz w:val="14"/>
              </w:rPr>
              <w:t>10.6</w:t>
            </w:r>
          </w:p>
        </w:tc>
        <w:tc>
          <w:tcPr>
            <w:tcW w:w="582" w:type="dxa"/>
            <w:shd w:val="clear" w:color="auto" w:fill="BEBEBE"/>
          </w:tcPr>
          <w:p>
            <w:pPr>
              <w:pStyle w:val="TableParagraph"/>
              <w:spacing w:before="24"/>
              <w:ind w:left="111" w:right="102"/>
              <w:rPr>
                <w:b/>
                <w:sz w:val="14"/>
              </w:rPr>
            </w:pPr>
            <w:r>
              <w:rPr>
                <w:b/>
                <w:sz w:val="14"/>
              </w:rPr>
              <w:t>0.05*</w:t>
            </w:r>
          </w:p>
        </w:tc>
        <w:tc>
          <w:tcPr>
            <w:tcW w:w="972" w:type="dxa"/>
            <w:tcBorders>
              <w:right w:val="dotted" w:sz="4" w:space="0" w:color="30859C"/>
            </w:tcBorders>
            <w:shd w:val="clear" w:color="auto" w:fill="77DFDD"/>
          </w:tcPr>
          <w:p>
            <w:pPr>
              <w:pStyle w:val="TableParagraph"/>
              <w:spacing w:before="22"/>
              <w:ind w:left="220"/>
              <w:jc w:val="left"/>
              <w:rPr>
                <w:sz w:val="14"/>
              </w:rPr>
            </w:pPr>
            <w:r>
              <w:rPr>
                <w:sz w:val="14"/>
              </w:rPr>
              <w:t>3.8 </w:t>
            </w:r>
            <w:r>
              <w:rPr>
                <w:rFonts w:ascii="Calibri" w:hAnsi="Calibri"/>
                <w:sz w:val="14"/>
              </w:rPr>
              <w:t>± </w:t>
            </w:r>
            <w:r>
              <w:rPr>
                <w:sz w:val="14"/>
              </w:rPr>
              <w:t>2.8</w:t>
            </w:r>
          </w:p>
        </w:tc>
        <w:tc>
          <w:tcPr>
            <w:tcW w:w="1059" w:type="dxa"/>
            <w:gridSpan w:val="2"/>
            <w:tcBorders>
              <w:left w:val="dotted" w:sz="4" w:space="0" w:color="30859C"/>
            </w:tcBorders>
            <w:shd w:val="clear" w:color="auto" w:fill="77DFDD"/>
          </w:tcPr>
          <w:p>
            <w:pPr>
              <w:pStyle w:val="TableParagraph"/>
              <w:spacing w:before="22"/>
              <w:ind w:left="252"/>
              <w:jc w:val="left"/>
              <w:rPr>
                <w:sz w:val="14"/>
              </w:rPr>
            </w:pPr>
            <w:r>
              <w:rPr>
                <w:sz w:val="14"/>
              </w:rPr>
              <w:t>4.2 </w:t>
            </w:r>
            <w:r>
              <w:rPr>
                <w:rFonts w:ascii="Calibri" w:hAnsi="Calibri"/>
                <w:sz w:val="14"/>
              </w:rPr>
              <w:t>± </w:t>
            </w:r>
            <w:r>
              <w:rPr>
                <w:sz w:val="14"/>
              </w:rPr>
              <w:t>6.0</w:t>
            </w:r>
          </w:p>
        </w:tc>
        <w:tc>
          <w:tcPr>
            <w:tcW w:w="747" w:type="dxa"/>
            <w:shd w:val="clear" w:color="auto" w:fill="BEBEBE"/>
          </w:tcPr>
          <w:p>
            <w:pPr>
              <w:pStyle w:val="TableParagraph"/>
              <w:spacing w:before="24"/>
              <w:ind w:left="198" w:right="181"/>
              <w:rPr>
                <w:sz w:val="14"/>
              </w:rPr>
            </w:pPr>
            <w:r>
              <w:rPr>
                <w:b/>
                <w:sz w:val="14"/>
              </w:rPr>
              <w:t>0.02</w:t>
            </w:r>
            <w:r>
              <w:rPr>
                <w:sz w:val="14"/>
              </w:rPr>
              <w:t>*</w:t>
            </w:r>
          </w:p>
        </w:tc>
        <w:tc>
          <w:tcPr>
            <w:tcW w:w="598" w:type="dxa"/>
            <w:shd w:val="clear" w:color="auto" w:fill="77DFDD"/>
          </w:tcPr>
          <w:p>
            <w:pPr>
              <w:pStyle w:val="TableParagraph"/>
              <w:spacing w:before="22"/>
              <w:ind w:right="22"/>
              <w:jc w:val="right"/>
              <w:rPr>
                <w:rFonts w:ascii="Calibri" w:hAnsi="Calibri"/>
                <w:sz w:val="14"/>
              </w:rPr>
            </w:pPr>
            <w:r>
              <w:rPr>
                <w:sz w:val="14"/>
              </w:rPr>
              <w:t>12.1 </w:t>
            </w:r>
            <w:r>
              <w:rPr>
                <w:rFonts w:ascii="Calibri" w:hAnsi="Calibri"/>
                <w:sz w:val="14"/>
              </w:rPr>
              <w:t>±</w:t>
            </w:r>
          </w:p>
        </w:tc>
        <w:tc>
          <w:tcPr>
            <w:tcW w:w="484" w:type="dxa"/>
            <w:tcBorders>
              <w:right w:val="dotted" w:sz="4" w:space="0" w:color="30859C"/>
            </w:tcBorders>
            <w:shd w:val="clear" w:color="auto" w:fill="77DFDD"/>
          </w:tcPr>
          <w:p>
            <w:pPr>
              <w:pStyle w:val="TableParagraph"/>
              <w:spacing w:before="24"/>
              <w:ind w:left="24"/>
              <w:jc w:val="left"/>
              <w:rPr>
                <w:sz w:val="14"/>
              </w:rPr>
            </w:pPr>
            <w:r>
              <w:rPr>
                <w:sz w:val="14"/>
              </w:rPr>
              <w:t>10.6</w:t>
            </w:r>
          </w:p>
        </w:tc>
        <w:tc>
          <w:tcPr>
            <w:tcW w:w="637" w:type="dxa"/>
            <w:tcBorders>
              <w:left w:val="dotted" w:sz="4" w:space="0" w:color="30859C"/>
            </w:tcBorders>
            <w:shd w:val="clear" w:color="auto" w:fill="77DFDD"/>
          </w:tcPr>
          <w:p>
            <w:pPr>
              <w:pStyle w:val="TableParagraph"/>
              <w:spacing w:before="22"/>
              <w:ind w:right="22"/>
              <w:jc w:val="right"/>
              <w:rPr>
                <w:rFonts w:ascii="Calibri" w:hAnsi="Calibri"/>
                <w:sz w:val="14"/>
              </w:rPr>
            </w:pPr>
            <w:r>
              <w:rPr>
                <w:sz w:val="14"/>
              </w:rPr>
              <w:t>11.2 </w:t>
            </w:r>
            <w:r>
              <w:rPr>
                <w:rFonts w:ascii="Calibri" w:hAnsi="Calibri"/>
                <w:sz w:val="14"/>
              </w:rPr>
              <w:t>±</w:t>
            </w:r>
          </w:p>
        </w:tc>
        <w:tc>
          <w:tcPr>
            <w:tcW w:w="562" w:type="dxa"/>
            <w:shd w:val="clear" w:color="auto" w:fill="77DFDD"/>
          </w:tcPr>
          <w:p>
            <w:pPr>
              <w:pStyle w:val="TableParagraph"/>
              <w:spacing w:before="24"/>
              <w:ind w:left="24"/>
              <w:jc w:val="left"/>
              <w:rPr>
                <w:sz w:val="14"/>
              </w:rPr>
            </w:pPr>
            <w:r>
              <w:rPr>
                <w:sz w:val="14"/>
              </w:rPr>
              <w:t>10.5</w:t>
            </w:r>
          </w:p>
        </w:tc>
        <w:tc>
          <w:tcPr>
            <w:tcW w:w="591" w:type="dxa"/>
            <w:shd w:val="clear" w:color="auto" w:fill="77DFDD"/>
          </w:tcPr>
          <w:p>
            <w:pPr>
              <w:pStyle w:val="TableParagraph"/>
              <w:spacing w:before="24"/>
              <w:ind w:left="151" w:right="149"/>
              <w:rPr>
                <w:sz w:val="14"/>
              </w:rPr>
            </w:pPr>
            <w:r>
              <w:rPr>
                <w:sz w:val="14"/>
              </w:rPr>
              <w:t>0.9*</w:t>
            </w:r>
          </w:p>
        </w:tc>
        <w:tc>
          <w:tcPr>
            <w:tcW w:w="582" w:type="dxa"/>
            <w:shd w:val="clear" w:color="auto" w:fill="77DFDD"/>
          </w:tcPr>
          <w:p>
            <w:pPr>
              <w:pStyle w:val="TableParagraph"/>
              <w:spacing w:before="22"/>
              <w:ind w:right="22"/>
              <w:jc w:val="right"/>
              <w:rPr>
                <w:rFonts w:ascii="Calibri" w:hAnsi="Calibri"/>
                <w:sz w:val="14"/>
              </w:rPr>
            </w:pPr>
            <w:r>
              <w:rPr>
                <w:sz w:val="14"/>
              </w:rPr>
              <w:t>11.0 </w:t>
            </w:r>
            <w:r>
              <w:rPr>
                <w:rFonts w:ascii="Calibri" w:hAnsi="Calibri"/>
                <w:sz w:val="14"/>
              </w:rPr>
              <w:t>±</w:t>
            </w:r>
          </w:p>
        </w:tc>
        <w:tc>
          <w:tcPr>
            <w:tcW w:w="422" w:type="dxa"/>
            <w:shd w:val="clear" w:color="auto" w:fill="77DFDD"/>
          </w:tcPr>
          <w:p>
            <w:pPr>
              <w:pStyle w:val="TableParagraph"/>
              <w:spacing w:before="24"/>
              <w:ind w:left="24"/>
              <w:jc w:val="left"/>
              <w:rPr>
                <w:sz w:val="14"/>
              </w:rPr>
            </w:pPr>
            <w:r>
              <w:rPr>
                <w:sz w:val="14"/>
              </w:rPr>
              <w:t>10.3</w:t>
            </w:r>
          </w:p>
        </w:tc>
      </w:tr>
      <w:tr>
        <w:trPr>
          <w:trHeight w:val="318" w:hRule="exact"/>
        </w:trPr>
        <w:tc>
          <w:tcPr>
            <w:tcW w:w="900" w:type="dxa"/>
            <w:shd w:val="clear" w:color="auto" w:fill="B4EDEC"/>
          </w:tcPr>
          <w:p>
            <w:pPr>
              <w:pStyle w:val="TableParagraph"/>
              <w:spacing w:before="25"/>
              <w:ind w:left="315"/>
              <w:jc w:val="left"/>
              <w:rPr>
                <w:sz w:val="14"/>
              </w:rPr>
            </w:pPr>
            <w:r>
              <w:rPr>
                <w:sz w:val="14"/>
              </w:rPr>
              <w:t>TAN</w:t>
            </w:r>
          </w:p>
        </w:tc>
        <w:tc>
          <w:tcPr>
            <w:tcW w:w="1087" w:type="dxa"/>
            <w:shd w:val="clear" w:color="auto" w:fill="B4EDEC"/>
          </w:tcPr>
          <w:p>
            <w:pPr>
              <w:pStyle w:val="TableParagraph"/>
              <w:spacing w:before="23"/>
              <w:ind w:left="106" w:right="88"/>
              <w:rPr>
                <w:sz w:val="14"/>
              </w:rPr>
            </w:pPr>
            <w:r>
              <w:rPr>
                <w:sz w:val="14"/>
              </w:rPr>
              <w:t>52.2 </w:t>
            </w:r>
            <w:r>
              <w:rPr>
                <w:rFonts w:ascii="Calibri" w:hAnsi="Calibri"/>
                <w:sz w:val="14"/>
              </w:rPr>
              <w:t>± </w:t>
            </w:r>
            <w:r>
              <w:rPr>
                <w:sz w:val="14"/>
              </w:rPr>
              <w:t>28.3</w:t>
            </w:r>
          </w:p>
        </w:tc>
        <w:tc>
          <w:tcPr>
            <w:tcW w:w="582" w:type="dxa"/>
            <w:shd w:val="clear" w:color="auto" w:fill="BEBEBE"/>
          </w:tcPr>
          <w:p>
            <w:pPr>
              <w:pStyle w:val="TableParagraph"/>
              <w:spacing w:before="25"/>
              <w:ind w:left="111" w:right="102"/>
              <w:rPr>
                <w:b/>
                <w:sz w:val="14"/>
              </w:rPr>
            </w:pPr>
            <w:r>
              <w:rPr>
                <w:b/>
                <w:sz w:val="14"/>
              </w:rPr>
              <w:t>0.04*</w:t>
            </w:r>
          </w:p>
        </w:tc>
        <w:tc>
          <w:tcPr>
            <w:tcW w:w="972" w:type="dxa"/>
            <w:tcBorders>
              <w:right w:val="dotted" w:sz="4" w:space="0" w:color="30859C"/>
            </w:tcBorders>
            <w:shd w:val="clear" w:color="auto" w:fill="B4EDEC"/>
          </w:tcPr>
          <w:p>
            <w:pPr>
              <w:pStyle w:val="TableParagraph"/>
              <w:spacing w:before="23"/>
              <w:ind w:left="132"/>
              <w:jc w:val="left"/>
              <w:rPr>
                <w:sz w:val="14"/>
              </w:rPr>
            </w:pPr>
            <w:r>
              <w:rPr>
                <w:sz w:val="14"/>
              </w:rPr>
              <w:t>29.4 </w:t>
            </w:r>
            <w:r>
              <w:rPr>
                <w:rFonts w:ascii="Calibri" w:hAnsi="Calibri"/>
                <w:sz w:val="14"/>
              </w:rPr>
              <w:t>± </w:t>
            </w:r>
            <w:r>
              <w:rPr>
                <w:sz w:val="14"/>
              </w:rPr>
              <w:t>11.3</w:t>
            </w:r>
          </w:p>
        </w:tc>
        <w:tc>
          <w:tcPr>
            <w:tcW w:w="574" w:type="dxa"/>
            <w:tcBorders>
              <w:left w:val="dotted" w:sz="4" w:space="0" w:color="30859C"/>
            </w:tcBorders>
            <w:shd w:val="clear" w:color="auto" w:fill="B4EDEC"/>
          </w:tcPr>
          <w:p>
            <w:pPr>
              <w:pStyle w:val="TableParagraph"/>
              <w:spacing w:before="23"/>
              <w:ind w:right="22"/>
              <w:jc w:val="right"/>
              <w:rPr>
                <w:rFonts w:ascii="Calibri" w:hAnsi="Calibri"/>
                <w:sz w:val="14"/>
              </w:rPr>
            </w:pPr>
            <w:r>
              <w:rPr>
                <w:sz w:val="14"/>
              </w:rPr>
              <w:t>38.4 </w:t>
            </w:r>
            <w:r>
              <w:rPr>
                <w:rFonts w:ascii="Calibri" w:hAnsi="Calibri"/>
                <w:sz w:val="14"/>
              </w:rPr>
              <w:t>±</w:t>
            </w:r>
          </w:p>
        </w:tc>
        <w:tc>
          <w:tcPr>
            <w:tcW w:w="486" w:type="dxa"/>
            <w:shd w:val="clear" w:color="auto" w:fill="B4EDEC"/>
          </w:tcPr>
          <w:p>
            <w:pPr>
              <w:pStyle w:val="TableParagraph"/>
              <w:spacing w:before="25"/>
              <w:ind w:left="24"/>
              <w:jc w:val="left"/>
              <w:rPr>
                <w:sz w:val="14"/>
              </w:rPr>
            </w:pPr>
            <w:r>
              <w:rPr>
                <w:sz w:val="14"/>
              </w:rPr>
              <w:t>22.5</w:t>
            </w:r>
          </w:p>
        </w:tc>
        <w:tc>
          <w:tcPr>
            <w:tcW w:w="747" w:type="dxa"/>
            <w:shd w:val="clear" w:color="auto" w:fill="B4EDEC"/>
          </w:tcPr>
          <w:p>
            <w:pPr>
              <w:pStyle w:val="TableParagraph"/>
              <w:spacing w:before="25"/>
              <w:ind w:left="187" w:right="181"/>
              <w:rPr>
                <w:sz w:val="14"/>
              </w:rPr>
            </w:pPr>
            <w:r>
              <w:rPr>
                <w:sz w:val="14"/>
              </w:rPr>
              <w:t>0.2*</w:t>
            </w:r>
          </w:p>
        </w:tc>
        <w:tc>
          <w:tcPr>
            <w:tcW w:w="598" w:type="dxa"/>
            <w:shd w:val="clear" w:color="auto" w:fill="B4EDEC"/>
          </w:tcPr>
          <w:p>
            <w:pPr>
              <w:pStyle w:val="TableParagraph"/>
              <w:spacing w:before="23"/>
              <w:ind w:right="22"/>
              <w:jc w:val="right"/>
              <w:rPr>
                <w:rFonts w:ascii="Calibri" w:hAnsi="Calibri"/>
                <w:sz w:val="14"/>
              </w:rPr>
            </w:pPr>
            <w:r>
              <w:rPr>
                <w:sz w:val="14"/>
              </w:rPr>
              <w:t>51.9 </w:t>
            </w:r>
            <w:r>
              <w:rPr>
                <w:rFonts w:ascii="Calibri" w:hAnsi="Calibri"/>
                <w:sz w:val="14"/>
              </w:rPr>
              <w:t>±</w:t>
            </w:r>
          </w:p>
        </w:tc>
        <w:tc>
          <w:tcPr>
            <w:tcW w:w="484" w:type="dxa"/>
            <w:tcBorders>
              <w:right w:val="dotted" w:sz="4" w:space="0" w:color="30859C"/>
            </w:tcBorders>
            <w:shd w:val="clear" w:color="auto" w:fill="B4EDEC"/>
          </w:tcPr>
          <w:p>
            <w:pPr>
              <w:pStyle w:val="TableParagraph"/>
              <w:spacing w:before="25"/>
              <w:ind w:left="24"/>
              <w:jc w:val="left"/>
              <w:rPr>
                <w:sz w:val="14"/>
              </w:rPr>
            </w:pPr>
            <w:r>
              <w:rPr>
                <w:sz w:val="14"/>
              </w:rPr>
              <w:t>28.4</w:t>
            </w:r>
          </w:p>
        </w:tc>
        <w:tc>
          <w:tcPr>
            <w:tcW w:w="637" w:type="dxa"/>
            <w:tcBorders>
              <w:left w:val="dotted" w:sz="4" w:space="0" w:color="30859C"/>
            </w:tcBorders>
            <w:shd w:val="clear" w:color="auto" w:fill="B4EDEC"/>
          </w:tcPr>
          <w:p>
            <w:pPr>
              <w:pStyle w:val="TableParagraph"/>
              <w:spacing w:before="23"/>
              <w:ind w:right="22"/>
              <w:jc w:val="right"/>
              <w:rPr>
                <w:rFonts w:ascii="Calibri" w:hAnsi="Calibri"/>
                <w:sz w:val="14"/>
              </w:rPr>
            </w:pPr>
            <w:r>
              <w:rPr>
                <w:sz w:val="14"/>
              </w:rPr>
              <w:t>50.2 </w:t>
            </w:r>
            <w:r>
              <w:rPr>
                <w:rFonts w:ascii="Calibri" w:hAnsi="Calibri"/>
                <w:sz w:val="14"/>
              </w:rPr>
              <w:t>±</w:t>
            </w:r>
          </w:p>
        </w:tc>
        <w:tc>
          <w:tcPr>
            <w:tcW w:w="562" w:type="dxa"/>
            <w:shd w:val="clear" w:color="auto" w:fill="B4EDEC"/>
          </w:tcPr>
          <w:p>
            <w:pPr>
              <w:pStyle w:val="TableParagraph"/>
              <w:spacing w:before="25"/>
              <w:ind w:left="24"/>
              <w:jc w:val="left"/>
              <w:rPr>
                <w:sz w:val="14"/>
              </w:rPr>
            </w:pPr>
            <w:r>
              <w:rPr>
                <w:sz w:val="14"/>
              </w:rPr>
              <w:t>28.9</w:t>
            </w:r>
          </w:p>
        </w:tc>
        <w:tc>
          <w:tcPr>
            <w:tcW w:w="591" w:type="dxa"/>
            <w:shd w:val="clear" w:color="auto" w:fill="B4EDEC"/>
          </w:tcPr>
          <w:p>
            <w:pPr>
              <w:pStyle w:val="TableParagraph"/>
              <w:spacing w:before="25"/>
              <w:ind w:left="151" w:right="149"/>
              <w:rPr>
                <w:sz w:val="14"/>
              </w:rPr>
            </w:pPr>
            <w:r>
              <w:rPr>
                <w:sz w:val="14"/>
              </w:rPr>
              <w:t>0.5*</w:t>
            </w:r>
          </w:p>
        </w:tc>
        <w:tc>
          <w:tcPr>
            <w:tcW w:w="582" w:type="dxa"/>
            <w:shd w:val="clear" w:color="auto" w:fill="B4EDEC"/>
          </w:tcPr>
          <w:p>
            <w:pPr>
              <w:pStyle w:val="TableParagraph"/>
              <w:spacing w:before="23"/>
              <w:ind w:right="22"/>
              <w:jc w:val="right"/>
              <w:rPr>
                <w:rFonts w:ascii="Calibri" w:hAnsi="Calibri"/>
                <w:sz w:val="14"/>
              </w:rPr>
            </w:pPr>
            <w:r>
              <w:rPr>
                <w:sz w:val="14"/>
              </w:rPr>
              <w:t>53.0 </w:t>
            </w:r>
            <w:r>
              <w:rPr>
                <w:rFonts w:ascii="Calibri" w:hAnsi="Calibri"/>
                <w:sz w:val="14"/>
              </w:rPr>
              <w:t>±</w:t>
            </w:r>
          </w:p>
        </w:tc>
        <w:tc>
          <w:tcPr>
            <w:tcW w:w="422" w:type="dxa"/>
            <w:shd w:val="clear" w:color="auto" w:fill="B4EDEC"/>
          </w:tcPr>
          <w:p>
            <w:pPr>
              <w:pStyle w:val="TableParagraph"/>
              <w:spacing w:before="25"/>
              <w:ind w:left="24"/>
              <w:jc w:val="left"/>
              <w:rPr>
                <w:sz w:val="14"/>
              </w:rPr>
            </w:pPr>
            <w:r>
              <w:rPr>
                <w:sz w:val="14"/>
              </w:rPr>
              <w:t>16.5</w:t>
            </w:r>
          </w:p>
        </w:tc>
      </w:tr>
    </w:tbl>
    <w:p>
      <w:pPr>
        <w:spacing w:line="146" w:lineRule="exact" w:before="39"/>
        <w:ind w:left="1571" w:right="1703" w:firstLine="0"/>
        <w:jc w:val="left"/>
        <w:rPr>
          <w:sz w:val="12"/>
        </w:rPr>
      </w:pPr>
      <w:r>
        <w:rPr>
          <w:sz w:val="12"/>
        </w:rPr>
        <w:t>Valores expresados en Media</w:t>
      </w:r>
      <w:r>
        <w:rPr>
          <w:rFonts w:ascii="Calibri" w:hAnsi="Calibri"/>
          <w:sz w:val="12"/>
        </w:rPr>
        <w:t>± </w:t>
      </w:r>
      <w:r>
        <w:rPr>
          <w:sz w:val="12"/>
        </w:rPr>
        <w:t>Desviación Estándar; *U de Mann-Whitney</w:t>
      </w:r>
    </w:p>
    <w:p>
      <w:pPr>
        <w:spacing w:line="137" w:lineRule="exact" w:before="0"/>
        <w:ind w:left="1571" w:right="597" w:firstLine="0"/>
        <w:jc w:val="left"/>
        <w:rPr>
          <w:sz w:val="10"/>
        </w:rPr>
      </w:pPr>
      <w:r>
        <w:rPr>
          <w:sz w:val="10"/>
        </w:rPr>
        <w:t>Micronúcleos </w:t>
      </w:r>
      <w:r>
        <w:rPr>
          <w:sz w:val="12"/>
        </w:rPr>
        <w:t>(MN); Binucleada (BN); </w:t>
      </w:r>
      <w:r>
        <w:rPr>
          <w:sz w:val="10"/>
        </w:rPr>
        <w:t>Núcleo Lobulado </w:t>
      </w:r>
      <w:r>
        <w:rPr>
          <w:sz w:val="12"/>
        </w:rPr>
        <w:t>(NL); Picnosis(PC); Cromatina Condensada (CC); Cariorrexis(CR); Cariolisis (CL); Total de Anormalidades Nucleares </w:t>
      </w:r>
      <w:r>
        <w:rPr>
          <w:sz w:val="10"/>
        </w:rPr>
        <w:t>(TAN)</w:t>
      </w:r>
    </w:p>
    <w:p>
      <w:pPr>
        <w:spacing w:after="0" w:line="137" w:lineRule="exact"/>
        <w:jc w:val="left"/>
        <w:rPr>
          <w:sz w:val="10"/>
        </w:rPr>
        <w:sectPr>
          <w:pgSz w:w="12240" w:h="15840"/>
          <w:pgMar w:header="0" w:footer="599" w:top="1500" w:bottom="780" w:left="0" w:right="0"/>
        </w:sectPr>
      </w:pPr>
    </w:p>
    <w:p>
      <w:pPr>
        <w:pStyle w:val="BodyText"/>
        <w:rPr>
          <w:sz w:val="20"/>
        </w:rPr>
      </w:pPr>
    </w:p>
    <w:p>
      <w:pPr>
        <w:pStyle w:val="BodyText"/>
        <w:spacing w:before="2"/>
        <w:rPr>
          <w:sz w:val="25"/>
        </w:rPr>
      </w:pPr>
    </w:p>
    <w:p>
      <w:pPr>
        <w:pStyle w:val="Heading4"/>
        <w:ind w:left="1567" w:right="1703"/>
      </w:pPr>
      <w:r>
        <w:rPr/>
        <w:t>Tabla 8. Niños con actividades en el invernadero</w:t>
      </w:r>
    </w:p>
    <w:p>
      <w:pPr>
        <w:pStyle w:val="BodyText"/>
        <w:spacing w:before="8"/>
        <w:rPr>
          <w:b/>
          <w:sz w:val="21"/>
        </w:rPr>
      </w:pPr>
    </w:p>
    <w:tbl>
      <w:tblPr>
        <w:tblW w:w="0" w:type="auto"/>
        <w:jc w:val="left"/>
        <w:tblInd w:w="154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07"/>
        <w:gridCol w:w="1478"/>
        <w:gridCol w:w="908"/>
        <w:gridCol w:w="1564"/>
        <w:gridCol w:w="1461"/>
        <w:gridCol w:w="917"/>
        <w:gridCol w:w="1370"/>
      </w:tblGrid>
      <w:tr>
        <w:trPr>
          <w:trHeight w:val="782" w:hRule="exact"/>
        </w:trPr>
        <w:tc>
          <w:tcPr>
            <w:tcW w:w="1107" w:type="dxa"/>
            <w:tcBorders>
              <w:right w:val="dotted" w:sz="5" w:space="0" w:color="30859C"/>
            </w:tcBorders>
            <w:shd w:val="clear" w:color="auto" w:fill="33CCCC"/>
          </w:tcPr>
          <w:p>
            <w:pPr/>
          </w:p>
        </w:tc>
        <w:tc>
          <w:tcPr>
            <w:tcW w:w="3950" w:type="dxa"/>
            <w:gridSpan w:val="3"/>
            <w:tcBorders>
              <w:left w:val="dotted" w:sz="5" w:space="0" w:color="30859C"/>
              <w:right w:val="dotted" w:sz="5" w:space="0" w:color="30859C"/>
            </w:tcBorders>
            <w:shd w:val="clear" w:color="auto" w:fill="33CCCC"/>
          </w:tcPr>
          <w:p>
            <w:pPr>
              <w:pStyle w:val="TableParagraph"/>
              <w:spacing w:before="75"/>
              <w:ind w:left="727"/>
              <w:jc w:val="left"/>
              <w:rPr>
                <w:b/>
                <w:sz w:val="17"/>
              </w:rPr>
            </w:pPr>
            <w:r>
              <w:rPr>
                <w:b/>
                <w:sz w:val="17"/>
              </w:rPr>
              <w:t>Actividades en el invernadero</w:t>
            </w:r>
          </w:p>
          <w:p>
            <w:pPr>
              <w:pStyle w:val="TableParagraph"/>
              <w:spacing w:before="3"/>
              <w:jc w:val="left"/>
              <w:rPr>
                <w:b/>
                <w:sz w:val="21"/>
              </w:rPr>
            </w:pPr>
          </w:p>
          <w:p>
            <w:pPr>
              <w:pStyle w:val="TableParagraph"/>
              <w:tabs>
                <w:tab w:pos="1859" w:val="left" w:leader="none"/>
                <w:tab w:pos="3071" w:val="left" w:leader="none"/>
              </w:tabs>
              <w:spacing w:before="1"/>
              <w:ind w:left="592"/>
              <w:jc w:val="left"/>
              <w:rPr>
                <w:b/>
                <w:sz w:val="17"/>
              </w:rPr>
            </w:pPr>
            <w:r>
              <w:rPr>
                <w:b/>
                <w:spacing w:val="-3"/>
                <w:sz w:val="17"/>
              </w:rPr>
              <w:t>SI</w:t>
              <w:tab/>
            </w:r>
            <w:r>
              <w:rPr>
                <w:b/>
                <w:sz w:val="17"/>
              </w:rPr>
              <w:t>p</w:t>
              <w:tab/>
              <w:t>NO</w:t>
            </w:r>
          </w:p>
        </w:tc>
        <w:tc>
          <w:tcPr>
            <w:tcW w:w="3748" w:type="dxa"/>
            <w:gridSpan w:val="3"/>
            <w:tcBorders>
              <w:left w:val="dotted" w:sz="5" w:space="0" w:color="30859C"/>
            </w:tcBorders>
            <w:shd w:val="clear" w:color="auto" w:fill="33CCCC"/>
          </w:tcPr>
          <w:p>
            <w:pPr>
              <w:pStyle w:val="TableParagraph"/>
              <w:spacing w:before="75"/>
              <w:ind w:left="787"/>
              <w:jc w:val="left"/>
              <w:rPr>
                <w:b/>
                <w:sz w:val="17"/>
              </w:rPr>
            </w:pPr>
            <w:r>
              <w:rPr>
                <w:b/>
                <w:sz w:val="17"/>
              </w:rPr>
              <w:t>Frecuencia de actividades</w:t>
            </w:r>
          </w:p>
          <w:p>
            <w:pPr>
              <w:pStyle w:val="TableParagraph"/>
              <w:spacing w:before="3"/>
              <w:jc w:val="left"/>
              <w:rPr>
                <w:b/>
                <w:sz w:val="21"/>
              </w:rPr>
            </w:pPr>
          </w:p>
          <w:p>
            <w:pPr>
              <w:pStyle w:val="TableParagraph"/>
              <w:tabs>
                <w:tab w:pos="1865" w:val="left" w:leader="none"/>
                <w:tab w:pos="2795" w:val="left" w:leader="none"/>
              </w:tabs>
              <w:spacing w:before="1"/>
              <w:ind w:left="322"/>
              <w:jc w:val="left"/>
              <w:rPr>
                <w:b/>
                <w:sz w:val="17"/>
              </w:rPr>
            </w:pPr>
            <w:r>
              <w:rPr>
                <w:b/>
                <w:sz w:val="17"/>
              </w:rPr>
              <w:t>3/semana</w:t>
              <w:tab/>
              <w:t>p</w:t>
              <w:tab/>
              <w:t>1/</w:t>
            </w:r>
            <w:r>
              <w:rPr>
                <w:b/>
                <w:spacing w:val="-8"/>
                <w:sz w:val="17"/>
              </w:rPr>
              <w:t> </w:t>
            </w:r>
            <w:r>
              <w:rPr>
                <w:b/>
                <w:sz w:val="17"/>
              </w:rPr>
              <w:t>mes</w:t>
            </w:r>
          </w:p>
        </w:tc>
      </w:tr>
      <w:tr>
        <w:trPr>
          <w:trHeight w:val="819" w:hRule="exact"/>
        </w:trPr>
        <w:tc>
          <w:tcPr>
            <w:tcW w:w="1107" w:type="dxa"/>
            <w:tcBorders>
              <w:right w:val="dotted" w:sz="5" w:space="0" w:color="30859C"/>
            </w:tcBorders>
            <w:shd w:val="clear" w:color="auto" w:fill="B4EDEC"/>
          </w:tcPr>
          <w:p>
            <w:pPr>
              <w:pStyle w:val="TableParagraph"/>
              <w:spacing w:before="4"/>
              <w:jc w:val="left"/>
              <w:rPr>
                <w:b/>
                <w:sz w:val="16"/>
              </w:rPr>
            </w:pPr>
          </w:p>
          <w:p>
            <w:pPr>
              <w:pStyle w:val="TableParagraph"/>
              <w:spacing w:line="384" w:lineRule="auto" w:before="0"/>
              <w:ind w:left="113" w:right="103" w:firstLine="146"/>
              <w:jc w:val="left"/>
              <w:rPr>
                <w:sz w:val="16"/>
              </w:rPr>
            </w:pPr>
            <w:r>
              <w:rPr>
                <w:sz w:val="16"/>
              </w:rPr>
              <w:t>Total  de la población</w:t>
            </w:r>
          </w:p>
        </w:tc>
        <w:tc>
          <w:tcPr>
            <w:tcW w:w="1478" w:type="dxa"/>
            <w:tcBorders>
              <w:left w:val="dotted" w:sz="5" w:space="0" w:color="30859C"/>
            </w:tcBorders>
            <w:shd w:val="clear" w:color="auto" w:fill="B4EDEC"/>
          </w:tcPr>
          <w:p>
            <w:pPr>
              <w:pStyle w:val="TableParagraph"/>
              <w:spacing w:before="4"/>
              <w:jc w:val="left"/>
              <w:rPr>
                <w:b/>
                <w:sz w:val="16"/>
              </w:rPr>
            </w:pPr>
          </w:p>
          <w:p>
            <w:pPr>
              <w:pStyle w:val="TableParagraph"/>
              <w:spacing w:before="0"/>
              <w:ind w:left="152" w:right="275"/>
              <w:rPr>
                <w:sz w:val="16"/>
              </w:rPr>
            </w:pPr>
            <w:r>
              <w:rPr>
                <w:sz w:val="16"/>
              </w:rPr>
              <w:t>43/63 (68.3%)</w:t>
            </w:r>
          </w:p>
          <w:p>
            <w:pPr>
              <w:pStyle w:val="TableParagraph"/>
              <w:spacing w:before="110"/>
              <w:ind w:left="152" w:right="275"/>
              <w:rPr>
                <w:sz w:val="16"/>
              </w:rPr>
            </w:pPr>
            <w:r>
              <w:rPr>
                <w:sz w:val="16"/>
              </w:rPr>
              <w:t>n = 63</w:t>
            </w:r>
          </w:p>
        </w:tc>
        <w:tc>
          <w:tcPr>
            <w:tcW w:w="908" w:type="dxa"/>
            <w:shd w:val="clear" w:color="auto" w:fill="B4EDEC"/>
          </w:tcPr>
          <w:p>
            <w:pPr/>
          </w:p>
        </w:tc>
        <w:tc>
          <w:tcPr>
            <w:tcW w:w="1564" w:type="dxa"/>
            <w:tcBorders>
              <w:right w:val="dotted" w:sz="5" w:space="0" w:color="30859C"/>
            </w:tcBorders>
            <w:shd w:val="clear" w:color="auto" w:fill="B4EDEC"/>
          </w:tcPr>
          <w:p>
            <w:pPr>
              <w:pStyle w:val="TableParagraph"/>
              <w:spacing w:before="4"/>
              <w:jc w:val="left"/>
              <w:rPr>
                <w:b/>
                <w:sz w:val="16"/>
              </w:rPr>
            </w:pPr>
          </w:p>
          <w:p>
            <w:pPr>
              <w:pStyle w:val="TableParagraph"/>
              <w:spacing w:before="0"/>
              <w:ind w:left="298" w:right="213"/>
              <w:rPr>
                <w:sz w:val="16"/>
              </w:rPr>
            </w:pPr>
            <w:r>
              <w:rPr>
                <w:sz w:val="16"/>
              </w:rPr>
              <w:t>20/63 (31.7%)</w:t>
            </w:r>
          </w:p>
          <w:p>
            <w:pPr>
              <w:pStyle w:val="TableParagraph"/>
              <w:spacing w:before="110"/>
              <w:ind w:left="298" w:right="213"/>
              <w:rPr>
                <w:sz w:val="16"/>
              </w:rPr>
            </w:pPr>
            <w:r>
              <w:rPr>
                <w:sz w:val="16"/>
              </w:rPr>
              <w:t>n = 63</w:t>
            </w:r>
          </w:p>
        </w:tc>
        <w:tc>
          <w:tcPr>
            <w:tcW w:w="1461" w:type="dxa"/>
            <w:tcBorders>
              <w:left w:val="dotted" w:sz="5" w:space="0" w:color="30859C"/>
            </w:tcBorders>
            <w:shd w:val="clear" w:color="auto" w:fill="B4EDEC"/>
          </w:tcPr>
          <w:p>
            <w:pPr>
              <w:pStyle w:val="TableParagraph"/>
              <w:spacing w:before="4"/>
              <w:jc w:val="left"/>
              <w:rPr>
                <w:b/>
                <w:sz w:val="16"/>
              </w:rPr>
            </w:pPr>
          </w:p>
          <w:p>
            <w:pPr>
              <w:pStyle w:val="TableParagraph"/>
              <w:spacing w:before="0"/>
              <w:ind w:left="271" w:right="271"/>
              <w:rPr>
                <w:sz w:val="16"/>
              </w:rPr>
            </w:pPr>
            <w:r>
              <w:rPr>
                <w:sz w:val="16"/>
              </w:rPr>
              <w:t>37/43 (86%)</w:t>
            </w:r>
          </w:p>
          <w:p>
            <w:pPr>
              <w:pStyle w:val="TableParagraph"/>
              <w:spacing w:before="110"/>
              <w:ind w:left="261" w:right="271"/>
              <w:rPr>
                <w:sz w:val="16"/>
              </w:rPr>
            </w:pPr>
            <w:r>
              <w:rPr>
                <w:sz w:val="16"/>
              </w:rPr>
              <w:t>n = 43</w:t>
            </w:r>
          </w:p>
        </w:tc>
        <w:tc>
          <w:tcPr>
            <w:tcW w:w="917" w:type="dxa"/>
            <w:shd w:val="clear" w:color="auto" w:fill="B4EDEC"/>
          </w:tcPr>
          <w:p>
            <w:pPr/>
          </w:p>
        </w:tc>
        <w:tc>
          <w:tcPr>
            <w:tcW w:w="1370" w:type="dxa"/>
            <w:shd w:val="clear" w:color="auto" w:fill="B4EDEC"/>
          </w:tcPr>
          <w:p>
            <w:pPr>
              <w:pStyle w:val="TableParagraph"/>
              <w:spacing w:before="4"/>
              <w:jc w:val="left"/>
              <w:rPr>
                <w:b/>
                <w:sz w:val="16"/>
              </w:rPr>
            </w:pPr>
          </w:p>
          <w:p>
            <w:pPr>
              <w:pStyle w:val="TableParagraph"/>
              <w:spacing w:before="0"/>
              <w:ind w:left="282" w:right="260"/>
              <w:rPr>
                <w:sz w:val="16"/>
              </w:rPr>
            </w:pPr>
            <w:r>
              <w:rPr>
                <w:sz w:val="16"/>
              </w:rPr>
              <w:t>6/43 (14%)</w:t>
            </w:r>
          </w:p>
          <w:p>
            <w:pPr>
              <w:pStyle w:val="TableParagraph"/>
              <w:spacing w:before="110"/>
              <w:ind w:left="270" w:right="262"/>
              <w:rPr>
                <w:sz w:val="16"/>
              </w:rPr>
            </w:pPr>
            <w:r>
              <w:rPr>
                <w:sz w:val="16"/>
              </w:rPr>
              <w:t>n = 43</w:t>
            </w:r>
          </w:p>
        </w:tc>
      </w:tr>
      <w:tr>
        <w:trPr>
          <w:trHeight w:val="367" w:hRule="exact"/>
        </w:trPr>
        <w:tc>
          <w:tcPr>
            <w:tcW w:w="1107" w:type="dxa"/>
            <w:tcBorders>
              <w:right w:val="dotted" w:sz="5" w:space="0" w:color="30859C"/>
            </w:tcBorders>
            <w:shd w:val="clear" w:color="auto" w:fill="77DFDD"/>
          </w:tcPr>
          <w:p>
            <w:pPr>
              <w:pStyle w:val="TableParagraph"/>
              <w:spacing w:before="77"/>
              <w:ind w:left="370" w:right="356"/>
              <w:rPr>
                <w:sz w:val="16"/>
              </w:rPr>
            </w:pPr>
            <w:r>
              <w:rPr>
                <w:sz w:val="16"/>
              </w:rPr>
              <w:t>MN</w:t>
            </w:r>
          </w:p>
        </w:tc>
        <w:tc>
          <w:tcPr>
            <w:tcW w:w="1478" w:type="dxa"/>
            <w:tcBorders>
              <w:left w:val="dotted" w:sz="5" w:space="0" w:color="30859C"/>
            </w:tcBorders>
            <w:shd w:val="clear" w:color="auto" w:fill="77DFDD"/>
          </w:tcPr>
          <w:p>
            <w:pPr>
              <w:pStyle w:val="TableParagraph"/>
              <w:spacing w:before="75"/>
              <w:ind w:left="152" w:right="275"/>
              <w:rPr>
                <w:sz w:val="16"/>
              </w:rPr>
            </w:pPr>
            <w:r>
              <w:rPr>
                <w:sz w:val="16"/>
              </w:rPr>
              <w:t>0.4 </w:t>
            </w:r>
            <w:r>
              <w:rPr>
                <w:rFonts w:ascii="Calibri" w:hAnsi="Calibri"/>
                <w:sz w:val="16"/>
              </w:rPr>
              <w:t>± </w:t>
            </w:r>
            <w:r>
              <w:rPr>
                <w:sz w:val="16"/>
              </w:rPr>
              <w:t>0.6</w:t>
            </w:r>
          </w:p>
        </w:tc>
        <w:tc>
          <w:tcPr>
            <w:tcW w:w="908" w:type="dxa"/>
            <w:shd w:val="clear" w:color="auto" w:fill="77DFDD"/>
          </w:tcPr>
          <w:p>
            <w:pPr>
              <w:pStyle w:val="TableParagraph"/>
              <w:spacing w:before="77"/>
              <w:ind w:left="301"/>
              <w:jc w:val="left"/>
              <w:rPr>
                <w:sz w:val="16"/>
              </w:rPr>
            </w:pPr>
            <w:r>
              <w:rPr>
                <w:sz w:val="16"/>
              </w:rPr>
              <w:t>0.4*</w:t>
            </w:r>
          </w:p>
        </w:tc>
        <w:tc>
          <w:tcPr>
            <w:tcW w:w="1564" w:type="dxa"/>
            <w:tcBorders>
              <w:right w:val="dotted" w:sz="5" w:space="0" w:color="30859C"/>
            </w:tcBorders>
            <w:shd w:val="clear" w:color="auto" w:fill="77DFDD"/>
          </w:tcPr>
          <w:p>
            <w:pPr>
              <w:pStyle w:val="TableParagraph"/>
              <w:spacing w:before="75"/>
              <w:ind w:left="520"/>
              <w:jc w:val="left"/>
              <w:rPr>
                <w:sz w:val="16"/>
              </w:rPr>
            </w:pPr>
            <w:r>
              <w:rPr>
                <w:sz w:val="16"/>
              </w:rPr>
              <w:t>0.2 </w:t>
            </w:r>
            <w:r>
              <w:rPr>
                <w:rFonts w:ascii="Calibri" w:hAnsi="Calibri"/>
                <w:sz w:val="16"/>
              </w:rPr>
              <w:t>± </w:t>
            </w:r>
            <w:r>
              <w:rPr>
                <w:sz w:val="16"/>
              </w:rPr>
              <w:t>0.4</w:t>
            </w:r>
          </w:p>
        </w:tc>
        <w:tc>
          <w:tcPr>
            <w:tcW w:w="1461" w:type="dxa"/>
            <w:tcBorders>
              <w:left w:val="dotted" w:sz="5" w:space="0" w:color="30859C"/>
            </w:tcBorders>
            <w:shd w:val="clear" w:color="auto" w:fill="77DFDD"/>
          </w:tcPr>
          <w:p>
            <w:pPr>
              <w:pStyle w:val="TableParagraph"/>
              <w:spacing w:before="75"/>
              <w:ind w:left="261" w:right="271"/>
              <w:rPr>
                <w:sz w:val="16"/>
              </w:rPr>
            </w:pPr>
            <w:r>
              <w:rPr>
                <w:sz w:val="16"/>
              </w:rPr>
              <w:t>0.4 </w:t>
            </w:r>
            <w:r>
              <w:rPr>
                <w:rFonts w:ascii="Calibri" w:hAnsi="Calibri"/>
                <w:sz w:val="16"/>
              </w:rPr>
              <w:t>± </w:t>
            </w:r>
            <w:r>
              <w:rPr>
                <w:sz w:val="16"/>
              </w:rPr>
              <w:t>0.6</w:t>
            </w:r>
          </w:p>
        </w:tc>
        <w:tc>
          <w:tcPr>
            <w:tcW w:w="917" w:type="dxa"/>
            <w:shd w:val="clear" w:color="auto" w:fill="77DFDD"/>
          </w:tcPr>
          <w:p>
            <w:pPr>
              <w:pStyle w:val="TableParagraph"/>
              <w:spacing w:before="77"/>
              <w:ind w:left="324"/>
              <w:jc w:val="left"/>
              <w:rPr>
                <w:sz w:val="16"/>
              </w:rPr>
            </w:pPr>
            <w:r>
              <w:rPr>
                <w:sz w:val="16"/>
              </w:rPr>
              <w:t>0.9*</w:t>
            </w:r>
          </w:p>
        </w:tc>
        <w:tc>
          <w:tcPr>
            <w:tcW w:w="1370" w:type="dxa"/>
            <w:shd w:val="clear" w:color="auto" w:fill="77DFDD"/>
          </w:tcPr>
          <w:p>
            <w:pPr>
              <w:pStyle w:val="TableParagraph"/>
              <w:spacing w:before="75"/>
              <w:ind w:left="268" w:right="262"/>
              <w:rPr>
                <w:sz w:val="16"/>
              </w:rPr>
            </w:pPr>
            <w:r>
              <w:rPr>
                <w:sz w:val="16"/>
              </w:rPr>
              <w:t>0.3 </w:t>
            </w:r>
            <w:r>
              <w:rPr>
                <w:rFonts w:ascii="Calibri" w:hAnsi="Calibri"/>
                <w:sz w:val="16"/>
              </w:rPr>
              <w:t>± </w:t>
            </w:r>
            <w:r>
              <w:rPr>
                <w:sz w:val="16"/>
              </w:rPr>
              <w:t>0.5</w:t>
            </w:r>
          </w:p>
        </w:tc>
      </w:tr>
      <w:tr>
        <w:trPr>
          <w:trHeight w:val="367" w:hRule="exact"/>
        </w:trPr>
        <w:tc>
          <w:tcPr>
            <w:tcW w:w="1107" w:type="dxa"/>
            <w:tcBorders>
              <w:right w:val="dotted" w:sz="5" w:space="0" w:color="30859C"/>
            </w:tcBorders>
            <w:shd w:val="clear" w:color="auto" w:fill="B4EDEC"/>
          </w:tcPr>
          <w:p>
            <w:pPr>
              <w:pStyle w:val="TableParagraph"/>
              <w:spacing w:before="77"/>
              <w:ind w:left="370" w:right="354"/>
              <w:rPr>
                <w:sz w:val="16"/>
              </w:rPr>
            </w:pPr>
            <w:r>
              <w:rPr>
                <w:sz w:val="16"/>
              </w:rPr>
              <w:t>BN</w:t>
            </w:r>
          </w:p>
        </w:tc>
        <w:tc>
          <w:tcPr>
            <w:tcW w:w="1478" w:type="dxa"/>
            <w:tcBorders>
              <w:left w:val="dotted" w:sz="5" w:space="0" w:color="30859C"/>
            </w:tcBorders>
            <w:shd w:val="clear" w:color="auto" w:fill="B4EDEC"/>
          </w:tcPr>
          <w:p>
            <w:pPr>
              <w:pStyle w:val="TableParagraph"/>
              <w:spacing w:before="75"/>
              <w:ind w:left="152" w:right="275"/>
              <w:rPr>
                <w:sz w:val="16"/>
              </w:rPr>
            </w:pPr>
            <w:r>
              <w:rPr>
                <w:sz w:val="16"/>
              </w:rPr>
              <w:t>3.2 </w:t>
            </w:r>
            <w:r>
              <w:rPr>
                <w:rFonts w:ascii="Calibri" w:hAnsi="Calibri"/>
                <w:sz w:val="16"/>
              </w:rPr>
              <w:t>± </w:t>
            </w:r>
            <w:r>
              <w:rPr>
                <w:sz w:val="16"/>
              </w:rPr>
              <w:t>2.7</w:t>
            </w:r>
          </w:p>
        </w:tc>
        <w:tc>
          <w:tcPr>
            <w:tcW w:w="908" w:type="dxa"/>
            <w:shd w:val="clear" w:color="auto" w:fill="B4EDEC"/>
          </w:tcPr>
          <w:p>
            <w:pPr>
              <w:pStyle w:val="TableParagraph"/>
              <w:spacing w:before="77"/>
              <w:ind w:left="301"/>
              <w:jc w:val="left"/>
              <w:rPr>
                <w:sz w:val="16"/>
              </w:rPr>
            </w:pPr>
            <w:r>
              <w:rPr>
                <w:sz w:val="16"/>
              </w:rPr>
              <w:t>0.6*</w:t>
            </w:r>
          </w:p>
        </w:tc>
        <w:tc>
          <w:tcPr>
            <w:tcW w:w="1564" w:type="dxa"/>
            <w:tcBorders>
              <w:right w:val="dotted" w:sz="5" w:space="0" w:color="30859C"/>
            </w:tcBorders>
            <w:shd w:val="clear" w:color="auto" w:fill="B4EDEC"/>
          </w:tcPr>
          <w:p>
            <w:pPr>
              <w:pStyle w:val="TableParagraph"/>
              <w:spacing w:before="75"/>
              <w:ind w:left="520"/>
              <w:jc w:val="left"/>
              <w:rPr>
                <w:sz w:val="16"/>
              </w:rPr>
            </w:pPr>
            <w:r>
              <w:rPr>
                <w:sz w:val="16"/>
              </w:rPr>
              <w:t>2.8 </w:t>
            </w:r>
            <w:r>
              <w:rPr>
                <w:rFonts w:ascii="Calibri" w:hAnsi="Calibri"/>
                <w:sz w:val="16"/>
              </w:rPr>
              <w:t>± </w:t>
            </w:r>
            <w:r>
              <w:rPr>
                <w:sz w:val="16"/>
              </w:rPr>
              <w:t>2.3</w:t>
            </w:r>
          </w:p>
        </w:tc>
        <w:tc>
          <w:tcPr>
            <w:tcW w:w="1461" w:type="dxa"/>
            <w:tcBorders>
              <w:left w:val="dotted" w:sz="5" w:space="0" w:color="30859C"/>
            </w:tcBorders>
            <w:shd w:val="clear" w:color="auto" w:fill="B4EDEC"/>
          </w:tcPr>
          <w:p>
            <w:pPr>
              <w:pStyle w:val="TableParagraph"/>
              <w:spacing w:before="75"/>
              <w:ind w:left="261" w:right="271"/>
              <w:rPr>
                <w:sz w:val="16"/>
              </w:rPr>
            </w:pPr>
            <w:r>
              <w:rPr>
                <w:sz w:val="16"/>
              </w:rPr>
              <w:t>3.4 </w:t>
            </w:r>
            <w:r>
              <w:rPr>
                <w:rFonts w:ascii="Calibri" w:hAnsi="Calibri"/>
                <w:sz w:val="16"/>
              </w:rPr>
              <w:t>± </w:t>
            </w:r>
            <w:r>
              <w:rPr>
                <w:sz w:val="16"/>
              </w:rPr>
              <w:t>2.8</w:t>
            </w:r>
          </w:p>
        </w:tc>
        <w:tc>
          <w:tcPr>
            <w:tcW w:w="917" w:type="dxa"/>
            <w:shd w:val="clear" w:color="auto" w:fill="B4EDEC"/>
          </w:tcPr>
          <w:p>
            <w:pPr>
              <w:pStyle w:val="TableParagraph"/>
              <w:spacing w:before="77"/>
              <w:ind w:left="324"/>
              <w:jc w:val="left"/>
              <w:rPr>
                <w:sz w:val="16"/>
              </w:rPr>
            </w:pPr>
            <w:r>
              <w:rPr>
                <w:sz w:val="16"/>
              </w:rPr>
              <w:t>0.3*</w:t>
            </w:r>
          </w:p>
        </w:tc>
        <w:tc>
          <w:tcPr>
            <w:tcW w:w="1370" w:type="dxa"/>
            <w:shd w:val="clear" w:color="auto" w:fill="B4EDEC"/>
          </w:tcPr>
          <w:p>
            <w:pPr>
              <w:pStyle w:val="TableParagraph"/>
              <w:spacing w:before="75"/>
              <w:ind w:left="268" w:right="262"/>
              <w:rPr>
                <w:sz w:val="16"/>
              </w:rPr>
            </w:pPr>
            <w:r>
              <w:rPr>
                <w:sz w:val="16"/>
              </w:rPr>
              <w:t>2.3 </w:t>
            </w:r>
            <w:r>
              <w:rPr>
                <w:rFonts w:ascii="Calibri" w:hAnsi="Calibri"/>
                <w:sz w:val="16"/>
              </w:rPr>
              <w:t>± </w:t>
            </w:r>
            <w:r>
              <w:rPr>
                <w:sz w:val="16"/>
              </w:rPr>
              <w:t>2.4</w:t>
            </w:r>
          </w:p>
        </w:tc>
      </w:tr>
      <w:tr>
        <w:trPr>
          <w:trHeight w:val="367" w:hRule="exact"/>
        </w:trPr>
        <w:tc>
          <w:tcPr>
            <w:tcW w:w="1107" w:type="dxa"/>
            <w:tcBorders>
              <w:right w:val="dotted" w:sz="5" w:space="0" w:color="30859C"/>
            </w:tcBorders>
            <w:shd w:val="clear" w:color="auto" w:fill="77DFDD"/>
          </w:tcPr>
          <w:p>
            <w:pPr>
              <w:pStyle w:val="TableParagraph"/>
              <w:spacing w:before="78"/>
              <w:ind w:left="370" w:right="365"/>
              <w:rPr>
                <w:sz w:val="16"/>
              </w:rPr>
            </w:pPr>
            <w:r>
              <w:rPr>
                <w:sz w:val="16"/>
              </w:rPr>
              <w:t>NL</w:t>
            </w:r>
          </w:p>
        </w:tc>
        <w:tc>
          <w:tcPr>
            <w:tcW w:w="1478" w:type="dxa"/>
            <w:tcBorders>
              <w:left w:val="dotted" w:sz="5" w:space="0" w:color="30859C"/>
            </w:tcBorders>
            <w:shd w:val="clear" w:color="auto" w:fill="77DFDD"/>
          </w:tcPr>
          <w:p>
            <w:pPr>
              <w:pStyle w:val="TableParagraph"/>
              <w:spacing w:before="76"/>
              <w:ind w:left="152" w:right="262"/>
              <w:rPr>
                <w:sz w:val="16"/>
              </w:rPr>
            </w:pPr>
            <w:r>
              <w:rPr>
                <w:sz w:val="16"/>
              </w:rPr>
              <w:t>17.5 </w:t>
            </w:r>
            <w:r>
              <w:rPr>
                <w:rFonts w:ascii="Calibri" w:hAnsi="Calibri"/>
                <w:sz w:val="16"/>
              </w:rPr>
              <w:t>± </w:t>
            </w:r>
            <w:r>
              <w:rPr>
                <w:sz w:val="16"/>
              </w:rPr>
              <w:t>14.5</w:t>
            </w:r>
          </w:p>
        </w:tc>
        <w:tc>
          <w:tcPr>
            <w:tcW w:w="908" w:type="dxa"/>
            <w:shd w:val="clear" w:color="auto" w:fill="77DFDD"/>
          </w:tcPr>
          <w:p>
            <w:pPr>
              <w:pStyle w:val="TableParagraph"/>
              <w:spacing w:before="78"/>
              <w:ind w:left="301"/>
              <w:jc w:val="left"/>
              <w:rPr>
                <w:sz w:val="16"/>
              </w:rPr>
            </w:pPr>
            <w:r>
              <w:rPr>
                <w:sz w:val="16"/>
              </w:rPr>
              <w:t>0.9*</w:t>
            </w:r>
          </w:p>
        </w:tc>
        <w:tc>
          <w:tcPr>
            <w:tcW w:w="1564" w:type="dxa"/>
            <w:tcBorders>
              <w:right w:val="dotted" w:sz="5" w:space="0" w:color="30859C"/>
            </w:tcBorders>
            <w:shd w:val="clear" w:color="auto" w:fill="77DFDD"/>
          </w:tcPr>
          <w:p>
            <w:pPr>
              <w:pStyle w:val="TableParagraph"/>
              <w:spacing w:before="76"/>
              <w:ind w:right="334"/>
              <w:jc w:val="right"/>
              <w:rPr>
                <w:sz w:val="16"/>
              </w:rPr>
            </w:pPr>
            <w:r>
              <w:rPr>
                <w:sz w:val="16"/>
              </w:rPr>
              <w:t>17.9 </w:t>
            </w:r>
            <w:r>
              <w:rPr>
                <w:rFonts w:ascii="Calibri" w:hAnsi="Calibri"/>
                <w:sz w:val="16"/>
              </w:rPr>
              <w:t>± </w:t>
            </w:r>
            <w:r>
              <w:rPr>
                <w:sz w:val="16"/>
              </w:rPr>
              <w:t>15.0</w:t>
            </w:r>
          </w:p>
        </w:tc>
        <w:tc>
          <w:tcPr>
            <w:tcW w:w="1461" w:type="dxa"/>
            <w:tcBorders>
              <w:left w:val="dotted" w:sz="5" w:space="0" w:color="30859C"/>
            </w:tcBorders>
            <w:shd w:val="clear" w:color="auto" w:fill="77DFDD"/>
          </w:tcPr>
          <w:p>
            <w:pPr>
              <w:pStyle w:val="TableParagraph"/>
              <w:spacing w:before="76"/>
              <w:ind w:left="271" w:right="271"/>
              <w:rPr>
                <w:sz w:val="16"/>
              </w:rPr>
            </w:pPr>
            <w:r>
              <w:rPr>
                <w:sz w:val="16"/>
              </w:rPr>
              <w:t>15.7 </w:t>
            </w:r>
            <w:r>
              <w:rPr>
                <w:rFonts w:ascii="Calibri" w:hAnsi="Calibri"/>
                <w:sz w:val="16"/>
              </w:rPr>
              <w:t>± </w:t>
            </w:r>
            <w:r>
              <w:rPr>
                <w:sz w:val="16"/>
              </w:rPr>
              <w:t>11.8</w:t>
            </w:r>
          </w:p>
        </w:tc>
        <w:tc>
          <w:tcPr>
            <w:tcW w:w="917" w:type="dxa"/>
            <w:shd w:val="clear" w:color="auto" w:fill="77DFDD"/>
          </w:tcPr>
          <w:p>
            <w:pPr>
              <w:pStyle w:val="TableParagraph"/>
              <w:spacing w:before="78"/>
              <w:ind w:left="324"/>
              <w:jc w:val="left"/>
              <w:rPr>
                <w:sz w:val="16"/>
              </w:rPr>
            </w:pPr>
            <w:r>
              <w:rPr>
                <w:sz w:val="16"/>
              </w:rPr>
              <w:t>0.2*</w:t>
            </w:r>
          </w:p>
        </w:tc>
        <w:tc>
          <w:tcPr>
            <w:tcW w:w="1370" w:type="dxa"/>
            <w:shd w:val="clear" w:color="auto" w:fill="77DFDD"/>
          </w:tcPr>
          <w:p>
            <w:pPr>
              <w:pStyle w:val="TableParagraph"/>
              <w:spacing w:before="76"/>
              <w:ind w:left="280" w:right="262"/>
              <w:rPr>
                <w:sz w:val="16"/>
              </w:rPr>
            </w:pPr>
            <w:r>
              <w:rPr>
                <w:sz w:val="16"/>
              </w:rPr>
              <w:t>29.0 </w:t>
            </w:r>
            <w:r>
              <w:rPr>
                <w:rFonts w:ascii="Calibri" w:hAnsi="Calibri"/>
                <w:sz w:val="16"/>
              </w:rPr>
              <w:t>± </w:t>
            </w:r>
            <w:r>
              <w:rPr>
                <w:sz w:val="16"/>
              </w:rPr>
              <w:t>24.2</w:t>
            </w:r>
          </w:p>
        </w:tc>
      </w:tr>
      <w:tr>
        <w:trPr>
          <w:trHeight w:val="367" w:hRule="exact"/>
        </w:trPr>
        <w:tc>
          <w:tcPr>
            <w:tcW w:w="1107" w:type="dxa"/>
            <w:tcBorders>
              <w:right w:val="dotted" w:sz="5" w:space="0" w:color="30859C"/>
            </w:tcBorders>
            <w:shd w:val="clear" w:color="auto" w:fill="B4EDEC"/>
          </w:tcPr>
          <w:p>
            <w:pPr>
              <w:pStyle w:val="TableParagraph"/>
              <w:spacing w:before="79"/>
              <w:ind w:left="370" w:right="354"/>
              <w:rPr>
                <w:sz w:val="16"/>
              </w:rPr>
            </w:pPr>
            <w:r>
              <w:rPr>
                <w:sz w:val="16"/>
              </w:rPr>
              <w:t>PC</w:t>
            </w:r>
          </w:p>
        </w:tc>
        <w:tc>
          <w:tcPr>
            <w:tcW w:w="1478" w:type="dxa"/>
            <w:tcBorders>
              <w:left w:val="dotted" w:sz="5" w:space="0" w:color="30859C"/>
            </w:tcBorders>
            <w:shd w:val="clear" w:color="auto" w:fill="B4EDEC"/>
          </w:tcPr>
          <w:p>
            <w:pPr>
              <w:pStyle w:val="TableParagraph"/>
              <w:spacing w:before="15"/>
              <w:ind w:left="152" w:right="275"/>
              <w:rPr>
                <w:sz w:val="16"/>
              </w:rPr>
            </w:pPr>
            <w:r>
              <w:rPr>
                <w:sz w:val="16"/>
              </w:rPr>
              <w:t>9.7</w:t>
            </w:r>
            <w:r>
              <w:rPr>
                <w:rFonts w:ascii="Calibri" w:hAnsi="Calibri"/>
                <w:sz w:val="16"/>
              </w:rPr>
              <w:t>±</w:t>
            </w:r>
            <w:r>
              <w:rPr>
                <w:sz w:val="16"/>
              </w:rPr>
              <w:t>7.0</w:t>
            </w:r>
          </w:p>
        </w:tc>
        <w:tc>
          <w:tcPr>
            <w:tcW w:w="908" w:type="dxa"/>
            <w:shd w:val="clear" w:color="auto" w:fill="B4EDEC"/>
          </w:tcPr>
          <w:p>
            <w:pPr>
              <w:pStyle w:val="TableParagraph"/>
              <w:spacing w:before="79"/>
              <w:ind w:left="301"/>
              <w:jc w:val="left"/>
              <w:rPr>
                <w:sz w:val="16"/>
              </w:rPr>
            </w:pPr>
            <w:r>
              <w:rPr>
                <w:sz w:val="16"/>
              </w:rPr>
              <w:t>0.4*</w:t>
            </w:r>
          </w:p>
        </w:tc>
        <w:tc>
          <w:tcPr>
            <w:tcW w:w="1564" w:type="dxa"/>
            <w:tcBorders>
              <w:right w:val="dotted" w:sz="5" w:space="0" w:color="30859C"/>
            </w:tcBorders>
            <w:shd w:val="clear" w:color="auto" w:fill="B4EDEC"/>
          </w:tcPr>
          <w:p>
            <w:pPr>
              <w:pStyle w:val="TableParagraph"/>
              <w:spacing w:before="15"/>
              <w:ind w:left="557"/>
              <w:jc w:val="left"/>
              <w:rPr>
                <w:sz w:val="16"/>
              </w:rPr>
            </w:pPr>
            <w:r>
              <w:rPr>
                <w:sz w:val="16"/>
              </w:rPr>
              <w:t>8.2</w:t>
            </w:r>
            <w:r>
              <w:rPr>
                <w:rFonts w:ascii="Calibri" w:hAnsi="Calibri"/>
                <w:sz w:val="16"/>
              </w:rPr>
              <w:t>±</w:t>
            </w:r>
            <w:r>
              <w:rPr>
                <w:sz w:val="16"/>
              </w:rPr>
              <w:t>5.9</w:t>
            </w:r>
          </w:p>
        </w:tc>
        <w:tc>
          <w:tcPr>
            <w:tcW w:w="1461" w:type="dxa"/>
            <w:tcBorders>
              <w:left w:val="dotted" w:sz="5" w:space="0" w:color="30859C"/>
            </w:tcBorders>
            <w:shd w:val="clear" w:color="auto" w:fill="B4EDEC"/>
          </w:tcPr>
          <w:p>
            <w:pPr>
              <w:pStyle w:val="TableParagraph"/>
              <w:spacing w:before="76"/>
              <w:ind w:left="261" w:right="271"/>
              <w:rPr>
                <w:sz w:val="16"/>
              </w:rPr>
            </w:pPr>
            <w:r>
              <w:rPr>
                <w:sz w:val="16"/>
              </w:rPr>
              <w:t>9.5 </w:t>
            </w:r>
            <w:r>
              <w:rPr>
                <w:rFonts w:ascii="Calibri" w:hAnsi="Calibri"/>
                <w:sz w:val="16"/>
              </w:rPr>
              <w:t>± </w:t>
            </w:r>
            <w:r>
              <w:rPr>
                <w:sz w:val="16"/>
              </w:rPr>
              <w:t>7.1</w:t>
            </w:r>
          </w:p>
        </w:tc>
        <w:tc>
          <w:tcPr>
            <w:tcW w:w="917" w:type="dxa"/>
            <w:shd w:val="clear" w:color="auto" w:fill="B4EDEC"/>
          </w:tcPr>
          <w:p>
            <w:pPr>
              <w:pStyle w:val="TableParagraph"/>
              <w:spacing w:before="79"/>
              <w:ind w:left="324"/>
              <w:jc w:val="left"/>
              <w:rPr>
                <w:sz w:val="16"/>
              </w:rPr>
            </w:pPr>
            <w:r>
              <w:rPr>
                <w:sz w:val="16"/>
              </w:rPr>
              <w:t>0.6*</w:t>
            </w:r>
          </w:p>
        </w:tc>
        <w:tc>
          <w:tcPr>
            <w:tcW w:w="1370" w:type="dxa"/>
            <w:shd w:val="clear" w:color="auto" w:fill="B4EDEC"/>
          </w:tcPr>
          <w:p>
            <w:pPr>
              <w:pStyle w:val="TableParagraph"/>
              <w:spacing w:before="76"/>
              <w:ind w:left="269" w:right="262"/>
              <w:rPr>
                <w:sz w:val="16"/>
              </w:rPr>
            </w:pPr>
            <w:r>
              <w:rPr>
                <w:sz w:val="16"/>
              </w:rPr>
              <w:t>11.1 </w:t>
            </w:r>
            <w:r>
              <w:rPr>
                <w:rFonts w:ascii="Calibri" w:hAnsi="Calibri"/>
                <w:sz w:val="16"/>
              </w:rPr>
              <w:t>± </w:t>
            </w:r>
            <w:r>
              <w:rPr>
                <w:sz w:val="16"/>
              </w:rPr>
              <w:t>7.2</w:t>
            </w:r>
          </w:p>
        </w:tc>
      </w:tr>
      <w:tr>
        <w:trPr>
          <w:trHeight w:val="367" w:hRule="exact"/>
        </w:trPr>
        <w:tc>
          <w:tcPr>
            <w:tcW w:w="1107" w:type="dxa"/>
            <w:tcBorders>
              <w:right w:val="dotted" w:sz="5" w:space="0" w:color="30859C"/>
            </w:tcBorders>
            <w:shd w:val="clear" w:color="auto" w:fill="77DFDD"/>
          </w:tcPr>
          <w:p>
            <w:pPr>
              <w:pStyle w:val="TableParagraph"/>
              <w:spacing w:before="80"/>
              <w:ind w:left="370" w:right="363"/>
              <w:rPr>
                <w:sz w:val="16"/>
              </w:rPr>
            </w:pPr>
            <w:r>
              <w:rPr>
                <w:sz w:val="16"/>
              </w:rPr>
              <w:t>CC</w:t>
            </w:r>
          </w:p>
        </w:tc>
        <w:tc>
          <w:tcPr>
            <w:tcW w:w="1478" w:type="dxa"/>
            <w:tcBorders>
              <w:left w:val="dotted" w:sz="5" w:space="0" w:color="30859C"/>
            </w:tcBorders>
            <w:shd w:val="clear" w:color="auto" w:fill="77DFDD"/>
          </w:tcPr>
          <w:p>
            <w:pPr>
              <w:pStyle w:val="TableParagraph"/>
              <w:spacing w:before="16"/>
              <w:ind w:left="152" w:right="275"/>
              <w:rPr>
                <w:sz w:val="16"/>
              </w:rPr>
            </w:pPr>
            <w:r>
              <w:rPr>
                <w:sz w:val="16"/>
              </w:rPr>
              <w:t>7.7</w:t>
            </w:r>
            <w:r>
              <w:rPr>
                <w:rFonts w:ascii="Calibri" w:hAnsi="Calibri"/>
                <w:sz w:val="16"/>
              </w:rPr>
              <w:t>±</w:t>
            </w:r>
            <w:r>
              <w:rPr>
                <w:sz w:val="16"/>
              </w:rPr>
              <w:t>8.7</w:t>
            </w:r>
          </w:p>
        </w:tc>
        <w:tc>
          <w:tcPr>
            <w:tcW w:w="908" w:type="dxa"/>
            <w:shd w:val="clear" w:color="auto" w:fill="77DFDD"/>
          </w:tcPr>
          <w:p>
            <w:pPr>
              <w:pStyle w:val="TableParagraph"/>
              <w:spacing w:before="80"/>
              <w:ind w:left="301"/>
              <w:jc w:val="left"/>
              <w:rPr>
                <w:sz w:val="16"/>
              </w:rPr>
            </w:pPr>
            <w:r>
              <w:rPr>
                <w:sz w:val="16"/>
              </w:rPr>
              <w:t>0.5*</w:t>
            </w:r>
          </w:p>
        </w:tc>
        <w:tc>
          <w:tcPr>
            <w:tcW w:w="1564" w:type="dxa"/>
            <w:tcBorders>
              <w:right w:val="dotted" w:sz="5" w:space="0" w:color="30859C"/>
            </w:tcBorders>
            <w:shd w:val="clear" w:color="auto" w:fill="77DFDD"/>
          </w:tcPr>
          <w:p>
            <w:pPr>
              <w:pStyle w:val="TableParagraph"/>
              <w:spacing w:before="16"/>
              <w:ind w:left="520"/>
              <w:jc w:val="left"/>
              <w:rPr>
                <w:sz w:val="16"/>
              </w:rPr>
            </w:pPr>
            <w:r>
              <w:rPr>
                <w:sz w:val="16"/>
              </w:rPr>
              <w:t>8.2</w:t>
            </w:r>
            <w:r>
              <w:rPr>
                <w:rFonts w:ascii="Calibri" w:hAnsi="Calibri"/>
                <w:sz w:val="16"/>
              </w:rPr>
              <w:t>±</w:t>
            </w:r>
            <w:r>
              <w:rPr>
                <w:sz w:val="16"/>
              </w:rPr>
              <w:t>12.4</w:t>
            </w:r>
          </w:p>
        </w:tc>
        <w:tc>
          <w:tcPr>
            <w:tcW w:w="1461" w:type="dxa"/>
            <w:tcBorders>
              <w:left w:val="dotted" w:sz="5" w:space="0" w:color="30859C"/>
            </w:tcBorders>
            <w:shd w:val="clear" w:color="auto" w:fill="77DFDD"/>
          </w:tcPr>
          <w:p>
            <w:pPr>
              <w:pStyle w:val="TableParagraph"/>
              <w:spacing w:before="77"/>
              <w:ind w:left="261" w:right="271"/>
              <w:rPr>
                <w:sz w:val="16"/>
              </w:rPr>
            </w:pPr>
            <w:r>
              <w:rPr>
                <w:sz w:val="16"/>
              </w:rPr>
              <w:t>7.5 </w:t>
            </w:r>
            <w:r>
              <w:rPr>
                <w:rFonts w:ascii="Calibri" w:hAnsi="Calibri"/>
                <w:sz w:val="16"/>
              </w:rPr>
              <w:t>± </w:t>
            </w:r>
            <w:r>
              <w:rPr>
                <w:sz w:val="16"/>
              </w:rPr>
              <w:t>9.0</w:t>
            </w:r>
          </w:p>
        </w:tc>
        <w:tc>
          <w:tcPr>
            <w:tcW w:w="917" w:type="dxa"/>
            <w:shd w:val="clear" w:color="auto" w:fill="77DFDD"/>
          </w:tcPr>
          <w:p>
            <w:pPr>
              <w:pStyle w:val="TableParagraph"/>
              <w:spacing w:before="80"/>
              <w:ind w:left="324"/>
              <w:jc w:val="left"/>
              <w:rPr>
                <w:sz w:val="16"/>
              </w:rPr>
            </w:pPr>
            <w:r>
              <w:rPr>
                <w:sz w:val="16"/>
              </w:rPr>
              <w:t>0.3*</w:t>
            </w:r>
          </w:p>
        </w:tc>
        <w:tc>
          <w:tcPr>
            <w:tcW w:w="1370" w:type="dxa"/>
            <w:shd w:val="clear" w:color="auto" w:fill="77DFDD"/>
          </w:tcPr>
          <w:p>
            <w:pPr>
              <w:pStyle w:val="TableParagraph"/>
              <w:spacing w:before="77"/>
              <w:ind w:left="268" w:right="262"/>
              <w:rPr>
                <w:sz w:val="16"/>
              </w:rPr>
            </w:pPr>
            <w:r>
              <w:rPr>
                <w:sz w:val="16"/>
              </w:rPr>
              <w:t>9.0 </w:t>
            </w:r>
            <w:r>
              <w:rPr>
                <w:rFonts w:ascii="Calibri" w:hAnsi="Calibri"/>
                <w:sz w:val="16"/>
              </w:rPr>
              <w:t>± </w:t>
            </w:r>
            <w:r>
              <w:rPr>
                <w:sz w:val="16"/>
              </w:rPr>
              <w:t>6.9</w:t>
            </w:r>
          </w:p>
        </w:tc>
      </w:tr>
      <w:tr>
        <w:trPr>
          <w:trHeight w:val="367" w:hRule="exact"/>
        </w:trPr>
        <w:tc>
          <w:tcPr>
            <w:tcW w:w="1107" w:type="dxa"/>
            <w:tcBorders>
              <w:right w:val="dotted" w:sz="5" w:space="0" w:color="30859C"/>
            </w:tcBorders>
            <w:shd w:val="clear" w:color="auto" w:fill="B4EDEC"/>
          </w:tcPr>
          <w:p>
            <w:pPr>
              <w:pStyle w:val="TableParagraph"/>
              <w:spacing w:before="80"/>
              <w:ind w:left="370" w:right="363"/>
              <w:rPr>
                <w:sz w:val="16"/>
              </w:rPr>
            </w:pPr>
            <w:r>
              <w:rPr>
                <w:sz w:val="16"/>
              </w:rPr>
              <w:t>CR</w:t>
            </w:r>
          </w:p>
        </w:tc>
        <w:tc>
          <w:tcPr>
            <w:tcW w:w="1478" w:type="dxa"/>
            <w:tcBorders>
              <w:left w:val="dotted" w:sz="5" w:space="0" w:color="30859C"/>
            </w:tcBorders>
            <w:shd w:val="clear" w:color="auto" w:fill="B4EDEC"/>
          </w:tcPr>
          <w:p>
            <w:pPr>
              <w:pStyle w:val="TableParagraph"/>
              <w:spacing w:before="78"/>
              <w:ind w:left="152" w:right="275"/>
              <w:rPr>
                <w:sz w:val="16"/>
              </w:rPr>
            </w:pPr>
            <w:r>
              <w:rPr>
                <w:sz w:val="16"/>
              </w:rPr>
              <w:t>1.2 </w:t>
            </w:r>
            <w:r>
              <w:rPr>
                <w:rFonts w:ascii="Calibri" w:hAnsi="Calibri"/>
                <w:sz w:val="16"/>
              </w:rPr>
              <w:t>± </w:t>
            </w:r>
            <w:r>
              <w:rPr>
                <w:sz w:val="16"/>
              </w:rPr>
              <w:t>1.9</w:t>
            </w:r>
          </w:p>
        </w:tc>
        <w:tc>
          <w:tcPr>
            <w:tcW w:w="908" w:type="dxa"/>
            <w:shd w:val="clear" w:color="auto" w:fill="B4EDEC"/>
          </w:tcPr>
          <w:p>
            <w:pPr>
              <w:pStyle w:val="TableParagraph"/>
              <w:spacing w:before="80"/>
              <w:ind w:left="301"/>
              <w:jc w:val="left"/>
              <w:rPr>
                <w:sz w:val="16"/>
              </w:rPr>
            </w:pPr>
            <w:r>
              <w:rPr>
                <w:sz w:val="16"/>
              </w:rPr>
              <w:t>0.3*</w:t>
            </w:r>
          </w:p>
        </w:tc>
        <w:tc>
          <w:tcPr>
            <w:tcW w:w="1564" w:type="dxa"/>
            <w:tcBorders>
              <w:right w:val="dotted" w:sz="5" w:space="0" w:color="30859C"/>
            </w:tcBorders>
            <w:shd w:val="clear" w:color="auto" w:fill="B4EDEC"/>
          </w:tcPr>
          <w:p>
            <w:pPr>
              <w:pStyle w:val="TableParagraph"/>
              <w:spacing w:before="78"/>
              <w:ind w:left="520"/>
              <w:jc w:val="left"/>
              <w:rPr>
                <w:sz w:val="16"/>
              </w:rPr>
            </w:pPr>
            <w:r>
              <w:rPr>
                <w:sz w:val="16"/>
              </w:rPr>
              <w:t>0.9 </w:t>
            </w:r>
            <w:r>
              <w:rPr>
                <w:rFonts w:ascii="Calibri" w:hAnsi="Calibri"/>
                <w:sz w:val="16"/>
              </w:rPr>
              <w:t>± </w:t>
            </w:r>
            <w:r>
              <w:rPr>
                <w:sz w:val="16"/>
              </w:rPr>
              <w:t>1.6</w:t>
            </w:r>
          </w:p>
        </w:tc>
        <w:tc>
          <w:tcPr>
            <w:tcW w:w="1461" w:type="dxa"/>
            <w:tcBorders>
              <w:left w:val="dotted" w:sz="5" w:space="0" w:color="30859C"/>
            </w:tcBorders>
            <w:shd w:val="clear" w:color="auto" w:fill="B4EDEC"/>
          </w:tcPr>
          <w:p>
            <w:pPr>
              <w:pStyle w:val="TableParagraph"/>
              <w:spacing w:before="78"/>
              <w:ind w:left="261" w:right="271"/>
              <w:rPr>
                <w:sz w:val="16"/>
              </w:rPr>
            </w:pPr>
            <w:r>
              <w:rPr>
                <w:sz w:val="16"/>
              </w:rPr>
              <w:t>1.4 </w:t>
            </w:r>
            <w:r>
              <w:rPr>
                <w:rFonts w:ascii="Calibri" w:hAnsi="Calibri"/>
                <w:sz w:val="16"/>
              </w:rPr>
              <w:t>± </w:t>
            </w:r>
            <w:r>
              <w:rPr>
                <w:sz w:val="16"/>
              </w:rPr>
              <w:t>2.0</w:t>
            </w:r>
          </w:p>
        </w:tc>
        <w:tc>
          <w:tcPr>
            <w:tcW w:w="917" w:type="dxa"/>
            <w:shd w:val="clear" w:color="auto" w:fill="B4EDEC"/>
          </w:tcPr>
          <w:p>
            <w:pPr>
              <w:pStyle w:val="TableParagraph"/>
              <w:spacing w:before="80"/>
              <w:ind w:left="324"/>
              <w:jc w:val="left"/>
              <w:rPr>
                <w:sz w:val="16"/>
              </w:rPr>
            </w:pPr>
            <w:r>
              <w:rPr>
                <w:sz w:val="16"/>
              </w:rPr>
              <w:t>0.3*</w:t>
            </w:r>
          </w:p>
        </w:tc>
        <w:tc>
          <w:tcPr>
            <w:tcW w:w="1370" w:type="dxa"/>
            <w:shd w:val="clear" w:color="auto" w:fill="B4EDEC"/>
          </w:tcPr>
          <w:p>
            <w:pPr>
              <w:pStyle w:val="TableParagraph"/>
              <w:spacing w:before="78"/>
              <w:ind w:left="282" w:right="251"/>
              <w:rPr>
                <w:sz w:val="16"/>
              </w:rPr>
            </w:pPr>
            <w:r>
              <w:rPr>
                <w:sz w:val="16"/>
              </w:rPr>
              <w:t>0.5 </w:t>
            </w:r>
            <w:r>
              <w:rPr>
                <w:rFonts w:ascii="Calibri" w:hAnsi="Calibri"/>
                <w:sz w:val="16"/>
              </w:rPr>
              <w:t>± </w:t>
            </w:r>
            <w:r>
              <w:rPr>
                <w:sz w:val="16"/>
              </w:rPr>
              <w:t>0.8</w:t>
            </w:r>
          </w:p>
        </w:tc>
      </w:tr>
      <w:tr>
        <w:trPr>
          <w:trHeight w:val="367" w:hRule="exact"/>
        </w:trPr>
        <w:tc>
          <w:tcPr>
            <w:tcW w:w="1107" w:type="dxa"/>
            <w:tcBorders>
              <w:right w:val="dotted" w:sz="5" w:space="0" w:color="30859C"/>
            </w:tcBorders>
            <w:shd w:val="clear" w:color="auto" w:fill="77DFDD"/>
          </w:tcPr>
          <w:p>
            <w:pPr>
              <w:pStyle w:val="TableParagraph"/>
              <w:spacing w:before="81"/>
              <w:ind w:left="370" w:right="365"/>
              <w:rPr>
                <w:sz w:val="16"/>
              </w:rPr>
            </w:pPr>
            <w:r>
              <w:rPr>
                <w:sz w:val="16"/>
              </w:rPr>
              <w:t>CL</w:t>
            </w:r>
          </w:p>
        </w:tc>
        <w:tc>
          <w:tcPr>
            <w:tcW w:w="1478" w:type="dxa"/>
            <w:tcBorders>
              <w:left w:val="dotted" w:sz="5" w:space="0" w:color="30859C"/>
            </w:tcBorders>
            <w:shd w:val="clear" w:color="auto" w:fill="77DFDD"/>
          </w:tcPr>
          <w:p>
            <w:pPr>
              <w:pStyle w:val="TableParagraph"/>
              <w:spacing w:before="79"/>
              <w:ind w:left="152" w:right="263"/>
              <w:rPr>
                <w:sz w:val="16"/>
              </w:rPr>
            </w:pPr>
            <w:r>
              <w:rPr>
                <w:sz w:val="16"/>
              </w:rPr>
              <w:t>11.0 </w:t>
            </w:r>
            <w:r>
              <w:rPr>
                <w:rFonts w:ascii="Calibri" w:hAnsi="Calibri"/>
                <w:sz w:val="16"/>
              </w:rPr>
              <w:t>± </w:t>
            </w:r>
            <w:r>
              <w:rPr>
                <w:sz w:val="16"/>
              </w:rPr>
              <w:t>10.8</w:t>
            </w:r>
          </w:p>
        </w:tc>
        <w:tc>
          <w:tcPr>
            <w:tcW w:w="908" w:type="dxa"/>
            <w:shd w:val="clear" w:color="auto" w:fill="77DFDD"/>
          </w:tcPr>
          <w:p>
            <w:pPr>
              <w:pStyle w:val="TableParagraph"/>
              <w:spacing w:before="81"/>
              <w:ind w:left="301"/>
              <w:jc w:val="left"/>
              <w:rPr>
                <w:sz w:val="16"/>
              </w:rPr>
            </w:pPr>
            <w:r>
              <w:rPr>
                <w:sz w:val="16"/>
              </w:rPr>
              <w:t>0.6*</w:t>
            </w:r>
          </w:p>
        </w:tc>
        <w:tc>
          <w:tcPr>
            <w:tcW w:w="1564" w:type="dxa"/>
            <w:tcBorders>
              <w:right w:val="dotted" w:sz="5" w:space="0" w:color="30859C"/>
            </w:tcBorders>
            <w:shd w:val="clear" w:color="auto" w:fill="77DFDD"/>
          </w:tcPr>
          <w:p>
            <w:pPr>
              <w:pStyle w:val="TableParagraph"/>
              <w:spacing w:before="79"/>
              <w:ind w:right="383"/>
              <w:jc w:val="right"/>
              <w:rPr>
                <w:sz w:val="16"/>
              </w:rPr>
            </w:pPr>
            <w:r>
              <w:rPr>
                <w:sz w:val="16"/>
              </w:rPr>
              <w:t>11.6 </w:t>
            </w:r>
            <w:r>
              <w:rPr>
                <w:rFonts w:ascii="Calibri" w:hAnsi="Calibri"/>
                <w:sz w:val="16"/>
              </w:rPr>
              <w:t>± </w:t>
            </w:r>
            <w:r>
              <w:rPr>
                <w:sz w:val="16"/>
              </w:rPr>
              <w:t>9.9</w:t>
            </w:r>
          </w:p>
        </w:tc>
        <w:tc>
          <w:tcPr>
            <w:tcW w:w="1461" w:type="dxa"/>
            <w:tcBorders>
              <w:left w:val="dotted" w:sz="5" w:space="0" w:color="30859C"/>
            </w:tcBorders>
            <w:shd w:val="clear" w:color="auto" w:fill="77DFDD"/>
          </w:tcPr>
          <w:p>
            <w:pPr>
              <w:pStyle w:val="TableParagraph"/>
              <w:spacing w:before="79"/>
              <w:ind w:left="271" w:right="271"/>
              <w:rPr>
                <w:sz w:val="16"/>
              </w:rPr>
            </w:pPr>
            <w:r>
              <w:rPr>
                <w:sz w:val="16"/>
              </w:rPr>
              <w:t>10.3 </w:t>
            </w:r>
            <w:r>
              <w:rPr>
                <w:rFonts w:ascii="Calibri" w:hAnsi="Calibri"/>
                <w:sz w:val="16"/>
              </w:rPr>
              <w:t>± </w:t>
            </w:r>
            <w:r>
              <w:rPr>
                <w:sz w:val="16"/>
              </w:rPr>
              <w:t>10.3</w:t>
            </w:r>
          </w:p>
        </w:tc>
        <w:tc>
          <w:tcPr>
            <w:tcW w:w="917" w:type="dxa"/>
            <w:shd w:val="clear" w:color="auto" w:fill="77DFDD"/>
          </w:tcPr>
          <w:p>
            <w:pPr>
              <w:pStyle w:val="TableParagraph"/>
              <w:spacing w:before="81"/>
              <w:ind w:left="324"/>
              <w:jc w:val="left"/>
              <w:rPr>
                <w:sz w:val="16"/>
              </w:rPr>
            </w:pPr>
            <w:r>
              <w:rPr>
                <w:sz w:val="16"/>
              </w:rPr>
              <w:t>0.3*</w:t>
            </w:r>
          </w:p>
        </w:tc>
        <w:tc>
          <w:tcPr>
            <w:tcW w:w="1370" w:type="dxa"/>
            <w:shd w:val="clear" w:color="auto" w:fill="77DFDD"/>
          </w:tcPr>
          <w:p>
            <w:pPr>
              <w:pStyle w:val="TableParagraph"/>
              <w:spacing w:before="79"/>
              <w:ind w:left="280" w:right="262"/>
              <w:rPr>
                <w:sz w:val="16"/>
              </w:rPr>
            </w:pPr>
            <w:r>
              <w:rPr>
                <w:sz w:val="16"/>
              </w:rPr>
              <w:t>15.3 </w:t>
            </w:r>
            <w:r>
              <w:rPr>
                <w:rFonts w:ascii="Calibri" w:hAnsi="Calibri"/>
                <w:sz w:val="16"/>
              </w:rPr>
              <w:t>± </w:t>
            </w:r>
            <w:r>
              <w:rPr>
                <w:sz w:val="16"/>
              </w:rPr>
              <w:t>13.8</w:t>
            </w:r>
          </w:p>
        </w:tc>
      </w:tr>
      <w:tr>
        <w:trPr>
          <w:trHeight w:val="367" w:hRule="exact"/>
        </w:trPr>
        <w:tc>
          <w:tcPr>
            <w:tcW w:w="1107" w:type="dxa"/>
            <w:tcBorders>
              <w:right w:val="dotted" w:sz="5" w:space="0" w:color="30859C"/>
            </w:tcBorders>
            <w:shd w:val="clear" w:color="auto" w:fill="B4EDEC"/>
          </w:tcPr>
          <w:p>
            <w:pPr>
              <w:pStyle w:val="TableParagraph"/>
              <w:spacing w:before="82"/>
              <w:ind w:left="370" w:right="370"/>
              <w:rPr>
                <w:sz w:val="16"/>
              </w:rPr>
            </w:pPr>
            <w:r>
              <w:rPr>
                <w:sz w:val="16"/>
              </w:rPr>
              <w:t>TAN</w:t>
            </w:r>
          </w:p>
        </w:tc>
        <w:tc>
          <w:tcPr>
            <w:tcW w:w="1478" w:type="dxa"/>
            <w:tcBorders>
              <w:left w:val="dotted" w:sz="5" w:space="0" w:color="30859C"/>
            </w:tcBorders>
            <w:shd w:val="clear" w:color="auto" w:fill="B4EDEC"/>
          </w:tcPr>
          <w:p>
            <w:pPr>
              <w:pStyle w:val="TableParagraph"/>
              <w:spacing w:before="80"/>
              <w:ind w:left="152" w:right="263"/>
              <w:rPr>
                <w:sz w:val="16"/>
              </w:rPr>
            </w:pPr>
            <w:r>
              <w:rPr>
                <w:sz w:val="16"/>
              </w:rPr>
              <w:t>50.7 </w:t>
            </w:r>
            <w:r>
              <w:rPr>
                <w:rFonts w:ascii="Calibri" w:hAnsi="Calibri"/>
                <w:sz w:val="16"/>
              </w:rPr>
              <w:t>± </w:t>
            </w:r>
            <w:r>
              <w:rPr>
                <w:sz w:val="16"/>
              </w:rPr>
              <w:t>30.3</w:t>
            </w:r>
          </w:p>
        </w:tc>
        <w:tc>
          <w:tcPr>
            <w:tcW w:w="908" w:type="dxa"/>
            <w:shd w:val="clear" w:color="auto" w:fill="B4EDEC"/>
          </w:tcPr>
          <w:p>
            <w:pPr>
              <w:pStyle w:val="TableParagraph"/>
              <w:spacing w:before="82"/>
              <w:ind w:left="301"/>
              <w:jc w:val="left"/>
              <w:rPr>
                <w:sz w:val="16"/>
              </w:rPr>
            </w:pPr>
            <w:r>
              <w:rPr>
                <w:sz w:val="16"/>
              </w:rPr>
              <w:t>0.9*</w:t>
            </w:r>
          </w:p>
        </w:tc>
        <w:tc>
          <w:tcPr>
            <w:tcW w:w="1564" w:type="dxa"/>
            <w:tcBorders>
              <w:right w:val="dotted" w:sz="5" w:space="0" w:color="30859C"/>
            </w:tcBorders>
            <w:shd w:val="clear" w:color="auto" w:fill="B4EDEC"/>
          </w:tcPr>
          <w:p>
            <w:pPr>
              <w:pStyle w:val="TableParagraph"/>
              <w:spacing w:before="80"/>
              <w:ind w:right="335"/>
              <w:jc w:val="right"/>
              <w:rPr>
                <w:sz w:val="16"/>
              </w:rPr>
            </w:pPr>
            <w:r>
              <w:rPr>
                <w:sz w:val="16"/>
              </w:rPr>
              <w:t>49.8 </w:t>
            </w:r>
            <w:r>
              <w:rPr>
                <w:rFonts w:ascii="Calibri" w:hAnsi="Calibri"/>
                <w:sz w:val="16"/>
              </w:rPr>
              <w:t>± </w:t>
            </w:r>
            <w:r>
              <w:rPr>
                <w:sz w:val="16"/>
              </w:rPr>
              <w:t>23.1</w:t>
            </w:r>
          </w:p>
        </w:tc>
        <w:tc>
          <w:tcPr>
            <w:tcW w:w="1461" w:type="dxa"/>
            <w:tcBorders>
              <w:left w:val="dotted" w:sz="5" w:space="0" w:color="30859C"/>
            </w:tcBorders>
            <w:shd w:val="clear" w:color="auto" w:fill="B4EDEC"/>
          </w:tcPr>
          <w:p>
            <w:pPr>
              <w:pStyle w:val="TableParagraph"/>
              <w:spacing w:before="80"/>
              <w:ind w:left="271" w:right="271"/>
              <w:rPr>
                <w:sz w:val="16"/>
              </w:rPr>
            </w:pPr>
            <w:r>
              <w:rPr>
                <w:sz w:val="16"/>
              </w:rPr>
              <w:t>48.0 </w:t>
            </w:r>
            <w:r>
              <w:rPr>
                <w:rFonts w:ascii="Calibri" w:hAnsi="Calibri"/>
                <w:sz w:val="16"/>
              </w:rPr>
              <w:t>± </w:t>
            </w:r>
            <w:r>
              <w:rPr>
                <w:sz w:val="16"/>
              </w:rPr>
              <w:t>30.2</w:t>
            </w:r>
          </w:p>
        </w:tc>
        <w:tc>
          <w:tcPr>
            <w:tcW w:w="917" w:type="dxa"/>
            <w:shd w:val="clear" w:color="auto" w:fill="BEBEBE"/>
          </w:tcPr>
          <w:p>
            <w:pPr>
              <w:pStyle w:val="TableParagraph"/>
              <w:spacing w:before="82"/>
              <w:ind w:left="275"/>
              <w:jc w:val="left"/>
              <w:rPr>
                <w:b/>
                <w:sz w:val="16"/>
              </w:rPr>
            </w:pPr>
            <w:r>
              <w:rPr>
                <w:b/>
                <w:sz w:val="16"/>
              </w:rPr>
              <w:t>0.08*</w:t>
            </w:r>
          </w:p>
        </w:tc>
        <w:tc>
          <w:tcPr>
            <w:tcW w:w="1370" w:type="dxa"/>
            <w:shd w:val="clear" w:color="auto" w:fill="B4EDEC"/>
          </w:tcPr>
          <w:p>
            <w:pPr>
              <w:pStyle w:val="TableParagraph"/>
              <w:spacing w:before="80"/>
              <w:ind w:left="280" w:right="262"/>
              <w:rPr>
                <w:sz w:val="16"/>
              </w:rPr>
            </w:pPr>
            <w:r>
              <w:rPr>
                <w:sz w:val="16"/>
              </w:rPr>
              <w:t>67.3 </w:t>
            </w:r>
            <w:r>
              <w:rPr>
                <w:rFonts w:ascii="Calibri" w:hAnsi="Calibri"/>
                <w:sz w:val="16"/>
              </w:rPr>
              <w:t>± </w:t>
            </w:r>
            <w:r>
              <w:rPr>
                <w:sz w:val="16"/>
              </w:rPr>
              <w:t>27.3</w:t>
            </w:r>
          </w:p>
        </w:tc>
      </w:tr>
    </w:tbl>
    <w:p>
      <w:pPr>
        <w:spacing w:line="162" w:lineRule="exact" w:before="72"/>
        <w:ind w:left="1566" w:right="1703" w:firstLine="0"/>
        <w:jc w:val="left"/>
        <w:rPr>
          <w:sz w:val="13"/>
        </w:rPr>
      </w:pPr>
      <w:r>
        <w:rPr>
          <w:w w:val="105"/>
          <w:sz w:val="13"/>
        </w:rPr>
        <w:t>Valores expresados en Media </w:t>
      </w:r>
      <w:r>
        <w:rPr>
          <w:rFonts w:ascii="Calibri" w:hAnsi="Calibri"/>
          <w:w w:val="105"/>
          <w:sz w:val="13"/>
        </w:rPr>
        <w:t>± </w:t>
      </w:r>
      <w:r>
        <w:rPr>
          <w:rFonts w:ascii="Courier New" w:hAnsi="Courier New"/>
          <w:w w:val="105"/>
          <w:sz w:val="13"/>
        </w:rPr>
        <w:t>D</w:t>
      </w:r>
      <w:r>
        <w:rPr>
          <w:w w:val="105"/>
          <w:sz w:val="13"/>
        </w:rPr>
        <w:t>esviación Estándar; *U de Mann-Whitney</w:t>
      </w:r>
    </w:p>
    <w:p>
      <w:pPr>
        <w:spacing w:line="149" w:lineRule="exact" w:before="0"/>
        <w:ind w:left="1566" w:right="1703" w:firstLine="0"/>
        <w:jc w:val="left"/>
        <w:rPr>
          <w:sz w:val="13"/>
        </w:rPr>
      </w:pPr>
      <w:r>
        <w:rPr>
          <w:w w:val="105"/>
          <w:sz w:val="13"/>
        </w:rPr>
        <w:t>Micronúcleos (MN); Binucleada (BN); Núcleo Lobulado (NL); Picnosis (PC); Cromatina Condensada (CC); Cariorrexis (CR); Cariolisis (CL); Total de</w:t>
      </w:r>
    </w:p>
    <w:p>
      <w:pPr>
        <w:spacing w:before="10"/>
        <w:ind w:left="1566" w:right="1703" w:firstLine="0"/>
        <w:jc w:val="left"/>
        <w:rPr>
          <w:sz w:val="13"/>
        </w:rPr>
      </w:pPr>
      <w:r>
        <w:rPr>
          <w:w w:val="105"/>
          <w:sz w:val="13"/>
        </w:rPr>
        <w:t>Anormalidades Nucleares (TAN)</w:t>
      </w:r>
    </w:p>
    <w:p>
      <w:pPr>
        <w:pStyle w:val="BodyText"/>
        <w:rPr>
          <w:sz w:val="20"/>
        </w:rPr>
      </w:pPr>
    </w:p>
    <w:p>
      <w:pPr>
        <w:pStyle w:val="BodyText"/>
        <w:rPr>
          <w:sz w:val="20"/>
        </w:rPr>
      </w:pPr>
    </w:p>
    <w:p>
      <w:pPr>
        <w:pStyle w:val="BodyText"/>
        <w:rPr>
          <w:sz w:val="20"/>
        </w:rPr>
      </w:pPr>
    </w:p>
    <w:p>
      <w:pPr>
        <w:pStyle w:val="BodyText"/>
        <w:spacing w:before="10"/>
        <w:rPr>
          <w:sz w:val="19"/>
        </w:rPr>
      </w:pPr>
    </w:p>
    <w:p>
      <w:pPr>
        <w:pStyle w:val="Heading4"/>
        <w:ind w:left="1543" w:right="1703"/>
      </w:pPr>
      <w:r>
        <w:rPr/>
        <w:t>Tabla 9. Padres y niños expuestos</w:t>
      </w:r>
    </w:p>
    <w:p>
      <w:pPr>
        <w:pStyle w:val="BodyText"/>
        <w:spacing w:before="10"/>
        <w:rPr>
          <w:b/>
          <w:sz w:val="18"/>
        </w:rPr>
      </w:pPr>
    </w:p>
    <w:tbl>
      <w:tblPr>
        <w:tblW w:w="0" w:type="auto"/>
        <w:jc w:val="left"/>
        <w:tblInd w:w="152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7"/>
        <w:gridCol w:w="929"/>
        <w:gridCol w:w="628"/>
        <w:gridCol w:w="1128"/>
        <w:gridCol w:w="1094"/>
        <w:gridCol w:w="676"/>
        <w:gridCol w:w="1100"/>
        <w:gridCol w:w="1016"/>
        <w:gridCol w:w="542"/>
        <w:gridCol w:w="972"/>
      </w:tblGrid>
      <w:tr>
        <w:trPr>
          <w:trHeight w:val="804" w:hRule="exact"/>
        </w:trPr>
        <w:tc>
          <w:tcPr>
            <w:tcW w:w="3483" w:type="dxa"/>
            <w:gridSpan w:val="4"/>
            <w:shd w:val="clear" w:color="auto" w:fill="33CCCC"/>
          </w:tcPr>
          <w:p>
            <w:pPr>
              <w:pStyle w:val="TableParagraph"/>
              <w:spacing w:before="8"/>
              <w:jc w:val="left"/>
              <w:rPr>
                <w:b/>
                <w:sz w:val="16"/>
              </w:rPr>
            </w:pPr>
          </w:p>
          <w:p>
            <w:pPr>
              <w:pStyle w:val="TableParagraph"/>
              <w:spacing w:before="0"/>
              <w:ind w:left="719"/>
              <w:rPr>
                <w:b/>
                <w:sz w:val="15"/>
              </w:rPr>
            </w:pPr>
            <w:r>
              <w:rPr>
                <w:b/>
                <w:sz w:val="15"/>
              </w:rPr>
              <w:t>Aseo después de las actividades</w:t>
            </w:r>
          </w:p>
          <w:p>
            <w:pPr>
              <w:pStyle w:val="TableParagraph"/>
              <w:spacing w:before="1"/>
              <w:jc w:val="left"/>
              <w:rPr>
                <w:b/>
                <w:sz w:val="12"/>
              </w:rPr>
            </w:pPr>
          </w:p>
          <w:p>
            <w:pPr>
              <w:pStyle w:val="TableParagraph"/>
              <w:tabs>
                <w:tab w:pos="1483" w:val="left" w:leader="none"/>
                <w:tab w:pos="2264" w:val="left" w:leader="none"/>
              </w:tabs>
              <w:spacing w:before="0"/>
              <w:ind w:left="689"/>
              <w:rPr>
                <w:b/>
                <w:sz w:val="15"/>
              </w:rPr>
            </w:pPr>
            <w:r>
              <w:rPr>
                <w:b/>
                <w:sz w:val="15"/>
              </w:rPr>
              <w:t>SI</w:t>
              <w:tab/>
              <w:t>p</w:t>
              <w:tab/>
            </w:r>
            <w:r>
              <w:rPr>
                <w:b/>
                <w:spacing w:val="4"/>
                <w:sz w:val="15"/>
              </w:rPr>
              <w:t>NO</w:t>
            </w:r>
          </w:p>
        </w:tc>
        <w:tc>
          <w:tcPr>
            <w:tcW w:w="2870" w:type="dxa"/>
            <w:gridSpan w:val="3"/>
            <w:shd w:val="clear" w:color="auto" w:fill="33CCCC"/>
          </w:tcPr>
          <w:p>
            <w:pPr>
              <w:pStyle w:val="TableParagraph"/>
              <w:spacing w:before="8"/>
              <w:jc w:val="left"/>
              <w:rPr>
                <w:b/>
                <w:sz w:val="16"/>
              </w:rPr>
            </w:pPr>
          </w:p>
          <w:p>
            <w:pPr>
              <w:pStyle w:val="TableParagraph"/>
              <w:spacing w:before="0"/>
              <w:ind w:left="242"/>
              <w:jc w:val="left"/>
              <w:rPr>
                <w:b/>
                <w:sz w:val="15"/>
              </w:rPr>
            </w:pPr>
            <w:r>
              <w:rPr>
                <w:b/>
                <w:sz w:val="15"/>
              </w:rPr>
              <w:t>Colocación de ropa contaminada</w:t>
            </w:r>
          </w:p>
          <w:p>
            <w:pPr>
              <w:pStyle w:val="TableParagraph"/>
              <w:tabs>
                <w:tab w:pos="1978" w:val="left" w:leader="none"/>
              </w:tabs>
              <w:spacing w:line="136" w:lineRule="exact" w:before="11"/>
              <w:ind w:left="252"/>
              <w:jc w:val="left"/>
              <w:rPr>
                <w:b/>
                <w:sz w:val="15"/>
              </w:rPr>
            </w:pPr>
            <w:r>
              <w:rPr>
                <w:b/>
                <w:sz w:val="14"/>
              </w:rPr>
              <w:t>Fuera</w:t>
            </w:r>
            <w:r>
              <w:rPr>
                <w:b/>
                <w:spacing w:val="-14"/>
                <w:sz w:val="14"/>
              </w:rPr>
              <w:t> </w:t>
            </w:r>
            <w:r>
              <w:rPr>
                <w:b/>
                <w:sz w:val="14"/>
              </w:rPr>
              <w:t>d</w:t>
            </w:r>
            <w:r>
              <w:rPr>
                <w:b/>
                <w:sz w:val="15"/>
              </w:rPr>
              <w:t>e</w:t>
              <w:tab/>
              <w:t>Dentro</w:t>
            </w:r>
            <w:r>
              <w:rPr>
                <w:b/>
                <w:spacing w:val="-6"/>
                <w:sz w:val="15"/>
              </w:rPr>
              <w:t> </w:t>
            </w:r>
            <w:r>
              <w:rPr>
                <w:b/>
                <w:sz w:val="15"/>
              </w:rPr>
              <w:t>de</w:t>
            </w:r>
          </w:p>
          <w:p>
            <w:pPr>
              <w:pStyle w:val="TableParagraph"/>
              <w:tabs>
                <w:tab w:pos="1383" w:val="left" w:leader="none"/>
                <w:tab w:pos="2073" w:val="left" w:leader="none"/>
              </w:tabs>
              <w:spacing w:line="216" w:lineRule="exact" w:before="0"/>
              <w:ind w:left="290"/>
              <w:jc w:val="left"/>
              <w:rPr>
                <w:b/>
                <w:sz w:val="15"/>
              </w:rPr>
            </w:pPr>
            <w:r>
              <w:rPr>
                <w:b/>
                <w:spacing w:val="-3"/>
                <w:sz w:val="15"/>
              </w:rPr>
              <w:t>la </w:t>
            </w:r>
            <w:r>
              <w:rPr>
                <w:b/>
                <w:sz w:val="15"/>
              </w:rPr>
              <w:t>casa</w:t>
              <w:tab/>
            </w:r>
            <w:r>
              <w:rPr>
                <w:b/>
                <w:position w:val="8"/>
                <w:sz w:val="15"/>
              </w:rPr>
              <w:t>p</w:t>
              <w:tab/>
            </w:r>
            <w:r>
              <w:rPr>
                <w:b/>
                <w:spacing w:val="-3"/>
                <w:sz w:val="15"/>
              </w:rPr>
              <w:t>la</w:t>
            </w:r>
            <w:r>
              <w:rPr>
                <w:b/>
                <w:spacing w:val="2"/>
                <w:sz w:val="15"/>
              </w:rPr>
              <w:t> </w:t>
            </w:r>
            <w:r>
              <w:rPr>
                <w:b/>
                <w:sz w:val="15"/>
              </w:rPr>
              <w:t>casa</w:t>
            </w:r>
          </w:p>
        </w:tc>
        <w:tc>
          <w:tcPr>
            <w:tcW w:w="2530" w:type="dxa"/>
            <w:gridSpan w:val="3"/>
            <w:shd w:val="clear" w:color="auto" w:fill="33CCCC"/>
          </w:tcPr>
          <w:p>
            <w:pPr>
              <w:pStyle w:val="TableParagraph"/>
              <w:spacing w:before="8"/>
              <w:jc w:val="left"/>
              <w:rPr>
                <w:b/>
                <w:sz w:val="16"/>
              </w:rPr>
            </w:pPr>
          </w:p>
          <w:p>
            <w:pPr>
              <w:pStyle w:val="TableParagraph"/>
              <w:spacing w:before="0"/>
              <w:ind w:left="239"/>
              <w:jc w:val="left"/>
              <w:rPr>
                <w:b/>
                <w:sz w:val="15"/>
              </w:rPr>
            </w:pPr>
            <w:r>
              <w:rPr>
                <w:b/>
                <w:sz w:val="15"/>
              </w:rPr>
              <w:t>Lavado de ropa contaminada</w:t>
            </w:r>
          </w:p>
          <w:p>
            <w:pPr>
              <w:pStyle w:val="TableParagraph"/>
              <w:spacing w:line="126" w:lineRule="exact" w:before="46"/>
              <w:ind w:left="239"/>
              <w:jc w:val="left"/>
              <w:rPr>
                <w:b/>
                <w:sz w:val="14"/>
              </w:rPr>
            </w:pPr>
            <w:r>
              <w:rPr>
                <w:b/>
                <w:sz w:val="14"/>
              </w:rPr>
              <w:t>Resto de</w:t>
            </w:r>
          </w:p>
          <w:p>
            <w:pPr>
              <w:pStyle w:val="TableParagraph"/>
              <w:tabs>
                <w:tab w:pos="1239" w:val="left" w:leader="none"/>
                <w:tab w:pos="1698" w:val="left" w:leader="none"/>
              </w:tabs>
              <w:spacing w:line="217" w:lineRule="exact" w:before="0"/>
              <w:ind w:left="211"/>
              <w:jc w:val="left"/>
              <w:rPr>
                <w:b/>
                <w:sz w:val="15"/>
              </w:rPr>
            </w:pPr>
            <w:r>
              <w:rPr>
                <w:b/>
                <w:spacing w:val="-3"/>
                <w:sz w:val="15"/>
              </w:rPr>
              <w:t>la</w:t>
            </w:r>
            <w:r>
              <w:rPr>
                <w:b/>
                <w:spacing w:val="-1"/>
                <w:sz w:val="15"/>
              </w:rPr>
              <w:t> </w:t>
            </w:r>
            <w:r>
              <w:rPr>
                <w:b/>
                <w:spacing w:val="-4"/>
                <w:sz w:val="15"/>
              </w:rPr>
              <w:t>familia</w:t>
              <w:tab/>
            </w:r>
            <w:r>
              <w:rPr>
                <w:b/>
                <w:position w:val="8"/>
                <w:sz w:val="15"/>
              </w:rPr>
              <w:t>p</w:t>
              <w:tab/>
              <w:t>Separada</w:t>
            </w:r>
          </w:p>
        </w:tc>
      </w:tr>
      <w:tr>
        <w:trPr>
          <w:trHeight w:val="171" w:hRule="exact"/>
        </w:trPr>
        <w:tc>
          <w:tcPr>
            <w:tcW w:w="797" w:type="dxa"/>
            <w:shd w:val="clear" w:color="auto" w:fill="B4EDEC"/>
          </w:tcPr>
          <w:p>
            <w:pPr>
              <w:pStyle w:val="TableParagraph"/>
              <w:spacing w:before="0"/>
              <w:ind w:left="64" w:right="93"/>
              <w:rPr>
                <w:sz w:val="14"/>
              </w:rPr>
            </w:pPr>
            <w:r>
              <w:rPr>
                <w:sz w:val="14"/>
              </w:rPr>
              <w:t>Total de</w:t>
            </w:r>
          </w:p>
        </w:tc>
        <w:tc>
          <w:tcPr>
            <w:tcW w:w="929" w:type="dxa"/>
            <w:shd w:val="clear" w:color="auto" w:fill="B4EDEC"/>
          </w:tcPr>
          <w:p>
            <w:pPr/>
          </w:p>
        </w:tc>
        <w:tc>
          <w:tcPr>
            <w:tcW w:w="628" w:type="dxa"/>
            <w:shd w:val="clear" w:color="auto" w:fill="B4EDEC"/>
          </w:tcPr>
          <w:p>
            <w:pPr/>
          </w:p>
        </w:tc>
        <w:tc>
          <w:tcPr>
            <w:tcW w:w="1128" w:type="dxa"/>
            <w:shd w:val="clear" w:color="auto" w:fill="B4EDEC"/>
          </w:tcPr>
          <w:p>
            <w:pPr/>
          </w:p>
        </w:tc>
        <w:tc>
          <w:tcPr>
            <w:tcW w:w="1094" w:type="dxa"/>
            <w:shd w:val="clear" w:color="auto" w:fill="B4EDEC"/>
          </w:tcPr>
          <w:p>
            <w:pPr/>
          </w:p>
        </w:tc>
        <w:tc>
          <w:tcPr>
            <w:tcW w:w="676" w:type="dxa"/>
            <w:shd w:val="clear" w:color="auto" w:fill="B4EDEC"/>
          </w:tcPr>
          <w:p>
            <w:pPr/>
          </w:p>
        </w:tc>
        <w:tc>
          <w:tcPr>
            <w:tcW w:w="1100" w:type="dxa"/>
            <w:shd w:val="clear" w:color="auto" w:fill="B4EDEC"/>
          </w:tcPr>
          <w:p>
            <w:pPr/>
          </w:p>
        </w:tc>
        <w:tc>
          <w:tcPr>
            <w:tcW w:w="1016" w:type="dxa"/>
            <w:shd w:val="clear" w:color="auto" w:fill="B4EDEC"/>
          </w:tcPr>
          <w:p>
            <w:pPr/>
          </w:p>
        </w:tc>
        <w:tc>
          <w:tcPr>
            <w:tcW w:w="542" w:type="dxa"/>
            <w:shd w:val="clear" w:color="auto" w:fill="B4EDEC"/>
          </w:tcPr>
          <w:p>
            <w:pPr/>
          </w:p>
        </w:tc>
        <w:tc>
          <w:tcPr>
            <w:tcW w:w="972" w:type="dxa"/>
            <w:shd w:val="clear" w:color="auto" w:fill="B4EDEC"/>
          </w:tcPr>
          <w:p>
            <w:pPr/>
          </w:p>
        </w:tc>
      </w:tr>
      <w:tr>
        <w:trPr>
          <w:trHeight w:val="168" w:hRule="exact"/>
        </w:trPr>
        <w:tc>
          <w:tcPr>
            <w:tcW w:w="797" w:type="dxa"/>
            <w:shd w:val="clear" w:color="auto" w:fill="B4EDEC"/>
          </w:tcPr>
          <w:p>
            <w:pPr>
              <w:pStyle w:val="TableParagraph"/>
              <w:spacing w:before="0"/>
              <w:ind w:left="55" w:right="93"/>
              <w:rPr>
                <w:sz w:val="14"/>
              </w:rPr>
            </w:pPr>
            <w:r>
              <w:rPr>
                <w:sz w:val="14"/>
              </w:rPr>
              <w:t>la</w:t>
            </w:r>
          </w:p>
        </w:tc>
        <w:tc>
          <w:tcPr>
            <w:tcW w:w="929" w:type="dxa"/>
            <w:shd w:val="clear" w:color="auto" w:fill="B4EDEC"/>
          </w:tcPr>
          <w:p>
            <w:pPr>
              <w:pStyle w:val="TableParagraph"/>
              <w:spacing w:line="157" w:lineRule="exact" w:before="0"/>
              <w:ind w:left="95" w:right="99"/>
              <w:rPr>
                <w:sz w:val="14"/>
              </w:rPr>
            </w:pPr>
            <w:r>
              <w:rPr>
                <w:sz w:val="14"/>
              </w:rPr>
              <w:t>49/63</w:t>
            </w:r>
          </w:p>
        </w:tc>
        <w:tc>
          <w:tcPr>
            <w:tcW w:w="628" w:type="dxa"/>
            <w:shd w:val="clear" w:color="auto" w:fill="B4EDEC"/>
          </w:tcPr>
          <w:p>
            <w:pPr/>
          </w:p>
        </w:tc>
        <w:tc>
          <w:tcPr>
            <w:tcW w:w="1128" w:type="dxa"/>
            <w:shd w:val="clear" w:color="auto" w:fill="B4EDEC"/>
          </w:tcPr>
          <w:p>
            <w:pPr>
              <w:pStyle w:val="TableParagraph"/>
              <w:spacing w:line="157" w:lineRule="exact" w:before="0"/>
              <w:ind w:left="344"/>
              <w:jc w:val="left"/>
              <w:rPr>
                <w:sz w:val="14"/>
              </w:rPr>
            </w:pPr>
            <w:r>
              <w:rPr>
                <w:sz w:val="14"/>
              </w:rPr>
              <w:t>14/63</w:t>
            </w:r>
          </w:p>
        </w:tc>
        <w:tc>
          <w:tcPr>
            <w:tcW w:w="1094" w:type="dxa"/>
            <w:shd w:val="clear" w:color="auto" w:fill="B4EDEC"/>
          </w:tcPr>
          <w:p>
            <w:pPr>
              <w:pStyle w:val="TableParagraph"/>
              <w:spacing w:line="157" w:lineRule="exact" w:before="0"/>
              <w:ind w:left="181" w:right="181"/>
              <w:rPr>
                <w:sz w:val="14"/>
              </w:rPr>
            </w:pPr>
            <w:r>
              <w:rPr>
                <w:sz w:val="14"/>
              </w:rPr>
              <w:t>42/63</w:t>
            </w:r>
          </w:p>
        </w:tc>
        <w:tc>
          <w:tcPr>
            <w:tcW w:w="676" w:type="dxa"/>
            <w:shd w:val="clear" w:color="auto" w:fill="B4EDEC"/>
          </w:tcPr>
          <w:p>
            <w:pPr/>
          </w:p>
        </w:tc>
        <w:tc>
          <w:tcPr>
            <w:tcW w:w="1100" w:type="dxa"/>
            <w:shd w:val="clear" w:color="auto" w:fill="B4EDEC"/>
          </w:tcPr>
          <w:p>
            <w:pPr>
              <w:pStyle w:val="TableParagraph"/>
              <w:spacing w:line="157" w:lineRule="exact" w:before="0"/>
              <w:ind w:left="365" w:right="344"/>
              <w:rPr>
                <w:sz w:val="14"/>
              </w:rPr>
            </w:pPr>
            <w:r>
              <w:rPr>
                <w:sz w:val="14"/>
              </w:rPr>
              <w:t>21/63</w:t>
            </w:r>
          </w:p>
        </w:tc>
        <w:tc>
          <w:tcPr>
            <w:tcW w:w="1016" w:type="dxa"/>
            <w:shd w:val="clear" w:color="auto" w:fill="B4EDEC"/>
          </w:tcPr>
          <w:p>
            <w:pPr>
              <w:pStyle w:val="TableParagraph"/>
              <w:spacing w:line="157" w:lineRule="exact" w:before="0"/>
              <w:ind w:left="157" w:right="123"/>
              <w:rPr>
                <w:sz w:val="14"/>
              </w:rPr>
            </w:pPr>
            <w:r>
              <w:rPr>
                <w:sz w:val="14"/>
              </w:rPr>
              <w:t>12/63</w:t>
            </w:r>
          </w:p>
        </w:tc>
        <w:tc>
          <w:tcPr>
            <w:tcW w:w="542" w:type="dxa"/>
            <w:shd w:val="clear" w:color="auto" w:fill="B4EDEC"/>
          </w:tcPr>
          <w:p>
            <w:pPr/>
          </w:p>
        </w:tc>
        <w:tc>
          <w:tcPr>
            <w:tcW w:w="972" w:type="dxa"/>
            <w:shd w:val="clear" w:color="auto" w:fill="B4EDEC"/>
          </w:tcPr>
          <w:p>
            <w:pPr>
              <w:pStyle w:val="TableParagraph"/>
              <w:spacing w:line="157" w:lineRule="exact" w:before="0"/>
              <w:ind w:left="118" w:right="121"/>
              <w:rPr>
                <w:sz w:val="14"/>
              </w:rPr>
            </w:pPr>
            <w:r>
              <w:rPr>
                <w:sz w:val="14"/>
              </w:rPr>
              <w:t>51/63</w:t>
            </w:r>
          </w:p>
        </w:tc>
      </w:tr>
      <w:tr>
        <w:trPr>
          <w:trHeight w:val="169" w:hRule="exact"/>
        </w:trPr>
        <w:tc>
          <w:tcPr>
            <w:tcW w:w="797" w:type="dxa"/>
            <w:shd w:val="clear" w:color="auto" w:fill="B4EDEC"/>
          </w:tcPr>
          <w:p>
            <w:pPr>
              <w:pStyle w:val="TableParagraph"/>
              <w:spacing w:line="154" w:lineRule="exact" w:before="0"/>
              <w:ind w:left="64" w:right="93"/>
              <w:rPr>
                <w:sz w:val="14"/>
              </w:rPr>
            </w:pPr>
            <w:r>
              <w:rPr>
                <w:sz w:val="14"/>
              </w:rPr>
              <w:t>población</w:t>
            </w:r>
          </w:p>
        </w:tc>
        <w:tc>
          <w:tcPr>
            <w:tcW w:w="929" w:type="dxa"/>
            <w:shd w:val="clear" w:color="auto" w:fill="B4EDEC"/>
          </w:tcPr>
          <w:p>
            <w:pPr>
              <w:pStyle w:val="TableParagraph"/>
              <w:spacing w:line="160" w:lineRule="exact" w:before="0"/>
              <w:ind w:left="92" w:right="108"/>
              <w:rPr>
                <w:sz w:val="14"/>
              </w:rPr>
            </w:pPr>
            <w:r>
              <w:rPr>
                <w:sz w:val="14"/>
              </w:rPr>
              <w:t>(77.8%)</w:t>
            </w:r>
          </w:p>
        </w:tc>
        <w:tc>
          <w:tcPr>
            <w:tcW w:w="628" w:type="dxa"/>
            <w:shd w:val="clear" w:color="auto" w:fill="B4EDEC"/>
          </w:tcPr>
          <w:p>
            <w:pPr/>
          </w:p>
        </w:tc>
        <w:tc>
          <w:tcPr>
            <w:tcW w:w="1128" w:type="dxa"/>
            <w:shd w:val="clear" w:color="auto" w:fill="B4EDEC"/>
          </w:tcPr>
          <w:p>
            <w:pPr>
              <w:pStyle w:val="TableParagraph"/>
              <w:spacing w:line="160" w:lineRule="exact" w:before="0"/>
              <w:ind w:left="268"/>
              <w:jc w:val="left"/>
              <w:rPr>
                <w:sz w:val="14"/>
              </w:rPr>
            </w:pPr>
            <w:r>
              <w:rPr>
                <w:sz w:val="14"/>
              </w:rPr>
              <w:t>(22.2%)</w:t>
            </w:r>
          </w:p>
        </w:tc>
        <w:tc>
          <w:tcPr>
            <w:tcW w:w="1094" w:type="dxa"/>
            <w:shd w:val="clear" w:color="auto" w:fill="B4EDEC"/>
          </w:tcPr>
          <w:p>
            <w:pPr>
              <w:pStyle w:val="TableParagraph"/>
              <w:spacing w:line="160" w:lineRule="exact" w:before="0"/>
              <w:ind w:left="177" w:right="187"/>
              <w:rPr>
                <w:sz w:val="14"/>
              </w:rPr>
            </w:pPr>
            <w:r>
              <w:rPr>
                <w:sz w:val="14"/>
              </w:rPr>
              <w:t>(66.7%)</w:t>
            </w:r>
          </w:p>
        </w:tc>
        <w:tc>
          <w:tcPr>
            <w:tcW w:w="676" w:type="dxa"/>
            <w:shd w:val="clear" w:color="auto" w:fill="B4EDEC"/>
          </w:tcPr>
          <w:p>
            <w:pPr/>
          </w:p>
        </w:tc>
        <w:tc>
          <w:tcPr>
            <w:tcW w:w="1100" w:type="dxa"/>
            <w:shd w:val="clear" w:color="auto" w:fill="B4EDEC"/>
          </w:tcPr>
          <w:p>
            <w:pPr>
              <w:pStyle w:val="TableParagraph"/>
              <w:spacing w:line="160" w:lineRule="exact" w:before="0"/>
              <w:ind w:right="302"/>
              <w:jc w:val="right"/>
              <w:rPr>
                <w:sz w:val="14"/>
              </w:rPr>
            </w:pPr>
            <w:r>
              <w:rPr>
                <w:sz w:val="14"/>
              </w:rPr>
              <w:t>(33.3%)</w:t>
            </w:r>
          </w:p>
        </w:tc>
        <w:tc>
          <w:tcPr>
            <w:tcW w:w="1016" w:type="dxa"/>
            <w:shd w:val="clear" w:color="auto" w:fill="B4EDEC"/>
          </w:tcPr>
          <w:p>
            <w:pPr>
              <w:pStyle w:val="TableParagraph"/>
              <w:spacing w:line="160" w:lineRule="exact" w:before="0"/>
              <w:ind w:left="167" w:right="107"/>
              <w:rPr>
                <w:sz w:val="14"/>
              </w:rPr>
            </w:pPr>
            <w:r>
              <w:rPr>
                <w:sz w:val="14"/>
              </w:rPr>
              <w:t>(19%)</w:t>
            </w:r>
          </w:p>
        </w:tc>
        <w:tc>
          <w:tcPr>
            <w:tcW w:w="542" w:type="dxa"/>
            <w:shd w:val="clear" w:color="auto" w:fill="B4EDEC"/>
          </w:tcPr>
          <w:p>
            <w:pPr/>
          </w:p>
        </w:tc>
        <w:tc>
          <w:tcPr>
            <w:tcW w:w="972" w:type="dxa"/>
            <w:shd w:val="clear" w:color="auto" w:fill="B4EDEC"/>
          </w:tcPr>
          <w:p>
            <w:pPr>
              <w:pStyle w:val="TableParagraph"/>
              <w:spacing w:line="160" w:lineRule="exact" w:before="0"/>
              <w:ind w:left="121" w:right="121"/>
              <w:rPr>
                <w:sz w:val="14"/>
              </w:rPr>
            </w:pPr>
            <w:r>
              <w:rPr>
                <w:sz w:val="14"/>
              </w:rPr>
              <w:t>(81%)</w:t>
            </w:r>
          </w:p>
        </w:tc>
      </w:tr>
      <w:tr>
        <w:trPr>
          <w:trHeight w:val="154" w:hRule="exact"/>
        </w:trPr>
        <w:tc>
          <w:tcPr>
            <w:tcW w:w="797" w:type="dxa"/>
            <w:shd w:val="clear" w:color="auto" w:fill="B4EDEC"/>
          </w:tcPr>
          <w:p>
            <w:pPr>
              <w:pStyle w:val="TableParagraph"/>
              <w:spacing w:line="156" w:lineRule="exact" w:before="0"/>
              <w:ind w:left="64" w:right="93"/>
              <w:rPr>
                <w:sz w:val="14"/>
              </w:rPr>
            </w:pPr>
            <w:r>
              <w:rPr>
                <w:sz w:val="14"/>
              </w:rPr>
              <w:t>n = 63</w:t>
            </w:r>
          </w:p>
        </w:tc>
        <w:tc>
          <w:tcPr>
            <w:tcW w:w="929" w:type="dxa"/>
            <w:shd w:val="clear" w:color="auto" w:fill="B4EDEC"/>
          </w:tcPr>
          <w:p>
            <w:pPr/>
          </w:p>
        </w:tc>
        <w:tc>
          <w:tcPr>
            <w:tcW w:w="628" w:type="dxa"/>
            <w:shd w:val="clear" w:color="auto" w:fill="B4EDEC"/>
          </w:tcPr>
          <w:p>
            <w:pPr/>
          </w:p>
        </w:tc>
        <w:tc>
          <w:tcPr>
            <w:tcW w:w="1128" w:type="dxa"/>
            <w:shd w:val="clear" w:color="auto" w:fill="B4EDEC"/>
          </w:tcPr>
          <w:p>
            <w:pPr/>
          </w:p>
        </w:tc>
        <w:tc>
          <w:tcPr>
            <w:tcW w:w="1094" w:type="dxa"/>
            <w:shd w:val="clear" w:color="auto" w:fill="B4EDEC"/>
          </w:tcPr>
          <w:p>
            <w:pPr/>
          </w:p>
        </w:tc>
        <w:tc>
          <w:tcPr>
            <w:tcW w:w="676" w:type="dxa"/>
            <w:shd w:val="clear" w:color="auto" w:fill="B4EDEC"/>
          </w:tcPr>
          <w:p>
            <w:pPr/>
          </w:p>
        </w:tc>
        <w:tc>
          <w:tcPr>
            <w:tcW w:w="1100" w:type="dxa"/>
            <w:shd w:val="clear" w:color="auto" w:fill="B4EDEC"/>
          </w:tcPr>
          <w:p>
            <w:pPr/>
          </w:p>
        </w:tc>
        <w:tc>
          <w:tcPr>
            <w:tcW w:w="1016" w:type="dxa"/>
            <w:shd w:val="clear" w:color="auto" w:fill="B4EDEC"/>
          </w:tcPr>
          <w:p>
            <w:pPr/>
          </w:p>
        </w:tc>
        <w:tc>
          <w:tcPr>
            <w:tcW w:w="542" w:type="dxa"/>
            <w:shd w:val="clear" w:color="auto" w:fill="B4EDEC"/>
          </w:tcPr>
          <w:p>
            <w:pPr/>
          </w:p>
        </w:tc>
        <w:tc>
          <w:tcPr>
            <w:tcW w:w="972" w:type="dxa"/>
            <w:shd w:val="clear" w:color="auto" w:fill="B4EDEC"/>
          </w:tcPr>
          <w:p>
            <w:pPr/>
          </w:p>
        </w:tc>
      </w:tr>
      <w:tr>
        <w:trPr>
          <w:trHeight w:val="303" w:hRule="exact"/>
        </w:trPr>
        <w:tc>
          <w:tcPr>
            <w:tcW w:w="797" w:type="dxa"/>
            <w:shd w:val="clear" w:color="auto" w:fill="77DFDD"/>
          </w:tcPr>
          <w:p>
            <w:pPr>
              <w:pStyle w:val="TableParagraph"/>
              <w:spacing w:before="5"/>
              <w:ind w:left="64" w:right="93"/>
              <w:rPr>
                <w:sz w:val="14"/>
              </w:rPr>
            </w:pPr>
            <w:r>
              <w:rPr>
                <w:sz w:val="14"/>
              </w:rPr>
              <w:t>MN</w:t>
            </w:r>
          </w:p>
        </w:tc>
        <w:tc>
          <w:tcPr>
            <w:tcW w:w="929" w:type="dxa"/>
            <w:shd w:val="clear" w:color="auto" w:fill="77DFDD"/>
          </w:tcPr>
          <w:p>
            <w:pPr>
              <w:pStyle w:val="TableParagraph"/>
              <w:spacing w:before="3"/>
              <w:ind w:left="95" w:right="108"/>
              <w:rPr>
                <w:sz w:val="14"/>
              </w:rPr>
            </w:pPr>
            <w:r>
              <w:rPr>
                <w:sz w:val="14"/>
              </w:rPr>
              <w:t>0.3 </w:t>
            </w:r>
            <w:r>
              <w:rPr>
                <w:rFonts w:ascii="Calibri" w:hAnsi="Calibri"/>
                <w:sz w:val="14"/>
              </w:rPr>
              <w:t>± </w:t>
            </w:r>
            <w:r>
              <w:rPr>
                <w:sz w:val="14"/>
              </w:rPr>
              <w:t>0.5</w:t>
            </w:r>
          </w:p>
        </w:tc>
        <w:tc>
          <w:tcPr>
            <w:tcW w:w="628" w:type="dxa"/>
            <w:shd w:val="clear" w:color="auto" w:fill="77DFDD"/>
          </w:tcPr>
          <w:p>
            <w:pPr>
              <w:pStyle w:val="TableParagraph"/>
              <w:spacing w:before="5"/>
              <w:ind w:left="172"/>
              <w:jc w:val="left"/>
              <w:rPr>
                <w:sz w:val="14"/>
              </w:rPr>
            </w:pPr>
            <w:r>
              <w:rPr>
                <w:sz w:val="14"/>
              </w:rPr>
              <w:t>0.5*</w:t>
            </w:r>
          </w:p>
        </w:tc>
        <w:tc>
          <w:tcPr>
            <w:tcW w:w="1128" w:type="dxa"/>
            <w:shd w:val="clear" w:color="auto" w:fill="77DFDD"/>
          </w:tcPr>
          <w:p>
            <w:pPr>
              <w:pStyle w:val="TableParagraph"/>
              <w:spacing w:before="3"/>
              <w:ind w:left="249"/>
              <w:jc w:val="left"/>
              <w:rPr>
                <w:sz w:val="14"/>
              </w:rPr>
            </w:pPr>
            <w:r>
              <w:rPr>
                <w:sz w:val="14"/>
              </w:rPr>
              <w:t>0.4 </w:t>
            </w:r>
            <w:r>
              <w:rPr>
                <w:rFonts w:ascii="Calibri" w:hAnsi="Calibri"/>
                <w:sz w:val="14"/>
              </w:rPr>
              <w:t>± </w:t>
            </w:r>
            <w:r>
              <w:rPr>
                <w:sz w:val="14"/>
              </w:rPr>
              <w:t>0.6</w:t>
            </w:r>
          </w:p>
        </w:tc>
        <w:tc>
          <w:tcPr>
            <w:tcW w:w="1094" w:type="dxa"/>
            <w:shd w:val="clear" w:color="auto" w:fill="77DFDD"/>
          </w:tcPr>
          <w:p>
            <w:pPr>
              <w:pStyle w:val="TableParagraph"/>
              <w:spacing w:before="3"/>
              <w:ind w:left="181" w:right="187"/>
              <w:rPr>
                <w:sz w:val="14"/>
              </w:rPr>
            </w:pPr>
            <w:r>
              <w:rPr>
                <w:sz w:val="14"/>
              </w:rPr>
              <w:t>0.3 </w:t>
            </w:r>
            <w:r>
              <w:rPr>
                <w:rFonts w:ascii="Calibri" w:hAnsi="Calibri"/>
                <w:sz w:val="14"/>
              </w:rPr>
              <w:t>± </w:t>
            </w:r>
            <w:r>
              <w:rPr>
                <w:sz w:val="14"/>
              </w:rPr>
              <w:t>0.5</w:t>
            </w:r>
          </w:p>
        </w:tc>
        <w:tc>
          <w:tcPr>
            <w:tcW w:w="676" w:type="dxa"/>
            <w:shd w:val="clear" w:color="auto" w:fill="77DFDD"/>
          </w:tcPr>
          <w:p>
            <w:pPr>
              <w:pStyle w:val="TableParagraph"/>
              <w:spacing w:before="5"/>
              <w:ind w:left="192" w:right="194"/>
              <w:rPr>
                <w:sz w:val="14"/>
              </w:rPr>
            </w:pPr>
            <w:r>
              <w:rPr>
                <w:sz w:val="14"/>
              </w:rPr>
              <w:t>0.5*</w:t>
            </w:r>
          </w:p>
        </w:tc>
        <w:tc>
          <w:tcPr>
            <w:tcW w:w="1100" w:type="dxa"/>
            <w:shd w:val="clear" w:color="auto" w:fill="77DFDD"/>
          </w:tcPr>
          <w:p>
            <w:pPr>
              <w:pStyle w:val="TableParagraph"/>
              <w:spacing w:before="3"/>
              <w:ind w:right="279"/>
              <w:jc w:val="right"/>
              <w:rPr>
                <w:sz w:val="14"/>
              </w:rPr>
            </w:pPr>
            <w:r>
              <w:rPr>
                <w:sz w:val="14"/>
              </w:rPr>
              <w:t>0.4 </w:t>
            </w:r>
            <w:r>
              <w:rPr>
                <w:rFonts w:ascii="Calibri" w:hAnsi="Calibri"/>
                <w:sz w:val="14"/>
              </w:rPr>
              <w:t>± </w:t>
            </w:r>
            <w:r>
              <w:rPr>
                <w:sz w:val="14"/>
              </w:rPr>
              <w:t>0.6</w:t>
            </w:r>
          </w:p>
        </w:tc>
        <w:tc>
          <w:tcPr>
            <w:tcW w:w="1016" w:type="dxa"/>
            <w:shd w:val="clear" w:color="auto" w:fill="77DFDD"/>
          </w:tcPr>
          <w:p>
            <w:pPr>
              <w:pStyle w:val="TableParagraph"/>
              <w:spacing w:before="3"/>
              <w:ind w:left="167" w:right="123"/>
              <w:rPr>
                <w:sz w:val="14"/>
              </w:rPr>
            </w:pPr>
            <w:r>
              <w:rPr>
                <w:sz w:val="14"/>
              </w:rPr>
              <w:t>0.2 </w:t>
            </w:r>
            <w:r>
              <w:rPr>
                <w:rFonts w:ascii="Calibri" w:hAnsi="Calibri"/>
                <w:sz w:val="14"/>
              </w:rPr>
              <w:t>± </w:t>
            </w:r>
            <w:r>
              <w:rPr>
                <w:sz w:val="14"/>
              </w:rPr>
              <w:t>0.4</w:t>
            </w:r>
          </w:p>
        </w:tc>
        <w:tc>
          <w:tcPr>
            <w:tcW w:w="542" w:type="dxa"/>
            <w:shd w:val="clear" w:color="auto" w:fill="77DFDD"/>
          </w:tcPr>
          <w:p>
            <w:pPr>
              <w:pStyle w:val="TableParagraph"/>
              <w:spacing w:before="5"/>
              <w:ind w:left="126" w:right="126"/>
              <w:rPr>
                <w:sz w:val="14"/>
              </w:rPr>
            </w:pPr>
            <w:r>
              <w:rPr>
                <w:sz w:val="14"/>
              </w:rPr>
              <w:t>0.6*</w:t>
            </w:r>
          </w:p>
        </w:tc>
        <w:tc>
          <w:tcPr>
            <w:tcW w:w="972" w:type="dxa"/>
            <w:shd w:val="clear" w:color="auto" w:fill="77DFDD"/>
          </w:tcPr>
          <w:p>
            <w:pPr>
              <w:pStyle w:val="TableParagraph"/>
              <w:spacing w:before="3"/>
              <w:ind w:left="124" w:right="121"/>
              <w:rPr>
                <w:sz w:val="14"/>
              </w:rPr>
            </w:pPr>
            <w:r>
              <w:rPr>
                <w:sz w:val="14"/>
              </w:rPr>
              <w:t>0.3 </w:t>
            </w:r>
            <w:r>
              <w:rPr>
                <w:rFonts w:ascii="Calibri" w:hAnsi="Calibri"/>
                <w:sz w:val="14"/>
              </w:rPr>
              <w:t>± </w:t>
            </w:r>
            <w:r>
              <w:rPr>
                <w:sz w:val="14"/>
              </w:rPr>
              <w:t>0.5</w:t>
            </w:r>
          </w:p>
        </w:tc>
      </w:tr>
      <w:tr>
        <w:trPr>
          <w:trHeight w:val="274" w:hRule="exact"/>
        </w:trPr>
        <w:tc>
          <w:tcPr>
            <w:tcW w:w="797" w:type="dxa"/>
            <w:shd w:val="clear" w:color="auto" w:fill="B4EDEC"/>
          </w:tcPr>
          <w:p>
            <w:pPr>
              <w:pStyle w:val="TableParagraph"/>
              <w:spacing w:before="4"/>
              <w:ind w:left="50" w:right="93"/>
              <w:rPr>
                <w:sz w:val="14"/>
              </w:rPr>
            </w:pPr>
            <w:r>
              <w:rPr>
                <w:sz w:val="14"/>
              </w:rPr>
              <w:t>BN</w:t>
            </w:r>
          </w:p>
        </w:tc>
        <w:tc>
          <w:tcPr>
            <w:tcW w:w="929" w:type="dxa"/>
            <w:shd w:val="clear" w:color="auto" w:fill="B4EDEC"/>
          </w:tcPr>
          <w:p>
            <w:pPr>
              <w:pStyle w:val="TableParagraph"/>
              <w:spacing w:before="2"/>
              <w:ind w:left="95" w:right="108"/>
              <w:rPr>
                <w:sz w:val="14"/>
              </w:rPr>
            </w:pPr>
            <w:r>
              <w:rPr>
                <w:sz w:val="14"/>
              </w:rPr>
              <w:t>2.9 </w:t>
            </w:r>
            <w:r>
              <w:rPr>
                <w:rFonts w:ascii="Calibri" w:hAnsi="Calibri"/>
                <w:sz w:val="14"/>
              </w:rPr>
              <w:t>± </w:t>
            </w:r>
            <w:r>
              <w:rPr>
                <w:sz w:val="14"/>
              </w:rPr>
              <w:t>2.7</w:t>
            </w:r>
          </w:p>
        </w:tc>
        <w:tc>
          <w:tcPr>
            <w:tcW w:w="628" w:type="dxa"/>
            <w:shd w:val="clear" w:color="auto" w:fill="B4EDEC"/>
          </w:tcPr>
          <w:p>
            <w:pPr>
              <w:pStyle w:val="TableParagraph"/>
              <w:spacing w:before="4"/>
              <w:ind w:left="172"/>
              <w:jc w:val="left"/>
              <w:rPr>
                <w:sz w:val="14"/>
              </w:rPr>
            </w:pPr>
            <w:r>
              <w:rPr>
                <w:sz w:val="14"/>
              </w:rPr>
              <w:t>0.2*</w:t>
            </w:r>
          </w:p>
        </w:tc>
        <w:tc>
          <w:tcPr>
            <w:tcW w:w="1128" w:type="dxa"/>
            <w:shd w:val="clear" w:color="auto" w:fill="B4EDEC"/>
          </w:tcPr>
          <w:p>
            <w:pPr>
              <w:pStyle w:val="TableParagraph"/>
              <w:spacing w:before="2"/>
              <w:ind w:left="249"/>
              <w:jc w:val="left"/>
              <w:rPr>
                <w:sz w:val="14"/>
              </w:rPr>
            </w:pPr>
            <w:r>
              <w:rPr>
                <w:sz w:val="14"/>
              </w:rPr>
              <w:t>3.7 </w:t>
            </w:r>
            <w:r>
              <w:rPr>
                <w:rFonts w:ascii="Calibri" w:hAnsi="Calibri"/>
                <w:sz w:val="14"/>
              </w:rPr>
              <w:t>± </w:t>
            </w:r>
            <w:r>
              <w:rPr>
                <w:sz w:val="14"/>
              </w:rPr>
              <w:t>2.3</w:t>
            </w:r>
          </w:p>
        </w:tc>
        <w:tc>
          <w:tcPr>
            <w:tcW w:w="1094" w:type="dxa"/>
            <w:shd w:val="clear" w:color="auto" w:fill="B4EDEC"/>
          </w:tcPr>
          <w:p>
            <w:pPr>
              <w:pStyle w:val="TableParagraph"/>
              <w:spacing w:before="2"/>
              <w:ind w:left="181" w:right="187"/>
              <w:rPr>
                <w:sz w:val="14"/>
              </w:rPr>
            </w:pPr>
            <w:r>
              <w:rPr>
                <w:sz w:val="14"/>
              </w:rPr>
              <w:t>3.3 </w:t>
            </w:r>
            <w:r>
              <w:rPr>
                <w:rFonts w:ascii="Calibri" w:hAnsi="Calibri"/>
                <w:sz w:val="14"/>
              </w:rPr>
              <w:t>± </w:t>
            </w:r>
            <w:r>
              <w:rPr>
                <w:sz w:val="14"/>
              </w:rPr>
              <w:t>2.6</w:t>
            </w:r>
          </w:p>
        </w:tc>
        <w:tc>
          <w:tcPr>
            <w:tcW w:w="676" w:type="dxa"/>
            <w:shd w:val="clear" w:color="auto" w:fill="B4EDEC"/>
          </w:tcPr>
          <w:p>
            <w:pPr>
              <w:pStyle w:val="TableParagraph"/>
              <w:spacing w:before="4"/>
              <w:ind w:left="192" w:right="194"/>
              <w:rPr>
                <w:sz w:val="14"/>
              </w:rPr>
            </w:pPr>
            <w:r>
              <w:rPr>
                <w:sz w:val="14"/>
              </w:rPr>
              <w:t>0.2*</w:t>
            </w:r>
          </w:p>
        </w:tc>
        <w:tc>
          <w:tcPr>
            <w:tcW w:w="1100" w:type="dxa"/>
            <w:shd w:val="clear" w:color="auto" w:fill="B4EDEC"/>
          </w:tcPr>
          <w:p>
            <w:pPr>
              <w:pStyle w:val="TableParagraph"/>
              <w:spacing w:before="2"/>
              <w:ind w:right="279"/>
              <w:jc w:val="right"/>
              <w:rPr>
                <w:sz w:val="14"/>
              </w:rPr>
            </w:pPr>
            <w:r>
              <w:rPr>
                <w:sz w:val="14"/>
              </w:rPr>
              <w:t>2.5 </w:t>
            </w:r>
            <w:r>
              <w:rPr>
                <w:rFonts w:ascii="Calibri" w:hAnsi="Calibri"/>
                <w:sz w:val="14"/>
              </w:rPr>
              <w:t>± </w:t>
            </w:r>
            <w:r>
              <w:rPr>
                <w:sz w:val="14"/>
              </w:rPr>
              <w:t>2.5</w:t>
            </w:r>
          </w:p>
        </w:tc>
        <w:tc>
          <w:tcPr>
            <w:tcW w:w="1016" w:type="dxa"/>
            <w:shd w:val="clear" w:color="auto" w:fill="B4EDEC"/>
          </w:tcPr>
          <w:p>
            <w:pPr>
              <w:pStyle w:val="TableParagraph"/>
              <w:spacing w:before="2"/>
              <w:ind w:left="167" w:right="123"/>
              <w:rPr>
                <w:sz w:val="14"/>
              </w:rPr>
            </w:pPr>
            <w:r>
              <w:rPr>
                <w:sz w:val="14"/>
              </w:rPr>
              <w:t>3.7 </w:t>
            </w:r>
            <w:r>
              <w:rPr>
                <w:rFonts w:ascii="Calibri" w:hAnsi="Calibri"/>
                <w:sz w:val="14"/>
              </w:rPr>
              <w:t>± </w:t>
            </w:r>
            <w:r>
              <w:rPr>
                <w:sz w:val="14"/>
              </w:rPr>
              <w:t>3.5</w:t>
            </w:r>
          </w:p>
        </w:tc>
        <w:tc>
          <w:tcPr>
            <w:tcW w:w="542" w:type="dxa"/>
            <w:shd w:val="clear" w:color="auto" w:fill="B4EDEC"/>
          </w:tcPr>
          <w:p>
            <w:pPr>
              <w:pStyle w:val="TableParagraph"/>
              <w:spacing w:before="4"/>
              <w:ind w:left="126" w:right="126"/>
              <w:rPr>
                <w:sz w:val="14"/>
              </w:rPr>
            </w:pPr>
            <w:r>
              <w:rPr>
                <w:sz w:val="14"/>
              </w:rPr>
              <w:t>0.6*</w:t>
            </w:r>
          </w:p>
        </w:tc>
        <w:tc>
          <w:tcPr>
            <w:tcW w:w="972" w:type="dxa"/>
            <w:shd w:val="clear" w:color="auto" w:fill="B4EDEC"/>
          </w:tcPr>
          <w:p>
            <w:pPr>
              <w:pStyle w:val="TableParagraph"/>
              <w:spacing w:before="2"/>
              <w:ind w:left="124" w:right="121"/>
              <w:rPr>
                <w:sz w:val="14"/>
              </w:rPr>
            </w:pPr>
            <w:r>
              <w:rPr>
                <w:sz w:val="14"/>
              </w:rPr>
              <w:t>2.9 </w:t>
            </w:r>
            <w:r>
              <w:rPr>
                <w:rFonts w:ascii="Calibri" w:hAnsi="Calibri"/>
                <w:sz w:val="14"/>
              </w:rPr>
              <w:t>± </w:t>
            </w:r>
            <w:r>
              <w:rPr>
                <w:sz w:val="14"/>
              </w:rPr>
              <w:t>2.4</w:t>
            </w:r>
          </w:p>
        </w:tc>
      </w:tr>
      <w:tr>
        <w:trPr>
          <w:trHeight w:val="274" w:hRule="exact"/>
        </w:trPr>
        <w:tc>
          <w:tcPr>
            <w:tcW w:w="797" w:type="dxa"/>
            <w:shd w:val="clear" w:color="auto" w:fill="77DFDD"/>
          </w:tcPr>
          <w:p>
            <w:pPr>
              <w:pStyle w:val="TableParagraph"/>
              <w:spacing w:before="8"/>
              <w:ind w:left="56" w:right="93"/>
              <w:rPr>
                <w:sz w:val="14"/>
              </w:rPr>
            </w:pPr>
            <w:r>
              <w:rPr>
                <w:sz w:val="14"/>
              </w:rPr>
              <w:t>NL</w:t>
            </w:r>
          </w:p>
        </w:tc>
        <w:tc>
          <w:tcPr>
            <w:tcW w:w="929" w:type="dxa"/>
            <w:shd w:val="clear" w:color="auto" w:fill="77DFDD"/>
          </w:tcPr>
          <w:p>
            <w:pPr>
              <w:pStyle w:val="TableParagraph"/>
              <w:spacing w:before="6"/>
              <w:ind w:left="95" w:right="108"/>
              <w:rPr>
                <w:sz w:val="14"/>
              </w:rPr>
            </w:pPr>
            <w:r>
              <w:rPr>
                <w:sz w:val="14"/>
              </w:rPr>
              <w:t>18.5 </w:t>
            </w:r>
            <w:r>
              <w:rPr>
                <w:rFonts w:ascii="Calibri" w:hAnsi="Calibri"/>
                <w:sz w:val="14"/>
              </w:rPr>
              <w:t>± </w:t>
            </w:r>
            <w:r>
              <w:rPr>
                <w:sz w:val="14"/>
              </w:rPr>
              <w:t>14.6</w:t>
            </w:r>
          </w:p>
        </w:tc>
        <w:tc>
          <w:tcPr>
            <w:tcW w:w="628" w:type="dxa"/>
            <w:shd w:val="clear" w:color="auto" w:fill="77DFDD"/>
          </w:tcPr>
          <w:p>
            <w:pPr>
              <w:pStyle w:val="TableParagraph"/>
              <w:spacing w:before="8"/>
              <w:ind w:left="172"/>
              <w:jc w:val="left"/>
              <w:rPr>
                <w:sz w:val="14"/>
              </w:rPr>
            </w:pPr>
            <w:r>
              <w:rPr>
                <w:sz w:val="14"/>
              </w:rPr>
              <w:t>0.3*</w:t>
            </w:r>
          </w:p>
        </w:tc>
        <w:tc>
          <w:tcPr>
            <w:tcW w:w="1128" w:type="dxa"/>
            <w:shd w:val="clear" w:color="auto" w:fill="77DFDD"/>
          </w:tcPr>
          <w:p>
            <w:pPr>
              <w:pStyle w:val="TableParagraph"/>
              <w:spacing w:before="6"/>
              <w:ind w:left="173"/>
              <w:jc w:val="left"/>
              <w:rPr>
                <w:sz w:val="14"/>
              </w:rPr>
            </w:pPr>
            <w:r>
              <w:rPr>
                <w:sz w:val="14"/>
              </w:rPr>
              <w:t>14.8 </w:t>
            </w:r>
            <w:r>
              <w:rPr>
                <w:rFonts w:ascii="Calibri" w:hAnsi="Calibri"/>
                <w:sz w:val="14"/>
              </w:rPr>
              <w:t>± </w:t>
            </w:r>
            <w:r>
              <w:rPr>
                <w:sz w:val="14"/>
              </w:rPr>
              <w:t>14.7</w:t>
            </w:r>
          </w:p>
        </w:tc>
        <w:tc>
          <w:tcPr>
            <w:tcW w:w="1094" w:type="dxa"/>
            <w:shd w:val="clear" w:color="auto" w:fill="77DFDD"/>
          </w:tcPr>
          <w:p>
            <w:pPr>
              <w:pStyle w:val="TableParagraph"/>
              <w:spacing w:before="6"/>
              <w:ind w:left="181" w:right="187"/>
              <w:rPr>
                <w:sz w:val="14"/>
              </w:rPr>
            </w:pPr>
            <w:r>
              <w:rPr>
                <w:sz w:val="14"/>
              </w:rPr>
              <w:t>16.2 </w:t>
            </w:r>
            <w:r>
              <w:rPr>
                <w:rFonts w:ascii="Calibri" w:hAnsi="Calibri"/>
                <w:sz w:val="14"/>
              </w:rPr>
              <w:t>± </w:t>
            </w:r>
            <w:r>
              <w:rPr>
                <w:sz w:val="14"/>
              </w:rPr>
              <w:t>13.2</w:t>
            </w:r>
          </w:p>
        </w:tc>
        <w:tc>
          <w:tcPr>
            <w:tcW w:w="676" w:type="dxa"/>
            <w:shd w:val="clear" w:color="auto" w:fill="77DFDD"/>
          </w:tcPr>
          <w:p>
            <w:pPr>
              <w:pStyle w:val="TableParagraph"/>
              <w:spacing w:before="8"/>
              <w:ind w:left="192" w:right="194"/>
              <w:rPr>
                <w:sz w:val="14"/>
              </w:rPr>
            </w:pPr>
            <w:r>
              <w:rPr>
                <w:sz w:val="14"/>
              </w:rPr>
              <w:t>0.3*</w:t>
            </w:r>
          </w:p>
        </w:tc>
        <w:tc>
          <w:tcPr>
            <w:tcW w:w="1100" w:type="dxa"/>
            <w:shd w:val="clear" w:color="auto" w:fill="77DFDD"/>
          </w:tcPr>
          <w:p>
            <w:pPr>
              <w:pStyle w:val="TableParagraph"/>
              <w:spacing w:before="6"/>
              <w:ind w:right="204"/>
              <w:jc w:val="right"/>
              <w:rPr>
                <w:sz w:val="14"/>
              </w:rPr>
            </w:pPr>
            <w:r>
              <w:rPr>
                <w:sz w:val="14"/>
              </w:rPr>
              <w:t>20.6 </w:t>
            </w:r>
            <w:r>
              <w:rPr>
                <w:rFonts w:ascii="Calibri" w:hAnsi="Calibri"/>
                <w:sz w:val="14"/>
              </w:rPr>
              <w:t>± </w:t>
            </w:r>
            <w:r>
              <w:rPr>
                <w:sz w:val="14"/>
              </w:rPr>
              <w:t>16.8</w:t>
            </w:r>
          </w:p>
        </w:tc>
        <w:tc>
          <w:tcPr>
            <w:tcW w:w="1016" w:type="dxa"/>
            <w:shd w:val="clear" w:color="auto" w:fill="77DFDD"/>
          </w:tcPr>
          <w:p>
            <w:pPr>
              <w:pStyle w:val="TableParagraph"/>
              <w:spacing w:before="6"/>
              <w:ind w:left="167" w:right="123"/>
              <w:rPr>
                <w:sz w:val="14"/>
              </w:rPr>
            </w:pPr>
            <w:r>
              <w:rPr>
                <w:sz w:val="14"/>
              </w:rPr>
              <w:t>16.8 </w:t>
            </w:r>
            <w:r>
              <w:rPr>
                <w:rFonts w:ascii="Calibri" w:hAnsi="Calibri"/>
                <w:sz w:val="14"/>
              </w:rPr>
              <w:t>± </w:t>
            </w:r>
            <w:r>
              <w:rPr>
                <w:sz w:val="14"/>
              </w:rPr>
              <w:t>13.6</w:t>
            </w:r>
          </w:p>
        </w:tc>
        <w:tc>
          <w:tcPr>
            <w:tcW w:w="542" w:type="dxa"/>
            <w:shd w:val="clear" w:color="auto" w:fill="77DFDD"/>
          </w:tcPr>
          <w:p>
            <w:pPr>
              <w:pStyle w:val="TableParagraph"/>
              <w:spacing w:before="8"/>
              <w:ind w:left="126" w:right="126"/>
              <w:rPr>
                <w:sz w:val="14"/>
              </w:rPr>
            </w:pPr>
            <w:r>
              <w:rPr>
                <w:sz w:val="14"/>
              </w:rPr>
              <w:t>0.9*</w:t>
            </w:r>
          </w:p>
        </w:tc>
        <w:tc>
          <w:tcPr>
            <w:tcW w:w="972" w:type="dxa"/>
            <w:shd w:val="clear" w:color="auto" w:fill="77DFDD"/>
          </w:tcPr>
          <w:p>
            <w:pPr>
              <w:pStyle w:val="TableParagraph"/>
              <w:spacing w:before="6"/>
              <w:ind w:left="125" w:right="121"/>
              <w:rPr>
                <w:sz w:val="14"/>
              </w:rPr>
            </w:pPr>
            <w:r>
              <w:rPr>
                <w:sz w:val="14"/>
              </w:rPr>
              <w:t>17.9 </w:t>
            </w:r>
            <w:r>
              <w:rPr>
                <w:rFonts w:ascii="Calibri" w:hAnsi="Calibri"/>
                <w:sz w:val="14"/>
              </w:rPr>
              <w:t>± </w:t>
            </w:r>
            <w:r>
              <w:rPr>
                <w:sz w:val="14"/>
              </w:rPr>
              <w:t>14.9</w:t>
            </w:r>
          </w:p>
        </w:tc>
      </w:tr>
      <w:tr>
        <w:trPr>
          <w:trHeight w:val="284" w:hRule="exact"/>
        </w:trPr>
        <w:tc>
          <w:tcPr>
            <w:tcW w:w="797" w:type="dxa"/>
            <w:shd w:val="clear" w:color="auto" w:fill="B4EDEC"/>
          </w:tcPr>
          <w:p>
            <w:pPr>
              <w:pStyle w:val="TableParagraph"/>
              <w:spacing w:before="11"/>
              <w:ind w:left="50" w:right="93"/>
              <w:rPr>
                <w:sz w:val="14"/>
              </w:rPr>
            </w:pPr>
            <w:r>
              <w:rPr>
                <w:sz w:val="14"/>
              </w:rPr>
              <w:t>PC</w:t>
            </w:r>
          </w:p>
        </w:tc>
        <w:tc>
          <w:tcPr>
            <w:tcW w:w="929" w:type="dxa"/>
            <w:shd w:val="clear" w:color="auto" w:fill="B4EDEC"/>
          </w:tcPr>
          <w:p>
            <w:pPr>
              <w:pStyle w:val="TableParagraph"/>
              <w:spacing w:before="9"/>
              <w:ind w:left="95" w:right="108"/>
              <w:rPr>
                <w:sz w:val="14"/>
              </w:rPr>
            </w:pPr>
            <w:r>
              <w:rPr>
                <w:sz w:val="14"/>
              </w:rPr>
              <w:t>9.0 </w:t>
            </w:r>
            <w:r>
              <w:rPr>
                <w:rFonts w:ascii="Calibri" w:hAnsi="Calibri"/>
                <w:sz w:val="14"/>
              </w:rPr>
              <w:t>± </w:t>
            </w:r>
            <w:r>
              <w:rPr>
                <w:sz w:val="14"/>
              </w:rPr>
              <w:t>6.7</w:t>
            </w:r>
          </w:p>
        </w:tc>
        <w:tc>
          <w:tcPr>
            <w:tcW w:w="628" w:type="dxa"/>
            <w:shd w:val="clear" w:color="auto" w:fill="B4EDEC"/>
          </w:tcPr>
          <w:p>
            <w:pPr>
              <w:pStyle w:val="TableParagraph"/>
              <w:spacing w:before="11"/>
              <w:ind w:left="172"/>
              <w:jc w:val="left"/>
              <w:rPr>
                <w:sz w:val="14"/>
              </w:rPr>
            </w:pPr>
            <w:r>
              <w:rPr>
                <w:sz w:val="14"/>
              </w:rPr>
              <w:t>0.5*</w:t>
            </w:r>
          </w:p>
        </w:tc>
        <w:tc>
          <w:tcPr>
            <w:tcW w:w="1128" w:type="dxa"/>
            <w:shd w:val="clear" w:color="auto" w:fill="B4EDEC"/>
          </w:tcPr>
          <w:p>
            <w:pPr>
              <w:pStyle w:val="TableParagraph"/>
              <w:spacing w:before="9"/>
              <w:ind w:left="211"/>
              <w:jc w:val="left"/>
              <w:rPr>
                <w:sz w:val="14"/>
              </w:rPr>
            </w:pPr>
            <w:r>
              <w:rPr>
                <w:sz w:val="14"/>
              </w:rPr>
              <w:t>10.2 </w:t>
            </w:r>
            <w:r>
              <w:rPr>
                <w:rFonts w:ascii="Calibri" w:hAnsi="Calibri"/>
                <w:sz w:val="14"/>
              </w:rPr>
              <w:t>± </w:t>
            </w:r>
            <w:r>
              <w:rPr>
                <w:sz w:val="14"/>
              </w:rPr>
              <w:t>6.9</w:t>
            </w:r>
          </w:p>
        </w:tc>
        <w:tc>
          <w:tcPr>
            <w:tcW w:w="1094" w:type="dxa"/>
            <w:shd w:val="clear" w:color="auto" w:fill="B4EDEC"/>
          </w:tcPr>
          <w:p>
            <w:pPr>
              <w:pStyle w:val="TableParagraph"/>
              <w:spacing w:before="9"/>
              <w:ind w:left="181" w:right="187"/>
              <w:rPr>
                <w:sz w:val="14"/>
              </w:rPr>
            </w:pPr>
            <w:r>
              <w:rPr>
                <w:sz w:val="14"/>
              </w:rPr>
              <w:t>9.1 </w:t>
            </w:r>
            <w:r>
              <w:rPr>
                <w:rFonts w:ascii="Calibri" w:hAnsi="Calibri"/>
                <w:sz w:val="14"/>
              </w:rPr>
              <w:t>± </w:t>
            </w:r>
            <w:r>
              <w:rPr>
                <w:sz w:val="14"/>
              </w:rPr>
              <w:t>6.6</w:t>
            </w:r>
          </w:p>
        </w:tc>
        <w:tc>
          <w:tcPr>
            <w:tcW w:w="676" w:type="dxa"/>
            <w:shd w:val="clear" w:color="auto" w:fill="B4EDEC"/>
          </w:tcPr>
          <w:p>
            <w:pPr>
              <w:pStyle w:val="TableParagraph"/>
              <w:spacing w:before="11"/>
              <w:ind w:left="192" w:right="194"/>
              <w:rPr>
                <w:sz w:val="14"/>
              </w:rPr>
            </w:pPr>
            <w:r>
              <w:rPr>
                <w:sz w:val="14"/>
              </w:rPr>
              <w:t>0.8*</w:t>
            </w:r>
          </w:p>
        </w:tc>
        <w:tc>
          <w:tcPr>
            <w:tcW w:w="1100" w:type="dxa"/>
            <w:shd w:val="clear" w:color="auto" w:fill="B4EDEC"/>
          </w:tcPr>
          <w:p>
            <w:pPr>
              <w:pStyle w:val="TableParagraph"/>
              <w:spacing w:before="9"/>
              <w:ind w:right="279"/>
              <w:jc w:val="right"/>
              <w:rPr>
                <w:sz w:val="14"/>
              </w:rPr>
            </w:pPr>
            <w:r>
              <w:rPr>
                <w:sz w:val="14"/>
              </w:rPr>
              <w:t>9.7 </w:t>
            </w:r>
            <w:r>
              <w:rPr>
                <w:rFonts w:ascii="Calibri" w:hAnsi="Calibri"/>
                <w:sz w:val="14"/>
              </w:rPr>
              <w:t>± </w:t>
            </w:r>
            <w:r>
              <w:rPr>
                <w:sz w:val="14"/>
              </w:rPr>
              <w:t>7.1</w:t>
            </w:r>
          </w:p>
        </w:tc>
        <w:tc>
          <w:tcPr>
            <w:tcW w:w="1016" w:type="dxa"/>
            <w:shd w:val="clear" w:color="auto" w:fill="B4EDEC"/>
          </w:tcPr>
          <w:p>
            <w:pPr>
              <w:pStyle w:val="TableParagraph"/>
              <w:spacing w:before="9"/>
              <w:ind w:left="167" w:right="123"/>
              <w:rPr>
                <w:sz w:val="14"/>
              </w:rPr>
            </w:pPr>
            <w:r>
              <w:rPr>
                <w:sz w:val="14"/>
              </w:rPr>
              <w:t>9.9 </w:t>
            </w:r>
            <w:r>
              <w:rPr>
                <w:rFonts w:ascii="Calibri" w:hAnsi="Calibri"/>
                <w:sz w:val="14"/>
              </w:rPr>
              <w:t>± </w:t>
            </w:r>
            <w:r>
              <w:rPr>
                <w:sz w:val="14"/>
              </w:rPr>
              <w:t>8.2</w:t>
            </w:r>
          </w:p>
        </w:tc>
        <w:tc>
          <w:tcPr>
            <w:tcW w:w="542" w:type="dxa"/>
            <w:shd w:val="clear" w:color="auto" w:fill="B4EDEC"/>
          </w:tcPr>
          <w:p>
            <w:pPr>
              <w:pStyle w:val="TableParagraph"/>
              <w:spacing w:before="11"/>
              <w:ind w:left="126" w:right="126"/>
              <w:rPr>
                <w:sz w:val="14"/>
              </w:rPr>
            </w:pPr>
            <w:r>
              <w:rPr>
                <w:sz w:val="14"/>
              </w:rPr>
              <w:t>0.8*</w:t>
            </w:r>
          </w:p>
        </w:tc>
        <w:tc>
          <w:tcPr>
            <w:tcW w:w="972" w:type="dxa"/>
            <w:shd w:val="clear" w:color="auto" w:fill="B4EDEC"/>
          </w:tcPr>
          <w:p>
            <w:pPr>
              <w:pStyle w:val="TableParagraph"/>
              <w:spacing w:before="9"/>
              <w:ind w:left="125" w:right="121"/>
              <w:rPr>
                <w:sz w:val="14"/>
              </w:rPr>
            </w:pPr>
            <w:r>
              <w:rPr>
                <w:sz w:val="14"/>
              </w:rPr>
              <w:t>9.1 </w:t>
            </w:r>
            <w:r>
              <w:rPr>
                <w:rFonts w:ascii="Calibri" w:hAnsi="Calibri"/>
                <w:sz w:val="14"/>
              </w:rPr>
              <w:t>± </w:t>
            </w:r>
            <w:r>
              <w:rPr>
                <w:sz w:val="14"/>
              </w:rPr>
              <w:t>6.4</w:t>
            </w:r>
          </w:p>
        </w:tc>
      </w:tr>
      <w:tr>
        <w:trPr>
          <w:trHeight w:val="274" w:hRule="exact"/>
        </w:trPr>
        <w:tc>
          <w:tcPr>
            <w:tcW w:w="797" w:type="dxa"/>
            <w:shd w:val="clear" w:color="auto" w:fill="77DFDD"/>
          </w:tcPr>
          <w:p>
            <w:pPr>
              <w:pStyle w:val="TableParagraph"/>
              <w:spacing w:before="4"/>
              <w:ind w:left="61" w:right="93"/>
              <w:rPr>
                <w:sz w:val="14"/>
              </w:rPr>
            </w:pPr>
            <w:r>
              <w:rPr>
                <w:sz w:val="14"/>
              </w:rPr>
              <w:t>CC</w:t>
            </w:r>
          </w:p>
        </w:tc>
        <w:tc>
          <w:tcPr>
            <w:tcW w:w="929" w:type="dxa"/>
            <w:shd w:val="clear" w:color="auto" w:fill="77DFDD"/>
          </w:tcPr>
          <w:p>
            <w:pPr>
              <w:pStyle w:val="TableParagraph"/>
              <w:spacing w:before="2"/>
              <w:ind w:left="95" w:right="108"/>
              <w:rPr>
                <w:sz w:val="14"/>
              </w:rPr>
            </w:pPr>
            <w:r>
              <w:rPr>
                <w:sz w:val="14"/>
              </w:rPr>
              <w:t>7.9 </w:t>
            </w:r>
            <w:r>
              <w:rPr>
                <w:rFonts w:ascii="Calibri" w:hAnsi="Calibri"/>
                <w:sz w:val="14"/>
              </w:rPr>
              <w:t>± </w:t>
            </w:r>
            <w:r>
              <w:rPr>
                <w:sz w:val="14"/>
              </w:rPr>
              <w:t>9.5</w:t>
            </w:r>
          </w:p>
        </w:tc>
        <w:tc>
          <w:tcPr>
            <w:tcW w:w="628" w:type="dxa"/>
            <w:shd w:val="clear" w:color="auto" w:fill="77DFDD"/>
          </w:tcPr>
          <w:p>
            <w:pPr>
              <w:pStyle w:val="TableParagraph"/>
              <w:spacing w:before="4"/>
              <w:ind w:left="172"/>
              <w:jc w:val="left"/>
              <w:rPr>
                <w:sz w:val="14"/>
              </w:rPr>
            </w:pPr>
            <w:r>
              <w:rPr>
                <w:sz w:val="14"/>
              </w:rPr>
              <w:t>0.4*</w:t>
            </w:r>
          </w:p>
        </w:tc>
        <w:tc>
          <w:tcPr>
            <w:tcW w:w="1128" w:type="dxa"/>
            <w:shd w:val="clear" w:color="auto" w:fill="77DFDD"/>
          </w:tcPr>
          <w:p>
            <w:pPr>
              <w:pStyle w:val="TableParagraph"/>
              <w:spacing w:before="2"/>
              <w:ind w:left="211"/>
              <w:jc w:val="left"/>
              <w:rPr>
                <w:sz w:val="14"/>
              </w:rPr>
            </w:pPr>
            <w:r>
              <w:rPr>
                <w:sz w:val="14"/>
              </w:rPr>
              <w:t>7.5 </w:t>
            </w:r>
            <w:r>
              <w:rPr>
                <w:rFonts w:ascii="Calibri" w:hAnsi="Calibri"/>
                <w:sz w:val="14"/>
              </w:rPr>
              <w:t>± </w:t>
            </w:r>
            <w:r>
              <w:rPr>
                <w:sz w:val="14"/>
              </w:rPr>
              <w:t>11.5</w:t>
            </w:r>
          </w:p>
        </w:tc>
        <w:tc>
          <w:tcPr>
            <w:tcW w:w="1094" w:type="dxa"/>
            <w:shd w:val="clear" w:color="auto" w:fill="77DFDD"/>
          </w:tcPr>
          <w:p>
            <w:pPr>
              <w:pStyle w:val="TableParagraph"/>
              <w:spacing w:before="2"/>
              <w:ind w:left="181" w:right="187"/>
              <w:rPr>
                <w:sz w:val="14"/>
              </w:rPr>
            </w:pPr>
            <w:r>
              <w:rPr>
                <w:sz w:val="14"/>
              </w:rPr>
              <w:t>7.8 </w:t>
            </w:r>
            <w:r>
              <w:rPr>
                <w:rFonts w:ascii="Calibri" w:hAnsi="Calibri"/>
                <w:sz w:val="14"/>
              </w:rPr>
              <w:t>± </w:t>
            </w:r>
            <w:r>
              <w:rPr>
                <w:sz w:val="14"/>
              </w:rPr>
              <w:t>9.8</w:t>
            </w:r>
          </w:p>
        </w:tc>
        <w:tc>
          <w:tcPr>
            <w:tcW w:w="676" w:type="dxa"/>
            <w:shd w:val="clear" w:color="auto" w:fill="77DFDD"/>
          </w:tcPr>
          <w:p>
            <w:pPr>
              <w:pStyle w:val="TableParagraph"/>
              <w:spacing w:before="4"/>
              <w:ind w:left="192" w:right="194"/>
              <w:rPr>
                <w:sz w:val="14"/>
              </w:rPr>
            </w:pPr>
            <w:r>
              <w:rPr>
                <w:sz w:val="14"/>
              </w:rPr>
              <w:t>0.9*</w:t>
            </w:r>
          </w:p>
        </w:tc>
        <w:tc>
          <w:tcPr>
            <w:tcW w:w="1100" w:type="dxa"/>
            <w:shd w:val="clear" w:color="auto" w:fill="77DFDD"/>
          </w:tcPr>
          <w:p>
            <w:pPr>
              <w:pStyle w:val="TableParagraph"/>
              <w:spacing w:before="2"/>
              <w:ind w:right="242"/>
              <w:jc w:val="right"/>
              <w:rPr>
                <w:sz w:val="14"/>
              </w:rPr>
            </w:pPr>
            <w:r>
              <w:rPr>
                <w:sz w:val="14"/>
              </w:rPr>
              <w:t>8.0 </w:t>
            </w:r>
            <w:r>
              <w:rPr>
                <w:rFonts w:ascii="Calibri" w:hAnsi="Calibri"/>
                <w:sz w:val="14"/>
              </w:rPr>
              <w:t>± </w:t>
            </w:r>
            <w:r>
              <w:rPr>
                <w:sz w:val="14"/>
              </w:rPr>
              <w:t>10.4</w:t>
            </w:r>
          </w:p>
        </w:tc>
        <w:tc>
          <w:tcPr>
            <w:tcW w:w="1016" w:type="dxa"/>
            <w:shd w:val="clear" w:color="auto" w:fill="77DFDD"/>
          </w:tcPr>
          <w:p>
            <w:pPr>
              <w:pStyle w:val="TableParagraph"/>
              <w:spacing w:before="2"/>
              <w:ind w:left="167" w:right="123"/>
              <w:rPr>
                <w:sz w:val="14"/>
              </w:rPr>
            </w:pPr>
            <w:r>
              <w:rPr>
                <w:sz w:val="14"/>
              </w:rPr>
              <w:t>7.0 </w:t>
            </w:r>
            <w:r>
              <w:rPr>
                <w:rFonts w:ascii="Calibri" w:hAnsi="Calibri"/>
                <w:sz w:val="14"/>
              </w:rPr>
              <w:t>± </w:t>
            </w:r>
            <w:r>
              <w:rPr>
                <w:sz w:val="14"/>
              </w:rPr>
              <w:t>5.6</w:t>
            </w:r>
          </w:p>
        </w:tc>
        <w:tc>
          <w:tcPr>
            <w:tcW w:w="542" w:type="dxa"/>
            <w:shd w:val="clear" w:color="auto" w:fill="77DFDD"/>
          </w:tcPr>
          <w:p>
            <w:pPr>
              <w:pStyle w:val="TableParagraph"/>
              <w:spacing w:before="4"/>
              <w:ind w:left="126" w:right="126"/>
              <w:rPr>
                <w:sz w:val="14"/>
              </w:rPr>
            </w:pPr>
            <w:r>
              <w:rPr>
                <w:sz w:val="14"/>
              </w:rPr>
              <w:t>0.6*</w:t>
            </w:r>
          </w:p>
        </w:tc>
        <w:tc>
          <w:tcPr>
            <w:tcW w:w="972" w:type="dxa"/>
            <w:shd w:val="clear" w:color="auto" w:fill="77DFDD"/>
          </w:tcPr>
          <w:p>
            <w:pPr>
              <w:pStyle w:val="TableParagraph"/>
              <w:spacing w:before="2"/>
              <w:ind w:left="124" w:right="121"/>
              <w:rPr>
                <w:sz w:val="14"/>
              </w:rPr>
            </w:pPr>
            <w:r>
              <w:rPr>
                <w:sz w:val="14"/>
              </w:rPr>
              <w:t>8.1 </w:t>
            </w:r>
            <w:r>
              <w:rPr>
                <w:rFonts w:ascii="Calibri" w:hAnsi="Calibri"/>
                <w:sz w:val="14"/>
              </w:rPr>
              <w:t>± </w:t>
            </w:r>
            <w:r>
              <w:rPr>
                <w:sz w:val="14"/>
              </w:rPr>
              <w:t>10.7</w:t>
            </w:r>
          </w:p>
        </w:tc>
      </w:tr>
      <w:tr>
        <w:trPr>
          <w:trHeight w:val="274" w:hRule="exact"/>
        </w:trPr>
        <w:tc>
          <w:tcPr>
            <w:tcW w:w="797" w:type="dxa"/>
            <w:shd w:val="clear" w:color="auto" w:fill="B4EDEC"/>
          </w:tcPr>
          <w:p>
            <w:pPr>
              <w:pStyle w:val="TableParagraph"/>
              <w:spacing w:before="8"/>
              <w:ind w:left="61" w:right="93"/>
              <w:rPr>
                <w:sz w:val="14"/>
              </w:rPr>
            </w:pPr>
            <w:r>
              <w:rPr>
                <w:sz w:val="14"/>
              </w:rPr>
              <w:t>CR</w:t>
            </w:r>
          </w:p>
        </w:tc>
        <w:tc>
          <w:tcPr>
            <w:tcW w:w="929" w:type="dxa"/>
            <w:shd w:val="clear" w:color="auto" w:fill="B4EDEC"/>
          </w:tcPr>
          <w:p>
            <w:pPr>
              <w:pStyle w:val="TableParagraph"/>
              <w:spacing w:before="6"/>
              <w:ind w:left="95" w:right="108"/>
              <w:rPr>
                <w:sz w:val="14"/>
              </w:rPr>
            </w:pPr>
            <w:r>
              <w:rPr>
                <w:sz w:val="14"/>
              </w:rPr>
              <w:t>0.9 </w:t>
            </w:r>
            <w:r>
              <w:rPr>
                <w:rFonts w:ascii="Calibri" w:hAnsi="Calibri"/>
                <w:sz w:val="14"/>
              </w:rPr>
              <w:t>± </w:t>
            </w:r>
            <w:r>
              <w:rPr>
                <w:sz w:val="14"/>
              </w:rPr>
              <w:t>1.7</w:t>
            </w:r>
          </w:p>
        </w:tc>
        <w:tc>
          <w:tcPr>
            <w:tcW w:w="628" w:type="dxa"/>
            <w:shd w:val="clear" w:color="auto" w:fill="B4EDEC"/>
          </w:tcPr>
          <w:p>
            <w:pPr>
              <w:pStyle w:val="TableParagraph"/>
              <w:spacing w:before="8"/>
              <w:ind w:left="134"/>
              <w:jc w:val="left"/>
              <w:rPr>
                <w:sz w:val="14"/>
              </w:rPr>
            </w:pPr>
            <w:r>
              <w:rPr>
                <w:sz w:val="14"/>
              </w:rPr>
              <w:t>0.08*</w:t>
            </w:r>
          </w:p>
        </w:tc>
        <w:tc>
          <w:tcPr>
            <w:tcW w:w="1128" w:type="dxa"/>
            <w:shd w:val="clear" w:color="auto" w:fill="B4EDEC"/>
          </w:tcPr>
          <w:p>
            <w:pPr>
              <w:pStyle w:val="TableParagraph"/>
              <w:spacing w:before="6"/>
              <w:ind w:left="249"/>
              <w:jc w:val="left"/>
              <w:rPr>
                <w:sz w:val="14"/>
              </w:rPr>
            </w:pPr>
            <w:r>
              <w:rPr>
                <w:sz w:val="14"/>
              </w:rPr>
              <w:t>1.8 </w:t>
            </w:r>
            <w:r>
              <w:rPr>
                <w:rFonts w:ascii="Calibri" w:hAnsi="Calibri"/>
                <w:sz w:val="14"/>
              </w:rPr>
              <w:t>± </w:t>
            </w:r>
            <w:r>
              <w:rPr>
                <w:sz w:val="14"/>
              </w:rPr>
              <w:t>2.2</w:t>
            </w:r>
          </w:p>
        </w:tc>
        <w:tc>
          <w:tcPr>
            <w:tcW w:w="1094" w:type="dxa"/>
            <w:shd w:val="clear" w:color="auto" w:fill="B4EDEC"/>
          </w:tcPr>
          <w:p>
            <w:pPr>
              <w:pStyle w:val="TableParagraph"/>
              <w:spacing w:before="6"/>
              <w:ind w:left="181" w:right="187"/>
              <w:rPr>
                <w:sz w:val="14"/>
              </w:rPr>
            </w:pPr>
            <w:r>
              <w:rPr>
                <w:sz w:val="14"/>
              </w:rPr>
              <w:t>1.1 </w:t>
            </w:r>
            <w:r>
              <w:rPr>
                <w:rFonts w:ascii="Calibri" w:hAnsi="Calibri"/>
                <w:sz w:val="14"/>
              </w:rPr>
              <w:t>± </w:t>
            </w:r>
            <w:r>
              <w:rPr>
                <w:sz w:val="14"/>
              </w:rPr>
              <w:t>1.9</w:t>
            </w:r>
          </w:p>
        </w:tc>
        <w:tc>
          <w:tcPr>
            <w:tcW w:w="676" w:type="dxa"/>
            <w:shd w:val="clear" w:color="auto" w:fill="B4EDEC"/>
          </w:tcPr>
          <w:p>
            <w:pPr>
              <w:pStyle w:val="TableParagraph"/>
              <w:spacing w:before="8"/>
              <w:ind w:left="192" w:right="194"/>
              <w:rPr>
                <w:sz w:val="14"/>
              </w:rPr>
            </w:pPr>
            <w:r>
              <w:rPr>
                <w:sz w:val="14"/>
              </w:rPr>
              <w:t>0.9*</w:t>
            </w:r>
          </w:p>
        </w:tc>
        <w:tc>
          <w:tcPr>
            <w:tcW w:w="1100" w:type="dxa"/>
            <w:shd w:val="clear" w:color="auto" w:fill="B4EDEC"/>
          </w:tcPr>
          <w:p>
            <w:pPr>
              <w:pStyle w:val="TableParagraph"/>
              <w:spacing w:before="6"/>
              <w:ind w:right="279"/>
              <w:jc w:val="right"/>
              <w:rPr>
                <w:sz w:val="14"/>
              </w:rPr>
            </w:pPr>
            <w:r>
              <w:rPr>
                <w:sz w:val="14"/>
              </w:rPr>
              <w:t>1.1 </w:t>
            </w:r>
            <w:r>
              <w:rPr>
                <w:rFonts w:ascii="Calibri" w:hAnsi="Calibri"/>
                <w:sz w:val="14"/>
              </w:rPr>
              <w:t>± </w:t>
            </w:r>
            <w:r>
              <w:rPr>
                <w:sz w:val="14"/>
              </w:rPr>
              <w:t>1.7</w:t>
            </w:r>
          </w:p>
        </w:tc>
        <w:tc>
          <w:tcPr>
            <w:tcW w:w="1016" w:type="dxa"/>
            <w:shd w:val="clear" w:color="auto" w:fill="B4EDEC"/>
          </w:tcPr>
          <w:p>
            <w:pPr>
              <w:pStyle w:val="TableParagraph"/>
              <w:spacing w:before="6"/>
              <w:ind w:left="167" w:right="123"/>
              <w:rPr>
                <w:sz w:val="14"/>
              </w:rPr>
            </w:pPr>
            <w:r>
              <w:rPr>
                <w:sz w:val="14"/>
              </w:rPr>
              <w:t>1.1 </w:t>
            </w:r>
            <w:r>
              <w:rPr>
                <w:rFonts w:ascii="Calibri" w:hAnsi="Calibri"/>
                <w:sz w:val="14"/>
              </w:rPr>
              <w:t>± </w:t>
            </w:r>
            <w:r>
              <w:rPr>
                <w:sz w:val="14"/>
              </w:rPr>
              <w:t>1.5</w:t>
            </w:r>
          </w:p>
        </w:tc>
        <w:tc>
          <w:tcPr>
            <w:tcW w:w="542" w:type="dxa"/>
            <w:shd w:val="clear" w:color="auto" w:fill="B4EDEC"/>
          </w:tcPr>
          <w:p>
            <w:pPr>
              <w:pStyle w:val="TableParagraph"/>
              <w:spacing w:before="8"/>
              <w:ind w:left="126" w:right="126"/>
              <w:rPr>
                <w:sz w:val="14"/>
              </w:rPr>
            </w:pPr>
            <w:r>
              <w:rPr>
                <w:sz w:val="14"/>
              </w:rPr>
              <w:t>0.7*</w:t>
            </w:r>
          </w:p>
        </w:tc>
        <w:tc>
          <w:tcPr>
            <w:tcW w:w="972" w:type="dxa"/>
            <w:shd w:val="clear" w:color="auto" w:fill="B4EDEC"/>
          </w:tcPr>
          <w:p>
            <w:pPr>
              <w:pStyle w:val="TableParagraph"/>
              <w:spacing w:before="6"/>
              <w:ind w:left="125" w:right="121"/>
              <w:rPr>
                <w:sz w:val="14"/>
              </w:rPr>
            </w:pPr>
            <w:r>
              <w:rPr>
                <w:sz w:val="14"/>
              </w:rPr>
              <w:t>1.1 </w:t>
            </w:r>
            <w:r>
              <w:rPr>
                <w:rFonts w:ascii="Calibri" w:hAnsi="Calibri"/>
                <w:sz w:val="14"/>
              </w:rPr>
              <w:t>± </w:t>
            </w:r>
            <w:r>
              <w:rPr>
                <w:sz w:val="14"/>
              </w:rPr>
              <w:t>1.9</w:t>
            </w:r>
          </w:p>
        </w:tc>
      </w:tr>
      <w:tr>
        <w:trPr>
          <w:trHeight w:val="284" w:hRule="exact"/>
        </w:trPr>
        <w:tc>
          <w:tcPr>
            <w:tcW w:w="797" w:type="dxa"/>
            <w:shd w:val="clear" w:color="auto" w:fill="77DFDD"/>
          </w:tcPr>
          <w:p>
            <w:pPr>
              <w:pStyle w:val="TableParagraph"/>
              <w:spacing w:before="11"/>
              <w:ind w:left="56" w:right="93"/>
              <w:rPr>
                <w:sz w:val="14"/>
              </w:rPr>
            </w:pPr>
            <w:r>
              <w:rPr>
                <w:sz w:val="14"/>
              </w:rPr>
              <w:t>CL</w:t>
            </w:r>
          </w:p>
        </w:tc>
        <w:tc>
          <w:tcPr>
            <w:tcW w:w="929" w:type="dxa"/>
            <w:shd w:val="clear" w:color="auto" w:fill="77DFDD"/>
          </w:tcPr>
          <w:p>
            <w:pPr>
              <w:pStyle w:val="TableParagraph"/>
              <w:spacing w:before="9"/>
              <w:ind w:left="95" w:right="108"/>
              <w:rPr>
                <w:sz w:val="14"/>
              </w:rPr>
            </w:pPr>
            <w:r>
              <w:rPr>
                <w:sz w:val="14"/>
              </w:rPr>
              <w:t>11.6 </w:t>
            </w:r>
            <w:r>
              <w:rPr>
                <w:rFonts w:ascii="Calibri" w:hAnsi="Calibri"/>
                <w:sz w:val="14"/>
              </w:rPr>
              <w:t>± </w:t>
            </w:r>
            <w:r>
              <w:rPr>
                <w:sz w:val="14"/>
              </w:rPr>
              <w:t>10.8</w:t>
            </w:r>
          </w:p>
        </w:tc>
        <w:tc>
          <w:tcPr>
            <w:tcW w:w="628" w:type="dxa"/>
            <w:shd w:val="clear" w:color="auto" w:fill="77DFDD"/>
          </w:tcPr>
          <w:p>
            <w:pPr>
              <w:pStyle w:val="TableParagraph"/>
              <w:spacing w:before="11"/>
              <w:ind w:left="172"/>
              <w:jc w:val="left"/>
              <w:rPr>
                <w:sz w:val="14"/>
              </w:rPr>
            </w:pPr>
            <w:r>
              <w:rPr>
                <w:sz w:val="14"/>
              </w:rPr>
              <w:t>0.6*</w:t>
            </w:r>
          </w:p>
        </w:tc>
        <w:tc>
          <w:tcPr>
            <w:tcW w:w="1128" w:type="dxa"/>
            <w:shd w:val="clear" w:color="auto" w:fill="77DFDD"/>
          </w:tcPr>
          <w:p>
            <w:pPr>
              <w:pStyle w:val="TableParagraph"/>
              <w:spacing w:before="9"/>
              <w:ind w:left="249"/>
              <w:jc w:val="left"/>
              <w:rPr>
                <w:sz w:val="14"/>
              </w:rPr>
            </w:pPr>
            <w:r>
              <w:rPr>
                <w:sz w:val="14"/>
              </w:rPr>
              <w:t>9.8 </w:t>
            </w:r>
            <w:r>
              <w:rPr>
                <w:rFonts w:ascii="Calibri" w:hAnsi="Calibri"/>
                <w:sz w:val="14"/>
              </w:rPr>
              <w:t>± </w:t>
            </w:r>
            <w:r>
              <w:rPr>
                <w:sz w:val="14"/>
              </w:rPr>
              <w:t>9.3</w:t>
            </w:r>
          </w:p>
        </w:tc>
        <w:tc>
          <w:tcPr>
            <w:tcW w:w="1094" w:type="dxa"/>
            <w:shd w:val="clear" w:color="auto" w:fill="77DFDD"/>
          </w:tcPr>
          <w:p>
            <w:pPr>
              <w:pStyle w:val="TableParagraph"/>
              <w:spacing w:before="9"/>
              <w:ind w:left="181" w:right="187"/>
              <w:rPr>
                <w:sz w:val="14"/>
              </w:rPr>
            </w:pPr>
            <w:r>
              <w:rPr>
                <w:sz w:val="14"/>
              </w:rPr>
              <w:t>12.8 </w:t>
            </w:r>
            <w:r>
              <w:rPr>
                <w:rFonts w:ascii="Calibri" w:hAnsi="Calibri"/>
                <w:sz w:val="14"/>
              </w:rPr>
              <w:t>± </w:t>
            </w:r>
            <w:r>
              <w:rPr>
                <w:sz w:val="14"/>
              </w:rPr>
              <w:t>11.5</w:t>
            </w:r>
          </w:p>
        </w:tc>
        <w:tc>
          <w:tcPr>
            <w:tcW w:w="676" w:type="dxa"/>
            <w:shd w:val="clear" w:color="auto" w:fill="77DFDD"/>
          </w:tcPr>
          <w:p>
            <w:pPr>
              <w:pStyle w:val="TableParagraph"/>
              <w:spacing w:before="11"/>
              <w:ind w:left="192" w:right="194"/>
              <w:rPr>
                <w:sz w:val="14"/>
              </w:rPr>
            </w:pPr>
            <w:r>
              <w:rPr>
                <w:sz w:val="14"/>
              </w:rPr>
              <w:t>0.1*</w:t>
            </w:r>
          </w:p>
        </w:tc>
        <w:tc>
          <w:tcPr>
            <w:tcW w:w="1100" w:type="dxa"/>
            <w:shd w:val="clear" w:color="auto" w:fill="77DFDD"/>
          </w:tcPr>
          <w:p>
            <w:pPr>
              <w:pStyle w:val="TableParagraph"/>
              <w:spacing w:before="9"/>
              <w:ind w:right="279"/>
              <w:jc w:val="right"/>
              <w:rPr>
                <w:sz w:val="14"/>
              </w:rPr>
            </w:pPr>
            <w:r>
              <w:rPr>
                <w:sz w:val="14"/>
              </w:rPr>
              <w:t>8.1 </w:t>
            </w:r>
            <w:r>
              <w:rPr>
                <w:rFonts w:ascii="Calibri" w:hAnsi="Calibri"/>
                <w:sz w:val="14"/>
              </w:rPr>
              <w:t>± </w:t>
            </w:r>
            <w:r>
              <w:rPr>
                <w:sz w:val="14"/>
              </w:rPr>
              <w:t>7.2</w:t>
            </w:r>
          </w:p>
        </w:tc>
        <w:tc>
          <w:tcPr>
            <w:tcW w:w="1016" w:type="dxa"/>
            <w:shd w:val="clear" w:color="auto" w:fill="77DFDD"/>
          </w:tcPr>
          <w:p>
            <w:pPr>
              <w:pStyle w:val="TableParagraph"/>
              <w:spacing w:before="9"/>
              <w:ind w:left="167" w:right="123"/>
              <w:rPr>
                <w:sz w:val="14"/>
              </w:rPr>
            </w:pPr>
            <w:r>
              <w:rPr>
                <w:sz w:val="14"/>
              </w:rPr>
              <w:t>7.5 </w:t>
            </w:r>
            <w:r>
              <w:rPr>
                <w:rFonts w:ascii="Calibri" w:hAnsi="Calibri"/>
                <w:sz w:val="14"/>
              </w:rPr>
              <w:t>± </w:t>
            </w:r>
            <w:r>
              <w:rPr>
                <w:sz w:val="14"/>
              </w:rPr>
              <w:t>8.7</w:t>
            </w:r>
          </w:p>
        </w:tc>
        <w:tc>
          <w:tcPr>
            <w:tcW w:w="542" w:type="dxa"/>
            <w:shd w:val="clear" w:color="auto" w:fill="77DFDD"/>
          </w:tcPr>
          <w:p>
            <w:pPr>
              <w:pStyle w:val="TableParagraph"/>
              <w:spacing w:before="11"/>
              <w:ind w:left="126" w:right="126"/>
              <w:rPr>
                <w:sz w:val="14"/>
              </w:rPr>
            </w:pPr>
            <w:r>
              <w:rPr>
                <w:sz w:val="14"/>
              </w:rPr>
              <w:t>0.1*</w:t>
            </w:r>
          </w:p>
        </w:tc>
        <w:tc>
          <w:tcPr>
            <w:tcW w:w="972" w:type="dxa"/>
            <w:shd w:val="clear" w:color="auto" w:fill="77DFDD"/>
          </w:tcPr>
          <w:p>
            <w:pPr>
              <w:pStyle w:val="TableParagraph"/>
              <w:spacing w:before="9"/>
              <w:ind w:left="125" w:right="121"/>
              <w:rPr>
                <w:sz w:val="14"/>
              </w:rPr>
            </w:pPr>
            <w:r>
              <w:rPr>
                <w:sz w:val="14"/>
              </w:rPr>
              <w:t>12.1 </w:t>
            </w:r>
            <w:r>
              <w:rPr>
                <w:rFonts w:ascii="Calibri" w:hAnsi="Calibri"/>
                <w:sz w:val="14"/>
              </w:rPr>
              <w:t>± </w:t>
            </w:r>
            <w:r>
              <w:rPr>
                <w:sz w:val="14"/>
              </w:rPr>
              <w:t>10.7</w:t>
            </w:r>
          </w:p>
        </w:tc>
      </w:tr>
      <w:tr>
        <w:trPr>
          <w:trHeight w:val="274" w:hRule="exact"/>
        </w:trPr>
        <w:tc>
          <w:tcPr>
            <w:tcW w:w="797" w:type="dxa"/>
            <w:shd w:val="clear" w:color="auto" w:fill="B4EDEC"/>
          </w:tcPr>
          <w:p>
            <w:pPr>
              <w:pStyle w:val="TableParagraph"/>
              <w:spacing w:before="5"/>
              <w:ind w:left="60" w:right="93"/>
              <w:rPr>
                <w:sz w:val="14"/>
              </w:rPr>
            </w:pPr>
            <w:r>
              <w:rPr>
                <w:sz w:val="14"/>
              </w:rPr>
              <w:t>TAN</w:t>
            </w:r>
          </w:p>
        </w:tc>
        <w:tc>
          <w:tcPr>
            <w:tcW w:w="929" w:type="dxa"/>
            <w:shd w:val="clear" w:color="auto" w:fill="B4EDEC"/>
          </w:tcPr>
          <w:p>
            <w:pPr>
              <w:pStyle w:val="TableParagraph"/>
              <w:spacing w:before="3"/>
              <w:ind w:left="95" w:right="108"/>
              <w:rPr>
                <w:sz w:val="14"/>
              </w:rPr>
            </w:pPr>
            <w:r>
              <w:rPr>
                <w:sz w:val="14"/>
              </w:rPr>
              <w:t>51.0 </w:t>
            </w:r>
            <w:r>
              <w:rPr>
                <w:rFonts w:ascii="Calibri" w:hAnsi="Calibri"/>
                <w:sz w:val="14"/>
              </w:rPr>
              <w:t>± </w:t>
            </w:r>
            <w:r>
              <w:rPr>
                <w:sz w:val="14"/>
              </w:rPr>
              <w:t>25.1</w:t>
            </w:r>
          </w:p>
        </w:tc>
        <w:tc>
          <w:tcPr>
            <w:tcW w:w="628" w:type="dxa"/>
            <w:shd w:val="clear" w:color="auto" w:fill="B4EDEC"/>
          </w:tcPr>
          <w:p>
            <w:pPr>
              <w:pStyle w:val="TableParagraph"/>
              <w:spacing w:before="5"/>
              <w:ind w:left="172"/>
              <w:jc w:val="left"/>
              <w:rPr>
                <w:sz w:val="14"/>
              </w:rPr>
            </w:pPr>
            <w:r>
              <w:rPr>
                <w:sz w:val="14"/>
              </w:rPr>
              <w:t>0.2*</w:t>
            </w:r>
          </w:p>
        </w:tc>
        <w:tc>
          <w:tcPr>
            <w:tcW w:w="1128" w:type="dxa"/>
            <w:shd w:val="clear" w:color="auto" w:fill="B4EDEC"/>
          </w:tcPr>
          <w:p>
            <w:pPr>
              <w:pStyle w:val="TableParagraph"/>
              <w:spacing w:before="3"/>
              <w:ind w:left="192"/>
              <w:jc w:val="left"/>
              <w:rPr>
                <w:sz w:val="14"/>
              </w:rPr>
            </w:pPr>
            <w:r>
              <w:rPr>
                <w:sz w:val="14"/>
              </w:rPr>
              <w:t>48.1</w:t>
            </w:r>
            <w:r>
              <w:rPr>
                <w:rFonts w:ascii="Calibri" w:hAnsi="Calibri"/>
                <w:sz w:val="14"/>
              </w:rPr>
              <w:t>± </w:t>
            </w:r>
            <w:r>
              <w:rPr>
                <w:sz w:val="14"/>
              </w:rPr>
              <w:t>37.5</w:t>
            </w:r>
          </w:p>
        </w:tc>
        <w:tc>
          <w:tcPr>
            <w:tcW w:w="1094" w:type="dxa"/>
            <w:shd w:val="clear" w:color="auto" w:fill="B4EDEC"/>
          </w:tcPr>
          <w:p>
            <w:pPr>
              <w:pStyle w:val="TableParagraph"/>
              <w:spacing w:before="3"/>
              <w:ind w:left="181" w:right="187"/>
              <w:rPr>
                <w:sz w:val="14"/>
              </w:rPr>
            </w:pPr>
            <w:r>
              <w:rPr>
                <w:sz w:val="14"/>
              </w:rPr>
              <w:t>50.5 </w:t>
            </w:r>
            <w:r>
              <w:rPr>
                <w:rFonts w:ascii="Calibri" w:hAnsi="Calibri"/>
                <w:sz w:val="14"/>
              </w:rPr>
              <w:t>± </w:t>
            </w:r>
            <w:r>
              <w:rPr>
                <w:sz w:val="14"/>
              </w:rPr>
              <w:t>25.0</w:t>
            </w:r>
          </w:p>
        </w:tc>
        <w:tc>
          <w:tcPr>
            <w:tcW w:w="676" w:type="dxa"/>
            <w:shd w:val="clear" w:color="auto" w:fill="B4EDEC"/>
          </w:tcPr>
          <w:p>
            <w:pPr>
              <w:pStyle w:val="TableParagraph"/>
              <w:spacing w:before="5"/>
              <w:ind w:left="192" w:right="194"/>
              <w:rPr>
                <w:sz w:val="14"/>
              </w:rPr>
            </w:pPr>
            <w:r>
              <w:rPr>
                <w:sz w:val="14"/>
              </w:rPr>
              <w:t>0.7*</w:t>
            </w:r>
          </w:p>
        </w:tc>
        <w:tc>
          <w:tcPr>
            <w:tcW w:w="1100" w:type="dxa"/>
            <w:shd w:val="clear" w:color="auto" w:fill="B4EDEC"/>
          </w:tcPr>
          <w:p>
            <w:pPr>
              <w:pStyle w:val="TableParagraph"/>
              <w:spacing w:before="3"/>
              <w:ind w:right="204"/>
              <w:jc w:val="right"/>
              <w:rPr>
                <w:sz w:val="14"/>
              </w:rPr>
            </w:pPr>
            <w:r>
              <w:rPr>
                <w:sz w:val="14"/>
              </w:rPr>
              <w:t>50.1 </w:t>
            </w:r>
            <w:r>
              <w:rPr>
                <w:rFonts w:ascii="Calibri" w:hAnsi="Calibri"/>
                <w:sz w:val="14"/>
              </w:rPr>
              <w:t>± </w:t>
            </w:r>
            <w:r>
              <w:rPr>
                <w:sz w:val="14"/>
              </w:rPr>
              <w:t>34.0</w:t>
            </w:r>
          </w:p>
        </w:tc>
        <w:tc>
          <w:tcPr>
            <w:tcW w:w="1016" w:type="dxa"/>
            <w:shd w:val="clear" w:color="auto" w:fill="B4EDEC"/>
          </w:tcPr>
          <w:p>
            <w:pPr>
              <w:pStyle w:val="TableParagraph"/>
              <w:spacing w:before="3"/>
              <w:ind w:left="167" w:right="123"/>
              <w:rPr>
                <w:sz w:val="14"/>
              </w:rPr>
            </w:pPr>
            <w:r>
              <w:rPr>
                <w:sz w:val="14"/>
              </w:rPr>
              <w:t>46.1 </w:t>
            </w:r>
            <w:r>
              <w:rPr>
                <w:rFonts w:ascii="Calibri" w:hAnsi="Calibri"/>
                <w:sz w:val="14"/>
              </w:rPr>
              <w:t>± </w:t>
            </w:r>
            <w:r>
              <w:rPr>
                <w:sz w:val="14"/>
              </w:rPr>
              <w:t>29.5</w:t>
            </w:r>
          </w:p>
        </w:tc>
        <w:tc>
          <w:tcPr>
            <w:tcW w:w="542" w:type="dxa"/>
            <w:shd w:val="clear" w:color="auto" w:fill="B4EDEC"/>
          </w:tcPr>
          <w:p>
            <w:pPr>
              <w:pStyle w:val="TableParagraph"/>
              <w:spacing w:before="5"/>
              <w:ind w:left="126" w:right="126"/>
              <w:rPr>
                <w:sz w:val="14"/>
              </w:rPr>
            </w:pPr>
            <w:r>
              <w:rPr>
                <w:sz w:val="14"/>
              </w:rPr>
              <w:t>0.5*</w:t>
            </w:r>
          </w:p>
        </w:tc>
        <w:tc>
          <w:tcPr>
            <w:tcW w:w="972" w:type="dxa"/>
            <w:shd w:val="clear" w:color="auto" w:fill="B4EDEC"/>
          </w:tcPr>
          <w:p>
            <w:pPr>
              <w:pStyle w:val="TableParagraph"/>
              <w:spacing w:before="3"/>
              <w:ind w:left="125" w:right="121"/>
              <w:rPr>
                <w:sz w:val="14"/>
              </w:rPr>
            </w:pPr>
            <w:r>
              <w:rPr>
                <w:sz w:val="14"/>
              </w:rPr>
              <w:t>51.4 </w:t>
            </w:r>
            <w:r>
              <w:rPr>
                <w:rFonts w:ascii="Calibri" w:hAnsi="Calibri"/>
                <w:sz w:val="14"/>
              </w:rPr>
              <w:t>± </w:t>
            </w:r>
            <w:r>
              <w:rPr>
                <w:sz w:val="14"/>
              </w:rPr>
              <w:t>27.9</w:t>
            </w:r>
          </w:p>
        </w:tc>
      </w:tr>
    </w:tbl>
    <w:p>
      <w:pPr>
        <w:spacing w:before="59"/>
        <w:ind w:left="1547" w:right="1703" w:firstLine="0"/>
        <w:jc w:val="left"/>
        <w:rPr>
          <w:sz w:val="12"/>
        </w:rPr>
      </w:pPr>
      <w:r>
        <w:rPr>
          <w:w w:val="105"/>
          <w:sz w:val="12"/>
        </w:rPr>
        <w:t>Valores expresados en Media </w:t>
      </w:r>
      <w:r>
        <w:rPr>
          <w:rFonts w:ascii="Calibri" w:hAnsi="Calibri"/>
          <w:w w:val="105"/>
          <w:sz w:val="12"/>
        </w:rPr>
        <w:t>± </w:t>
      </w:r>
      <w:r>
        <w:rPr>
          <w:w w:val="105"/>
          <w:sz w:val="12"/>
        </w:rPr>
        <w:t>Desviación Estándar; *U de Mann-Whitney</w:t>
      </w:r>
    </w:p>
    <w:p>
      <w:pPr>
        <w:spacing w:before="6"/>
        <w:ind w:left="1547" w:right="1703" w:firstLine="0"/>
        <w:jc w:val="left"/>
        <w:rPr>
          <w:sz w:val="12"/>
        </w:rPr>
      </w:pPr>
      <w:r>
        <w:rPr>
          <w:w w:val="105"/>
          <w:sz w:val="12"/>
        </w:rPr>
        <w:t>Micronúcleos (MN); Binucleada (BN); Núcleo Lobulado (NL); Picnosis (PC); Cromatina Condensada (CC); Cariorrexis (CR); Cariolisis (CL); Total de</w:t>
      </w:r>
    </w:p>
    <w:p>
      <w:pPr>
        <w:spacing w:before="13"/>
        <w:ind w:left="1547" w:right="1703" w:firstLine="0"/>
        <w:jc w:val="left"/>
        <w:rPr>
          <w:sz w:val="12"/>
        </w:rPr>
      </w:pPr>
      <w:r>
        <w:rPr>
          <w:w w:val="105"/>
          <w:sz w:val="12"/>
        </w:rPr>
        <w:t>Anormalidades Nucleares (TAN)</w:t>
      </w:r>
    </w:p>
    <w:p>
      <w:pPr>
        <w:spacing w:after="0"/>
        <w:jc w:val="left"/>
        <w:rPr>
          <w:sz w:val="12"/>
        </w:rPr>
        <w:sectPr>
          <w:pgSz w:w="12240" w:h="15840"/>
          <w:pgMar w:header="0" w:footer="599" w:top="1500" w:bottom="780" w:left="0" w:right="0"/>
        </w:sectPr>
      </w:pPr>
    </w:p>
    <w:p>
      <w:pPr>
        <w:pStyle w:val="BodyText"/>
        <w:spacing w:before="3"/>
        <w:rPr>
          <w:sz w:val="15"/>
        </w:rPr>
      </w:pPr>
    </w:p>
    <w:p>
      <w:pPr>
        <w:pStyle w:val="Heading4"/>
        <w:spacing w:line="360" w:lineRule="auto" w:before="70" w:after="18"/>
        <w:ind w:left="1567" w:right="597"/>
      </w:pPr>
      <w:r>
        <w:rPr/>
        <w:t>Tabla 10. Factores de variabilidad influyentes en la formación de micronúcleos y anormalidades nucleares del grupo expuesto</w:t>
      </w:r>
    </w:p>
    <w:tbl>
      <w:tblPr>
        <w:tblW w:w="0" w:type="auto"/>
        <w:jc w:val="left"/>
        <w:tblInd w:w="153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0"/>
        <w:gridCol w:w="1030"/>
        <w:gridCol w:w="870"/>
        <w:gridCol w:w="155"/>
        <w:gridCol w:w="780"/>
        <w:gridCol w:w="940"/>
        <w:gridCol w:w="1030"/>
        <w:gridCol w:w="940"/>
        <w:gridCol w:w="940"/>
        <w:gridCol w:w="860"/>
        <w:gridCol w:w="860"/>
        <w:gridCol w:w="935"/>
      </w:tblGrid>
      <w:tr>
        <w:trPr>
          <w:trHeight w:val="570" w:hRule="exact"/>
        </w:trPr>
        <w:tc>
          <w:tcPr>
            <w:tcW w:w="2315" w:type="dxa"/>
            <w:gridSpan w:val="4"/>
            <w:shd w:val="clear" w:color="auto" w:fill="33CCCC"/>
          </w:tcPr>
          <w:p>
            <w:pPr>
              <w:pStyle w:val="TableParagraph"/>
              <w:spacing w:before="70"/>
              <w:ind w:left="753"/>
              <w:jc w:val="left"/>
              <w:rPr>
                <w:b/>
                <w:sz w:val="15"/>
              </w:rPr>
            </w:pPr>
            <w:r>
              <w:rPr>
                <w:b/>
                <w:sz w:val="15"/>
              </w:rPr>
              <w:t>Factores de</w:t>
            </w:r>
          </w:p>
          <w:p>
            <w:pPr>
              <w:pStyle w:val="TableParagraph"/>
              <w:spacing w:before="27"/>
              <w:ind w:left="743"/>
              <w:jc w:val="left"/>
              <w:rPr>
                <w:b/>
                <w:sz w:val="15"/>
              </w:rPr>
            </w:pPr>
            <w:r>
              <w:rPr>
                <w:b/>
                <w:sz w:val="15"/>
              </w:rPr>
              <w:t>Variabilidad</w:t>
            </w:r>
          </w:p>
        </w:tc>
        <w:tc>
          <w:tcPr>
            <w:tcW w:w="780" w:type="dxa"/>
            <w:shd w:val="clear" w:color="auto" w:fill="33CCCC"/>
          </w:tcPr>
          <w:p>
            <w:pPr>
              <w:pStyle w:val="TableParagraph"/>
              <w:spacing w:before="0"/>
              <w:jc w:val="left"/>
              <w:rPr>
                <w:b/>
                <w:sz w:val="14"/>
              </w:rPr>
            </w:pPr>
          </w:p>
          <w:p>
            <w:pPr>
              <w:pStyle w:val="TableParagraph"/>
              <w:spacing w:before="125"/>
              <w:ind w:left="251" w:right="254"/>
              <w:rPr>
                <w:b/>
                <w:sz w:val="15"/>
              </w:rPr>
            </w:pPr>
            <w:r>
              <w:rPr>
                <w:b/>
                <w:sz w:val="15"/>
              </w:rPr>
              <w:t>MN</w:t>
            </w:r>
          </w:p>
        </w:tc>
        <w:tc>
          <w:tcPr>
            <w:tcW w:w="940" w:type="dxa"/>
            <w:shd w:val="clear" w:color="auto" w:fill="33CCCC"/>
          </w:tcPr>
          <w:p>
            <w:pPr>
              <w:pStyle w:val="TableParagraph"/>
              <w:spacing w:before="0"/>
              <w:jc w:val="left"/>
              <w:rPr>
                <w:b/>
                <w:sz w:val="14"/>
              </w:rPr>
            </w:pPr>
          </w:p>
          <w:p>
            <w:pPr>
              <w:pStyle w:val="TableParagraph"/>
              <w:spacing w:before="125"/>
              <w:ind w:left="340" w:right="343"/>
              <w:rPr>
                <w:b/>
                <w:sz w:val="15"/>
              </w:rPr>
            </w:pPr>
            <w:r>
              <w:rPr>
                <w:b/>
                <w:sz w:val="15"/>
              </w:rPr>
              <w:t>BN</w:t>
            </w:r>
          </w:p>
        </w:tc>
        <w:tc>
          <w:tcPr>
            <w:tcW w:w="1030" w:type="dxa"/>
            <w:shd w:val="clear" w:color="auto" w:fill="33CCCC"/>
          </w:tcPr>
          <w:p>
            <w:pPr>
              <w:pStyle w:val="TableParagraph"/>
              <w:spacing w:before="0"/>
              <w:jc w:val="left"/>
              <w:rPr>
                <w:b/>
                <w:sz w:val="14"/>
              </w:rPr>
            </w:pPr>
          </w:p>
          <w:p>
            <w:pPr>
              <w:pStyle w:val="TableParagraph"/>
              <w:spacing w:before="125"/>
              <w:ind w:left="394" w:right="396"/>
              <w:rPr>
                <w:b/>
                <w:sz w:val="15"/>
              </w:rPr>
            </w:pPr>
            <w:r>
              <w:rPr>
                <w:b/>
                <w:sz w:val="15"/>
              </w:rPr>
              <w:t>NL</w:t>
            </w:r>
          </w:p>
        </w:tc>
        <w:tc>
          <w:tcPr>
            <w:tcW w:w="1880" w:type="dxa"/>
            <w:gridSpan w:val="2"/>
            <w:shd w:val="clear" w:color="auto" w:fill="33CCCC"/>
          </w:tcPr>
          <w:p>
            <w:pPr>
              <w:pStyle w:val="TableParagraph"/>
              <w:spacing w:before="90"/>
              <w:ind w:left="448"/>
              <w:jc w:val="left"/>
              <w:rPr>
                <w:b/>
                <w:sz w:val="15"/>
              </w:rPr>
            </w:pPr>
            <w:r>
              <w:rPr>
                <w:b/>
                <w:sz w:val="15"/>
              </w:rPr>
              <w:t>Significancia</w:t>
            </w:r>
          </w:p>
          <w:p>
            <w:pPr>
              <w:pStyle w:val="TableParagraph"/>
              <w:tabs>
                <w:tab w:pos="1304" w:val="left" w:leader="none"/>
              </w:tabs>
              <w:spacing w:before="23"/>
              <w:ind w:left="360"/>
              <w:jc w:val="left"/>
              <w:rPr>
                <w:b/>
                <w:sz w:val="15"/>
              </w:rPr>
            </w:pPr>
            <w:r>
              <w:rPr>
                <w:b/>
                <w:sz w:val="15"/>
              </w:rPr>
              <w:t>PC</w:t>
              <w:tab/>
              <w:t>CC</w:t>
            </w:r>
          </w:p>
        </w:tc>
        <w:tc>
          <w:tcPr>
            <w:tcW w:w="860" w:type="dxa"/>
            <w:shd w:val="clear" w:color="auto" w:fill="33CCCC"/>
          </w:tcPr>
          <w:p>
            <w:pPr>
              <w:pStyle w:val="TableParagraph"/>
              <w:spacing w:before="0"/>
              <w:jc w:val="left"/>
              <w:rPr>
                <w:b/>
                <w:sz w:val="14"/>
              </w:rPr>
            </w:pPr>
          </w:p>
          <w:p>
            <w:pPr>
              <w:pStyle w:val="TableParagraph"/>
              <w:spacing w:before="125"/>
              <w:ind w:left="299" w:right="298"/>
              <w:rPr>
                <w:b/>
                <w:sz w:val="15"/>
              </w:rPr>
            </w:pPr>
            <w:r>
              <w:rPr>
                <w:b/>
                <w:sz w:val="15"/>
              </w:rPr>
              <w:t>CL</w:t>
            </w:r>
          </w:p>
        </w:tc>
        <w:tc>
          <w:tcPr>
            <w:tcW w:w="860" w:type="dxa"/>
            <w:shd w:val="clear" w:color="auto" w:fill="33CCCC"/>
          </w:tcPr>
          <w:p>
            <w:pPr>
              <w:pStyle w:val="TableParagraph"/>
              <w:spacing w:before="0"/>
              <w:jc w:val="left"/>
              <w:rPr>
                <w:b/>
                <w:sz w:val="14"/>
              </w:rPr>
            </w:pPr>
          </w:p>
          <w:p>
            <w:pPr>
              <w:pStyle w:val="TableParagraph"/>
              <w:spacing w:before="125"/>
              <w:ind w:left="299" w:right="303"/>
              <w:rPr>
                <w:b/>
                <w:sz w:val="15"/>
              </w:rPr>
            </w:pPr>
            <w:r>
              <w:rPr>
                <w:b/>
                <w:sz w:val="15"/>
              </w:rPr>
              <w:t>CR</w:t>
            </w:r>
          </w:p>
        </w:tc>
        <w:tc>
          <w:tcPr>
            <w:tcW w:w="935" w:type="dxa"/>
            <w:shd w:val="clear" w:color="auto" w:fill="33CCCC"/>
          </w:tcPr>
          <w:p>
            <w:pPr>
              <w:pStyle w:val="TableParagraph"/>
              <w:spacing w:before="0"/>
              <w:jc w:val="left"/>
              <w:rPr>
                <w:b/>
                <w:sz w:val="14"/>
              </w:rPr>
            </w:pPr>
          </w:p>
          <w:p>
            <w:pPr>
              <w:pStyle w:val="TableParagraph"/>
              <w:spacing w:before="125"/>
              <w:ind w:left="299" w:right="287"/>
              <w:rPr>
                <w:b/>
                <w:sz w:val="15"/>
              </w:rPr>
            </w:pPr>
            <w:r>
              <w:rPr>
                <w:b/>
                <w:sz w:val="15"/>
              </w:rPr>
              <w:t>TAN</w:t>
            </w:r>
          </w:p>
        </w:tc>
      </w:tr>
      <w:tr>
        <w:trPr>
          <w:trHeight w:val="200" w:hRule="exact"/>
        </w:trPr>
        <w:tc>
          <w:tcPr>
            <w:tcW w:w="1290" w:type="dxa"/>
            <w:gridSpan w:val="2"/>
            <w:shd w:val="clear" w:color="auto" w:fill="B4EDEC"/>
          </w:tcPr>
          <w:p>
            <w:pPr>
              <w:pStyle w:val="TableParagraph"/>
              <w:spacing w:before="11"/>
              <w:ind w:left="441" w:right="441"/>
              <w:rPr>
                <w:b/>
                <w:sz w:val="15"/>
              </w:rPr>
            </w:pPr>
            <w:r>
              <w:rPr>
                <w:b/>
                <w:sz w:val="15"/>
              </w:rPr>
              <w:t>Edad</w:t>
            </w:r>
          </w:p>
        </w:tc>
        <w:tc>
          <w:tcPr>
            <w:tcW w:w="870" w:type="dxa"/>
            <w:shd w:val="clear" w:color="auto" w:fill="B4EDEC"/>
          </w:tcPr>
          <w:p>
            <w:pPr>
              <w:pStyle w:val="TableParagraph"/>
              <w:spacing w:before="10"/>
              <w:ind w:right="89"/>
              <w:jc w:val="right"/>
              <w:rPr>
                <w:sz w:val="14"/>
              </w:rPr>
            </w:pPr>
            <w:r>
              <w:rPr>
                <w:sz w:val="14"/>
              </w:rPr>
              <w:t>8.4 </w:t>
            </w:r>
            <w:r>
              <w:rPr>
                <w:rFonts w:ascii="Times New Roman" w:hAnsi="Times New Roman"/>
                <w:sz w:val="14"/>
              </w:rPr>
              <w:t>± </w:t>
            </w:r>
            <w:r>
              <w:rPr>
                <w:sz w:val="14"/>
              </w:rPr>
              <w:t>1.8</w:t>
            </w:r>
          </w:p>
        </w:tc>
        <w:tc>
          <w:tcPr>
            <w:tcW w:w="155" w:type="dxa"/>
            <w:tcBorders>
              <w:right w:val="dotted" w:sz="4" w:space="0" w:color="000000"/>
            </w:tcBorders>
            <w:shd w:val="clear" w:color="auto" w:fill="B4EDEC"/>
          </w:tcPr>
          <w:p>
            <w:pPr/>
          </w:p>
        </w:tc>
        <w:tc>
          <w:tcPr>
            <w:tcW w:w="780" w:type="dxa"/>
            <w:tcBorders>
              <w:left w:val="dotted" w:sz="4" w:space="0" w:color="000000"/>
              <w:right w:val="dotted" w:sz="4" w:space="0" w:color="30859C"/>
            </w:tcBorders>
            <w:shd w:val="clear" w:color="auto" w:fill="B4EDEC"/>
          </w:tcPr>
          <w:p>
            <w:pPr>
              <w:pStyle w:val="TableParagraph"/>
              <w:spacing w:before="10"/>
              <w:ind w:left="90" w:right="92"/>
              <w:rPr>
                <w:sz w:val="14"/>
                <w:szCs w:val="14"/>
              </w:rPr>
            </w:pPr>
            <w:r>
              <w:rPr>
                <w:sz w:val="14"/>
                <w:szCs w:val="14"/>
              </w:rPr>
              <w:t>0.2ᴥ</w:t>
            </w:r>
          </w:p>
        </w:tc>
        <w:tc>
          <w:tcPr>
            <w:tcW w:w="940" w:type="dxa"/>
            <w:tcBorders>
              <w:left w:val="dotted" w:sz="4" w:space="0" w:color="30859C"/>
              <w:right w:val="dotted" w:sz="4" w:space="0" w:color="30859C"/>
            </w:tcBorders>
            <w:shd w:val="clear" w:color="auto" w:fill="B4EDEC"/>
          </w:tcPr>
          <w:p>
            <w:pPr>
              <w:pStyle w:val="TableParagraph"/>
              <w:spacing w:before="10"/>
              <w:ind w:left="77" w:right="94"/>
              <w:rPr>
                <w:sz w:val="14"/>
                <w:szCs w:val="14"/>
              </w:rPr>
            </w:pPr>
            <w:r>
              <w:rPr>
                <w:sz w:val="14"/>
                <w:szCs w:val="14"/>
              </w:rPr>
              <w:t>0.6ᴥ</w:t>
            </w:r>
          </w:p>
        </w:tc>
        <w:tc>
          <w:tcPr>
            <w:tcW w:w="1030" w:type="dxa"/>
            <w:tcBorders>
              <w:left w:val="dotted" w:sz="4" w:space="0" w:color="30859C"/>
              <w:right w:val="dotted" w:sz="4" w:space="0" w:color="30859C"/>
            </w:tcBorders>
            <w:shd w:val="clear" w:color="auto" w:fill="B4EDEC"/>
          </w:tcPr>
          <w:p>
            <w:pPr>
              <w:pStyle w:val="TableParagraph"/>
              <w:spacing w:before="10"/>
              <w:ind w:left="126" w:right="145"/>
              <w:rPr>
                <w:sz w:val="14"/>
                <w:szCs w:val="14"/>
              </w:rPr>
            </w:pPr>
            <w:r>
              <w:rPr>
                <w:sz w:val="14"/>
                <w:szCs w:val="14"/>
              </w:rPr>
              <w:t>0.8ᴥ</w:t>
            </w:r>
          </w:p>
        </w:tc>
        <w:tc>
          <w:tcPr>
            <w:tcW w:w="940" w:type="dxa"/>
            <w:tcBorders>
              <w:left w:val="dotted" w:sz="4" w:space="0" w:color="30859C"/>
              <w:right w:val="dotted" w:sz="4" w:space="0" w:color="30859C"/>
            </w:tcBorders>
            <w:shd w:val="clear" w:color="auto" w:fill="B4EDEC"/>
          </w:tcPr>
          <w:p>
            <w:pPr>
              <w:pStyle w:val="TableParagraph"/>
              <w:spacing w:before="10"/>
              <w:ind w:left="83" w:right="94"/>
              <w:rPr>
                <w:sz w:val="14"/>
                <w:szCs w:val="14"/>
              </w:rPr>
            </w:pPr>
            <w:r>
              <w:rPr>
                <w:sz w:val="14"/>
                <w:szCs w:val="14"/>
              </w:rPr>
              <w:t>0.5ᴥ</w:t>
            </w:r>
          </w:p>
        </w:tc>
        <w:tc>
          <w:tcPr>
            <w:tcW w:w="940" w:type="dxa"/>
            <w:tcBorders>
              <w:left w:val="dotted" w:sz="4" w:space="0" w:color="30859C"/>
              <w:right w:val="dotted" w:sz="4" w:space="0" w:color="30859C"/>
            </w:tcBorders>
            <w:shd w:val="clear" w:color="auto" w:fill="B4EDEC"/>
          </w:tcPr>
          <w:p>
            <w:pPr>
              <w:pStyle w:val="TableParagraph"/>
              <w:spacing w:before="10"/>
              <w:ind w:left="91" w:right="94"/>
              <w:rPr>
                <w:sz w:val="14"/>
                <w:szCs w:val="14"/>
              </w:rPr>
            </w:pPr>
            <w:r>
              <w:rPr>
                <w:sz w:val="14"/>
                <w:szCs w:val="14"/>
              </w:rPr>
              <w:t>0.1ᴥ</w:t>
            </w:r>
          </w:p>
        </w:tc>
        <w:tc>
          <w:tcPr>
            <w:tcW w:w="860" w:type="dxa"/>
            <w:tcBorders>
              <w:left w:val="dotted" w:sz="4" w:space="0" w:color="30859C"/>
              <w:right w:val="dotted" w:sz="4" w:space="0" w:color="30859C"/>
            </w:tcBorders>
            <w:shd w:val="clear" w:color="auto" w:fill="B4EDEC"/>
          </w:tcPr>
          <w:p>
            <w:pPr>
              <w:pStyle w:val="TableParagraph"/>
              <w:spacing w:before="10"/>
              <w:ind w:left="54" w:right="52"/>
              <w:rPr>
                <w:sz w:val="14"/>
                <w:szCs w:val="14"/>
              </w:rPr>
            </w:pPr>
            <w:r>
              <w:rPr>
                <w:sz w:val="14"/>
                <w:szCs w:val="14"/>
              </w:rPr>
              <w:t>0.2ᴥ</w:t>
            </w:r>
          </w:p>
        </w:tc>
        <w:tc>
          <w:tcPr>
            <w:tcW w:w="860" w:type="dxa"/>
            <w:tcBorders>
              <w:left w:val="dotted" w:sz="4" w:space="0" w:color="30859C"/>
              <w:right w:val="dotted" w:sz="4" w:space="0" w:color="30859C"/>
            </w:tcBorders>
            <w:shd w:val="clear" w:color="auto" w:fill="B4EDEC"/>
          </w:tcPr>
          <w:p>
            <w:pPr>
              <w:pStyle w:val="TableParagraph"/>
              <w:spacing w:before="10"/>
              <w:ind w:left="54" w:right="55"/>
              <w:rPr>
                <w:sz w:val="14"/>
                <w:szCs w:val="14"/>
              </w:rPr>
            </w:pPr>
            <w:r>
              <w:rPr>
                <w:sz w:val="14"/>
                <w:szCs w:val="14"/>
              </w:rPr>
              <w:t>0.2ᴥ</w:t>
            </w:r>
          </w:p>
        </w:tc>
        <w:tc>
          <w:tcPr>
            <w:tcW w:w="935" w:type="dxa"/>
            <w:tcBorders>
              <w:left w:val="dotted" w:sz="4" w:space="0" w:color="30859C"/>
            </w:tcBorders>
            <w:shd w:val="clear" w:color="auto" w:fill="B4EDEC"/>
          </w:tcPr>
          <w:p>
            <w:pPr>
              <w:pStyle w:val="TableParagraph"/>
              <w:spacing w:before="10"/>
              <w:ind w:left="91" w:right="94"/>
              <w:rPr>
                <w:sz w:val="14"/>
                <w:szCs w:val="14"/>
              </w:rPr>
            </w:pPr>
            <w:r>
              <w:rPr>
                <w:sz w:val="14"/>
                <w:szCs w:val="14"/>
              </w:rPr>
              <w:t>0.2ᴥ</w:t>
            </w:r>
          </w:p>
        </w:tc>
      </w:tr>
      <w:tr>
        <w:trPr>
          <w:trHeight w:val="210" w:hRule="exact"/>
        </w:trPr>
        <w:tc>
          <w:tcPr>
            <w:tcW w:w="1290" w:type="dxa"/>
            <w:gridSpan w:val="2"/>
            <w:shd w:val="clear" w:color="auto" w:fill="77DFDD"/>
          </w:tcPr>
          <w:p>
            <w:pPr>
              <w:pStyle w:val="TableParagraph"/>
              <w:spacing w:before="14"/>
              <w:ind w:left="440" w:right="441"/>
              <w:rPr>
                <w:b/>
                <w:sz w:val="15"/>
              </w:rPr>
            </w:pPr>
            <w:r>
              <w:rPr>
                <w:b/>
                <w:sz w:val="15"/>
              </w:rPr>
              <w:t>IMC</w:t>
            </w:r>
          </w:p>
        </w:tc>
        <w:tc>
          <w:tcPr>
            <w:tcW w:w="870" w:type="dxa"/>
            <w:shd w:val="clear" w:color="auto" w:fill="77DFDD"/>
          </w:tcPr>
          <w:p>
            <w:pPr>
              <w:pStyle w:val="TableParagraph"/>
              <w:spacing w:before="13"/>
              <w:ind w:right="49"/>
              <w:jc w:val="right"/>
              <w:rPr>
                <w:sz w:val="14"/>
              </w:rPr>
            </w:pPr>
            <w:r>
              <w:rPr>
                <w:sz w:val="14"/>
              </w:rPr>
              <w:t>16.5 </w:t>
            </w:r>
            <w:r>
              <w:rPr>
                <w:rFonts w:ascii="Times New Roman" w:hAnsi="Times New Roman"/>
                <w:sz w:val="14"/>
              </w:rPr>
              <w:t>± </w:t>
            </w:r>
            <w:r>
              <w:rPr>
                <w:sz w:val="14"/>
              </w:rPr>
              <w:t>1.8</w:t>
            </w:r>
          </w:p>
        </w:tc>
        <w:tc>
          <w:tcPr>
            <w:tcW w:w="155" w:type="dxa"/>
            <w:tcBorders>
              <w:right w:val="dotted" w:sz="4" w:space="0" w:color="000000"/>
            </w:tcBorders>
            <w:shd w:val="clear" w:color="auto" w:fill="77DFDD"/>
          </w:tcPr>
          <w:p>
            <w:pPr/>
          </w:p>
        </w:tc>
        <w:tc>
          <w:tcPr>
            <w:tcW w:w="780" w:type="dxa"/>
            <w:tcBorders>
              <w:left w:val="dotted" w:sz="4" w:space="0" w:color="000000"/>
              <w:right w:val="dotted" w:sz="4" w:space="0" w:color="30859C"/>
            </w:tcBorders>
            <w:shd w:val="clear" w:color="auto" w:fill="77DFDD"/>
          </w:tcPr>
          <w:p>
            <w:pPr>
              <w:pStyle w:val="TableParagraph"/>
              <w:spacing w:before="13"/>
              <w:ind w:left="90" w:right="92"/>
              <w:rPr>
                <w:sz w:val="14"/>
                <w:szCs w:val="14"/>
              </w:rPr>
            </w:pPr>
            <w:r>
              <w:rPr>
                <w:sz w:val="14"/>
                <w:szCs w:val="14"/>
              </w:rPr>
              <w:t>0.4ᴥ</w:t>
            </w:r>
          </w:p>
        </w:tc>
        <w:tc>
          <w:tcPr>
            <w:tcW w:w="940" w:type="dxa"/>
            <w:tcBorders>
              <w:left w:val="dotted" w:sz="4" w:space="0" w:color="30859C"/>
              <w:right w:val="dotted" w:sz="4" w:space="0" w:color="30859C"/>
            </w:tcBorders>
            <w:shd w:val="clear" w:color="auto" w:fill="BEBEBE"/>
          </w:tcPr>
          <w:p>
            <w:pPr>
              <w:pStyle w:val="TableParagraph"/>
              <w:spacing w:before="13"/>
              <w:ind w:left="77" w:right="94"/>
              <w:rPr>
                <w:sz w:val="14"/>
                <w:szCs w:val="14"/>
              </w:rPr>
            </w:pPr>
            <w:r>
              <w:rPr>
                <w:b/>
                <w:bCs/>
                <w:sz w:val="14"/>
                <w:szCs w:val="14"/>
              </w:rPr>
              <w:t>0.01</w:t>
            </w:r>
            <w:r>
              <w:rPr>
                <w:sz w:val="14"/>
                <w:szCs w:val="14"/>
              </w:rPr>
              <w:t>ᴥ</w:t>
            </w:r>
          </w:p>
        </w:tc>
        <w:tc>
          <w:tcPr>
            <w:tcW w:w="1030" w:type="dxa"/>
            <w:tcBorders>
              <w:left w:val="dotted" w:sz="4" w:space="0" w:color="30859C"/>
              <w:right w:val="dotted" w:sz="4" w:space="0" w:color="30859C"/>
            </w:tcBorders>
            <w:shd w:val="clear" w:color="auto" w:fill="77DFDD"/>
          </w:tcPr>
          <w:p>
            <w:pPr>
              <w:pStyle w:val="TableParagraph"/>
              <w:spacing w:before="13"/>
              <w:ind w:left="126" w:right="145"/>
              <w:rPr>
                <w:sz w:val="14"/>
                <w:szCs w:val="14"/>
              </w:rPr>
            </w:pPr>
            <w:r>
              <w:rPr>
                <w:sz w:val="14"/>
                <w:szCs w:val="14"/>
              </w:rPr>
              <w:t>0.8†ᴥ</w:t>
            </w:r>
          </w:p>
        </w:tc>
        <w:tc>
          <w:tcPr>
            <w:tcW w:w="940" w:type="dxa"/>
            <w:tcBorders>
              <w:left w:val="dotted" w:sz="4" w:space="0" w:color="30859C"/>
              <w:right w:val="dotted" w:sz="4" w:space="0" w:color="30859C"/>
            </w:tcBorders>
            <w:shd w:val="clear" w:color="auto" w:fill="77DFDD"/>
          </w:tcPr>
          <w:p>
            <w:pPr>
              <w:pStyle w:val="TableParagraph"/>
              <w:spacing w:before="13"/>
              <w:ind w:left="83" w:right="94"/>
              <w:rPr>
                <w:sz w:val="14"/>
                <w:szCs w:val="14"/>
              </w:rPr>
            </w:pPr>
            <w:r>
              <w:rPr>
                <w:sz w:val="14"/>
                <w:szCs w:val="14"/>
              </w:rPr>
              <w:t>0.8ᴥ</w:t>
            </w:r>
          </w:p>
        </w:tc>
        <w:tc>
          <w:tcPr>
            <w:tcW w:w="940" w:type="dxa"/>
            <w:tcBorders>
              <w:left w:val="dotted" w:sz="4" w:space="0" w:color="30859C"/>
              <w:right w:val="dotted" w:sz="4" w:space="0" w:color="30859C"/>
            </w:tcBorders>
            <w:shd w:val="clear" w:color="auto" w:fill="77DFDD"/>
          </w:tcPr>
          <w:p>
            <w:pPr>
              <w:pStyle w:val="TableParagraph"/>
              <w:spacing w:before="13"/>
              <w:ind w:left="91" w:right="94"/>
              <w:rPr>
                <w:sz w:val="14"/>
                <w:szCs w:val="14"/>
              </w:rPr>
            </w:pPr>
            <w:r>
              <w:rPr>
                <w:sz w:val="14"/>
                <w:szCs w:val="14"/>
              </w:rPr>
              <w:t>0.9ᴥ</w:t>
            </w:r>
          </w:p>
        </w:tc>
        <w:tc>
          <w:tcPr>
            <w:tcW w:w="860" w:type="dxa"/>
            <w:tcBorders>
              <w:left w:val="dotted" w:sz="4" w:space="0" w:color="30859C"/>
              <w:right w:val="dotted" w:sz="4" w:space="0" w:color="30859C"/>
            </w:tcBorders>
            <w:shd w:val="clear" w:color="auto" w:fill="77DFDD"/>
          </w:tcPr>
          <w:p>
            <w:pPr>
              <w:pStyle w:val="TableParagraph"/>
              <w:spacing w:before="13"/>
              <w:ind w:left="54" w:right="52"/>
              <w:rPr>
                <w:sz w:val="14"/>
                <w:szCs w:val="14"/>
              </w:rPr>
            </w:pPr>
            <w:r>
              <w:rPr>
                <w:sz w:val="14"/>
                <w:szCs w:val="14"/>
              </w:rPr>
              <w:t>0.7ᴥ</w:t>
            </w:r>
          </w:p>
        </w:tc>
        <w:tc>
          <w:tcPr>
            <w:tcW w:w="860" w:type="dxa"/>
            <w:tcBorders>
              <w:left w:val="dotted" w:sz="4" w:space="0" w:color="30859C"/>
              <w:right w:val="dotted" w:sz="4" w:space="0" w:color="30859C"/>
            </w:tcBorders>
            <w:shd w:val="clear" w:color="auto" w:fill="77DFDD"/>
          </w:tcPr>
          <w:p>
            <w:pPr>
              <w:pStyle w:val="TableParagraph"/>
              <w:spacing w:before="13"/>
              <w:ind w:left="54" w:right="55"/>
              <w:rPr>
                <w:sz w:val="14"/>
                <w:szCs w:val="14"/>
              </w:rPr>
            </w:pPr>
            <w:r>
              <w:rPr>
                <w:sz w:val="14"/>
                <w:szCs w:val="14"/>
              </w:rPr>
              <w:t>0.2ᴥ</w:t>
            </w:r>
          </w:p>
        </w:tc>
        <w:tc>
          <w:tcPr>
            <w:tcW w:w="935" w:type="dxa"/>
            <w:tcBorders>
              <w:left w:val="dotted" w:sz="4" w:space="0" w:color="30859C"/>
            </w:tcBorders>
            <w:shd w:val="clear" w:color="auto" w:fill="77DFDD"/>
          </w:tcPr>
          <w:p>
            <w:pPr>
              <w:pStyle w:val="TableParagraph"/>
              <w:spacing w:before="13"/>
              <w:ind w:left="90" w:right="94"/>
              <w:rPr>
                <w:sz w:val="14"/>
                <w:szCs w:val="14"/>
              </w:rPr>
            </w:pPr>
            <w:r>
              <w:rPr>
                <w:sz w:val="14"/>
                <w:szCs w:val="14"/>
              </w:rPr>
              <w:t>0.7ᴥ</w:t>
            </w:r>
          </w:p>
        </w:tc>
      </w:tr>
      <w:tr>
        <w:trPr>
          <w:trHeight w:val="209" w:hRule="exact"/>
        </w:trPr>
        <w:tc>
          <w:tcPr>
            <w:tcW w:w="1290" w:type="dxa"/>
            <w:gridSpan w:val="2"/>
            <w:shd w:val="clear" w:color="auto" w:fill="B4EDEC"/>
          </w:tcPr>
          <w:p>
            <w:pPr/>
          </w:p>
        </w:tc>
        <w:tc>
          <w:tcPr>
            <w:tcW w:w="870" w:type="dxa"/>
            <w:shd w:val="clear" w:color="auto" w:fill="B4EDEC"/>
          </w:tcPr>
          <w:p>
            <w:pPr>
              <w:pStyle w:val="TableParagraph"/>
              <w:spacing w:before="46"/>
              <w:ind w:left="82"/>
              <w:jc w:val="left"/>
              <w:rPr>
                <w:sz w:val="14"/>
              </w:rPr>
            </w:pPr>
            <w:r>
              <w:rPr>
                <w:w w:val="99"/>
                <w:sz w:val="14"/>
              </w:rPr>
              <w:t>♀</w:t>
            </w:r>
          </w:p>
        </w:tc>
        <w:tc>
          <w:tcPr>
            <w:tcW w:w="155" w:type="dxa"/>
            <w:tcBorders>
              <w:right w:val="dotted" w:sz="4" w:space="0" w:color="000000"/>
            </w:tcBorders>
            <w:shd w:val="clear" w:color="auto" w:fill="B4EDEC"/>
          </w:tcPr>
          <w:p>
            <w:pPr/>
          </w:p>
        </w:tc>
        <w:tc>
          <w:tcPr>
            <w:tcW w:w="780" w:type="dxa"/>
            <w:tcBorders>
              <w:left w:val="dotted" w:sz="4" w:space="0" w:color="000000"/>
              <w:right w:val="dotted" w:sz="4" w:space="0" w:color="30859C"/>
            </w:tcBorders>
            <w:shd w:val="clear" w:color="auto" w:fill="B4EDEC"/>
          </w:tcPr>
          <w:p>
            <w:pPr>
              <w:pStyle w:val="TableParagraph"/>
              <w:spacing w:before="6"/>
              <w:ind w:left="90" w:right="99"/>
              <w:rPr>
                <w:sz w:val="14"/>
              </w:rPr>
            </w:pPr>
            <w:r>
              <w:rPr>
                <w:sz w:val="14"/>
              </w:rPr>
              <w:t>0.3 </w:t>
            </w:r>
            <w:r>
              <w:rPr>
                <w:rFonts w:ascii="Times New Roman" w:hAnsi="Times New Roman"/>
                <w:sz w:val="14"/>
              </w:rPr>
              <w:t>± </w:t>
            </w:r>
            <w:r>
              <w:rPr>
                <w:sz w:val="14"/>
              </w:rPr>
              <w:t>0.5</w:t>
            </w:r>
          </w:p>
        </w:tc>
        <w:tc>
          <w:tcPr>
            <w:tcW w:w="940" w:type="dxa"/>
            <w:tcBorders>
              <w:left w:val="dotted" w:sz="4" w:space="0" w:color="30859C"/>
              <w:right w:val="dotted" w:sz="4" w:space="0" w:color="30859C"/>
            </w:tcBorders>
            <w:shd w:val="clear" w:color="auto" w:fill="B4EDEC"/>
          </w:tcPr>
          <w:p>
            <w:pPr>
              <w:pStyle w:val="TableParagraph"/>
              <w:spacing w:before="6"/>
              <w:ind w:left="89" w:right="94"/>
              <w:rPr>
                <w:sz w:val="14"/>
              </w:rPr>
            </w:pPr>
            <w:r>
              <w:rPr>
                <w:sz w:val="14"/>
              </w:rPr>
              <w:t>3.3 </w:t>
            </w:r>
            <w:r>
              <w:rPr>
                <w:rFonts w:ascii="Times New Roman" w:hAnsi="Times New Roman"/>
                <w:sz w:val="14"/>
              </w:rPr>
              <w:t>± </w:t>
            </w:r>
            <w:r>
              <w:rPr>
                <w:sz w:val="14"/>
              </w:rPr>
              <w:t>2.2</w:t>
            </w:r>
          </w:p>
        </w:tc>
        <w:tc>
          <w:tcPr>
            <w:tcW w:w="1030" w:type="dxa"/>
            <w:tcBorders>
              <w:left w:val="dotted" w:sz="4" w:space="0" w:color="30859C"/>
              <w:right w:val="dotted" w:sz="4" w:space="0" w:color="30859C"/>
            </w:tcBorders>
            <w:shd w:val="clear" w:color="auto" w:fill="B4EDEC"/>
          </w:tcPr>
          <w:p>
            <w:pPr>
              <w:pStyle w:val="TableParagraph"/>
              <w:spacing w:before="6"/>
              <w:ind w:left="138" w:right="145"/>
              <w:rPr>
                <w:sz w:val="14"/>
              </w:rPr>
            </w:pPr>
            <w:r>
              <w:rPr>
                <w:sz w:val="14"/>
              </w:rPr>
              <w:t>15.3 </w:t>
            </w:r>
            <w:r>
              <w:rPr>
                <w:rFonts w:ascii="Times New Roman" w:hAnsi="Times New Roman"/>
                <w:sz w:val="14"/>
              </w:rPr>
              <w:t>± </w:t>
            </w:r>
            <w:r>
              <w:rPr>
                <w:sz w:val="14"/>
              </w:rPr>
              <w:t>12.0</w:t>
            </w:r>
          </w:p>
        </w:tc>
        <w:tc>
          <w:tcPr>
            <w:tcW w:w="940" w:type="dxa"/>
            <w:tcBorders>
              <w:left w:val="dotted" w:sz="4" w:space="0" w:color="30859C"/>
              <w:right w:val="dotted" w:sz="4" w:space="0" w:color="30859C"/>
            </w:tcBorders>
            <w:shd w:val="clear" w:color="auto" w:fill="B4EDEC"/>
          </w:tcPr>
          <w:p>
            <w:pPr>
              <w:pStyle w:val="TableParagraph"/>
              <w:spacing w:before="6"/>
              <w:ind w:left="94" w:right="94"/>
              <w:rPr>
                <w:sz w:val="14"/>
              </w:rPr>
            </w:pPr>
            <w:r>
              <w:rPr>
                <w:sz w:val="14"/>
              </w:rPr>
              <w:t>9.1 </w:t>
            </w:r>
            <w:r>
              <w:rPr>
                <w:rFonts w:ascii="Times New Roman" w:hAnsi="Times New Roman"/>
                <w:sz w:val="14"/>
              </w:rPr>
              <w:t>± </w:t>
            </w:r>
            <w:r>
              <w:rPr>
                <w:sz w:val="14"/>
              </w:rPr>
              <w:t>5.9</w:t>
            </w:r>
          </w:p>
        </w:tc>
        <w:tc>
          <w:tcPr>
            <w:tcW w:w="940" w:type="dxa"/>
            <w:tcBorders>
              <w:left w:val="dotted" w:sz="4" w:space="0" w:color="30859C"/>
              <w:right w:val="dotted" w:sz="4" w:space="0" w:color="30859C"/>
            </w:tcBorders>
            <w:shd w:val="clear" w:color="auto" w:fill="B4EDEC"/>
          </w:tcPr>
          <w:p>
            <w:pPr>
              <w:pStyle w:val="TableParagraph"/>
              <w:spacing w:before="6"/>
              <w:ind w:left="100" w:right="94"/>
              <w:rPr>
                <w:sz w:val="14"/>
              </w:rPr>
            </w:pPr>
            <w:r>
              <w:rPr>
                <w:sz w:val="14"/>
              </w:rPr>
              <w:t>6.6 </w:t>
            </w:r>
            <w:r>
              <w:rPr>
                <w:rFonts w:ascii="Times New Roman" w:hAnsi="Times New Roman"/>
                <w:sz w:val="14"/>
              </w:rPr>
              <w:t>± </w:t>
            </w:r>
            <w:r>
              <w:rPr>
                <w:sz w:val="14"/>
              </w:rPr>
              <w:t>7.4</w:t>
            </w:r>
          </w:p>
        </w:tc>
        <w:tc>
          <w:tcPr>
            <w:tcW w:w="860" w:type="dxa"/>
            <w:tcBorders>
              <w:left w:val="dotted" w:sz="4" w:space="0" w:color="30859C"/>
              <w:right w:val="dotted" w:sz="4" w:space="0" w:color="30859C"/>
            </w:tcBorders>
            <w:shd w:val="clear" w:color="auto" w:fill="B4EDEC"/>
          </w:tcPr>
          <w:p>
            <w:pPr>
              <w:pStyle w:val="TableParagraph"/>
              <w:spacing w:before="6"/>
              <w:ind w:left="54" w:right="56"/>
              <w:rPr>
                <w:sz w:val="14"/>
              </w:rPr>
            </w:pPr>
            <w:r>
              <w:rPr>
                <w:sz w:val="14"/>
              </w:rPr>
              <w:t>1.1 </w:t>
            </w:r>
            <w:r>
              <w:rPr>
                <w:rFonts w:ascii="Times New Roman" w:hAnsi="Times New Roman"/>
                <w:sz w:val="14"/>
              </w:rPr>
              <w:t>± </w:t>
            </w:r>
            <w:r>
              <w:rPr>
                <w:sz w:val="14"/>
              </w:rPr>
              <w:t>2.1</w:t>
            </w:r>
          </w:p>
        </w:tc>
        <w:tc>
          <w:tcPr>
            <w:tcW w:w="860" w:type="dxa"/>
            <w:tcBorders>
              <w:left w:val="dotted" w:sz="4" w:space="0" w:color="30859C"/>
              <w:right w:val="dotted" w:sz="4" w:space="0" w:color="30859C"/>
            </w:tcBorders>
            <w:shd w:val="clear" w:color="auto" w:fill="B4EDEC"/>
          </w:tcPr>
          <w:p>
            <w:pPr>
              <w:pStyle w:val="TableParagraph"/>
              <w:spacing w:before="6"/>
              <w:ind w:left="54" w:right="60"/>
              <w:rPr>
                <w:sz w:val="14"/>
              </w:rPr>
            </w:pPr>
            <w:r>
              <w:rPr>
                <w:sz w:val="14"/>
              </w:rPr>
              <w:t>11.0 </w:t>
            </w:r>
            <w:r>
              <w:rPr>
                <w:rFonts w:ascii="Times New Roman" w:hAnsi="Times New Roman"/>
                <w:sz w:val="14"/>
              </w:rPr>
              <w:t>± </w:t>
            </w:r>
            <w:r>
              <w:rPr>
                <w:sz w:val="14"/>
              </w:rPr>
              <w:t>8.3</w:t>
            </w:r>
          </w:p>
        </w:tc>
        <w:tc>
          <w:tcPr>
            <w:tcW w:w="935" w:type="dxa"/>
            <w:tcBorders>
              <w:left w:val="dotted" w:sz="4" w:space="0" w:color="30859C"/>
            </w:tcBorders>
            <w:shd w:val="clear" w:color="auto" w:fill="B4EDEC"/>
          </w:tcPr>
          <w:p>
            <w:pPr>
              <w:pStyle w:val="TableParagraph"/>
              <w:spacing w:before="6"/>
              <w:ind w:left="100" w:right="94"/>
              <w:rPr>
                <w:sz w:val="14"/>
              </w:rPr>
            </w:pPr>
            <w:r>
              <w:rPr>
                <w:sz w:val="14"/>
              </w:rPr>
              <w:t>46.7 </w:t>
            </w:r>
            <w:r>
              <w:rPr>
                <w:rFonts w:ascii="Times New Roman" w:hAnsi="Times New Roman"/>
                <w:sz w:val="14"/>
              </w:rPr>
              <w:t>± </w:t>
            </w:r>
            <w:r>
              <w:rPr>
                <w:sz w:val="14"/>
              </w:rPr>
              <w:t>21.0</w:t>
            </w:r>
          </w:p>
        </w:tc>
      </w:tr>
      <w:tr>
        <w:trPr>
          <w:trHeight w:val="160" w:hRule="exact"/>
        </w:trPr>
        <w:tc>
          <w:tcPr>
            <w:tcW w:w="1290" w:type="dxa"/>
            <w:gridSpan w:val="2"/>
            <w:shd w:val="clear" w:color="auto" w:fill="B4EDEC"/>
          </w:tcPr>
          <w:p>
            <w:pPr>
              <w:pStyle w:val="TableParagraph"/>
              <w:spacing w:line="170" w:lineRule="exact" w:before="0"/>
              <w:ind w:left="384" w:right="312"/>
              <w:jc w:val="left"/>
              <w:rPr>
                <w:b/>
                <w:sz w:val="15"/>
              </w:rPr>
            </w:pPr>
            <w:r>
              <w:rPr>
                <w:b/>
                <w:sz w:val="15"/>
              </w:rPr>
              <w:t>Género</w:t>
            </w:r>
          </w:p>
        </w:tc>
        <w:tc>
          <w:tcPr>
            <w:tcW w:w="870" w:type="dxa"/>
            <w:shd w:val="clear" w:color="auto" w:fill="B4EDEC"/>
          </w:tcPr>
          <w:p>
            <w:pPr/>
          </w:p>
        </w:tc>
        <w:tc>
          <w:tcPr>
            <w:tcW w:w="155" w:type="dxa"/>
            <w:tcBorders>
              <w:right w:val="dotted" w:sz="4" w:space="0" w:color="000000"/>
            </w:tcBorders>
            <w:shd w:val="clear" w:color="auto" w:fill="B4EDEC"/>
          </w:tcPr>
          <w:p>
            <w:pPr>
              <w:pStyle w:val="TableParagraph"/>
              <w:spacing w:line="127" w:lineRule="exact" w:before="0"/>
              <w:ind w:right="13"/>
              <w:jc w:val="right"/>
              <w:rPr>
                <w:b/>
                <w:sz w:val="12"/>
              </w:rPr>
            </w:pPr>
            <w:r>
              <w:rPr>
                <w:b/>
                <w:w w:val="100"/>
                <w:sz w:val="12"/>
              </w:rPr>
              <w:t>p</w:t>
            </w:r>
          </w:p>
        </w:tc>
        <w:tc>
          <w:tcPr>
            <w:tcW w:w="780" w:type="dxa"/>
            <w:tcBorders>
              <w:left w:val="dotted" w:sz="4" w:space="0" w:color="000000"/>
              <w:right w:val="dotted" w:sz="4" w:space="0" w:color="30859C"/>
            </w:tcBorders>
            <w:shd w:val="clear" w:color="auto" w:fill="B4EDEC"/>
          </w:tcPr>
          <w:p>
            <w:pPr>
              <w:pStyle w:val="TableParagraph"/>
              <w:spacing w:line="152" w:lineRule="exact" w:before="0"/>
              <w:ind w:left="90" w:right="86"/>
              <w:rPr>
                <w:sz w:val="14"/>
              </w:rPr>
            </w:pPr>
            <w:r>
              <w:rPr>
                <w:sz w:val="14"/>
              </w:rPr>
              <w:t>0.9*</w:t>
            </w:r>
          </w:p>
        </w:tc>
        <w:tc>
          <w:tcPr>
            <w:tcW w:w="940" w:type="dxa"/>
            <w:tcBorders>
              <w:left w:val="dotted" w:sz="4" w:space="0" w:color="30859C"/>
              <w:right w:val="dotted" w:sz="4" w:space="0" w:color="30859C"/>
            </w:tcBorders>
            <w:shd w:val="clear" w:color="auto" w:fill="B4EDEC"/>
          </w:tcPr>
          <w:p>
            <w:pPr>
              <w:pStyle w:val="TableParagraph"/>
              <w:spacing w:line="152" w:lineRule="exact" w:before="0"/>
              <w:ind w:left="85" w:right="94"/>
              <w:rPr>
                <w:sz w:val="14"/>
              </w:rPr>
            </w:pPr>
            <w:r>
              <w:rPr>
                <w:sz w:val="14"/>
              </w:rPr>
              <w:t>0.2*</w:t>
            </w:r>
          </w:p>
        </w:tc>
        <w:tc>
          <w:tcPr>
            <w:tcW w:w="1030" w:type="dxa"/>
            <w:tcBorders>
              <w:left w:val="dotted" w:sz="4" w:space="0" w:color="30859C"/>
              <w:right w:val="dotted" w:sz="4" w:space="0" w:color="30859C"/>
            </w:tcBorders>
            <w:shd w:val="clear" w:color="auto" w:fill="B4EDEC"/>
          </w:tcPr>
          <w:p>
            <w:pPr>
              <w:pStyle w:val="TableParagraph"/>
              <w:spacing w:line="152" w:lineRule="exact" w:before="0"/>
              <w:ind w:left="134" w:right="145"/>
              <w:rPr>
                <w:sz w:val="14"/>
              </w:rPr>
            </w:pPr>
            <w:r>
              <w:rPr>
                <w:sz w:val="14"/>
              </w:rPr>
              <w:t>0.4*</w:t>
            </w:r>
          </w:p>
        </w:tc>
        <w:tc>
          <w:tcPr>
            <w:tcW w:w="940" w:type="dxa"/>
            <w:tcBorders>
              <w:left w:val="dotted" w:sz="4" w:space="0" w:color="30859C"/>
              <w:right w:val="dotted" w:sz="4" w:space="0" w:color="30859C"/>
            </w:tcBorders>
            <w:shd w:val="clear" w:color="auto" w:fill="B4EDEC"/>
          </w:tcPr>
          <w:p>
            <w:pPr>
              <w:pStyle w:val="TableParagraph"/>
              <w:spacing w:line="152" w:lineRule="exact" w:before="0"/>
              <w:ind w:left="93" w:right="94"/>
              <w:rPr>
                <w:sz w:val="14"/>
              </w:rPr>
            </w:pPr>
            <w:r>
              <w:rPr>
                <w:sz w:val="14"/>
              </w:rPr>
              <w:t>0.8*</w:t>
            </w:r>
          </w:p>
        </w:tc>
        <w:tc>
          <w:tcPr>
            <w:tcW w:w="940" w:type="dxa"/>
            <w:tcBorders>
              <w:left w:val="dotted" w:sz="4" w:space="0" w:color="30859C"/>
              <w:right w:val="dotted" w:sz="4" w:space="0" w:color="30859C"/>
            </w:tcBorders>
            <w:shd w:val="clear" w:color="auto" w:fill="B4EDEC"/>
          </w:tcPr>
          <w:p>
            <w:pPr>
              <w:pStyle w:val="TableParagraph"/>
              <w:spacing w:line="152" w:lineRule="exact" w:before="0"/>
              <w:ind w:left="97" w:right="94"/>
              <w:rPr>
                <w:sz w:val="14"/>
              </w:rPr>
            </w:pPr>
            <w:r>
              <w:rPr>
                <w:sz w:val="14"/>
              </w:rPr>
              <w:t>0.6*</w:t>
            </w:r>
          </w:p>
        </w:tc>
        <w:tc>
          <w:tcPr>
            <w:tcW w:w="860" w:type="dxa"/>
            <w:tcBorders>
              <w:left w:val="dotted" w:sz="4" w:space="0" w:color="30859C"/>
              <w:right w:val="dotted" w:sz="4" w:space="0" w:color="30859C"/>
            </w:tcBorders>
            <w:shd w:val="clear" w:color="auto" w:fill="B4EDEC"/>
          </w:tcPr>
          <w:p>
            <w:pPr>
              <w:pStyle w:val="TableParagraph"/>
              <w:spacing w:line="152" w:lineRule="exact" w:before="0"/>
              <w:ind w:left="54" w:right="43"/>
              <w:rPr>
                <w:sz w:val="14"/>
              </w:rPr>
            </w:pPr>
            <w:r>
              <w:rPr>
                <w:sz w:val="14"/>
              </w:rPr>
              <w:t>0.5*</w:t>
            </w:r>
          </w:p>
        </w:tc>
        <w:tc>
          <w:tcPr>
            <w:tcW w:w="860" w:type="dxa"/>
            <w:tcBorders>
              <w:left w:val="dotted" w:sz="4" w:space="0" w:color="30859C"/>
              <w:right w:val="dotted" w:sz="4" w:space="0" w:color="30859C"/>
            </w:tcBorders>
            <w:shd w:val="clear" w:color="auto" w:fill="B4EDEC"/>
          </w:tcPr>
          <w:p>
            <w:pPr>
              <w:pStyle w:val="TableParagraph"/>
              <w:spacing w:line="152" w:lineRule="exact" w:before="0"/>
              <w:ind w:left="54" w:right="47"/>
              <w:rPr>
                <w:sz w:val="14"/>
              </w:rPr>
            </w:pPr>
            <w:r>
              <w:rPr>
                <w:sz w:val="14"/>
              </w:rPr>
              <w:t>0.5*</w:t>
            </w:r>
          </w:p>
        </w:tc>
        <w:tc>
          <w:tcPr>
            <w:tcW w:w="935" w:type="dxa"/>
            <w:tcBorders>
              <w:left w:val="dotted" w:sz="4" w:space="0" w:color="30859C"/>
            </w:tcBorders>
            <w:shd w:val="clear" w:color="auto" w:fill="B4EDEC"/>
          </w:tcPr>
          <w:p>
            <w:pPr>
              <w:pStyle w:val="TableParagraph"/>
              <w:spacing w:line="152" w:lineRule="exact" w:before="0"/>
              <w:ind w:left="96" w:right="94"/>
              <w:rPr>
                <w:sz w:val="14"/>
              </w:rPr>
            </w:pPr>
            <w:r>
              <w:rPr>
                <w:sz w:val="14"/>
              </w:rPr>
              <w:t>0.6*</w:t>
            </w:r>
          </w:p>
        </w:tc>
      </w:tr>
      <w:tr>
        <w:trPr>
          <w:trHeight w:val="202" w:hRule="exact"/>
        </w:trPr>
        <w:tc>
          <w:tcPr>
            <w:tcW w:w="1290" w:type="dxa"/>
            <w:gridSpan w:val="2"/>
            <w:shd w:val="clear" w:color="auto" w:fill="B4EDEC"/>
          </w:tcPr>
          <w:p>
            <w:pPr/>
          </w:p>
        </w:tc>
        <w:tc>
          <w:tcPr>
            <w:tcW w:w="870" w:type="dxa"/>
            <w:shd w:val="clear" w:color="auto" w:fill="B4EDEC"/>
          </w:tcPr>
          <w:p>
            <w:pPr>
              <w:pStyle w:val="TableParagraph"/>
              <w:spacing w:line="136" w:lineRule="exact" w:before="0"/>
              <w:ind w:left="82"/>
              <w:jc w:val="left"/>
              <w:rPr>
                <w:sz w:val="14"/>
              </w:rPr>
            </w:pPr>
            <w:r>
              <w:rPr>
                <w:w w:val="99"/>
                <w:sz w:val="14"/>
              </w:rPr>
              <w:t>♂</w:t>
            </w:r>
          </w:p>
        </w:tc>
        <w:tc>
          <w:tcPr>
            <w:tcW w:w="155" w:type="dxa"/>
            <w:tcBorders>
              <w:right w:val="dotted" w:sz="4" w:space="0" w:color="000000"/>
            </w:tcBorders>
            <w:shd w:val="clear" w:color="auto" w:fill="B4EDEC"/>
          </w:tcPr>
          <w:p>
            <w:pPr/>
          </w:p>
        </w:tc>
        <w:tc>
          <w:tcPr>
            <w:tcW w:w="780" w:type="dxa"/>
            <w:tcBorders>
              <w:left w:val="dotted" w:sz="4" w:space="0" w:color="000000"/>
              <w:right w:val="dotted" w:sz="4" w:space="0" w:color="30859C"/>
            </w:tcBorders>
            <w:shd w:val="clear" w:color="auto" w:fill="B4EDEC"/>
          </w:tcPr>
          <w:p>
            <w:pPr>
              <w:pStyle w:val="TableParagraph"/>
              <w:spacing w:before="24"/>
              <w:ind w:left="90" w:right="99"/>
              <w:rPr>
                <w:sz w:val="14"/>
              </w:rPr>
            </w:pPr>
            <w:r>
              <w:rPr>
                <w:sz w:val="14"/>
              </w:rPr>
              <w:t>0.3 </w:t>
            </w:r>
            <w:r>
              <w:rPr>
                <w:rFonts w:ascii="Times New Roman" w:hAnsi="Times New Roman"/>
                <w:sz w:val="14"/>
              </w:rPr>
              <w:t>± </w:t>
            </w:r>
            <w:r>
              <w:rPr>
                <w:sz w:val="14"/>
              </w:rPr>
              <w:t>0.5</w:t>
            </w:r>
          </w:p>
        </w:tc>
        <w:tc>
          <w:tcPr>
            <w:tcW w:w="940" w:type="dxa"/>
            <w:tcBorders>
              <w:left w:val="dotted" w:sz="4" w:space="0" w:color="30859C"/>
              <w:right w:val="dotted" w:sz="4" w:space="0" w:color="30859C"/>
            </w:tcBorders>
            <w:shd w:val="clear" w:color="auto" w:fill="B4EDEC"/>
          </w:tcPr>
          <w:p>
            <w:pPr>
              <w:pStyle w:val="TableParagraph"/>
              <w:spacing w:before="24"/>
              <w:ind w:left="89" w:right="94"/>
              <w:rPr>
                <w:sz w:val="14"/>
              </w:rPr>
            </w:pPr>
            <w:r>
              <w:rPr>
                <w:sz w:val="14"/>
              </w:rPr>
              <w:t>2.9 </w:t>
            </w:r>
            <w:r>
              <w:rPr>
                <w:rFonts w:ascii="Times New Roman" w:hAnsi="Times New Roman"/>
                <w:sz w:val="14"/>
              </w:rPr>
              <w:t>± </w:t>
            </w:r>
            <w:r>
              <w:rPr>
                <w:sz w:val="14"/>
              </w:rPr>
              <w:t>2.9</w:t>
            </w:r>
          </w:p>
        </w:tc>
        <w:tc>
          <w:tcPr>
            <w:tcW w:w="1030" w:type="dxa"/>
            <w:tcBorders>
              <w:left w:val="dotted" w:sz="4" w:space="0" w:color="30859C"/>
              <w:right w:val="dotted" w:sz="4" w:space="0" w:color="30859C"/>
            </w:tcBorders>
            <w:shd w:val="clear" w:color="auto" w:fill="B4EDEC"/>
          </w:tcPr>
          <w:p>
            <w:pPr>
              <w:pStyle w:val="TableParagraph"/>
              <w:spacing w:before="24"/>
              <w:ind w:left="138" w:right="145"/>
              <w:rPr>
                <w:sz w:val="14"/>
              </w:rPr>
            </w:pPr>
            <w:r>
              <w:rPr>
                <w:sz w:val="14"/>
              </w:rPr>
              <w:t>19.3 </w:t>
            </w:r>
            <w:r>
              <w:rPr>
                <w:rFonts w:ascii="Times New Roman" w:hAnsi="Times New Roman"/>
                <w:sz w:val="14"/>
              </w:rPr>
              <w:t>± </w:t>
            </w:r>
            <w:r>
              <w:rPr>
                <w:sz w:val="14"/>
              </w:rPr>
              <w:t>16.1</w:t>
            </w:r>
          </w:p>
        </w:tc>
        <w:tc>
          <w:tcPr>
            <w:tcW w:w="940" w:type="dxa"/>
            <w:tcBorders>
              <w:left w:val="dotted" w:sz="4" w:space="0" w:color="30859C"/>
              <w:right w:val="dotted" w:sz="4" w:space="0" w:color="30859C"/>
            </w:tcBorders>
            <w:shd w:val="clear" w:color="auto" w:fill="B4EDEC"/>
          </w:tcPr>
          <w:p>
            <w:pPr>
              <w:pStyle w:val="TableParagraph"/>
              <w:spacing w:before="24"/>
              <w:ind w:left="94" w:right="94"/>
              <w:rPr>
                <w:sz w:val="14"/>
              </w:rPr>
            </w:pPr>
            <w:r>
              <w:rPr>
                <w:sz w:val="14"/>
              </w:rPr>
              <w:t>9.4 </w:t>
            </w:r>
            <w:r>
              <w:rPr>
                <w:rFonts w:ascii="Times New Roman" w:hAnsi="Times New Roman"/>
                <w:sz w:val="14"/>
              </w:rPr>
              <w:t>± </w:t>
            </w:r>
            <w:r>
              <w:rPr>
                <w:sz w:val="14"/>
              </w:rPr>
              <w:t>7.3</w:t>
            </w:r>
          </w:p>
        </w:tc>
        <w:tc>
          <w:tcPr>
            <w:tcW w:w="940" w:type="dxa"/>
            <w:tcBorders>
              <w:left w:val="dotted" w:sz="4" w:space="0" w:color="30859C"/>
              <w:right w:val="dotted" w:sz="4" w:space="0" w:color="30859C"/>
            </w:tcBorders>
            <w:shd w:val="clear" w:color="auto" w:fill="B4EDEC"/>
          </w:tcPr>
          <w:p>
            <w:pPr>
              <w:pStyle w:val="TableParagraph"/>
              <w:spacing w:before="24"/>
              <w:ind w:left="100" w:right="94"/>
              <w:rPr>
                <w:sz w:val="14"/>
              </w:rPr>
            </w:pPr>
            <w:r>
              <w:rPr>
                <w:sz w:val="14"/>
              </w:rPr>
              <w:t>8.7 </w:t>
            </w:r>
            <w:r>
              <w:rPr>
                <w:rFonts w:ascii="Times New Roman" w:hAnsi="Times New Roman"/>
                <w:sz w:val="14"/>
              </w:rPr>
              <w:t>± </w:t>
            </w:r>
            <w:r>
              <w:rPr>
                <w:sz w:val="14"/>
              </w:rPr>
              <w:t>11.4</w:t>
            </w:r>
          </w:p>
        </w:tc>
        <w:tc>
          <w:tcPr>
            <w:tcW w:w="860" w:type="dxa"/>
            <w:tcBorders>
              <w:left w:val="dotted" w:sz="4" w:space="0" w:color="30859C"/>
              <w:right w:val="dotted" w:sz="4" w:space="0" w:color="30859C"/>
            </w:tcBorders>
            <w:shd w:val="clear" w:color="auto" w:fill="B4EDEC"/>
          </w:tcPr>
          <w:p>
            <w:pPr>
              <w:pStyle w:val="TableParagraph"/>
              <w:spacing w:before="24"/>
              <w:ind w:left="54" w:right="56"/>
              <w:rPr>
                <w:sz w:val="14"/>
              </w:rPr>
            </w:pPr>
            <w:r>
              <w:rPr>
                <w:sz w:val="14"/>
              </w:rPr>
              <w:t>1.1 </w:t>
            </w:r>
            <w:r>
              <w:rPr>
                <w:rFonts w:ascii="Times New Roman" w:hAnsi="Times New Roman"/>
                <w:sz w:val="14"/>
              </w:rPr>
              <w:t>± </w:t>
            </w:r>
            <w:r>
              <w:rPr>
                <w:sz w:val="14"/>
              </w:rPr>
              <w:t>1.6</w:t>
            </w:r>
          </w:p>
        </w:tc>
        <w:tc>
          <w:tcPr>
            <w:tcW w:w="860" w:type="dxa"/>
            <w:tcBorders>
              <w:left w:val="dotted" w:sz="4" w:space="0" w:color="30859C"/>
              <w:right w:val="dotted" w:sz="4" w:space="0" w:color="30859C"/>
            </w:tcBorders>
            <w:shd w:val="clear" w:color="auto" w:fill="B4EDEC"/>
          </w:tcPr>
          <w:p>
            <w:pPr>
              <w:pStyle w:val="TableParagraph"/>
              <w:spacing w:before="24"/>
              <w:ind w:left="54" w:right="60"/>
              <w:rPr>
                <w:sz w:val="14"/>
              </w:rPr>
            </w:pPr>
            <w:r>
              <w:rPr>
                <w:sz w:val="14"/>
              </w:rPr>
              <w:t>11.3 </w:t>
            </w:r>
            <w:r>
              <w:rPr>
                <w:rFonts w:ascii="Times New Roman" w:hAnsi="Times New Roman"/>
                <w:sz w:val="14"/>
              </w:rPr>
              <w:t>± </w:t>
            </w:r>
            <w:r>
              <w:rPr>
                <w:sz w:val="14"/>
              </w:rPr>
              <w:t>11.8</w:t>
            </w:r>
          </w:p>
        </w:tc>
        <w:tc>
          <w:tcPr>
            <w:tcW w:w="935" w:type="dxa"/>
            <w:tcBorders>
              <w:left w:val="dotted" w:sz="4" w:space="0" w:color="30859C"/>
            </w:tcBorders>
            <w:shd w:val="clear" w:color="auto" w:fill="B4EDEC"/>
          </w:tcPr>
          <w:p>
            <w:pPr>
              <w:pStyle w:val="TableParagraph"/>
              <w:spacing w:before="24"/>
              <w:ind w:left="100" w:right="94"/>
              <w:rPr>
                <w:sz w:val="14"/>
              </w:rPr>
            </w:pPr>
            <w:r>
              <w:rPr>
                <w:sz w:val="14"/>
              </w:rPr>
              <w:t>53.0 </w:t>
            </w:r>
            <w:r>
              <w:rPr>
                <w:rFonts w:ascii="Times New Roman" w:hAnsi="Times New Roman"/>
                <w:sz w:val="14"/>
              </w:rPr>
              <w:t>± </w:t>
            </w:r>
            <w:r>
              <w:rPr>
                <w:sz w:val="14"/>
              </w:rPr>
              <w:t>32.1</w:t>
            </w:r>
          </w:p>
        </w:tc>
      </w:tr>
      <w:tr>
        <w:trPr>
          <w:trHeight w:val="201" w:hRule="exact"/>
        </w:trPr>
        <w:tc>
          <w:tcPr>
            <w:tcW w:w="1290" w:type="dxa"/>
            <w:gridSpan w:val="2"/>
            <w:vMerge w:val="restart"/>
            <w:shd w:val="clear" w:color="auto" w:fill="77DFDD"/>
          </w:tcPr>
          <w:p>
            <w:pPr>
              <w:pStyle w:val="TableParagraph"/>
              <w:spacing w:line="278" w:lineRule="auto" w:before="16"/>
              <w:ind w:left="314" w:right="312" w:firstLine="190"/>
              <w:jc w:val="left"/>
              <w:rPr>
                <w:b/>
                <w:sz w:val="15"/>
              </w:rPr>
            </w:pPr>
            <w:r>
              <w:rPr>
                <w:b/>
                <w:sz w:val="15"/>
              </w:rPr>
              <w:t>Uso de</w:t>
            </w:r>
            <w:r>
              <w:rPr>
                <w:b/>
                <w:spacing w:val="-14"/>
                <w:sz w:val="15"/>
              </w:rPr>
              <w:t> </w:t>
            </w:r>
            <w:r>
              <w:rPr>
                <w:b/>
                <w:spacing w:val="-3"/>
                <w:sz w:val="15"/>
              </w:rPr>
              <w:t>cepillo</w:t>
            </w:r>
          </w:p>
          <w:p>
            <w:pPr>
              <w:pStyle w:val="TableParagraph"/>
              <w:spacing w:before="11"/>
              <w:ind w:left="424" w:right="312"/>
              <w:jc w:val="left"/>
              <w:rPr>
                <w:b/>
                <w:sz w:val="15"/>
              </w:rPr>
            </w:pPr>
            <w:r>
              <w:rPr>
                <w:b/>
                <w:sz w:val="15"/>
              </w:rPr>
              <w:t>dental</w:t>
            </w:r>
          </w:p>
        </w:tc>
        <w:tc>
          <w:tcPr>
            <w:tcW w:w="870" w:type="dxa"/>
            <w:vMerge w:val="restart"/>
            <w:shd w:val="clear" w:color="auto" w:fill="77DFDD"/>
          </w:tcPr>
          <w:p>
            <w:pPr>
              <w:pStyle w:val="TableParagraph"/>
              <w:spacing w:before="14"/>
              <w:ind w:left="20"/>
              <w:jc w:val="left"/>
              <w:rPr>
                <w:sz w:val="12"/>
              </w:rPr>
            </w:pPr>
            <w:r>
              <w:rPr>
                <w:sz w:val="12"/>
              </w:rPr>
              <w:t>Si</w:t>
            </w:r>
          </w:p>
          <w:p>
            <w:pPr>
              <w:pStyle w:val="TableParagraph"/>
              <w:spacing w:before="0"/>
              <w:jc w:val="left"/>
              <w:rPr>
                <w:b/>
                <w:sz w:val="12"/>
              </w:rPr>
            </w:pPr>
          </w:p>
          <w:p>
            <w:pPr>
              <w:pStyle w:val="TableParagraph"/>
              <w:spacing w:before="7"/>
              <w:jc w:val="left"/>
              <w:rPr>
                <w:b/>
                <w:sz w:val="9"/>
              </w:rPr>
            </w:pPr>
          </w:p>
          <w:p>
            <w:pPr>
              <w:pStyle w:val="TableParagraph"/>
              <w:spacing w:before="0"/>
              <w:ind w:left="20"/>
              <w:jc w:val="left"/>
              <w:rPr>
                <w:sz w:val="12"/>
              </w:rPr>
            </w:pPr>
            <w:r>
              <w:rPr>
                <w:sz w:val="12"/>
              </w:rPr>
              <w:t>No</w:t>
            </w:r>
          </w:p>
        </w:tc>
        <w:tc>
          <w:tcPr>
            <w:tcW w:w="155" w:type="dxa"/>
            <w:vMerge w:val="restart"/>
            <w:tcBorders>
              <w:right w:val="dotted" w:sz="4" w:space="0" w:color="000000"/>
            </w:tcBorders>
            <w:shd w:val="clear" w:color="auto" w:fill="77DFDD"/>
          </w:tcPr>
          <w:p>
            <w:pPr>
              <w:pStyle w:val="TableParagraph"/>
              <w:spacing w:before="0"/>
              <w:jc w:val="left"/>
              <w:rPr>
                <w:b/>
                <w:sz w:val="12"/>
              </w:rPr>
            </w:pPr>
          </w:p>
          <w:p>
            <w:pPr>
              <w:pStyle w:val="TableParagraph"/>
              <w:spacing w:before="70"/>
              <w:ind w:left="61"/>
              <w:jc w:val="left"/>
              <w:rPr>
                <w:b/>
                <w:sz w:val="12"/>
              </w:rPr>
            </w:pPr>
            <w:r>
              <w:rPr>
                <w:b/>
                <w:w w:val="99"/>
                <w:sz w:val="12"/>
              </w:rPr>
              <w:t>p</w:t>
            </w:r>
          </w:p>
        </w:tc>
        <w:tc>
          <w:tcPr>
            <w:tcW w:w="780" w:type="dxa"/>
            <w:tcBorders>
              <w:left w:val="dotted" w:sz="4" w:space="0" w:color="000000"/>
              <w:right w:val="dotted" w:sz="4" w:space="0" w:color="30859C"/>
            </w:tcBorders>
            <w:shd w:val="clear" w:color="auto" w:fill="77DFDD"/>
          </w:tcPr>
          <w:p>
            <w:pPr>
              <w:pStyle w:val="TableParagraph"/>
              <w:spacing w:before="16"/>
              <w:ind w:left="90" w:right="99"/>
              <w:rPr>
                <w:sz w:val="14"/>
              </w:rPr>
            </w:pPr>
            <w:r>
              <w:rPr>
                <w:sz w:val="14"/>
              </w:rPr>
              <w:t>0.3 </w:t>
            </w:r>
            <w:r>
              <w:rPr>
                <w:rFonts w:ascii="Times New Roman" w:hAnsi="Times New Roman"/>
                <w:sz w:val="14"/>
              </w:rPr>
              <w:t>± </w:t>
            </w:r>
            <w:r>
              <w:rPr>
                <w:sz w:val="14"/>
              </w:rPr>
              <w:t>0.5</w:t>
            </w:r>
          </w:p>
        </w:tc>
        <w:tc>
          <w:tcPr>
            <w:tcW w:w="940" w:type="dxa"/>
            <w:tcBorders>
              <w:left w:val="dotted" w:sz="4" w:space="0" w:color="30859C"/>
              <w:right w:val="dotted" w:sz="4" w:space="0" w:color="30859C"/>
            </w:tcBorders>
            <w:shd w:val="clear" w:color="auto" w:fill="77DFDD"/>
          </w:tcPr>
          <w:p>
            <w:pPr>
              <w:pStyle w:val="TableParagraph"/>
              <w:spacing w:before="16"/>
              <w:ind w:left="89" w:right="94"/>
              <w:rPr>
                <w:sz w:val="14"/>
              </w:rPr>
            </w:pPr>
            <w:r>
              <w:rPr>
                <w:sz w:val="14"/>
              </w:rPr>
              <w:t>2.0 </w:t>
            </w:r>
            <w:r>
              <w:rPr>
                <w:rFonts w:ascii="Times New Roman" w:hAnsi="Times New Roman"/>
                <w:sz w:val="14"/>
              </w:rPr>
              <w:t>± </w:t>
            </w:r>
            <w:r>
              <w:rPr>
                <w:sz w:val="14"/>
              </w:rPr>
              <w:t>2.6</w:t>
            </w:r>
          </w:p>
        </w:tc>
        <w:tc>
          <w:tcPr>
            <w:tcW w:w="1030" w:type="dxa"/>
            <w:tcBorders>
              <w:left w:val="dotted" w:sz="4" w:space="0" w:color="30859C"/>
              <w:right w:val="dotted" w:sz="4" w:space="0" w:color="30859C"/>
            </w:tcBorders>
            <w:shd w:val="clear" w:color="auto" w:fill="77DFDD"/>
          </w:tcPr>
          <w:p>
            <w:pPr>
              <w:pStyle w:val="TableParagraph"/>
              <w:spacing w:before="16"/>
              <w:ind w:left="138" w:right="145"/>
              <w:rPr>
                <w:sz w:val="14"/>
              </w:rPr>
            </w:pPr>
            <w:r>
              <w:rPr>
                <w:sz w:val="14"/>
              </w:rPr>
              <w:t>17.6 </w:t>
            </w:r>
            <w:r>
              <w:rPr>
                <w:rFonts w:ascii="Times New Roman" w:hAnsi="Times New Roman"/>
                <w:sz w:val="14"/>
              </w:rPr>
              <w:t>± </w:t>
            </w:r>
            <w:r>
              <w:rPr>
                <w:sz w:val="14"/>
              </w:rPr>
              <w:t>14.4</w:t>
            </w:r>
          </w:p>
        </w:tc>
        <w:tc>
          <w:tcPr>
            <w:tcW w:w="940" w:type="dxa"/>
            <w:tcBorders>
              <w:left w:val="dotted" w:sz="4" w:space="0" w:color="30859C"/>
              <w:right w:val="dotted" w:sz="4" w:space="0" w:color="30859C"/>
            </w:tcBorders>
            <w:shd w:val="clear" w:color="auto" w:fill="77DFDD"/>
          </w:tcPr>
          <w:p>
            <w:pPr>
              <w:pStyle w:val="TableParagraph"/>
              <w:spacing w:before="16"/>
              <w:ind w:left="94" w:right="94"/>
              <w:rPr>
                <w:sz w:val="14"/>
              </w:rPr>
            </w:pPr>
            <w:r>
              <w:rPr>
                <w:sz w:val="14"/>
              </w:rPr>
              <w:t>9.2 </w:t>
            </w:r>
            <w:r>
              <w:rPr>
                <w:rFonts w:ascii="Times New Roman" w:hAnsi="Times New Roman"/>
                <w:sz w:val="14"/>
              </w:rPr>
              <w:t>± </w:t>
            </w:r>
            <w:r>
              <w:rPr>
                <w:sz w:val="14"/>
              </w:rPr>
              <w:t>6.9</w:t>
            </w:r>
          </w:p>
        </w:tc>
        <w:tc>
          <w:tcPr>
            <w:tcW w:w="940" w:type="dxa"/>
            <w:tcBorders>
              <w:left w:val="dotted" w:sz="4" w:space="0" w:color="30859C"/>
              <w:right w:val="dotted" w:sz="4" w:space="0" w:color="30859C"/>
            </w:tcBorders>
            <w:shd w:val="clear" w:color="auto" w:fill="77DFDD"/>
          </w:tcPr>
          <w:p>
            <w:pPr>
              <w:pStyle w:val="TableParagraph"/>
              <w:spacing w:before="16"/>
              <w:ind w:left="100" w:right="94"/>
              <w:rPr>
                <w:sz w:val="14"/>
              </w:rPr>
            </w:pPr>
            <w:r>
              <w:rPr>
                <w:sz w:val="14"/>
              </w:rPr>
              <w:t>7.6 </w:t>
            </w:r>
            <w:r>
              <w:rPr>
                <w:rFonts w:ascii="Times New Roman" w:hAnsi="Times New Roman"/>
                <w:sz w:val="14"/>
              </w:rPr>
              <w:t>± </w:t>
            </w:r>
            <w:r>
              <w:rPr>
                <w:sz w:val="14"/>
              </w:rPr>
              <w:t>9.4</w:t>
            </w:r>
          </w:p>
        </w:tc>
        <w:tc>
          <w:tcPr>
            <w:tcW w:w="860" w:type="dxa"/>
            <w:tcBorders>
              <w:left w:val="dotted" w:sz="4" w:space="0" w:color="30859C"/>
              <w:right w:val="dotted" w:sz="4" w:space="0" w:color="30859C"/>
            </w:tcBorders>
            <w:shd w:val="clear" w:color="auto" w:fill="77DFDD"/>
          </w:tcPr>
          <w:p>
            <w:pPr>
              <w:pStyle w:val="TableParagraph"/>
              <w:spacing w:before="16"/>
              <w:ind w:left="54" w:right="56"/>
              <w:rPr>
                <w:sz w:val="14"/>
              </w:rPr>
            </w:pPr>
            <w:r>
              <w:rPr>
                <w:sz w:val="14"/>
              </w:rPr>
              <w:t>0.9 </w:t>
            </w:r>
            <w:r>
              <w:rPr>
                <w:rFonts w:ascii="Times New Roman" w:hAnsi="Times New Roman"/>
                <w:sz w:val="14"/>
              </w:rPr>
              <w:t>± </w:t>
            </w:r>
            <w:r>
              <w:rPr>
                <w:sz w:val="14"/>
              </w:rPr>
              <w:t>1.5</w:t>
            </w:r>
          </w:p>
        </w:tc>
        <w:tc>
          <w:tcPr>
            <w:tcW w:w="860" w:type="dxa"/>
            <w:tcBorders>
              <w:left w:val="dotted" w:sz="4" w:space="0" w:color="30859C"/>
              <w:right w:val="dotted" w:sz="4" w:space="0" w:color="30859C"/>
            </w:tcBorders>
            <w:shd w:val="clear" w:color="auto" w:fill="77DFDD"/>
          </w:tcPr>
          <w:p>
            <w:pPr>
              <w:pStyle w:val="TableParagraph"/>
              <w:spacing w:before="16"/>
              <w:ind w:left="54" w:right="60"/>
              <w:rPr>
                <w:sz w:val="14"/>
              </w:rPr>
            </w:pPr>
            <w:r>
              <w:rPr>
                <w:sz w:val="14"/>
              </w:rPr>
              <w:t>10.0 </w:t>
            </w:r>
            <w:r>
              <w:rPr>
                <w:rFonts w:ascii="Times New Roman" w:hAnsi="Times New Roman"/>
                <w:sz w:val="14"/>
              </w:rPr>
              <w:t>± </w:t>
            </w:r>
            <w:r>
              <w:rPr>
                <w:sz w:val="14"/>
              </w:rPr>
              <w:t>0.4</w:t>
            </w:r>
          </w:p>
        </w:tc>
        <w:tc>
          <w:tcPr>
            <w:tcW w:w="935" w:type="dxa"/>
            <w:tcBorders>
              <w:left w:val="dotted" w:sz="4" w:space="0" w:color="30859C"/>
            </w:tcBorders>
            <w:shd w:val="clear" w:color="auto" w:fill="77DFDD"/>
          </w:tcPr>
          <w:p>
            <w:pPr>
              <w:pStyle w:val="TableParagraph"/>
              <w:spacing w:before="16"/>
              <w:ind w:left="100" w:right="94"/>
              <w:rPr>
                <w:sz w:val="14"/>
              </w:rPr>
            </w:pPr>
            <w:r>
              <w:rPr>
                <w:sz w:val="14"/>
              </w:rPr>
              <w:t>48.5 </w:t>
            </w:r>
            <w:r>
              <w:rPr>
                <w:rFonts w:ascii="Times New Roman" w:hAnsi="Times New Roman"/>
                <w:sz w:val="14"/>
              </w:rPr>
              <w:t>± </w:t>
            </w:r>
            <w:r>
              <w:rPr>
                <w:sz w:val="14"/>
              </w:rPr>
              <w:t>25.3</w:t>
            </w:r>
          </w:p>
        </w:tc>
      </w:tr>
      <w:tr>
        <w:trPr>
          <w:trHeight w:val="193" w:hRule="exact"/>
        </w:trPr>
        <w:tc>
          <w:tcPr>
            <w:tcW w:w="1290" w:type="dxa"/>
            <w:gridSpan w:val="2"/>
            <w:vMerge/>
            <w:shd w:val="clear" w:color="auto" w:fill="77DFDD"/>
          </w:tcPr>
          <w:p>
            <w:pPr/>
          </w:p>
        </w:tc>
        <w:tc>
          <w:tcPr>
            <w:tcW w:w="870" w:type="dxa"/>
            <w:vMerge/>
            <w:shd w:val="clear" w:color="auto" w:fill="77DFDD"/>
          </w:tcPr>
          <w:p>
            <w:pPr/>
          </w:p>
        </w:tc>
        <w:tc>
          <w:tcPr>
            <w:tcW w:w="155" w:type="dxa"/>
            <w:vMerge/>
            <w:tcBorders>
              <w:right w:val="dotted" w:sz="4" w:space="0" w:color="000000"/>
            </w:tcBorders>
            <w:shd w:val="clear" w:color="auto" w:fill="77DFDD"/>
          </w:tcPr>
          <w:p>
            <w:pPr/>
          </w:p>
        </w:tc>
        <w:tc>
          <w:tcPr>
            <w:tcW w:w="780" w:type="dxa"/>
            <w:tcBorders>
              <w:left w:val="dotted" w:sz="4" w:space="0" w:color="000000"/>
              <w:right w:val="dotted" w:sz="4" w:space="0" w:color="30859C"/>
            </w:tcBorders>
            <w:shd w:val="clear" w:color="auto" w:fill="77DFDD"/>
          </w:tcPr>
          <w:p>
            <w:pPr>
              <w:pStyle w:val="TableParagraph"/>
              <w:spacing w:before="8"/>
              <w:ind w:left="90" w:right="86"/>
              <w:rPr>
                <w:sz w:val="14"/>
              </w:rPr>
            </w:pPr>
            <w:r>
              <w:rPr>
                <w:sz w:val="14"/>
              </w:rPr>
              <w:t>0.3*</w:t>
            </w:r>
          </w:p>
        </w:tc>
        <w:tc>
          <w:tcPr>
            <w:tcW w:w="940" w:type="dxa"/>
            <w:tcBorders>
              <w:left w:val="dotted" w:sz="4" w:space="0" w:color="30859C"/>
              <w:right w:val="dotted" w:sz="4" w:space="0" w:color="30859C"/>
            </w:tcBorders>
            <w:shd w:val="clear" w:color="auto" w:fill="77DFDD"/>
          </w:tcPr>
          <w:p>
            <w:pPr>
              <w:pStyle w:val="TableParagraph"/>
              <w:spacing w:before="8"/>
              <w:ind w:left="85" w:right="94"/>
              <w:rPr>
                <w:sz w:val="14"/>
              </w:rPr>
            </w:pPr>
            <w:r>
              <w:rPr>
                <w:sz w:val="14"/>
              </w:rPr>
              <w:t>0.4*</w:t>
            </w:r>
          </w:p>
        </w:tc>
        <w:tc>
          <w:tcPr>
            <w:tcW w:w="1030" w:type="dxa"/>
            <w:tcBorders>
              <w:left w:val="dotted" w:sz="4" w:space="0" w:color="30859C"/>
              <w:right w:val="dotted" w:sz="4" w:space="0" w:color="30859C"/>
            </w:tcBorders>
            <w:shd w:val="clear" w:color="auto" w:fill="77DFDD"/>
          </w:tcPr>
          <w:p>
            <w:pPr>
              <w:pStyle w:val="TableParagraph"/>
              <w:spacing w:before="8"/>
              <w:ind w:left="134" w:right="145"/>
              <w:rPr>
                <w:sz w:val="14"/>
              </w:rPr>
            </w:pPr>
            <w:r>
              <w:rPr>
                <w:sz w:val="14"/>
              </w:rPr>
              <w:t>0.9*</w:t>
            </w:r>
          </w:p>
        </w:tc>
        <w:tc>
          <w:tcPr>
            <w:tcW w:w="940" w:type="dxa"/>
            <w:tcBorders>
              <w:left w:val="dotted" w:sz="4" w:space="0" w:color="30859C"/>
              <w:right w:val="dotted" w:sz="4" w:space="0" w:color="30859C"/>
            </w:tcBorders>
            <w:shd w:val="clear" w:color="auto" w:fill="77DFDD"/>
          </w:tcPr>
          <w:p>
            <w:pPr>
              <w:pStyle w:val="TableParagraph"/>
              <w:spacing w:before="8"/>
              <w:ind w:left="93" w:right="94"/>
              <w:rPr>
                <w:sz w:val="14"/>
              </w:rPr>
            </w:pPr>
            <w:r>
              <w:rPr>
                <w:sz w:val="14"/>
              </w:rPr>
              <w:t>0.7*</w:t>
            </w:r>
          </w:p>
        </w:tc>
        <w:tc>
          <w:tcPr>
            <w:tcW w:w="940" w:type="dxa"/>
            <w:tcBorders>
              <w:left w:val="dotted" w:sz="4" w:space="0" w:color="30859C"/>
              <w:right w:val="dotted" w:sz="4" w:space="0" w:color="30859C"/>
            </w:tcBorders>
            <w:shd w:val="clear" w:color="auto" w:fill="77DFDD"/>
          </w:tcPr>
          <w:p>
            <w:pPr>
              <w:pStyle w:val="TableParagraph"/>
              <w:spacing w:before="8"/>
              <w:ind w:left="97" w:right="94"/>
              <w:rPr>
                <w:sz w:val="14"/>
              </w:rPr>
            </w:pPr>
            <w:r>
              <w:rPr>
                <w:sz w:val="14"/>
              </w:rPr>
              <w:t>0.7*</w:t>
            </w:r>
          </w:p>
        </w:tc>
        <w:tc>
          <w:tcPr>
            <w:tcW w:w="860" w:type="dxa"/>
            <w:tcBorders>
              <w:left w:val="dotted" w:sz="4" w:space="0" w:color="30859C"/>
              <w:right w:val="dotted" w:sz="4" w:space="0" w:color="30859C"/>
            </w:tcBorders>
            <w:shd w:val="clear" w:color="auto" w:fill="77DFDD"/>
          </w:tcPr>
          <w:p>
            <w:pPr>
              <w:pStyle w:val="TableParagraph"/>
              <w:spacing w:before="8"/>
              <w:ind w:left="54" w:right="43"/>
              <w:rPr>
                <w:sz w:val="14"/>
              </w:rPr>
            </w:pPr>
            <w:r>
              <w:rPr>
                <w:sz w:val="14"/>
              </w:rPr>
              <w:t>0.4*</w:t>
            </w:r>
          </w:p>
        </w:tc>
        <w:tc>
          <w:tcPr>
            <w:tcW w:w="860" w:type="dxa"/>
            <w:tcBorders>
              <w:left w:val="dotted" w:sz="4" w:space="0" w:color="30859C"/>
              <w:right w:val="dotted" w:sz="4" w:space="0" w:color="30859C"/>
            </w:tcBorders>
            <w:shd w:val="clear" w:color="auto" w:fill="77DFDD"/>
          </w:tcPr>
          <w:p>
            <w:pPr>
              <w:pStyle w:val="TableParagraph"/>
              <w:spacing w:before="8"/>
              <w:ind w:left="54" w:right="47"/>
              <w:rPr>
                <w:sz w:val="14"/>
              </w:rPr>
            </w:pPr>
            <w:r>
              <w:rPr>
                <w:sz w:val="14"/>
              </w:rPr>
              <w:t>0.1*</w:t>
            </w:r>
          </w:p>
        </w:tc>
        <w:tc>
          <w:tcPr>
            <w:tcW w:w="935" w:type="dxa"/>
            <w:tcBorders>
              <w:left w:val="dotted" w:sz="4" w:space="0" w:color="30859C"/>
            </w:tcBorders>
            <w:shd w:val="clear" w:color="auto" w:fill="77DFDD"/>
          </w:tcPr>
          <w:p>
            <w:pPr>
              <w:pStyle w:val="TableParagraph"/>
              <w:spacing w:before="8"/>
              <w:ind w:left="96" w:right="94"/>
              <w:rPr>
                <w:sz w:val="14"/>
              </w:rPr>
            </w:pPr>
            <w:r>
              <w:rPr>
                <w:sz w:val="14"/>
              </w:rPr>
              <w:t>0.3*</w:t>
            </w:r>
          </w:p>
        </w:tc>
      </w:tr>
      <w:tr>
        <w:trPr>
          <w:trHeight w:val="216" w:hRule="exact"/>
        </w:trPr>
        <w:tc>
          <w:tcPr>
            <w:tcW w:w="1290" w:type="dxa"/>
            <w:gridSpan w:val="2"/>
            <w:vMerge/>
            <w:shd w:val="clear" w:color="auto" w:fill="77DFDD"/>
          </w:tcPr>
          <w:p>
            <w:pPr/>
          </w:p>
        </w:tc>
        <w:tc>
          <w:tcPr>
            <w:tcW w:w="870" w:type="dxa"/>
            <w:vMerge/>
            <w:shd w:val="clear" w:color="auto" w:fill="77DFDD"/>
          </w:tcPr>
          <w:p>
            <w:pPr/>
          </w:p>
        </w:tc>
        <w:tc>
          <w:tcPr>
            <w:tcW w:w="155" w:type="dxa"/>
            <w:vMerge/>
            <w:tcBorders>
              <w:right w:val="dotted" w:sz="4" w:space="0" w:color="000000"/>
            </w:tcBorders>
            <w:shd w:val="clear" w:color="auto" w:fill="77DFDD"/>
          </w:tcPr>
          <w:p>
            <w:pPr/>
          </w:p>
        </w:tc>
        <w:tc>
          <w:tcPr>
            <w:tcW w:w="780" w:type="dxa"/>
            <w:tcBorders>
              <w:left w:val="dotted" w:sz="4" w:space="0" w:color="000000"/>
              <w:right w:val="dotted" w:sz="4" w:space="0" w:color="30859C"/>
            </w:tcBorders>
            <w:shd w:val="clear" w:color="auto" w:fill="77DFDD"/>
          </w:tcPr>
          <w:p>
            <w:pPr>
              <w:pStyle w:val="TableParagraph"/>
              <w:spacing w:before="9"/>
              <w:ind w:left="90" w:right="99"/>
              <w:rPr>
                <w:sz w:val="14"/>
              </w:rPr>
            </w:pPr>
            <w:r>
              <w:rPr>
                <w:sz w:val="14"/>
              </w:rPr>
              <w:t>0.4 </w:t>
            </w:r>
            <w:r>
              <w:rPr>
                <w:rFonts w:ascii="Times New Roman" w:hAnsi="Times New Roman"/>
                <w:sz w:val="14"/>
              </w:rPr>
              <w:t>± </w:t>
            </w:r>
            <w:r>
              <w:rPr>
                <w:sz w:val="14"/>
              </w:rPr>
              <w:t>0.5</w:t>
            </w:r>
          </w:p>
        </w:tc>
        <w:tc>
          <w:tcPr>
            <w:tcW w:w="940" w:type="dxa"/>
            <w:tcBorders>
              <w:left w:val="dotted" w:sz="4" w:space="0" w:color="30859C"/>
              <w:right w:val="dotted" w:sz="4" w:space="0" w:color="30859C"/>
            </w:tcBorders>
            <w:shd w:val="clear" w:color="auto" w:fill="77DFDD"/>
          </w:tcPr>
          <w:p>
            <w:pPr>
              <w:pStyle w:val="TableParagraph"/>
              <w:spacing w:before="9"/>
              <w:ind w:left="89" w:right="94"/>
              <w:rPr>
                <w:sz w:val="14"/>
              </w:rPr>
            </w:pPr>
            <w:r>
              <w:rPr>
                <w:sz w:val="14"/>
              </w:rPr>
              <w:t>3.5 </w:t>
            </w:r>
            <w:r>
              <w:rPr>
                <w:rFonts w:ascii="Times New Roman" w:hAnsi="Times New Roman"/>
                <w:sz w:val="14"/>
              </w:rPr>
              <w:t>± </w:t>
            </w:r>
            <w:r>
              <w:rPr>
                <w:sz w:val="14"/>
              </w:rPr>
              <w:t>2.5</w:t>
            </w:r>
          </w:p>
        </w:tc>
        <w:tc>
          <w:tcPr>
            <w:tcW w:w="1030" w:type="dxa"/>
            <w:tcBorders>
              <w:left w:val="dotted" w:sz="4" w:space="0" w:color="30859C"/>
              <w:right w:val="dotted" w:sz="4" w:space="0" w:color="30859C"/>
            </w:tcBorders>
            <w:shd w:val="clear" w:color="auto" w:fill="77DFDD"/>
          </w:tcPr>
          <w:p>
            <w:pPr>
              <w:pStyle w:val="TableParagraph"/>
              <w:spacing w:before="9"/>
              <w:ind w:left="138" w:right="145"/>
              <w:rPr>
                <w:sz w:val="14"/>
              </w:rPr>
            </w:pPr>
            <w:r>
              <w:rPr>
                <w:sz w:val="14"/>
              </w:rPr>
              <w:t>18.0 </w:t>
            </w:r>
            <w:r>
              <w:rPr>
                <w:rFonts w:ascii="Times New Roman" w:hAnsi="Times New Roman"/>
                <w:sz w:val="14"/>
              </w:rPr>
              <w:t>± </w:t>
            </w:r>
            <w:r>
              <w:rPr>
                <w:sz w:val="14"/>
              </w:rPr>
              <w:t>15.7</w:t>
            </w:r>
          </w:p>
        </w:tc>
        <w:tc>
          <w:tcPr>
            <w:tcW w:w="940" w:type="dxa"/>
            <w:tcBorders>
              <w:left w:val="dotted" w:sz="4" w:space="0" w:color="30859C"/>
              <w:right w:val="dotted" w:sz="4" w:space="0" w:color="30859C"/>
            </w:tcBorders>
            <w:shd w:val="clear" w:color="auto" w:fill="77DFDD"/>
          </w:tcPr>
          <w:p>
            <w:pPr>
              <w:pStyle w:val="TableParagraph"/>
              <w:spacing w:before="9"/>
              <w:ind w:left="94" w:right="94"/>
              <w:rPr>
                <w:sz w:val="14"/>
              </w:rPr>
            </w:pPr>
            <w:r>
              <w:rPr>
                <w:sz w:val="14"/>
              </w:rPr>
              <w:t>9.4 </w:t>
            </w:r>
            <w:r>
              <w:rPr>
                <w:rFonts w:ascii="Times New Roman" w:hAnsi="Times New Roman"/>
                <w:sz w:val="14"/>
              </w:rPr>
              <w:t>± </w:t>
            </w:r>
            <w:r>
              <w:rPr>
                <w:sz w:val="14"/>
              </w:rPr>
              <w:t>5.9</w:t>
            </w:r>
          </w:p>
        </w:tc>
        <w:tc>
          <w:tcPr>
            <w:tcW w:w="940" w:type="dxa"/>
            <w:tcBorders>
              <w:left w:val="dotted" w:sz="4" w:space="0" w:color="30859C"/>
              <w:right w:val="dotted" w:sz="4" w:space="0" w:color="30859C"/>
            </w:tcBorders>
            <w:shd w:val="clear" w:color="auto" w:fill="77DFDD"/>
          </w:tcPr>
          <w:p>
            <w:pPr>
              <w:pStyle w:val="TableParagraph"/>
              <w:spacing w:before="9"/>
              <w:ind w:left="100" w:right="94"/>
              <w:rPr>
                <w:sz w:val="14"/>
              </w:rPr>
            </w:pPr>
            <w:r>
              <w:rPr>
                <w:sz w:val="14"/>
              </w:rPr>
              <w:t>9.1 </w:t>
            </w:r>
            <w:r>
              <w:rPr>
                <w:rFonts w:ascii="Times New Roman" w:hAnsi="Times New Roman"/>
                <w:sz w:val="14"/>
              </w:rPr>
              <w:t>± </w:t>
            </w:r>
            <w:r>
              <w:rPr>
                <w:sz w:val="14"/>
              </w:rPr>
              <w:t>12.4</w:t>
            </w:r>
          </w:p>
        </w:tc>
        <w:tc>
          <w:tcPr>
            <w:tcW w:w="860" w:type="dxa"/>
            <w:tcBorders>
              <w:left w:val="dotted" w:sz="4" w:space="0" w:color="30859C"/>
              <w:right w:val="dotted" w:sz="4" w:space="0" w:color="30859C"/>
            </w:tcBorders>
            <w:shd w:val="clear" w:color="auto" w:fill="77DFDD"/>
          </w:tcPr>
          <w:p>
            <w:pPr>
              <w:pStyle w:val="TableParagraph"/>
              <w:spacing w:before="9"/>
              <w:ind w:left="54" w:right="56"/>
              <w:rPr>
                <w:sz w:val="14"/>
              </w:rPr>
            </w:pPr>
            <w:r>
              <w:rPr>
                <w:sz w:val="14"/>
              </w:rPr>
              <w:t>2.1 </w:t>
            </w:r>
            <w:r>
              <w:rPr>
                <w:rFonts w:ascii="Times New Roman" w:hAnsi="Times New Roman"/>
                <w:sz w:val="14"/>
              </w:rPr>
              <w:t>± </w:t>
            </w:r>
            <w:r>
              <w:rPr>
                <w:sz w:val="14"/>
              </w:rPr>
              <w:t>2.8</w:t>
            </w:r>
          </w:p>
        </w:tc>
        <w:tc>
          <w:tcPr>
            <w:tcW w:w="860" w:type="dxa"/>
            <w:tcBorders>
              <w:left w:val="dotted" w:sz="4" w:space="0" w:color="30859C"/>
              <w:right w:val="dotted" w:sz="4" w:space="0" w:color="30859C"/>
            </w:tcBorders>
            <w:shd w:val="clear" w:color="auto" w:fill="77DFDD"/>
          </w:tcPr>
          <w:p>
            <w:pPr>
              <w:pStyle w:val="TableParagraph"/>
              <w:spacing w:before="9"/>
              <w:ind w:left="54" w:right="60"/>
              <w:rPr>
                <w:sz w:val="14"/>
              </w:rPr>
            </w:pPr>
            <w:r>
              <w:rPr>
                <w:sz w:val="14"/>
              </w:rPr>
              <w:t>16.8 </w:t>
            </w:r>
            <w:r>
              <w:rPr>
                <w:rFonts w:ascii="Times New Roman" w:hAnsi="Times New Roman"/>
                <w:sz w:val="14"/>
              </w:rPr>
              <w:t>± </w:t>
            </w:r>
            <w:r>
              <w:rPr>
                <w:sz w:val="14"/>
              </w:rPr>
              <w:t>13.5</w:t>
            </w:r>
          </w:p>
        </w:tc>
        <w:tc>
          <w:tcPr>
            <w:tcW w:w="935" w:type="dxa"/>
            <w:tcBorders>
              <w:left w:val="dotted" w:sz="4" w:space="0" w:color="30859C"/>
            </w:tcBorders>
            <w:shd w:val="clear" w:color="auto" w:fill="77DFDD"/>
          </w:tcPr>
          <w:p>
            <w:pPr>
              <w:pStyle w:val="TableParagraph"/>
              <w:spacing w:before="9"/>
              <w:ind w:left="100" w:right="94"/>
              <w:rPr>
                <w:sz w:val="14"/>
              </w:rPr>
            </w:pPr>
            <w:r>
              <w:rPr>
                <w:sz w:val="14"/>
              </w:rPr>
              <w:t>59.2 </w:t>
            </w:r>
            <w:r>
              <w:rPr>
                <w:rFonts w:ascii="Times New Roman" w:hAnsi="Times New Roman"/>
                <w:sz w:val="14"/>
              </w:rPr>
              <w:t>± </w:t>
            </w:r>
            <w:r>
              <w:rPr>
                <w:sz w:val="14"/>
              </w:rPr>
              <w:t>38.6</w:t>
            </w:r>
          </w:p>
        </w:tc>
      </w:tr>
      <w:tr>
        <w:trPr>
          <w:trHeight w:val="199" w:hRule="exact"/>
        </w:trPr>
        <w:tc>
          <w:tcPr>
            <w:tcW w:w="1290" w:type="dxa"/>
            <w:gridSpan w:val="2"/>
            <w:vMerge w:val="restart"/>
            <w:shd w:val="clear" w:color="auto" w:fill="B4EDEC"/>
          </w:tcPr>
          <w:p>
            <w:pPr>
              <w:pStyle w:val="TableParagraph"/>
              <w:spacing w:before="14"/>
              <w:ind w:left="324"/>
              <w:jc w:val="left"/>
              <w:rPr>
                <w:b/>
                <w:sz w:val="15"/>
              </w:rPr>
            </w:pPr>
            <w:r>
              <w:rPr>
                <w:b/>
                <w:sz w:val="15"/>
              </w:rPr>
              <w:t>Consulta</w:t>
            </w:r>
          </w:p>
          <w:p>
            <w:pPr>
              <w:pStyle w:val="TableParagraph"/>
              <w:spacing w:before="28"/>
              <w:ind w:left="424" w:right="312"/>
              <w:jc w:val="left"/>
              <w:rPr>
                <w:b/>
                <w:sz w:val="15"/>
              </w:rPr>
            </w:pPr>
            <w:r>
              <w:rPr>
                <w:b/>
                <w:sz w:val="15"/>
              </w:rPr>
              <w:t>dental</w:t>
            </w:r>
          </w:p>
        </w:tc>
        <w:tc>
          <w:tcPr>
            <w:tcW w:w="870" w:type="dxa"/>
            <w:vMerge w:val="restart"/>
            <w:shd w:val="clear" w:color="auto" w:fill="B4EDEC"/>
          </w:tcPr>
          <w:p>
            <w:pPr>
              <w:pStyle w:val="TableParagraph"/>
              <w:spacing w:before="12"/>
              <w:ind w:left="20"/>
              <w:jc w:val="left"/>
              <w:rPr>
                <w:sz w:val="12"/>
              </w:rPr>
            </w:pPr>
            <w:r>
              <w:rPr>
                <w:sz w:val="12"/>
              </w:rPr>
              <w:t>Si</w:t>
            </w:r>
          </w:p>
          <w:p>
            <w:pPr>
              <w:pStyle w:val="TableParagraph"/>
              <w:spacing w:before="0"/>
              <w:jc w:val="left"/>
              <w:rPr>
                <w:b/>
                <w:sz w:val="12"/>
              </w:rPr>
            </w:pPr>
          </w:p>
          <w:p>
            <w:pPr>
              <w:pStyle w:val="TableParagraph"/>
              <w:spacing w:before="7"/>
              <w:jc w:val="left"/>
              <w:rPr>
                <w:b/>
                <w:sz w:val="9"/>
              </w:rPr>
            </w:pPr>
          </w:p>
          <w:p>
            <w:pPr>
              <w:pStyle w:val="TableParagraph"/>
              <w:spacing w:before="0"/>
              <w:ind w:left="20"/>
              <w:jc w:val="left"/>
              <w:rPr>
                <w:sz w:val="12"/>
              </w:rPr>
            </w:pPr>
            <w:r>
              <w:rPr>
                <w:sz w:val="12"/>
              </w:rPr>
              <w:t>No</w:t>
            </w:r>
          </w:p>
        </w:tc>
        <w:tc>
          <w:tcPr>
            <w:tcW w:w="155" w:type="dxa"/>
            <w:vMerge w:val="restart"/>
            <w:tcBorders>
              <w:right w:val="dotted" w:sz="4" w:space="0" w:color="000000"/>
            </w:tcBorders>
            <w:shd w:val="clear" w:color="auto" w:fill="B4EDEC"/>
          </w:tcPr>
          <w:p>
            <w:pPr>
              <w:pStyle w:val="TableParagraph"/>
              <w:spacing w:before="10"/>
              <w:jc w:val="left"/>
              <w:rPr>
                <w:b/>
                <w:sz w:val="17"/>
              </w:rPr>
            </w:pPr>
          </w:p>
          <w:p>
            <w:pPr>
              <w:pStyle w:val="TableParagraph"/>
              <w:spacing w:before="0"/>
              <w:ind w:left="51"/>
              <w:jc w:val="left"/>
              <w:rPr>
                <w:b/>
                <w:sz w:val="12"/>
              </w:rPr>
            </w:pPr>
            <w:r>
              <w:rPr>
                <w:b/>
                <w:w w:val="99"/>
                <w:sz w:val="12"/>
              </w:rPr>
              <w:t>P</w:t>
            </w:r>
          </w:p>
        </w:tc>
        <w:tc>
          <w:tcPr>
            <w:tcW w:w="780" w:type="dxa"/>
            <w:tcBorders>
              <w:left w:val="dotted" w:sz="4" w:space="0" w:color="000000"/>
              <w:right w:val="dotted" w:sz="4" w:space="0" w:color="30859C"/>
            </w:tcBorders>
            <w:shd w:val="clear" w:color="auto" w:fill="B4EDEC"/>
          </w:tcPr>
          <w:p>
            <w:pPr>
              <w:pStyle w:val="TableParagraph"/>
              <w:spacing w:before="13"/>
              <w:ind w:left="90" w:right="99"/>
              <w:rPr>
                <w:sz w:val="14"/>
              </w:rPr>
            </w:pPr>
            <w:r>
              <w:rPr>
                <w:sz w:val="14"/>
              </w:rPr>
              <w:t>0.6 </w:t>
            </w:r>
            <w:r>
              <w:rPr>
                <w:rFonts w:ascii="Times New Roman" w:hAnsi="Times New Roman"/>
                <w:sz w:val="14"/>
              </w:rPr>
              <w:t>± </w:t>
            </w:r>
            <w:r>
              <w:rPr>
                <w:sz w:val="14"/>
              </w:rPr>
              <w:t>0.5</w:t>
            </w:r>
          </w:p>
        </w:tc>
        <w:tc>
          <w:tcPr>
            <w:tcW w:w="940" w:type="dxa"/>
            <w:tcBorders>
              <w:left w:val="dotted" w:sz="4" w:space="0" w:color="30859C"/>
              <w:right w:val="dotted" w:sz="4" w:space="0" w:color="30859C"/>
            </w:tcBorders>
            <w:shd w:val="clear" w:color="auto" w:fill="B4EDEC"/>
          </w:tcPr>
          <w:p>
            <w:pPr>
              <w:pStyle w:val="TableParagraph"/>
              <w:spacing w:before="13"/>
              <w:ind w:left="89" w:right="94"/>
              <w:rPr>
                <w:sz w:val="14"/>
              </w:rPr>
            </w:pPr>
            <w:r>
              <w:rPr>
                <w:sz w:val="14"/>
              </w:rPr>
              <w:t>2.6 </w:t>
            </w:r>
            <w:r>
              <w:rPr>
                <w:rFonts w:ascii="Times New Roman" w:hAnsi="Times New Roman"/>
                <w:sz w:val="14"/>
              </w:rPr>
              <w:t>± </w:t>
            </w:r>
            <w:r>
              <w:rPr>
                <w:sz w:val="14"/>
              </w:rPr>
              <w:t>2.5</w:t>
            </w:r>
          </w:p>
        </w:tc>
        <w:tc>
          <w:tcPr>
            <w:tcW w:w="1030" w:type="dxa"/>
            <w:tcBorders>
              <w:left w:val="dotted" w:sz="4" w:space="0" w:color="30859C"/>
              <w:right w:val="dotted" w:sz="4" w:space="0" w:color="30859C"/>
            </w:tcBorders>
            <w:shd w:val="clear" w:color="auto" w:fill="B4EDEC"/>
          </w:tcPr>
          <w:p>
            <w:pPr>
              <w:pStyle w:val="TableParagraph"/>
              <w:spacing w:before="13"/>
              <w:ind w:left="138" w:right="145"/>
              <w:rPr>
                <w:sz w:val="14"/>
              </w:rPr>
            </w:pPr>
            <w:r>
              <w:rPr>
                <w:sz w:val="14"/>
              </w:rPr>
              <w:t>9.6 </w:t>
            </w:r>
            <w:r>
              <w:rPr>
                <w:rFonts w:ascii="Times New Roman" w:hAnsi="Times New Roman"/>
                <w:sz w:val="14"/>
              </w:rPr>
              <w:t>± </w:t>
            </w:r>
            <w:r>
              <w:rPr>
                <w:sz w:val="14"/>
              </w:rPr>
              <w:t>3.7</w:t>
            </w:r>
          </w:p>
        </w:tc>
        <w:tc>
          <w:tcPr>
            <w:tcW w:w="940" w:type="dxa"/>
            <w:tcBorders>
              <w:left w:val="dotted" w:sz="4" w:space="0" w:color="30859C"/>
              <w:right w:val="dotted" w:sz="4" w:space="0" w:color="30859C"/>
            </w:tcBorders>
            <w:shd w:val="clear" w:color="auto" w:fill="B4EDEC"/>
          </w:tcPr>
          <w:p>
            <w:pPr>
              <w:pStyle w:val="TableParagraph"/>
              <w:spacing w:before="13"/>
              <w:ind w:left="94" w:right="94"/>
              <w:rPr>
                <w:sz w:val="14"/>
              </w:rPr>
            </w:pPr>
            <w:r>
              <w:rPr>
                <w:sz w:val="14"/>
              </w:rPr>
              <w:t>3.3 </w:t>
            </w:r>
            <w:r>
              <w:rPr>
                <w:rFonts w:ascii="Times New Roman" w:hAnsi="Times New Roman"/>
                <w:sz w:val="14"/>
              </w:rPr>
              <w:t>± </w:t>
            </w:r>
            <w:r>
              <w:rPr>
                <w:sz w:val="14"/>
              </w:rPr>
              <w:t>3.2</w:t>
            </w:r>
          </w:p>
        </w:tc>
        <w:tc>
          <w:tcPr>
            <w:tcW w:w="940" w:type="dxa"/>
            <w:tcBorders>
              <w:left w:val="dotted" w:sz="4" w:space="0" w:color="30859C"/>
              <w:right w:val="dotted" w:sz="4" w:space="0" w:color="30859C"/>
            </w:tcBorders>
            <w:shd w:val="clear" w:color="auto" w:fill="B4EDEC"/>
          </w:tcPr>
          <w:p>
            <w:pPr>
              <w:pStyle w:val="TableParagraph"/>
              <w:spacing w:before="13"/>
              <w:ind w:left="100" w:right="94"/>
              <w:rPr>
                <w:sz w:val="14"/>
              </w:rPr>
            </w:pPr>
            <w:r>
              <w:rPr>
                <w:sz w:val="14"/>
              </w:rPr>
              <w:t>4.3 </w:t>
            </w:r>
            <w:r>
              <w:rPr>
                <w:rFonts w:ascii="Times New Roman" w:hAnsi="Times New Roman"/>
                <w:sz w:val="14"/>
              </w:rPr>
              <w:t>± </w:t>
            </w:r>
            <w:r>
              <w:rPr>
                <w:sz w:val="14"/>
              </w:rPr>
              <w:t>2.0</w:t>
            </w:r>
          </w:p>
        </w:tc>
        <w:tc>
          <w:tcPr>
            <w:tcW w:w="860" w:type="dxa"/>
            <w:tcBorders>
              <w:left w:val="dotted" w:sz="4" w:space="0" w:color="30859C"/>
              <w:right w:val="dotted" w:sz="4" w:space="0" w:color="30859C"/>
            </w:tcBorders>
            <w:shd w:val="clear" w:color="auto" w:fill="B4EDEC"/>
          </w:tcPr>
          <w:p>
            <w:pPr>
              <w:pStyle w:val="TableParagraph"/>
              <w:spacing w:before="13"/>
              <w:ind w:left="54" w:right="56"/>
              <w:rPr>
                <w:sz w:val="14"/>
              </w:rPr>
            </w:pPr>
            <w:r>
              <w:rPr>
                <w:sz w:val="14"/>
              </w:rPr>
              <w:t>0.3 </w:t>
            </w:r>
            <w:r>
              <w:rPr>
                <w:rFonts w:ascii="Times New Roman" w:hAnsi="Times New Roman"/>
                <w:sz w:val="14"/>
              </w:rPr>
              <w:t>± </w:t>
            </w:r>
            <w:r>
              <w:rPr>
                <w:sz w:val="14"/>
              </w:rPr>
              <w:t>0.5</w:t>
            </w:r>
          </w:p>
        </w:tc>
        <w:tc>
          <w:tcPr>
            <w:tcW w:w="860" w:type="dxa"/>
            <w:tcBorders>
              <w:left w:val="dotted" w:sz="4" w:space="0" w:color="30859C"/>
              <w:right w:val="dotted" w:sz="4" w:space="0" w:color="30859C"/>
            </w:tcBorders>
            <w:shd w:val="clear" w:color="auto" w:fill="B4EDEC"/>
          </w:tcPr>
          <w:p>
            <w:pPr>
              <w:pStyle w:val="TableParagraph"/>
              <w:spacing w:before="13"/>
              <w:ind w:left="54" w:right="60"/>
              <w:rPr>
                <w:sz w:val="14"/>
              </w:rPr>
            </w:pPr>
            <w:r>
              <w:rPr>
                <w:sz w:val="14"/>
              </w:rPr>
              <w:t>20.0 </w:t>
            </w:r>
            <w:r>
              <w:rPr>
                <w:rFonts w:ascii="Times New Roman" w:hAnsi="Times New Roman"/>
                <w:sz w:val="14"/>
              </w:rPr>
              <w:t>± </w:t>
            </w:r>
            <w:r>
              <w:rPr>
                <w:sz w:val="14"/>
              </w:rPr>
              <w:t>19.6</w:t>
            </w:r>
          </w:p>
        </w:tc>
        <w:tc>
          <w:tcPr>
            <w:tcW w:w="935" w:type="dxa"/>
            <w:tcBorders>
              <w:left w:val="dotted" w:sz="4" w:space="0" w:color="30859C"/>
            </w:tcBorders>
            <w:shd w:val="clear" w:color="auto" w:fill="B4EDEC"/>
          </w:tcPr>
          <w:p>
            <w:pPr>
              <w:pStyle w:val="TableParagraph"/>
              <w:spacing w:before="13"/>
              <w:ind w:left="100" w:right="94"/>
              <w:rPr>
                <w:sz w:val="14"/>
              </w:rPr>
            </w:pPr>
            <w:r>
              <w:rPr>
                <w:sz w:val="14"/>
              </w:rPr>
              <w:t>40.3 </w:t>
            </w:r>
            <w:r>
              <w:rPr>
                <w:rFonts w:ascii="Times New Roman" w:hAnsi="Times New Roman"/>
                <w:sz w:val="14"/>
              </w:rPr>
              <w:t>± </w:t>
            </w:r>
            <w:r>
              <w:rPr>
                <w:sz w:val="14"/>
              </w:rPr>
              <w:t>18.1</w:t>
            </w:r>
          </w:p>
        </w:tc>
      </w:tr>
      <w:tr>
        <w:trPr>
          <w:trHeight w:val="193" w:hRule="exact"/>
        </w:trPr>
        <w:tc>
          <w:tcPr>
            <w:tcW w:w="1290" w:type="dxa"/>
            <w:gridSpan w:val="2"/>
            <w:vMerge/>
            <w:shd w:val="clear" w:color="auto" w:fill="B4EDEC"/>
          </w:tcPr>
          <w:p>
            <w:pPr/>
          </w:p>
        </w:tc>
        <w:tc>
          <w:tcPr>
            <w:tcW w:w="870" w:type="dxa"/>
            <w:vMerge/>
            <w:shd w:val="clear" w:color="auto" w:fill="B4EDEC"/>
          </w:tcPr>
          <w:p>
            <w:pPr/>
          </w:p>
        </w:tc>
        <w:tc>
          <w:tcPr>
            <w:tcW w:w="155" w:type="dxa"/>
            <w:vMerge/>
            <w:tcBorders>
              <w:right w:val="dotted" w:sz="4" w:space="0" w:color="000000"/>
            </w:tcBorders>
            <w:shd w:val="clear" w:color="auto" w:fill="B4EDEC"/>
          </w:tcPr>
          <w:p>
            <w:pPr/>
          </w:p>
        </w:tc>
        <w:tc>
          <w:tcPr>
            <w:tcW w:w="780" w:type="dxa"/>
            <w:tcBorders>
              <w:left w:val="dotted" w:sz="4" w:space="0" w:color="000000"/>
              <w:right w:val="dotted" w:sz="4" w:space="0" w:color="30859C"/>
            </w:tcBorders>
            <w:shd w:val="clear" w:color="auto" w:fill="B4EDEC"/>
          </w:tcPr>
          <w:p>
            <w:pPr>
              <w:pStyle w:val="TableParagraph"/>
              <w:spacing w:before="8"/>
              <w:ind w:left="90" w:right="86"/>
              <w:rPr>
                <w:sz w:val="14"/>
              </w:rPr>
            </w:pPr>
            <w:r>
              <w:rPr>
                <w:sz w:val="14"/>
              </w:rPr>
              <w:t>0.2*</w:t>
            </w:r>
          </w:p>
        </w:tc>
        <w:tc>
          <w:tcPr>
            <w:tcW w:w="940" w:type="dxa"/>
            <w:tcBorders>
              <w:left w:val="dotted" w:sz="4" w:space="0" w:color="30859C"/>
              <w:right w:val="dotted" w:sz="4" w:space="0" w:color="30859C"/>
            </w:tcBorders>
            <w:shd w:val="clear" w:color="auto" w:fill="B4EDEC"/>
          </w:tcPr>
          <w:p>
            <w:pPr>
              <w:pStyle w:val="TableParagraph"/>
              <w:spacing w:before="8"/>
              <w:ind w:left="85" w:right="94"/>
              <w:rPr>
                <w:sz w:val="14"/>
              </w:rPr>
            </w:pPr>
            <w:r>
              <w:rPr>
                <w:sz w:val="14"/>
              </w:rPr>
              <w:t>0.8*</w:t>
            </w:r>
          </w:p>
        </w:tc>
        <w:tc>
          <w:tcPr>
            <w:tcW w:w="1030" w:type="dxa"/>
            <w:tcBorders>
              <w:left w:val="dotted" w:sz="4" w:space="0" w:color="30859C"/>
              <w:right w:val="dotted" w:sz="4" w:space="0" w:color="30859C"/>
            </w:tcBorders>
            <w:shd w:val="clear" w:color="auto" w:fill="B4EDEC"/>
          </w:tcPr>
          <w:p>
            <w:pPr>
              <w:pStyle w:val="TableParagraph"/>
              <w:spacing w:before="8"/>
              <w:ind w:left="134" w:right="145"/>
              <w:rPr>
                <w:sz w:val="14"/>
              </w:rPr>
            </w:pPr>
            <w:r>
              <w:rPr>
                <w:sz w:val="14"/>
              </w:rPr>
              <w:t>0.4*</w:t>
            </w:r>
          </w:p>
        </w:tc>
        <w:tc>
          <w:tcPr>
            <w:tcW w:w="940" w:type="dxa"/>
            <w:tcBorders>
              <w:left w:val="dotted" w:sz="4" w:space="0" w:color="30859C"/>
              <w:right w:val="dotted" w:sz="4" w:space="0" w:color="30859C"/>
            </w:tcBorders>
            <w:shd w:val="clear" w:color="auto" w:fill="B4EDEC"/>
          </w:tcPr>
          <w:p>
            <w:pPr>
              <w:pStyle w:val="TableParagraph"/>
              <w:spacing w:before="8"/>
              <w:ind w:left="93" w:right="94"/>
              <w:rPr>
                <w:sz w:val="14"/>
              </w:rPr>
            </w:pPr>
            <w:r>
              <w:rPr>
                <w:sz w:val="14"/>
              </w:rPr>
              <w:t>0.09*</w:t>
            </w:r>
          </w:p>
        </w:tc>
        <w:tc>
          <w:tcPr>
            <w:tcW w:w="940" w:type="dxa"/>
            <w:tcBorders>
              <w:left w:val="dotted" w:sz="4" w:space="0" w:color="30859C"/>
              <w:right w:val="dotted" w:sz="4" w:space="0" w:color="30859C"/>
            </w:tcBorders>
            <w:shd w:val="clear" w:color="auto" w:fill="B4EDEC"/>
          </w:tcPr>
          <w:p>
            <w:pPr>
              <w:pStyle w:val="TableParagraph"/>
              <w:spacing w:before="8"/>
              <w:ind w:left="97" w:right="94"/>
              <w:rPr>
                <w:sz w:val="14"/>
              </w:rPr>
            </w:pPr>
            <w:r>
              <w:rPr>
                <w:sz w:val="14"/>
              </w:rPr>
              <w:t>0.8*</w:t>
            </w:r>
          </w:p>
        </w:tc>
        <w:tc>
          <w:tcPr>
            <w:tcW w:w="860" w:type="dxa"/>
            <w:tcBorders>
              <w:left w:val="dotted" w:sz="4" w:space="0" w:color="30859C"/>
              <w:right w:val="dotted" w:sz="4" w:space="0" w:color="30859C"/>
            </w:tcBorders>
            <w:shd w:val="clear" w:color="auto" w:fill="B4EDEC"/>
          </w:tcPr>
          <w:p>
            <w:pPr>
              <w:pStyle w:val="TableParagraph"/>
              <w:spacing w:before="8"/>
              <w:ind w:left="54" w:right="43"/>
              <w:rPr>
                <w:sz w:val="14"/>
              </w:rPr>
            </w:pPr>
            <w:r>
              <w:rPr>
                <w:sz w:val="14"/>
              </w:rPr>
              <w:t>0.4*</w:t>
            </w:r>
          </w:p>
        </w:tc>
        <w:tc>
          <w:tcPr>
            <w:tcW w:w="860" w:type="dxa"/>
            <w:tcBorders>
              <w:left w:val="dotted" w:sz="4" w:space="0" w:color="30859C"/>
              <w:right w:val="dotted" w:sz="4" w:space="0" w:color="30859C"/>
            </w:tcBorders>
            <w:shd w:val="clear" w:color="auto" w:fill="B4EDEC"/>
          </w:tcPr>
          <w:p>
            <w:pPr>
              <w:pStyle w:val="TableParagraph"/>
              <w:spacing w:before="8"/>
              <w:ind w:left="54" w:right="47"/>
              <w:rPr>
                <w:sz w:val="14"/>
              </w:rPr>
            </w:pPr>
            <w:r>
              <w:rPr>
                <w:sz w:val="14"/>
              </w:rPr>
              <w:t>0.3*</w:t>
            </w:r>
          </w:p>
        </w:tc>
        <w:tc>
          <w:tcPr>
            <w:tcW w:w="935" w:type="dxa"/>
            <w:tcBorders>
              <w:left w:val="dotted" w:sz="4" w:space="0" w:color="30859C"/>
            </w:tcBorders>
            <w:shd w:val="clear" w:color="auto" w:fill="B4EDEC"/>
          </w:tcPr>
          <w:p>
            <w:pPr>
              <w:pStyle w:val="TableParagraph"/>
              <w:spacing w:before="8"/>
              <w:ind w:left="96" w:right="94"/>
              <w:rPr>
                <w:sz w:val="14"/>
              </w:rPr>
            </w:pPr>
            <w:r>
              <w:rPr>
                <w:sz w:val="14"/>
              </w:rPr>
              <w:t>0.6*</w:t>
            </w:r>
          </w:p>
        </w:tc>
      </w:tr>
      <w:tr>
        <w:trPr>
          <w:trHeight w:val="189" w:hRule="exact"/>
        </w:trPr>
        <w:tc>
          <w:tcPr>
            <w:tcW w:w="1290" w:type="dxa"/>
            <w:gridSpan w:val="2"/>
            <w:vMerge/>
            <w:shd w:val="clear" w:color="auto" w:fill="B4EDEC"/>
          </w:tcPr>
          <w:p>
            <w:pPr/>
          </w:p>
        </w:tc>
        <w:tc>
          <w:tcPr>
            <w:tcW w:w="870" w:type="dxa"/>
            <w:vMerge/>
            <w:shd w:val="clear" w:color="auto" w:fill="B4EDEC"/>
          </w:tcPr>
          <w:p>
            <w:pPr/>
          </w:p>
        </w:tc>
        <w:tc>
          <w:tcPr>
            <w:tcW w:w="155" w:type="dxa"/>
            <w:vMerge/>
            <w:tcBorders>
              <w:right w:val="dotted" w:sz="4" w:space="0" w:color="000000"/>
            </w:tcBorders>
            <w:shd w:val="clear" w:color="auto" w:fill="B4EDEC"/>
          </w:tcPr>
          <w:p>
            <w:pPr/>
          </w:p>
        </w:tc>
        <w:tc>
          <w:tcPr>
            <w:tcW w:w="780" w:type="dxa"/>
            <w:tcBorders>
              <w:left w:val="dotted" w:sz="4" w:space="0" w:color="000000"/>
              <w:right w:val="dotted" w:sz="4" w:space="0" w:color="30859C"/>
            </w:tcBorders>
            <w:shd w:val="clear" w:color="auto" w:fill="B4EDEC"/>
          </w:tcPr>
          <w:p>
            <w:pPr>
              <w:pStyle w:val="TableParagraph"/>
              <w:spacing w:before="9"/>
              <w:ind w:left="90" w:right="99"/>
              <w:rPr>
                <w:sz w:val="14"/>
              </w:rPr>
            </w:pPr>
            <w:r>
              <w:rPr>
                <w:sz w:val="14"/>
              </w:rPr>
              <w:t>0.3 </w:t>
            </w:r>
            <w:r>
              <w:rPr>
                <w:rFonts w:ascii="Times New Roman" w:hAnsi="Times New Roman"/>
                <w:sz w:val="14"/>
              </w:rPr>
              <w:t>± </w:t>
            </w:r>
            <w:r>
              <w:rPr>
                <w:sz w:val="14"/>
              </w:rPr>
              <w:t>0.5</w:t>
            </w:r>
          </w:p>
        </w:tc>
        <w:tc>
          <w:tcPr>
            <w:tcW w:w="940" w:type="dxa"/>
            <w:tcBorders>
              <w:left w:val="dotted" w:sz="4" w:space="0" w:color="30859C"/>
              <w:right w:val="dotted" w:sz="4" w:space="0" w:color="30859C"/>
            </w:tcBorders>
            <w:shd w:val="clear" w:color="auto" w:fill="B4EDEC"/>
          </w:tcPr>
          <w:p>
            <w:pPr>
              <w:pStyle w:val="TableParagraph"/>
              <w:spacing w:before="9"/>
              <w:ind w:left="89" w:right="94"/>
              <w:rPr>
                <w:sz w:val="14"/>
              </w:rPr>
            </w:pPr>
            <w:r>
              <w:rPr>
                <w:sz w:val="14"/>
              </w:rPr>
              <w:t>3.1 </w:t>
            </w:r>
            <w:r>
              <w:rPr>
                <w:rFonts w:ascii="Times New Roman" w:hAnsi="Times New Roman"/>
                <w:sz w:val="14"/>
              </w:rPr>
              <w:t>± </w:t>
            </w:r>
            <w:r>
              <w:rPr>
                <w:sz w:val="14"/>
              </w:rPr>
              <w:t>2.6</w:t>
            </w:r>
          </w:p>
        </w:tc>
        <w:tc>
          <w:tcPr>
            <w:tcW w:w="1030" w:type="dxa"/>
            <w:tcBorders>
              <w:left w:val="dotted" w:sz="4" w:space="0" w:color="30859C"/>
              <w:right w:val="dotted" w:sz="4" w:space="0" w:color="30859C"/>
            </w:tcBorders>
            <w:shd w:val="clear" w:color="auto" w:fill="B4EDEC"/>
          </w:tcPr>
          <w:p>
            <w:pPr>
              <w:pStyle w:val="TableParagraph"/>
              <w:spacing w:before="9"/>
              <w:ind w:left="138" w:right="145"/>
              <w:rPr>
                <w:sz w:val="14"/>
              </w:rPr>
            </w:pPr>
            <w:r>
              <w:rPr>
                <w:sz w:val="14"/>
              </w:rPr>
              <w:t>18.1 </w:t>
            </w:r>
            <w:r>
              <w:rPr>
                <w:rFonts w:ascii="Times New Roman" w:hAnsi="Times New Roman"/>
                <w:sz w:val="14"/>
              </w:rPr>
              <w:t>± </w:t>
            </w:r>
            <w:r>
              <w:rPr>
                <w:sz w:val="14"/>
              </w:rPr>
              <w:t>14.8</w:t>
            </w:r>
          </w:p>
        </w:tc>
        <w:tc>
          <w:tcPr>
            <w:tcW w:w="940" w:type="dxa"/>
            <w:tcBorders>
              <w:left w:val="dotted" w:sz="4" w:space="0" w:color="30859C"/>
              <w:right w:val="dotted" w:sz="4" w:space="0" w:color="30859C"/>
            </w:tcBorders>
            <w:shd w:val="clear" w:color="auto" w:fill="B4EDEC"/>
          </w:tcPr>
          <w:p>
            <w:pPr>
              <w:pStyle w:val="TableParagraph"/>
              <w:spacing w:before="9"/>
              <w:ind w:left="94" w:right="94"/>
              <w:rPr>
                <w:sz w:val="14"/>
              </w:rPr>
            </w:pPr>
            <w:r>
              <w:rPr>
                <w:sz w:val="14"/>
              </w:rPr>
              <w:t>9.6 </w:t>
            </w:r>
            <w:r>
              <w:rPr>
                <w:rFonts w:ascii="Times New Roman" w:hAnsi="Times New Roman"/>
                <w:sz w:val="14"/>
              </w:rPr>
              <w:t>± </w:t>
            </w:r>
            <w:r>
              <w:rPr>
                <w:sz w:val="14"/>
              </w:rPr>
              <w:t>6.7</w:t>
            </w:r>
          </w:p>
        </w:tc>
        <w:tc>
          <w:tcPr>
            <w:tcW w:w="940" w:type="dxa"/>
            <w:tcBorders>
              <w:left w:val="dotted" w:sz="4" w:space="0" w:color="30859C"/>
              <w:right w:val="dotted" w:sz="4" w:space="0" w:color="30859C"/>
            </w:tcBorders>
            <w:shd w:val="clear" w:color="auto" w:fill="B4EDEC"/>
          </w:tcPr>
          <w:p>
            <w:pPr>
              <w:pStyle w:val="TableParagraph"/>
              <w:spacing w:before="9"/>
              <w:ind w:left="100" w:right="94"/>
              <w:rPr>
                <w:sz w:val="14"/>
              </w:rPr>
            </w:pPr>
            <w:r>
              <w:rPr>
                <w:sz w:val="14"/>
              </w:rPr>
              <w:t>8.0 </w:t>
            </w:r>
            <w:r>
              <w:rPr>
                <w:rFonts w:ascii="Times New Roman" w:hAnsi="Times New Roman"/>
                <w:sz w:val="14"/>
              </w:rPr>
              <w:t>± </w:t>
            </w:r>
            <w:r>
              <w:rPr>
                <w:sz w:val="14"/>
              </w:rPr>
              <w:t>10.1</w:t>
            </w:r>
          </w:p>
        </w:tc>
        <w:tc>
          <w:tcPr>
            <w:tcW w:w="860" w:type="dxa"/>
            <w:tcBorders>
              <w:left w:val="dotted" w:sz="4" w:space="0" w:color="30859C"/>
              <w:right w:val="dotted" w:sz="4" w:space="0" w:color="30859C"/>
            </w:tcBorders>
            <w:shd w:val="clear" w:color="auto" w:fill="B4EDEC"/>
          </w:tcPr>
          <w:p>
            <w:pPr>
              <w:pStyle w:val="TableParagraph"/>
              <w:spacing w:before="9"/>
              <w:ind w:left="54" w:right="56"/>
              <w:rPr>
                <w:sz w:val="14"/>
              </w:rPr>
            </w:pPr>
            <w:r>
              <w:rPr>
                <w:sz w:val="14"/>
              </w:rPr>
              <w:t>1.2 </w:t>
            </w:r>
            <w:r>
              <w:rPr>
                <w:rFonts w:ascii="Times New Roman" w:hAnsi="Times New Roman"/>
                <w:sz w:val="14"/>
              </w:rPr>
              <w:t>± </w:t>
            </w:r>
            <w:r>
              <w:rPr>
                <w:sz w:val="14"/>
              </w:rPr>
              <w:t>1.9</w:t>
            </w:r>
          </w:p>
        </w:tc>
        <w:tc>
          <w:tcPr>
            <w:tcW w:w="860" w:type="dxa"/>
            <w:tcBorders>
              <w:left w:val="dotted" w:sz="4" w:space="0" w:color="30859C"/>
              <w:right w:val="dotted" w:sz="4" w:space="0" w:color="30859C"/>
            </w:tcBorders>
            <w:shd w:val="clear" w:color="auto" w:fill="B4EDEC"/>
          </w:tcPr>
          <w:p>
            <w:pPr>
              <w:pStyle w:val="TableParagraph"/>
              <w:spacing w:before="9"/>
              <w:ind w:left="54" w:right="60"/>
              <w:rPr>
                <w:sz w:val="14"/>
              </w:rPr>
            </w:pPr>
            <w:r>
              <w:rPr>
                <w:sz w:val="14"/>
              </w:rPr>
              <w:t>10.8 </w:t>
            </w:r>
            <w:r>
              <w:rPr>
                <w:rFonts w:ascii="Times New Roman" w:hAnsi="Times New Roman"/>
                <w:sz w:val="14"/>
              </w:rPr>
              <w:t>± </w:t>
            </w:r>
            <w:r>
              <w:rPr>
                <w:sz w:val="14"/>
              </w:rPr>
              <w:t>9.9</w:t>
            </w:r>
          </w:p>
        </w:tc>
        <w:tc>
          <w:tcPr>
            <w:tcW w:w="935" w:type="dxa"/>
            <w:tcBorders>
              <w:left w:val="dotted" w:sz="4" w:space="0" w:color="30859C"/>
            </w:tcBorders>
            <w:shd w:val="clear" w:color="auto" w:fill="B4EDEC"/>
          </w:tcPr>
          <w:p>
            <w:pPr>
              <w:pStyle w:val="TableParagraph"/>
              <w:spacing w:before="9"/>
              <w:ind w:left="100" w:right="94"/>
              <w:rPr>
                <w:sz w:val="14"/>
              </w:rPr>
            </w:pPr>
            <w:r>
              <w:rPr>
                <w:sz w:val="14"/>
              </w:rPr>
              <w:t>50.9 </w:t>
            </w:r>
            <w:r>
              <w:rPr>
                <w:rFonts w:ascii="Times New Roman" w:hAnsi="Times New Roman"/>
                <w:sz w:val="14"/>
              </w:rPr>
              <w:t>± </w:t>
            </w:r>
            <w:r>
              <w:rPr>
                <w:sz w:val="14"/>
              </w:rPr>
              <w:t>28.4</w:t>
            </w:r>
          </w:p>
        </w:tc>
      </w:tr>
      <w:tr>
        <w:trPr>
          <w:trHeight w:val="190" w:hRule="exact"/>
        </w:trPr>
        <w:tc>
          <w:tcPr>
            <w:tcW w:w="1290" w:type="dxa"/>
            <w:gridSpan w:val="2"/>
            <w:vMerge w:val="restart"/>
            <w:shd w:val="clear" w:color="auto" w:fill="77DFDD"/>
          </w:tcPr>
          <w:p>
            <w:pPr>
              <w:pStyle w:val="TableParagraph"/>
              <w:spacing w:line="278" w:lineRule="auto" w:before="14"/>
              <w:ind w:left="444" w:hanging="230"/>
              <w:jc w:val="left"/>
              <w:rPr>
                <w:b/>
                <w:sz w:val="15"/>
              </w:rPr>
            </w:pPr>
            <w:r>
              <w:rPr>
                <w:b/>
                <w:sz w:val="15"/>
              </w:rPr>
              <w:t>Tratamiento dental</w:t>
            </w:r>
          </w:p>
        </w:tc>
        <w:tc>
          <w:tcPr>
            <w:tcW w:w="870" w:type="dxa"/>
            <w:vMerge w:val="restart"/>
            <w:shd w:val="clear" w:color="auto" w:fill="77DFDD"/>
          </w:tcPr>
          <w:p>
            <w:pPr>
              <w:pStyle w:val="TableParagraph"/>
              <w:spacing w:before="12"/>
              <w:ind w:left="20"/>
              <w:jc w:val="left"/>
              <w:rPr>
                <w:sz w:val="12"/>
              </w:rPr>
            </w:pPr>
            <w:r>
              <w:rPr>
                <w:sz w:val="12"/>
              </w:rPr>
              <w:t>Si</w:t>
            </w:r>
          </w:p>
          <w:p>
            <w:pPr>
              <w:pStyle w:val="TableParagraph"/>
              <w:spacing w:before="0"/>
              <w:jc w:val="left"/>
              <w:rPr>
                <w:b/>
                <w:sz w:val="12"/>
              </w:rPr>
            </w:pPr>
          </w:p>
          <w:p>
            <w:pPr>
              <w:pStyle w:val="TableParagraph"/>
              <w:spacing w:before="7"/>
              <w:jc w:val="left"/>
              <w:rPr>
                <w:b/>
                <w:sz w:val="9"/>
              </w:rPr>
            </w:pPr>
          </w:p>
          <w:p>
            <w:pPr>
              <w:pStyle w:val="TableParagraph"/>
              <w:spacing w:before="0"/>
              <w:ind w:left="20"/>
              <w:jc w:val="left"/>
              <w:rPr>
                <w:sz w:val="12"/>
              </w:rPr>
            </w:pPr>
            <w:r>
              <w:rPr>
                <w:sz w:val="12"/>
              </w:rPr>
              <w:t>No</w:t>
            </w:r>
          </w:p>
        </w:tc>
        <w:tc>
          <w:tcPr>
            <w:tcW w:w="155" w:type="dxa"/>
            <w:vMerge w:val="restart"/>
            <w:tcBorders>
              <w:right w:val="dotted" w:sz="4" w:space="0" w:color="000000"/>
            </w:tcBorders>
            <w:shd w:val="clear" w:color="auto" w:fill="77DFDD"/>
          </w:tcPr>
          <w:p>
            <w:pPr>
              <w:pStyle w:val="TableParagraph"/>
              <w:spacing w:before="10"/>
              <w:jc w:val="left"/>
              <w:rPr>
                <w:b/>
                <w:sz w:val="17"/>
              </w:rPr>
            </w:pPr>
          </w:p>
          <w:p>
            <w:pPr>
              <w:pStyle w:val="TableParagraph"/>
              <w:spacing w:before="0"/>
              <w:ind w:left="51"/>
              <w:jc w:val="left"/>
              <w:rPr>
                <w:b/>
                <w:sz w:val="12"/>
              </w:rPr>
            </w:pPr>
            <w:r>
              <w:rPr>
                <w:b/>
                <w:w w:val="99"/>
                <w:sz w:val="12"/>
              </w:rPr>
              <w:t>P</w:t>
            </w:r>
          </w:p>
        </w:tc>
        <w:tc>
          <w:tcPr>
            <w:tcW w:w="780" w:type="dxa"/>
            <w:tcBorders>
              <w:left w:val="dotted" w:sz="4" w:space="0" w:color="000000"/>
              <w:right w:val="dotted" w:sz="4" w:space="0" w:color="30859C"/>
            </w:tcBorders>
            <w:shd w:val="clear" w:color="auto" w:fill="77DFDD"/>
          </w:tcPr>
          <w:p>
            <w:pPr>
              <w:pStyle w:val="TableParagraph"/>
              <w:spacing w:before="13"/>
              <w:ind w:left="90" w:right="99"/>
              <w:rPr>
                <w:sz w:val="14"/>
              </w:rPr>
            </w:pPr>
            <w:r>
              <w:rPr>
                <w:sz w:val="14"/>
              </w:rPr>
              <w:t>1.0 </w:t>
            </w:r>
            <w:r>
              <w:rPr>
                <w:rFonts w:ascii="Times New Roman" w:hAnsi="Times New Roman"/>
                <w:sz w:val="14"/>
              </w:rPr>
              <w:t>± </w:t>
            </w:r>
            <w:r>
              <w:rPr>
                <w:sz w:val="14"/>
              </w:rPr>
              <w:t>0.0</w:t>
            </w:r>
          </w:p>
        </w:tc>
        <w:tc>
          <w:tcPr>
            <w:tcW w:w="940" w:type="dxa"/>
            <w:tcBorders>
              <w:left w:val="dotted" w:sz="4" w:space="0" w:color="30859C"/>
              <w:right w:val="dotted" w:sz="4" w:space="0" w:color="30859C"/>
            </w:tcBorders>
            <w:shd w:val="clear" w:color="auto" w:fill="77DFDD"/>
          </w:tcPr>
          <w:p>
            <w:pPr>
              <w:pStyle w:val="TableParagraph"/>
              <w:spacing w:before="13"/>
              <w:ind w:left="89" w:right="94"/>
              <w:rPr>
                <w:sz w:val="14"/>
              </w:rPr>
            </w:pPr>
            <w:r>
              <w:rPr>
                <w:sz w:val="14"/>
              </w:rPr>
              <w:t>2.5 </w:t>
            </w:r>
            <w:r>
              <w:rPr>
                <w:rFonts w:ascii="Times New Roman" w:hAnsi="Times New Roman"/>
                <w:sz w:val="14"/>
              </w:rPr>
              <w:t>± </w:t>
            </w:r>
            <w:r>
              <w:rPr>
                <w:sz w:val="14"/>
              </w:rPr>
              <w:t>3.5</w:t>
            </w:r>
          </w:p>
        </w:tc>
        <w:tc>
          <w:tcPr>
            <w:tcW w:w="1030" w:type="dxa"/>
            <w:tcBorders>
              <w:left w:val="dotted" w:sz="4" w:space="0" w:color="30859C"/>
              <w:right w:val="dotted" w:sz="4" w:space="0" w:color="30859C"/>
            </w:tcBorders>
            <w:shd w:val="clear" w:color="auto" w:fill="77DFDD"/>
          </w:tcPr>
          <w:p>
            <w:pPr>
              <w:pStyle w:val="TableParagraph"/>
              <w:spacing w:before="13"/>
              <w:ind w:left="138" w:right="145"/>
              <w:rPr>
                <w:sz w:val="14"/>
              </w:rPr>
            </w:pPr>
            <w:r>
              <w:rPr>
                <w:sz w:val="14"/>
              </w:rPr>
              <w:t>7.5 </w:t>
            </w:r>
            <w:r>
              <w:rPr>
                <w:rFonts w:ascii="Times New Roman" w:hAnsi="Times New Roman"/>
                <w:sz w:val="14"/>
              </w:rPr>
              <w:t>± </w:t>
            </w:r>
            <w:r>
              <w:rPr>
                <w:sz w:val="14"/>
              </w:rPr>
              <w:t>0.7</w:t>
            </w:r>
          </w:p>
        </w:tc>
        <w:tc>
          <w:tcPr>
            <w:tcW w:w="940" w:type="dxa"/>
            <w:tcBorders>
              <w:left w:val="dotted" w:sz="4" w:space="0" w:color="30859C"/>
              <w:right w:val="dotted" w:sz="4" w:space="0" w:color="30859C"/>
            </w:tcBorders>
            <w:shd w:val="clear" w:color="auto" w:fill="77DFDD"/>
          </w:tcPr>
          <w:p>
            <w:pPr>
              <w:pStyle w:val="TableParagraph"/>
              <w:spacing w:before="13"/>
              <w:ind w:left="94" w:right="94"/>
              <w:rPr>
                <w:sz w:val="14"/>
              </w:rPr>
            </w:pPr>
            <w:r>
              <w:rPr>
                <w:sz w:val="14"/>
              </w:rPr>
              <w:t>1.5 </w:t>
            </w:r>
            <w:r>
              <w:rPr>
                <w:rFonts w:ascii="Times New Roman" w:hAnsi="Times New Roman"/>
                <w:sz w:val="14"/>
              </w:rPr>
              <w:t>± </w:t>
            </w:r>
            <w:r>
              <w:rPr>
                <w:sz w:val="14"/>
              </w:rPr>
              <w:t>0.7</w:t>
            </w:r>
          </w:p>
        </w:tc>
        <w:tc>
          <w:tcPr>
            <w:tcW w:w="940" w:type="dxa"/>
            <w:tcBorders>
              <w:left w:val="dotted" w:sz="4" w:space="0" w:color="30859C"/>
              <w:right w:val="dotted" w:sz="4" w:space="0" w:color="30859C"/>
            </w:tcBorders>
            <w:shd w:val="clear" w:color="auto" w:fill="77DFDD"/>
          </w:tcPr>
          <w:p>
            <w:pPr>
              <w:pStyle w:val="TableParagraph"/>
              <w:spacing w:before="13"/>
              <w:ind w:left="100" w:right="94"/>
              <w:rPr>
                <w:sz w:val="14"/>
              </w:rPr>
            </w:pPr>
            <w:r>
              <w:rPr>
                <w:sz w:val="14"/>
              </w:rPr>
              <w:t>4.0 </w:t>
            </w:r>
            <w:r>
              <w:rPr>
                <w:rFonts w:ascii="Times New Roman" w:hAnsi="Times New Roman"/>
                <w:sz w:val="14"/>
              </w:rPr>
              <w:t>± </w:t>
            </w:r>
            <w:r>
              <w:rPr>
                <w:sz w:val="14"/>
              </w:rPr>
              <w:t>2.8</w:t>
            </w:r>
          </w:p>
        </w:tc>
        <w:tc>
          <w:tcPr>
            <w:tcW w:w="860" w:type="dxa"/>
            <w:tcBorders>
              <w:left w:val="dotted" w:sz="4" w:space="0" w:color="30859C"/>
              <w:right w:val="dotted" w:sz="4" w:space="0" w:color="30859C"/>
            </w:tcBorders>
            <w:shd w:val="clear" w:color="auto" w:fill="77DFDD"/>
          </w:tcPr>
          <w:p>
            <w:pPr>
              <w:pStyle w:val="TableParagraph"/>
              <w:spacing w:before="13"/>
              <w:ind w:left="54" w:right="56"/>
              <w:rPr>
                <w:sz w:val="14"/>
              </w:rPr>
            </w:pPr>
            <w:r>
              <w:rPr>
                <w:sz w:val="14"/>
              </w:rPr>
              <w:t>0.5 </w:t>
            </w:r>
            <w:r>
              <w:rPr>
                <w:rFonts w:ascii="Times New Roman" w:hAnsi="Times New Roman"/>
                <w:sz w:val="14"/>
              </w:rPr>
              <w:t>± </w:t>
            </w:r>
            <w:r>
              <w:rPr>
                <w:sz w:val="14"/>
              </w:rPr>
              <w:t>0.7</w:t>
            </w:r>
          </w:p>
        </w:tc>
        <w:tc>
          <w:tcPr>
            <w:tcW w:w="860" w:type="dxa"/>
            <w:tcBorders>
              <w:left w:val="dotted" w:sz="4" w:space="0" w:color="30859C"/>
              <w:right w:val="dotted" w:sz="4" w:space="0" w:color="30859C"/>
            </w:tcBorders>
            <w:shd w:val="clear" w:color="auto" w:fill="77DFDD"/>
          </w:tcPr>
          <w:p>
            <w:pPr>
              <w:pStyle w:val="TableParagraph"/>
              <w:spacing w:before="13"/>
              <w:ind w:left="54" w:right="60"/>
              <w:rPr>
                <w:sz w:val="14"/>
              </w:rPr>
            </w:pPr>
            <w:r>
              <w:rPr>
                <w:sz w:val="14"/>
              </w:rPr>
              <w:t>21.5 </w:t>
            </w:r>
            <w:r>
              <w:rPr>
                <w:rFonts w:ascii="Times New Roman" w:hAnsi="Times New Roman"/>
                <w:sz w:val="14"/>
              </w:rPr>
              <w:t>± </w:t>
            </w:r>
            <w:r>
              <w:rPr>
                <w:sz w:val="14"/>
              </w:rPr>
              <w:t>27.5</w:t>
            </w:r>
          </w:p>
        </w:tc>
        <w:tc>
          <w:tcPr>
            <w:tcW w:w="935" w:type="dxa"/>
            <w:tcBorders>
              <w:left w:val="dotted" w:sz="4" w:space="0" w:color="30859C"/>
            </w:tcBorders>
            <w:shd w:val="clear" w:color="auto" w:fill="77DFDD"/>
          </w:tcPr>
          <w:p>
            <w:pPr>
              <w:pStyle w:val="TableParagraph"/>
              <w:spacing w:before="13"/>
              <w:ind w:left="100" w:right="94"/>
              <w:rPr>
                <w:sz w:val="14"/>
              </w:rPr>
            </w:pPr>
            <w:r>
              <w:rPr>
                <w:sz w:val="14"/>
              </w:rPr>
              <w:t>37.5 </w:t>
            </w:r>
            <w:r>
              <w:rPr>
                <w:rFonts w:ascii="Times New Roman" w:hAnsi="Times New Roman"/>
                <w:sz w:val="14"/>
              </w:rPr>
              <w:t>± </w:t>
            </w:r>
            <w:r>
              <w:rPr>
                <w:sz w:val="14"/>
              </w:rPr>
              <w:t>24.7</w:t>
            </w:r>
          </w:p>
        </w:tc>
      </w:tr>
      <w:tr>
        <w:trPr>
          <w:trHeight w:val="200" w:hRule="exact"/>
        </w:trPr>
        <w:tc>
          <w:tcPr>
            <w:tcW w:w="1290" w:type="dxa"/>
            <w:gridSpan w:val="2"/>
            <w:vMerge/>
            <w:shd w:val="clear" w:color="auto" w:fill="77DFDD"/>
          </w:tcPr>
          <w:p>
            <w:pPr/>
          </w:p>
        </w:tc>
        <w:tc>
          <w:tcPr>
            <w:tcW w:w="870" w:type="dxa"/>
            <w:vMerge/>
            <w:shd w:val="clear" w:color="auto" w:fill="77DFDD"/>
          </w:tcPr>
          <w:p>
            <w:pPr/>
          </w:p>
        </w:tc>
        <w:tc>
          <w:tcPr>
            <w:tcW w:w="155" w:type="dxa"/>
            <w:vMerge/>
            <w:tcBorders>
              <w:right w:val="dotted" w:sz="4" w:space="0" w:color="000000"/>
            </w:tcBorders>
            <w:shd w:val="clear" w:color="auto" w:fill="77DFDD"/>
          </w:tcPr>
          <w:p>
            <w:pPr/>
          </w:p>
        </w:tc>
        <w:tc>
          <w:tcPr>
            <w:tcW w:w="780" w:type="dxa"/>
            <w:tcBorders>
              <w:left w:val="dotted" w:sz="4" w:space="0" w:color="000000"/>
              <w:right w:val="dotted" w:sz="4" w:space="0" w:color="30859C"/>
            </w:tcBorders>
            <w:shd w:val="clear" w:color="auto" w:fill="BEBEBE"/>
          </w:tcPr>
          <w:p>
            <w:pPr>
              <w:pStyle w:val="TableParagraph"/>
              <w:spacing w:before="17"/>
              <w:ind w:left="90" w:right="85"/>
              <w:rPr>
                <w:b/>
                <w:sz w:val="14"/>
              </w:rPr>
            </w:pPr>
            <w:r>
              <w:rPr>
                <w:b/>
                <w:sz w:val="14"/>
              </w:rPr>
              <w:t>0.04*</w:t>
            </w:r>
          </w:p>
        </w:tc>
        <w:tc>
          <w:tcPr>
            <w:tcW w:w="940" w:type="dxa"/>
            <w:tcBorders>
              <w:left w:val="dotted" w:sz="4" w:space="0" w:color="30859C"/>
              <w:right w:val="dotted" w:sz="4" w:space="0" w:color="30859C"/>
            </w:tcBorders>
            <w:shd w:val="clear" w:color="auto" w:fill="77DFDD"/>
          </w:tcPr>
          <w:p>
            <w:pPr>
              <w:pStyle w:val="TableParagraph"/>
              <w:spacing w:before="17"/>
              <w:ind w:left="85" w:right="94"/>
              <w:rPr>
                <w:sz w:val="14"/>
              </w:rPr>
            </w:pPr>
            <w:r>
              <w:rPr>
                <w:sz w:val="14"/>
              </w:rPr>
              <w:t>0.6*</w:t>
            </w:r>
          </w:p>
        </w:tc>
        <w:tc>
          <w:tcPr>
            <w:tcW w:w="1030" w:type="dxa"/>
            <w:tcBorders>
              <w:left w:val="dotted" w:sz="4" w:space="0" w:color="30859C"/>
              <w:right w:val="dotted" w:sz="4" w:space="0" w:color="30859C"/>
            </w:tcBorders>
            <w:shd w:val="clear" w:color="auto" w:fill="77DFDD"/>
          </w:tcPr>
          <w:p>
            <w:pPr>
              <w:pStyle w:val="TableParagraph"/>
              <w:spacing w:before="17"/>
              <w:ind w:left="134" w:right="145"/>
              <w:rPr>
                <w:sz w:val="14"/>
              </w:rPr>
            </w:pPr>
            <w:r>
              <w:rPr>
                <w:sz w:val="14"/>
              </w:rPr>
              <w:t>0.2*</w:t>
            </w:r>
          </w:p>
        </w:tc>
        <w:tc>
          <w:tcPr>
            <w:tcW w:w="940" w:type="dxa"/>
            <w:tcBorders>
              <w:left w:val="dotted" w:sz="4" w:space="0" w:color="30859C"/>
              <w:right w:val="dotted" w:sz="4" w:space="0" w:color="30859C"/>
            </w:tcBorders>
            <w:shd w:val="clear" w:color="auto" w:fill="77DFDD"/>
          </w:tcPr>
          <w:p>
            <w:pPr>
              <w:pStyle w:val="TableParagraph"/>
              <w:spacing w:before="17"/>
              <w:ind w:left="93" w:right="94"/>
              <w:rPr>
                <w:sz w:val="14"/>
              </w:rPr>
            </w:pPr>
            <w:r>
              <w:rPr>
                <w:sz w:val="14"/>
              </w:rPr>
              <w:t>0.08*</w:t>
            </w:r>
          </w:p>
        </w:tc>
        <w:tc>
          <w:tcPr>
            <w:tcW w:w="940" w:type="dxa"/>
            <w:tcBorders>
              <w:left w:val="dotted" w:sz="4" w:space="0" w:color="30859C"/>
              <w:right w:val="dotted" w:sz="4" w:space="0" w:color="30859C"/>
            </w:tcBorders>
            <w:shd w:val="clear" w:color="auto" w:fill="77DFDD"/>
          </w:tcPr>
          <w:p>
            <w:pPr>
              <w:pStyle w:val="TableParagraph"/>
              <w:spacing w:before="17"/>
              <w:ind w:left="97" w:right="94"/>
              <w:rPr>
                <w:sz w:val="14"/>
              </w:rPr>
            </w:pPr>
            <w:r>
              <w:rPr>
                <w:sz w:val="14"/>
              </w:rPr>
              <w:t>0.7*</w:t>
            </w:r>
          </w:p>
        </w:tc>
        <w:tc>
          <w:tcPr>
            <w:tcW w:w="860" w:type="dxa"/>
            <w:tcBorders>
              <w:left w:val="dotted" w:sz="4" w:space="0" w:color="30859C"/>
              <w:right w:val="dotted" w:sz="4" w:space="0" w:color="30859C"/>
            </w:tcBorders>
            <w:shd w:val="clear" w:color="auto" w:fill="77DFDD"/>
          </w:tcPr>
          <w:p>
            <w:pPr>
              <w:pStyle w:val="TableParagraph"/>
              <w:spacing w:before="17"/>
              <w:ind w:left="54" w:right="43"/>
              <w:rPr>
                <w:sz w:val="14"/>
              </w:rPr>
            </w:pPr>
            <w:r>
              <w:rPr>
                <w:sz w:val="14"/>
              </w:rPr>
              <w:t>0.8*</w:t>
            </w:r>
          </w:p>
        </w:tc>
        <w:tc>
          <w:tcPr>
            <w:tcW w:w="860" w:type="dxa"/>
            <w:tcBorders>
              <w:left w:val="dotted" w:sz="4" w:space="0" w:color="30859C"/>
              <w:right w:val="dotted" w:sz="4" w:space="0" w:color="30859C"/>
            </w:tcBorders>
            <w:shd w:val="clear" w:color="auto" w:fill="77DFDD"/>
          </w:tcPr>
          <w:p>
            <w:pPr>
              <w:pStyle w:val="TableParagraph"/>
              <w:spacing w:before="17"/>
              <w:ind w:left="54" w:right="47"/>
              <w:rPr>
                <w:sz w:val="14"/>
              </w:rPr>
            </w:pPr>
            <w:r>
              <w:rPr>
                <w:sz w:val="14"/>
              </w:rPr>
              <w:t>0.6*</w:t>
            </w:r>
          </w:p>
        </w:tc>
        <w:tc>
          <w:tcPr>
            <w:tcW w:w="935" w:type="dxa"/>
            <w:tcBorders>
              <w:left w:val="dotted" w:sz="4" w:space="0" w:color="30859C"/>
            </w:tcBorders>
            <w:shd w:val="clear" w:color="auto" w:fill="77DFDD"/>
          </w:tcPr>
          <w:p>
            <w:pPr>
              <w:pStyle w:val="TableParagraph"/>
              <w:spacing w:before="17"/>
              <w:ind w:left="96" w:right="94"/>
              <w:rPr>
                <w:sz w:val="14"/>
              </w:rPr>
            </w:pPr>
            <w:r>
              <w:rPr>
                <w:sz w:val="14"/>
              </w:rPr>
              <w:t>0.5*</w:t>
            </w:r>
          </w:p>
        </w:tc>
      </w:tr>
      <w:tr>
        <w:trPr>
          <w:trHeight w:val="190" w:hRule="exact"/>
        </w:trPr>
        <w:tc>
          <w:tcPr>
            <w:tcW w:w="1290" w:type="dxa"/>
            <w:gridSpan w:val="2"/>
            <w:vMerge/>
            <w:shd w:val="clear" w:color="auto" w:fill="77DFDD"/>
          </w:tcPr>
          <w:p>
            <w:pPr/>
          </w:p>
        </w:tc>
        <w:tc>
          <w:tcPr>
            <w:tcW w:w="870" w:type="dxa"/>
            <w:vMerge/>
            <w:shd w:val="clear" w:color="auto" w:fill="77DFDD"/>
          </w:tcPr>
          <w:p>
            <w:pPr/>
          </w:p>
        </w:tc>
        <w:tc>
          <w:tcPr>
            <w:tcW w:w="155" w:type="dxa"/>
            <w:vMerge/>
            <w:tcBorders>
              <w:right w:val="dotted" w:sz="4" w:space="0" w:color="000000"/>
            </w:tcBorders>
            <w:shd w:val="clear" w:color="auto" w:fill="77DFDD"/>
          </w:tcPr>
          <w:p>
            <w:pPr/>
          </w:p>
        </w:tc>
        <w:tc>
          <w:tcPr>
            <w:tcW w:w="780" w:type="dxa"/>
            <w:tcBorders>
              <w:left w:val="dotted" w:sz="4" w:space="0" w:color="000000"/>
              <w:right w:val="dotted" w:sz="4" w:space="0" w:color="30859C"/>
            </w:tcBorders>
            <w:shd w:val="clear" w:color="auto" w:fill="77DFDD"/>
          </w:tcPr>
          <w:p>
            <w:pPr>
              <w:pStyle w:val="TableParagraph"/>
              <w:spacing w:before="10"/>
              <w:ind w:left="90" w:right="99"/>
              <w:rPr>
                <w:sz w:val="14"/>
              </w:rPr>
            </w:pPr>
            <w:r>
              <w:rPr>
                <w:sz w:val="14"/>
              </w:rPr>
              <w:t>0.3 </w:t>
            </w:r>
            <w:r>
              <w:rPr>
                <w:rFonts w:ascii="Times New Roman" w:hAnsi="Times New Roman"/>
                <w:sz w:val="14"/>
              </w:rPr>
              <w:t>± </w:t>
            </w:r>
            <w:r>
              <w:rPr>
                <w:sz w:val="14"/>
              </w:rPr>
              <w:t>0.5</w:t>
            </w:r>
          </w:p>
        </w:tc>
        <w:tc>
          <w:tcPr>
            <w:tcW w:w="940" w:type="dxa"/>
            <w:tcBorders>
              <w:left w:val="dotted" w:sz="4" w:space="0" w:color="30859C"/>
              <w:right w:val="dotted" w:sz="4" w:space="0" w:color="30859C"/>
            </w:tcBorders>
            <w:shd w:val="clear" w:color="auto" w:fill="77DFDD"/>
          </w:tcPr>
          <w:p>
            <w:pPr>
              <w:pStyle w:val="TableParagraph"/>
              <w:spacing w:before="10"/>
              <w:ind w:left="89" w:right="94"/>
              <w:rPr>
                <w:sz w:val="14"/>
              </w:rPr>
            </w:pPr>
            <w:r>
              <w:rPr>
                <w:sz w:val="14"/>
              </w:rPr>
              <w:t>3.1 </w:t>
            </w:r>
            <w:r>
              <w:rPr>
                <w:rFonts w:ascii="Times New Roman" w:hAnsi="Times New Roman"/>
                <w:sz w:val="14"/>
              </w:rPr>
              <w:t>± </w:t>
            </w:r>
            <w:r>
              <w:rPr>
                <w:sz w:val="14"/>
              </w:rPr>
              <w:t>2.6</w:t>
            </w:r>
          </w:p>
        </w:tc>
        <w:tc>
          <w:tcPr>
            <w:tcW w:w="1030" w:type="dxa"/>
            <w:tcBorders>
              <w:left w:val="dotted" w:sz="4" w:space="0" w:color="30859C"/>
              <w:right w:val="dotted" w:sz="4" w:space="0" w:color="30859C"/>
            </w:tcBorders>
            <w:shd w:val="clear" w:color="auto" w:fill="77DFDD"/>
          </w:tcPr>
          <w:p>
            <w:pPr>
              <w:pStyle w:val="TableParagraph"/>
              <w:spacing w:before="10"/>
              <w:ind w:left="138" w:right="145"/>
              <w:rPr>
                <w:sz w:val="14"/>
              </w:rPr>
            </w:pPr>
            <w:r>
              <w:rPr>
                <w:sz w:val="14"/>
              </w:rPr>
              <w:t>18.0 </w:t>
            </w:r>
            <w:r>
              <w:rPr>
                <w:rFonts w:ascii="Times New Roman" w:hAnsi="Times New Roman"/>
                <w:sz w:val="14"/>
              </w:rPr>
              <w:t>± </w:t>
            </w:r>
            <w:r>
              <w:rPr>
                <w:sz w:val="14"/>
              </w:rPr>
              <w:t>14.7</w:t>
            </w:r>
          </w:p>
        </w:tc>
        <w:tc>
          <w:tcPr>
            <w:tcW w:w="940" w:type="dxa"/>
            <w:tcBorders>
              <w:left w:val="dotted" w:sz="4" w:space="0" w:color="30859C"/>
              <w:right w:val="dotted" w:sz="4" w:space="0" w:color="30859C"/>
            </w:tcBorders>
            <w:shd w:val="clear" w:color="auto" w:fill="77DFDD"/>
          </w:tcPr>
          <w:p>
            <w:pPr>
              <w:pStyle w:val="TableParagraph"/>
              <w:spacing w:before="10"/>
              <w:ind w:left="94" w:right="94"/>
              <w:rPr>
                <w:sz w:val="14"/>
              </w:rPr>
            </w:pPr>
            <w:r>
              <w:rPr>
                <w:sz w:val="14"/>
              </w:rPr>
              <w:t>9.5 </w:t>
            </w:r>
            <w:r>
              <w:rPr>
                <w:rFonts w:ascii="Times New Roman" w:hAnsi="Times New Roman"/>
                <w:sz w:val="14"/>
              </w:rPr>
              <w:t>± </w:t>
            </w:r>
            <w:r>
              <w:rPr>
                <w:sz w:val="14"/>
              </w:rPr>
              <w:t>6.7</w:t>
            </w:r>
          </w:p>
        </w:tc>
        <w:tc>
          <w:tcPr>
            <w:tcW w:w="940" w:type="dxa"/>
            <w:tcBorders>
              <w:left w:val="dotted" w:sz="4" w:space="0" w:color="30859C"/>
              <w:right w:val="dotted" w:sz="4" w:space="0" w:color="30859C"/>
            </w:tcBorders>
            <w:shd w:val="clear" w:color="auto" w:fill="77DFDD"/>
          </w:tcPr>
          <w:p>
            <w:pPr>
              <w:pStyle w:val="TableParagraph"/>
              <w:spacing w:before="10"/>
              <w:ind w:left="100" w:right="94"/>
              <w:rPr>
                <w:sz w:val="14"/>
              </w:rPr>
            </w:pPr>
            <w:r>
              <w:rPr>
                <w:sz w:val="14"/>
              </w:rPr>
              <w:t>8.0 </w:t>
            </w:r>
            <w:r>
              <w:rPr>
                <w:rFonts w:ascii="Times New Roman" w:hAnsi="Times New Roman"/>
                <w:sz w:val="14"/>
              </w:rPr>
              <w:t>± </w:t>
            </w:r>
            <w:r>
              <w:rPr>
                <w:sz w:val="14"/>
              </w:rPr>
              <w:t>10.0</w:t>
            </w:r>
          </w:p>
        </w:tc>
        <w:tc>
          <w:tcPr>
            <w:tcW w:w="860" w:type="dxa"/>
            <w:tcBorders>
              <w:left w:val="dotted" w:sz="4" w:space="0" w:color="30859C"/>
              <w:right w:val="dotted" w:sz="4" w:space="0" w:color="30859C"/>
            </w:tcBorders>
            <w:shd w:val="clear" w:color="auto" w:fill="77DFDD"/>
          </w:tcPr>
          <w:p>
            <w:pPr>
              <w:pStyle w:val="TableParagraph"/>
              <w:spacing w:before="10"/>
              <w:ind w:left="54" w:right="56"/>
              <w:rPr>
                <w:sz w:val="14"/>
              </w:rPr>
            </w:pPr>
            <w:r>
              <w:rPr>
                <w:sz w:val="14"/>
              </w:rPr>
              <w:t>1.2 </w:t>
            </w:r>
            <w:r>
              <w:rPr>
                <w:rFonts w:ascii="Times New Roman" w:hAnsi="Times New Roman"/>
                <w:sz w:val="14"/>
              </w:rPr>
              <w:t>± </w:t>
            </w:r>
            <w:r>
              <w:rPr>
                <w:sz w:val="14"/>
              </w:rPr>
              <w:t>1.8</w:t>
            </w:r>
          </w:p>
        </w:tc>
        <w:tc>
          <w:tcPr>
            <w:tcW w:w="860" w:type="dxa"/>
            <w:tcBorders>
              <w:left w:val="dotted" w:sz="4" w:space="0" w:color="30859C"/>
              <w:right w:val="dotted" w:sz="4" w:space="0" w:color="30859C"/>
            </w:tcBorders>
            <w:shd w:val="clear" w:color="auto" w:fill="77DFDD"/>
          </w:tcPr>
          <w:p>
            <w:pPr>
              <w:pStyle w:val="TableParagraph"/>
              <w:spacing w:before="10"/>
              <w:ind w:left="54" w:right="60"/>
              <w:rPr>
                <w:sz w:val="14"/>
              </w:rPr>
            </w:pPr>
            <w:r>
              <w:rPr>
                <w:sz w:val="14"/>
              </w:rPr>
              <w:t>10.9 </w:t>
            </w:r>
            <w:r>
              <w:rPr>
                <w:rFonts w:ascii="Times New Roman" w:hAnsi="Times New Roman"/>
                <w:sz w:val="14"/>
              </w:rPr>
              <w:t>± </w:t>
            </w:r>
            <w:r>
              <w:rPr>
                <w:sz w:val="14"/>
              </w:rPr>
              <w:t>9.8</w:t>
            </w:r>
          </w:p>
        </w:tc>
        <w:tc>
          <w:tcPr>
            <w:tcW w:w="935" w:type="dxa"/>
            <w:tcBorders>
              <w:left w:val="dotted" w:sz="4" w:space="0" w:color="30859C"/>
            </w:tcBorders>
            <w:shd w:val="clear" w:color="auto" w:fill="77DFDD"/>
          </w:tcPr>
          <w:p>
            <w:pPr>
              <w:pStyle w:val="TableParagraph"/>
              <w:spacing w:before="10"/>
              <w:ind w:left="100" w:right="94"/>
              <w:rPr>
                <w:sz w:val="14"/>
              </w:rPr>
            </w:pPr>
            <w:r>
              <w:rPr>
                <w:sz w:val="14"/>
              </w:rPr>
              <w:t>50.8 </w:t>
            </w:r>
            <w:r>
              <w:rPr>
                <w:rFonts w:ascii="Times New Roman" w:hAnsi="Times New Roman"/>
                <w:sz w:val="14"/>
              </w:rPr>
              <w:t>± </w:t>
            </w:r>
            <w:r>
              <w:rPr>
                <w:sz w:val="14"/>
              </w:rPr>
              <w:t>28.2</w:t>
            </w:r>
          </w:p>
        </w:tc>
      </w:tr>
      <w:tr>
        <w:trPr>
          <w:trHeight w:val="190" w:hRule="exact"/>
        </w:trPr>
        <w:tc>
          <w:tcPr>
            <w:tcW w:w="260" w:type="dxa"/>
            <w:vMerge w:val="restart"/>
            <w:shd w:val="clear" w:color="auto" w:fill="B4EDEC"/>
            <w:textDirection w:val="btLr"/>
          </w:tcPr>
          <w:p>
            <w:pPr>
              <w:pStyle w:val="TableParagraph"/>
              <w:spacing w:before="32"/>
              <w:ind w:left="1606" w:right="1616"/>
              <w:rPr>
                <w:b/>
                <w:sz w:val="15"/>
              </w:rPr>
            </w:pPr>
            <w:r>
              <w:rPr>
                <w:b/>
                <w:spacing w:val="1"/>
                <w:w w:val="100"/>
                <w:sz w:val="15"/>
              </w:rPr>
              <w:t>C</w:t>
            </w:r>
            <w:r>
              <w:rPr>
                <w:b/>
                <w:spacing w:val="-2"/>
                <w:w w:val="100"/>
                <w:sz w:val="15"/>
              </w:rPr>
              <w:t>on</w:t>
            </w:r>
            <w:r>
              <w:rPr>
                <w:b/>
                <w:spacing w:val="-4"/>
                <w:w w:val="100"/>
                <w:sz w:val="15"/>
              </w:rPr>
              <w:t>s</w:t>
            </w:r>
            <w:r>
              <w:rPr>
                <w:b/>
                <w:spacing w:val="-2"/>
                <w:w w:val="100"/>
                <w:sz w:val="15"/>
              </w:rPr>
              <w:t>u</w:t>
            </w:r>
            <w:r>
              <w:rPr>
                <w:b/>
                <w:spacing w:val="-4"/>
                <w:w w:val="100"/>
                <w:sz w:val="15"/>
              </w:rPr>
              <w:t>m</w:t>
            </w:r>
            <w:r>
              <w:rPr>
                <w:b/>
                <w:w w:val="100"/>
                <w:sz w:val="15"/>
              </w:rPr>
              <w:t>o</w:t>
            </w:r>
            <w:r>
              <w:rPr>
                <w:b/>
                <w:spacing w:val="-14"/>
                <w:sz w:val="15"/>
              </w:rPr>
              <w:t> </w:t>
            </w:r>
            <w:r>
              <w:rPr>
                <w:b/>
                <w:spacing w:val="-2"/>
                <w:w w:val="100"/>
                <w:sz w:val="15"/>
              </w:rPr>
              <w:t>de</w:t>
            </w:r>
          </w:p>
        </w:tc>
        <w:tc>
          <w:tcPr>
            <w:tcW w:w="1030" w:type="dxa"/>
            <w:vMerge w:val="restart"/>
            <w:shd w:val="clear" w:color="auto" w:fill="B4EDEC"/>
          </w:tcPr>
          <w:p>
            <w:pPr>
              <w:pStyle w:val="TableParagraph"/>
              <w:spacing w:before="14"/>
              <w:ind w:left="20"/>
              <w:jc w:val="left"/>
              <w:rPr>
                <w:b/>
                <w:sz w:val="15"/>
              </w:rPr>
            </w:pPr>
            <w:r>
              <w:rPr>
                <w:b/>
                <w:sz w:val="15"/>
              </w:rPr>
              <w:t>Enlatados</w:t>
            </w:r>
          </w:p>
        </w:tc>
        <w:tc>
          <w:tcPr>
            <w:tcW w:w="1025" w:type="dxa"/>
            <w:gridSpan w:val="2"/>
            <w:tcBorders>
              <w:right w:val="dotted" w:sz="4" w:space="0" w:color="000000"/>
            </w:tcBorders>
            <w:shd w:val="clear" w:color="auto" w:fill="B4EDEC"/>
          </w:tcPr>
          <w:p>
            <w:pPr>
              <w:pStyle w:val="TableParagraph"/>
              <w:spacing w:before="12"/>
              <w:ind w:left="20"/>
              <w:jc w:val="left"/>
              <w:rPr>
                <w:sz w:val="12"/>
              </w:rPr>
            </w:pPr>
            <w:r>
              <w:rPr>
                <w:sz w:val="12"/>
              </w:rPr>
              <w:t>Si</w:t>
            </w:r>
          </w:p>
        </w:tc>
        <w:tc>
          <w:tcPr>
            <w:tcW w:w="780" w:type="dxa"/>
            <w:tcBorders>
              <w:left w:val="dotted" w:sz="4" w:space="0" w:color="000000"/>
              <w:right w:val="dotted" w:sz="4" w:space="0" w:color="30859C"/>
            </w:tcBorders>
            <w:shd w:val="clear" w:color="auto" w:fill="B4EDEC"/>
          </w:tcPr>
          <w:p>
            <w:pPr>
              <w:pStyle w:val="TableParagraph"/>
              <w:spacing w:before="14"/>
              <w:ind w:left="90" w:right="99"/>
              <w:rPr>
                <w:sz w:val="14"/>
              </w:rPr>
            </w:pPr>
            <w:r>
              <w:rPr>
                <w:sz w:val="14"/>
              </w:rPr>
              <w:t>0.2 </w:t>
            </w:r>
            <w:r>
              <w:rPr>
                <w:rFonts w:ascii="Times New Roman" w:hAnsi="Times New Roman"/>
                <w:sz w:val="14"/>
              </w:rPr>
              <w:t>± </w:t>
            </w:r>
            <w:r>
              <w:rPr>
                <w:sz w:val="14"/>
              </w:rPr>
              <w:t>0.4</w:t>
            </w:r>
          </w:p>
        </w:tc>
        <w:tc>
          <w:tcPr>
            <w:tcW w:w="940" w:type="dxa"/>
            <w:tcBorders>
              <w:left w:val="dotted" w:sz="4" w:space="0" w:color="30859C"/>
              <w:right w:val="dotted" w:sz="4" w:space="0" w:color="30859C"/>
            </w:tcBorders>
            <w:shd w:val="clear" w:color="auto" w:fill="B4EDEC"/>
          </w:tcPr>
          <w:p>
            <w:pPr>
              <w:pStyle w:val="TableParagraph"/>
              <w:spacing w:before="14"/>
              <w:ind w:left="89" w:right="94"/>
              <w:rPr>
                <w:sz w:val="14"/>
              </w:rPr>
            </w:pPr>
            <w:r>
              <w:rPr>
                <w:sz w:val="14"/>
              </w:rPr>
              <w:t>2.2 </w:t>
            </w:r>
            <w:r>
              <w:rPr>
                <w:rFonts w:ascii="Times New Roman" w:hAnsi="Times New Roman"/>
                <w:sz w:val="14"/>
              </w:rPr>
              <w:t>± </w:t>
            </w:r>
            <w:r>
              <w:rPr>
                <w:sz w:val="14"/>
              </w:rPr>
              <w:t>2.3</w:t>
            </w:r>
          </w:p>
        </w:tc>
        <w:tc>
          <w:tcPr>
            <w:tcW w:w="1030" w:type="dxa"/>
            <w:tcBorders>
              <w:left w:val="dotted" w:sz="4" w:space="0" w:color="30859C"/>
              <w:right w:val="dotted" w:sz="4" w:space="0" w:color="30859C"/>
            </w:tcBorders>
            <w:shd w:val="clear" w:color="auto" w:fill="B4EDEC"/>
          </w:tcPr>
          <w:p>
            <w:pPr>
              <w:pStyle w:val="TableParagraph"/>
              <w:spacing w:before="14"/>
              <w:ind w:left="138" w:right="145"/>
              <w:rPr>
                <w:sz w:val="14"/>
              </w:rPr>
            </w:pPr>
            <w:r>
              <w:rPr>
                <w:sz w:val="14"/>
              </w:rPr>
              <w:t>12.2 </w:t>
            </w:r>
            <w:r>
              <w:rPr>
                <w:rFonts w:ascii="Times New Roman" w:hAnsi="Times New Roman"/>
                <w:sz w:val="14"/>
              </w:rPr>
              <w:t>± </w:t>
            </w:r>
            <w:r>
              <w:rPr>
                <w:sz w:val="14"/>
              </w:rPr>
              <w:t>8.7</w:t>
            </w:r>
          </w:p>
        </w:tc>
        <w:tc>
          <w:tcPr>
            <w:tcW w:w="940" w:type="dxa"/>
            <w:tcBorders>
              <w:left w:val="dotted" w:sz="4" w:space="0" w:color="30859C"/>
              <w:right w:val="dotted" w:sz="4" w:space="0" w:color="30859C"/>
            </w:tcBorders>
            <w:shd w:val="clear" w:color="auto" w:fill="B4EDEC"/>
          </w:tcPr>
          <w:p>
            <w:pPr>
              <w:pStyle w:val="TableParagraph"/>
              <w:spacing w:before="14"/>
              <w:ind w:left="94" w:right="94"/>
              <w:rPr>
                <w:sz w:val="14"/>
              </w:rPr>
            </w:pPr>
            <w:r>
              <w:rPr>
                <w:sz w:val="14"/>
              </w:rPr>
              <w:t>9.4 </w:t>
            </w:r>
            <w:r>
              <w:rPr>
                <w:rFonts w:ascii="Times New Roman" w:hAnsi="Times New Roman"/>
                <w:sz w:val="14"/>
              </w:rPr>
              <w:t>± </w:t>
            </w:r>
            <w:r>
              <w:rPr>
                <w:sz w:val="14"/>
              </w:rPr>
              <w:t>4.9</w:t>
            </w:r>
          </w:p>
        </w:tc>
        <w:tc>
          <w:tcPr>
            <w:tcW w:w="940" w:type="dxa"/>
            <w:tcBorders>
              <w:left w:val="dotted" w:sz="4" w:space="0" w:color="30859C"/>
              <w:right w:val="dotted" w:sz="4" w:space="0" w:color="30859C"/>
            </w:tcBorders>
            <w:shd w:val="clear" w:color="auto" w:fill="B4EDEC"/>
          </w:tcPr>
          <w:p>
            <w:pPr>
              <w:pStyle w:val="TableParagraph"/>
              <w:spacing w:before="14"/>
              <w:ind w:left="100" w:right="94"/>
              <w:rPr>
                <w:sz w:val="14"/>
              </w:rPr>
            </w:pPr>
            <w:r>
              <w:rPr>
                <w:sz w:val="14"/>
              </w:rPr>
              <w:t>4.6 </w:t>
            </w:r>
            <w:r>
              <w:rPr>
                <w:rFonts w:ascii="Times New Roman" w:hAnsi="Times New Roman"/>
                <w:sz w:val="14"/>
              </w:rPr>
              <w:t>± </w:t>
            </w:r>
            <w:r>
              <w:rPr>
                <w:sz w:val="14"/>
              </w:rPr>
              <w:t>3.2</w:t>
            </w:r>
          </w:p>
        </w:tc>
        <w:tc>
          <w:tcPr>
            <w:tcW w:w="860" w:type="dxa"/>
            <w:tcBorders>
              <w:left w:val="dotted" w:sz="4" w:space="0" w:color="30859C"/>
              <w:right w:val="dotted" w:sz="4" w:space="0" w:color="30859C"/>
            </w:tcBorders>
            <w:shd w:val="clear" w:color="auto" w:fill="B4EDEC"/>
          </w:tcPr>
          <w:p>
            <w:pPr>
              <w:pStyle w:val="TableParagraph"/>
              <w:spacing w:before="14"/>
              <w:ind w:left="54" w:right="56"/>
              <w:rPr>
                <w:sz w:val="14"/>
              </w:rPr>
            </w:pPr>
            <w:r>
              <w:rPr>
                <w:sz w:val="14"/>
              </w:rPr>
              <w:t>3.2 </w:t>
            </w:r>
            <w:r>
              <w:rPr>
                <w:rFonts w:ascii="Times New Roman" w:hAnsi="Times New Roman"/>
                <w:sz w:val="14"/>
              </w:rPr>
              <w:t>± </w:t>
            </w:r>
            <w:r>
              <w:rPr>
                <w:sz w:val="14"/>
              </w:rPr>
              <w:t>2.8</w:t>
            </w:r>
          </w:p>
        </w:tc>
        <w:tc>
          <w:tcPr>
            <w:tcW w:w="860" w:type="dxa"/>
            <w:tcBorders>
              <w:left w:val="dotted" w:sz="4" w:space="0" w:color="30859C"/>
              <w:right w:val="dotted" w:sz="4" w:space="0" w:color="30859C"/>
            </w:tcBorders>
            <w:shd w:val="clear" w:color="auto" w:fill="B4EDEC"/>
          </w:tcPr>
          <w:p>
            <w:pPr>
              <w:pStyle w:val="TableParagraph"/>
              <w:spacing w:before="14"/>
              <w:ind w:left="54" w:right="60"/>
              <w:rPr>
                <w:sz w:val="14"/>
              </w:rPr>
            </w:pPr>
            <w:r>
              <w:rPr>
                <w:sz w:val="14"/>
              </w:rPr>
              <w:t>12.2 </w:t>
            </w:r>
            <w:r>
              <w:rPr>
                <w:rFonts w:ascii="Times New Roman" w:hAnsi="Times New Roman"/>
                <w:sz w:val="14"/>
              </w:rPr>
              <w:t>± </w:t>
            </w:r>
            <w:r>
              <w:rPr>
                <w:sz w:val="14"/>
              </w:rPr>
              <w:t>10.4</w:t>
            </w:r>
          </w:p>
        </w:tc>
        <w:tc>
          <w:tcPr>
            <w:tcW w:w="935" w:type="dxa"/>
            <w:tcBorders>
              <w:left w:val="dotted" w:sz="4" w:space="0" w:color="30859C"/>
            </w:tcBorders>
            <w:shd w:val="clear" w:color="auto" w:fill="B4EDEC"/>
          </w:tcPr>
          <w:p>
            <w:pPr>
              <w:pStyle w:val="TableParagraph"/>
              <w:spacing w:before="14"/>
              <w:ind w:left="100" w:right="94"/>
              <w:rPr>
                <w:sz w:val="14"/>
              </w:rPr>
            </w:pPr>
            <w:r>
              <w:rPr>
                <w:sz w:val="14"/>
              </w:rPr>
              <w:t>43.8 </w:t>
            </w:r>
            <w:r>
              <w:rPr>
                <w:rFonts w:ascii="Times New Roman" w:hAnsi="Times New Roman"/>
                <w:sz w:val="14"/>
              </w:rPr>
              <w:t>± </w:t>
            </w:r>
            <w:r>
              <w:rPr>
                <w:sz w:val="14"/>
              </w:rPr>
              <w:t>13.4</w:t>
            </w:r>
          </w:p>
        </w:tc>
      </w:tr>
      <w:tr>
        <w:trPr>
          <w:trHeight w:val="200" w:hRule="exact"/>
        </w:trPr>
        <w:tc>
          <w:tcPr>
            <w:tcW w:w="260" w:type="dxa"/>
            <w:vMerge/>
            <w:shd w:val="clear" w:color="auto" w:fill="B4EDEC"/>
            <w:textDirection w:val="btLr"/>
          </w:tcPr>
          <w:p>
            <w:pPr/>
          </w:p>
        </w:tc>
        <w:tc>
          <w:tcPr>
            <w:tcW w:w="1030" w:type="dxa"/>
            <w:vMerge/>
            <w:shd w:val="clear" w:color="auto" w:fill="B4EDEC"/>
          </w:tcPr>
          <w:p>
            <w:pPr/>
          </w:p>
        </w:tc>
        <w:tc>
          <w:tcPr>
            <w:tcW w:w="870" w:type="dxa"/>
            <w:shd w:val="clear" w:color="auto" w:fill="B4EDEC"/>
          </w:tcPr>
          <w:p>
            <w:pPr/>
          </w:p>
        </w:tc>
        <w:tc>
          <w:tcPr>
            <w:tcW w:w="155" w:type="dxa"/>
            <w:tcBorders>
              <w:right w:val="dotted" w:sz="4" w:space="0" w:color="000000"/>
            </w:tcBorders>
            <w:shd w:val="clear" w:color="auto" w:fill="B4EDEC"/>
          </w:tcPr>
          <w:p>
            <w:pPr>
              <w:pStyle w:val="TableParagraph"/>
              <w:spacing w:before="16"/>
              <w:ind w:right="16"/>
              <w:jc w:val="right"/>
              <w:rPr>
                <w:b/>
                <w:sz w:val="12"/>
              </w:rPr>
            </w:pPr>
            <w:r>
              <w:rPr>
                <w:b/>
                <w:w w:val="100"/>
                <w:sz w:val="12"/>
              </w:rPr>
              <w:t>P</w:t>
            </w:r>
          </w:p>
        </w:tc>
        <w:tc>
          <w:tcPr>
            <w:tcW w:w="780" w:type="dxa"/>
            <w:tcBorders>
              <w:left w:val="dotted" w:sz="4" w:space="0" w:color="000000"/>
              <w:right w:val="dotted" w:sz="4" w:space="0" w:color="30859C"/>
            </w:tcBorders>
            <w:shd w:val="clear" w:color="auto" w:fill="B4EDEC"/>
          </w:tcPr>
          <w:p>
            <w:pPr>
              <w:pStyle w:val="TableParagraph"/>
              <w:spacing w:before="17"/>
              <w:ind w:left="90" w:right="86"/>
              <w:rPr>
                <w:sz w:val="14"/>
              </w:rPr>
            </w:pPr>
            <w:r>
              <w:rPr>
                <w:sz w:val="14"/>
              </w:rPr>
              <w:t>0.5*</w:t>
            </w:r>
          </w:p>
        </w:tc>
        <w:tc>
          <w:tcPr>
            <w:tcW w:w="940" w:type="dxa"/>
            <w:tcBorders>
              <w:left w:val="dotted" w:sz="4" w:space="0" w:color="30859C"/>
              <w:right w:val="dotted" w:sz="4" w:space="0" w:color="30859C"/>
            </w:tcBorders>
            <w:shd w:val="clear" w:color="auto" w:fill="B4EDEC"/>
          </w:tcPr>
          <w:p>
            <w:pPr>
              <w:pStyle w:val="TableParagraph"/>
              <w:spacing w:before="17"/>
              <w:ind w:left="85" w:right="94"/>
              <w:rPr>
                <w:sz w:val="14"/>
              </w:rPr>
            </w:pPr>
            <w:r>
              <w:rPr>
                <w:sz w:val="14"/>
              </w:rPr>
              <w:t>0.3*</w:t>
            </w:r>
          </w:p>
        </w:tc>
        <w:tc>
          <w:tcPr>
            <w:tcW w:w="1030" w:type="dxa"/>
            <w:tcBorders>
              <w:left w:val="dotted" w:sz="4" w:space="0" w:color="30859C"/>
              <w:right w:val="dotted" w:sz="4" w:space="0" w:color="30859C"/>
            </w:tcBorders>
            <w:shd w:val="clear" w:color="auto" w:fill="B4EDEC"/>
          </w:tcPr>
          <w:p>
            <w:pPr>
              <w:pStyle w:val="TableParagraph"/>
              <w:spacing w:before="17"/>
              <w:ind w:left="134" w:right="145"/>
              <w:rPr>
                <w:sz w:val="14"/>
              </w:rPr>
            </w:pPr>
            <w:r>
              <w:rPr>
                <w:sz w:val="14"/>
              </w:rPr>
              <w:t>0.5*</w:t>
            </w:r>
          </w:p>
        </w:tc>
        <w:tc>
          <w:tcPr>
            <w:tcW w:w="940" w:type="dxa"/>
            <w:tcBorders>
              <w:left w:val="dotted" w:sz="4" w:space="0" w:color="30859C"/>
              <w:right w:val="dotted" w:sz="4" w:space="0" w:color="30859C"/>
            </w:tcBorders>
            <w:shd w:val="clear" w:color="auto" w:fill="B4EDEC"/>
          </w:tcPr>
          <w:p>
            <w:pPr>
              <w:pStyle w:val="TableParagraph"/>
              <w:spacing w:before="17"/>
              <w:ind w:left="93" w:right="94"/>
              <w:rPr>
                <w:sz w:val="14"/>
              </w:rPr>
            </w:pPr>
            <w:r>
              <w:rPr>
                <w:sz w:val="14"/>
              </w:rPr>
              <w:t>0.8*</w:t>
            </w:r>
          </w:p>
        </w:tc>
        <w:tc>
          <w:tcPr>
            <w:tcW w:w="940" w:type="dxa"/>
            <w:tcBorders>
              <w:left w:val="dotted" w:sz="4" w:space="0" w:color="30859C"/>
              <w:right w:val="dotted" w:sz="4" w:space="0" w:color="30859C"/>
            </w:tcBorders>
            <w:shd w:val="clear" w:color="auto" w:fill="B4EDEC"/>
          </w:tcPr>
          <w:p>
            <w:pPr>
              <w:pStyle w:val="TableParagraph"/>
              <w:spacing w:before="17"/>
              <w:ind w:left="97" w:right="94"/>
              <w:rPr>
                <w:sz w:val="14"/>
              </w:rPr>
            </w:pPr>
            <w:r>
              <w:rPr>
                <w:sz w:val="14"/>
              </w:rPr>
              <w:t>0.8*</w:t>
            </w:r>
          </w:p>
        </w:tc>
        <w:tc>
          <w:tcPr>
            <w:tcW w:w="860" w:type="dxa"/>
            <w:tcBorders>
              <w:left w:val="dotted" w:sz="4" w:space="0" w:color="30859C"/>
              <w:right w:val="dotted" w:sz="4" w:space="0" w:color="30859C"/>
            </w:tcBorders>
            <w:shd w:val="clear" w:color="auto" w:fill="BEBEBE"/>
          </w:tcPr>
          <w:p>
            <w:pPr>
              <w:pStyle w:val="TableParagraph"/>
              <w:spacing w:before="17"/>
              <w:ind w:left="54" w:right="43"/>
              <w:rPr>
                <w:b/>
                <w:sz w:val="14"/>
              </w:rPr>
            </w:pPr>
            <w:r>
              <w:rPr>
                <w:b/>
                <w:sz w:val="14"/>
              </w:rPr>
              <w:t>0.03*</w:t>
            </w:r>
          </w:p>
        </w:tc>
        <w:tc>
          <w:tcPr>
            <w:tcW w:w="860" w:type="dxa"/>
            <w:tcBorders>
              <w:left w:val="dotted" w:sz="4" w:space="0" w:color="30859C"/>
              <w:right w:val="dotted" w:sz="4" w:space="0" w:color="30859C"/>
            </w:tcBorders>
            <w:shd w:val="clear" w:color="auto" w:fill="B4EDEC"/>
          </w:tcPr>
          <w:p>
            <w:pPr>
              <w:pStyle w:val="TableParagraph"/>
              <w:spacing w:before="17"/>
              <w:ind w:left="54" w:right="47"/>
              <w:rPr>
                <w:sz w:val="14"/>
              </w:rPr>
            </w:pPr>
            <w:r>
              <w:rPr>
                <w:sz w:val="14"/>
              </w:rPr>
              <w:t>0.8*</w:t>
            </w:r>
          </w:p>
        </w:tc>
        <w:tc>
          <w:tcPr>
            <w:tcW w:w="935" w:type="dxa"/>
            <w:tcBorders>
              <w:left w:val="dotted" w:sz="4" w:space="0" w:color="30859C"/>
            </w:tcBorders>
            <w:shd w:val="clear" w:color="auto" w:fill="B4EDEC"/>
          </w:tcPr>
          <w:p>
            <w:pPr>
              <w:pStyle w:val="TableParagraph"/>
              <w:spacing w:before="17"/>
              <w:ind w:left="96" w:right="94"/>
              <w:rPr>
                <w:sz w:val="14"/>
              </w:rPr>
            </w:pPr>
            <w:r>
              <w:rPr>
                <w:sz w:val="14"/>
              </w:rPr>
              <w:t>0.7*</w:t>
            </w:r>
          </w:p>
        </w:tc>
      </w:tr>
      <w:tr>
        <w:trPr>
          <w:trHeight w:val="190" w:hRule="exact"/>
        </w:trPr>
        <w:tc>
          <w:tcPr>
            <w:tcW w:w="260" w:type="dxa"/>
            <w:vMerge/>
            <w:shd w:val="clear" w:color="auto" w:fill="B4EDEC"/>
            <w:textDirection w:val="btLr"/>
          </w:tcPr>
          <w:p>
            <w:pPr/>
          </w:p>
        </w:tc>
        <w:tc>
          <w:tcPr>
            <w:tcW w:w="1030" w:type="dxa"/>
            <w:vMerge/>
            <w:shd w:val="clear" w:color="auto" w:fill="B4EDEC"/>
          </w:tcPr>
          <w:p>
            <w:pPr/>
          </w:p>
        </w:tc>
        <w:tc>
          <w:tcPr>
            <w:tcW w:w="870" w:type="dxa"/>
            <w:shd w:val="clear" w:color="auto" w:fill="B4EDEC"/>
          </w:tcPr>
          <w:p>
            <w:pPr>
              <w:pStyle w:val="TableParagraph"/>
              <w:spacing w:before="9"/>
              <w:ind w:left="20"/>
              <w:jc w:val="left"/>
              <w:rPr>
                <w:sz w:val="12"/>
              </w:rPr>
            </w:pPr>
            <w:r>
              <w:rPr>
                <w:sz w:val="12"/>
              </w:rPr>
              <w:t>No</w:t>
            </w:r>
          </w:p>
        </w:tc>
        <w:tc>
          <w:tcPr>
            <w:tcW w:w="155" w:type="dxa"/>
            <w:tcBorders>
              <w:right w:val="dotted" w:sz="4" w:space="0" w:color="000000"/>
            </w:tcBorders>
            <w:shd w:val="clear" w:color="auto" w:fill="B4EDEC"/>
          </w:tcPr>
          <w:p>
            <w:pPr/>
          </w:p>
        </w:tc>
        <w:tc>
          <w:tcPr>
            <w:tcW w:w="780" w:type="dxa"/>
            <w:tcBorders>
              <w:left w:val="dotted" w:sz="4" w:space="0" w:color="000000"/>
              <w:right w:val="dotted" w:sz="4" w:space="0" w:color="30859C"/>
            </w:tcBorders>
            <w:shd w:val="clear" w:color="auto" w:fill="B4EDEC"/>
          </w:tcPr>
          <w:p>
            <w:pPr>
              <w:pStyle w:val="TableParagraph"/>
              <w:spacing w:before="10"/>
              <w:ind w:left="90" w:right="99"/>
              <w:rPr>
                <w:sz w:val="14"/>
              </w:rPr>
            </w:pPr>
            <w:r>
              <w:rPr>
                <w:sz w:val="14"/>
              </w:rPr>
              <w:t>0.3 </w:t>
            </w:r>
            <w:r>
              <w:rPr>
                <w:rFonts w:ascii="Times New Roman" w:hAnsi="Times New Roman"/>
                <w:sz w:val="14"/>
              </w:rPr>
              <w:t>± </w:t>
            </w:r>
            <w:r>
              <w:rPr>
                <w:sz w:val="14"/>
              </w:rPr>
              <w:t>0.5</w:t>
            </w:r>
          </w:p>
        </w:tc>
        <w:tc>
          <w:tcPr>
            <w:tcW w:w="940" w:type="dxa"/>
            <w:tcBorders>
              <w:left w:val="dotted" w:sz="4" w:space="0" w:color="30859C"/>
              <w:right w:val="dotted" w:sz="4" w:space="0" w:color="30859C"/>
            </w:tcBorders>
            <w:shd w:val="clear" w:color="auto" w:fill="B4EDEC"/>
          </w:tcPr>
          <w:p>
            <w:pPr>
              <w:pStyle w:val="TableParagraph"/>
              <w:spacing w:before="10"/>
              <w:ind w:left="89" w:right="94"/>
              <w:rPr>
                <w:sz w:val="14"/>
              </w:rPr>
            </w:pPr>
            <w:r>
              <w:rPr>
                <w:sz w:val="14"/>
              </w:rPr>
              <w:t>3.1 </w:t>
            </w:r>
            <w:r>
              <w:rPr>
                <w:rFonts w:ascii="Times New Roman" w:hAnsi="Times New Roman"/>
                <w:sz w:val="14"/>
              </w:rPr>
              <w:t>± </w:t>
            </w:r>
            <w:r>
              <w:rPr>
                <w:sz w:val="14"/>
              </w:rPr>
              <w:t>2.6</w:t>
            </w:r>
          </w:p>
        </w:tc>
        <w:tc>
          <w:tcPr>
            <w:tcW w:w="1030" w:type="dxa"/>
            <w:tcBorders>
              <w:left w:val="dotted" w:sz="4" w:space="0" w:color="30859C"/>
              <w:right w:val="dotted" w:sz="4" w:space="0" w:color="30859C"/>
            </w:tcBorders>
            <w:shd w:val="clear" w:color="auto" w:fill="B4EDEC"/>
          </w:tcPr>
          <w:p>
            <w:pPr>
              <w:pStyle w:val="TableParagraph"/>
              <w:spacing w:before="10"/>
              <w:ind w:left="138" w:right="145"/>
              <w:rPr>
                <w:sz w:val="14"/>
              </w:rPr>
            </w:pPr>
            <w:r>
              <w:rPr>
                <w:sz w:val="14"/>
              </w:rPr>
              <w:t>18.1 </w:t>
            </w:r>
            <w:r>
              <w:rPr>
                <w:rFonts w:ascii="Times New Roman" w:hAnsi="Times New Roman"/>
                <w:sz w:val="14"/>
              </w:rPr>
              <w:t>± </w:t>
            </w:r>
            <w:r>
              <w:rPr>
                <w:sz w:val="14"/>
              </w:rPr>
              <w:t>14.9</w:t>
            </w:r>
          </w:p>
        </w:tc>
        <w:tc>
          <w:tcPr>
            <w:tcW w:w="940" w:type="dxa"/>
            <w:tcBorders>
              <w:left w:val="dotted" w:sz="4" w:space="0" w:color="30859C"/>
              <w:right w:val="dotted" w:sz="4" w:space="0" w:color="30859C"/>
            </w:tcBorders>
            <w:shd w:val="clear" w:color="auto" w:fill="B4EDEC"/>
          </w:tcPr>
          <w:p>
            <w:pPr>
              <w:pStyle w:val="TableParagraph"/>
              <w:spacing w:before="10"/>
              <w:ind w:left="94" w:right="94"/>
              <w:rPr>
                <w:sz w:val="14"/>
              </w:rPr>
            </w:pPr>
            <w:r>
              <w:rPr>
                <w:sz w:val="14"/>
              </w:rPr>
              <w:t>9.2 </w:t>
            </w:r>
            <w:r>
              <w:rPr>
                <w:rFonts w:ascii="Times New Roman" w:hAnsi="Times New Roman"/>
                <w:sz w:val="14"/>
              </w:rPr>
              <w:t>± </w:t>
            </w:r>
            <w:r>
              <w:rPr>
                <w:sz w:val="14"/>
              </w:rPr>
              <w:t>6.9</w:t>
            </w:r>
          </w:p>
        </w:tc>
        <w:tc>
          <w:tcPr>
            <w:tcW w:w="940" w:type="dxa"/>
            <w:tcBorders>
              <w:left w:val="dotted" w:sz="4" w:space="0" w:color="30859C"/>
              <w:right w:val="dotted" w:sz="4" w:space="0" w:color="30859C"/>
            </w:tcBorders>
            <w:shd w:val="clear" w:color="auto" w:fill="B4EDEC"/>
          </w:tcPr>
          <w:p>
            <w:pPr>
              <w:pStyle w:val="TableParagraph"/>
              <w:spacing w:before="10"/>
              <w:ind w:left="100" w:right="94"/>
              <w:rPr>
                <w:sz w:val="14"/>
              </w:rPr>
            </w:pPr>
            <w:r>
              <w:rPr>
                <w:sz w:val="14"/>
              </w:rPr>
              <w:t>8.1 </w:t>
            </w:r>
            <w:r>
              <w:rPr>
                <w:rFonts w:ascii="Times New Roman" w:hAnsi="Times New Roman"/>
                <w:sz w:val="14"/>
              </w:rPr>
              <w:t>± </w:t>
            </w:r>
            <w:r>
              <w:rPr>
                <w:sz w:val="14"/>
              </w:rPr>
              <w:t>10.3</w:t>
            </w:r>
          </w:p>
        </w:tc>
        <w:tc>
          <w:tcPr>
            <w:tcW w:w="860" w:type="dxa"/>
            <w:tcBorders>
              <w:left w:val="dotted" w:sz="4" w:space="0" w:color="30859C"/>
              <w:right w:val="dotted" w:sz="4" w:space="0" w:color="30859C"/>
            </w:tcBorders>
            <w:shd w:val="clear" w:color="auto" w:fill="B4EDEC"/>
          </w:tcPr>
          <w:p>
            <w:pPr>
              <w:pStyle w:val="TableParagraph"/>
              <w:spacing w:before="10"/>
              <w:ind w:left="54" w:right="56"/>
              <w:rPr>
                <w:sz w:val="14"/>
              </w:rPr>
            </w:pPr>
            <w:r>
              <w:rPr>
                <w:sz w:val="14"/>
              </w:rPr>
              <w:t>1.0 </w:t>
            </w:r>
            <w:r>
              <w:rPr>
                <w:rFonts w:ascii="Times New Roman" w:hAnsi="Times New Roman"/>
                <w:sz w:val="14"/>
              </w:rPr>
              <w:t>± </w:t>
            </w:r>
            <w:r>
              <w:rPr>
                <w:sz w:val="14"/>
              </w:rPr>
              <w:t>1.6</w:t>
            </w:r>
          </w:p>
        </w:tc>
        <w:tc>
          <w:tcPr>
            <w:tcW w:w="860" w:type="dxa"/>
            <w:tcBorders>
              <w:left w:val="dotted" w:sz="4" w:space="0" w:color="30859C"/>
              <w:right w:val="dotted" w:sz="4" w:space="0" w:color="30859C"/>
            </w:tcBorders>
            <w:shd w:val="clear" w:color="auto" w:fill="B4EDEC"/>
          </w:tcPr>
          <w:p>
            <w:pPr>
              <w:pStyle w:val="TableParagraph"/>
              <w:spacing w:before="10"/>
              <w:ind w:left="54" w:right="60"/>
              <w:rPr>
                <w:sz w:val="14"/>
              </w:rPr>
            </w:pPr>
            <w:r>
              <w:rPr>
                <w:sz w:val="14"/>
              </w:rPr>
              <w:t>11.1 </w:t>
            </w:r>
            <w:r>
              <w:rPr>
                <w:rFonts w:ascii="Times New Roman" w:hAnsi="Times New Roman"/>
                <w:sz w:val="14"/>
              </w:rPr>
              <w:t>± </w:t>
            </w:r>
            <w:r>
              <w:rPr>
                <w:sz w:val="14"/>
              </w:rPr>
              <w:t>10.5</w:t>
            </w:r>
          </w:p>
        </w:tc>
        <w:tc>
          <w:tcPr>
            <w:tcW w:w="935" w:type="dxa"/>
            <w:tcBorders>
              <w:left w:val="dotted" w:sz="4" w:space="0" w:color="30859C"/>
            </w:tcBorders>
            <w:shd w:val="clear" w:color="auto" w:fill="B4EDEC"/>
          </w:tcPr>
          <w:p>
            <w:pPr>
              <w:pStyle w:val="TableParagraph"/>
              <w:spacing w:before="10"/>
              <w:ind w:left="100" w:right="94"/>
              <w:rPr>
                <w:sz w:val="14"/>
              </w:rPr>
            </w:pPr>
            <w:r>
              <w:rPr>
                <w:sz w:val="14"/>
              </w:rPr>
              <w:t>51.0 </w:t>
            </w:r>
            <w:r>
              <w:rPr>
                <w:rFonts w:ascii="Times New Roman" w:hAnsi="Times New Roman"/>
                <w:sz w:val="14"/>
              </w:rPr>
              <w:t>± </w:t>
            </w:r>
            <w:r>
              <w:rPr>
                <w:sz w:val="14"/>
              </w:rPr>
              <w:t>28.9</w:t>
            </w:r>
          </w:p>
        </w:tc>
      </w:tr>
      <w:tr>
        <w:trPr>
          <w:trHeight w:val="199" w:hRule="exact"/>
        </w:trPr>
        <w:tc>
          <w:tcPr>
            <w:tcW w:w="260" w:type="dxa"/>
            <w:vMerge/>
            <w:shd w:val="clear" w:color="auto" w:fill="B4EDEC"/>
            <w:textDirection w:val="btLr"/>
          </w:tcPr>
          <w:p>
            <w:pPr/>
          </w:p>
        </w:tc>
        <w:tc>
          <w:tcPr>
            <w:tcW w:w="1030" w:type="dxa"/>
            <w:vMerge w:val="restart"/>
            <w:shd w:val="clear" w:color="auto" w:fill="77DFDD"/>
          </w:tcPr>
          <w:p>
            <w:pPr>
              <w:pStyle w:val="TableParagraph"/>
              <w:spacing w:before="7"/>
              <w:jc w:val="left"/>
              <w:rPr>
                <w:b/>
                <w:sz w:val="18"/>
              </w:rPr>
            </w:pPr>
          </w:p>
          <w:p>
            <w:pPr>
              <w:pStyle w:val="TableParagraph"/>
              <w:spacing w:before="0"/>
              <w:ind w:left="20"/>
              <w:jc w:val="left"/>
              <w:rPr>
                <w:b/>
                <w:sz w:val="15"/>
              </w:rPr>
            </w:pPr>
            <w:r>
              <w:rPr>
                <w:b/>
                <w:sz w:val="15"/>
              </w:rPr>
              <w:t>Embutidos</w:t>
            </w:r>
          </w:p>
        </w:tc>
        <w:tc>
          <w:tcPr>
            <w:tcW w:w="870" w:type="dxa"/>
            <w:vMerge w:val="restart"/>
            <w:shd w:val="clear" w:color="auto" w:fill="77DFDD"/>
          </w:tcPr>
          <w:p>
            <w:pPr>
              <w:pStyle w:val="TableParagraph"/>
              <w:spacing w:before="12"/>
              <w:ind w:left="20"/>
              <w:jc w:val="left"/>
              <w:rPr>
                <w:sz w:val="12"/>
              </w:rPr>
            </w:pPr>
            <w:r>
              <w:rPr>
                <w:sz w:val="12"/>
              </w:rPr>
              <w:t>Si</w:t>
            </w:r>
          </w:p>
          <w:p>
            <w:pPr>
              <w:pStyle w:val="TableParagraph"/>
              <w:spacing w:before="0"/>
              <w:jc w:val="left"/>
              <w:rPr>
                <w:b/>
                <w:sz w:val="12"/>
              </w:rPr>
            </w:pPr>
          </w:p>
          <w:p>
            <w:pPr>
              <w:pStyle w:val="TableParagraph"/>
              <w:spacing w:before="7"/>
              <w:jc w:val="left"/>
              <w:rPr>
                <w:b/>
                <w:sz w:val="9"/>
              </w:rPr>
            </w:pPr>
          </w:p>
          <w:p>
            <w:pPr>
              <w:pStyle w:val="TableParagraph"/>
              <w:spacing w:before="0"/>
              <w:ind w:left="20"/>
              <w:jc w:val="left"/>
              <w:rPr>
                <w:sz w:val="12"/>
              </w:rPr>
            </w:pPr>
            <w:r>
              <w:rPr>
                <w:sz w:val="12"/>
              </w:rPr>
              <w:t>No</w:t>
            </w:r>
          </w:p>
        </w:tc>
        <w:tc>
          <w:tcPr>
            <w:tcW w:w="155" w:type="dxa"/>
            <w:vMerge w:val="restart"/>
            <w:tcBorders>
              <w:right w:val="dotted" w:sz="4" w:space="0" w:color="000000"/>
            </w:tcBorders>
            <w:shd w:val="clear" w:color="auto" w:fill="77DFDD"/>
          </w:tcPr>
          <w:p>
            <w:pPr>
              <w:pStyle w:val="TableParagraph"/>
              <w:spacing w:before="10"/>
              <w:jc w:val="left"/>
              <w:rPr>
                <w:b/>
                <w:sz w:val="17"/>
              </w:rPr>
            </w:pPr>
          </w:p>
          <w:p>
            <w:pPr>
              <w:pStyle w:val="TableParagraph"/>
              <w:spacing w:before="0"/>
              <w:ind w:left="51"/>
              <w:jc w:val="left"/>
              <w:rPr>
                <w:b/>
                <w:sz w:val="12"/>
              </w:rPr>
            </w:pPr>
            <w:r>
              <w:rPr>
                <w:b/>
                <w:w w:val="99"/>
                <w:sz w:val="12"/>
              </w:rPr>
              <w:t>P</w:t>
            </w:r>
          </w:p>
        </w:tc>
        <w:tc>
          <w:tcPr>
            <w:tcW w:w="780" w:type="dxa"/>
            <w:tcBorders>
              <w:left w:val="dotted" w:sz="4" w:space="0" w:color="000000"/>
              <w:right w:val="dotted" w:sz="4" w:space="0" w:color="30859C"/>
            </w:tcBorders>
            <w:shd w:val="clear" w:color="auto" w:fill="77DFDD"/>
          </w:tcPr>
          <w:p>
            <w:pPr>
              <w:pStyle w:val="TableParagraph"/>
              <w:spacing w:before="14"/>
              <w:ind w:left="90" w:right="99"/>
              <w:rPr>
                <w:sz w:val="14"/>
              </w:rPr>
            </w:pPr>
            <w:r>
              <w:rPr>
                <w:sz w:val="14"/>
              </w:rPr>
              <w:t>0.4 </w:t>
            </w:r>
            <w:r>
              <w:rPr>
                <w:rFonts w:ascii="Times New Roman" w:hAnsi="Times New Roman"/>
                <w:sz w:val="14"/>
              </w:rPr>
              <w:t>± </w:t>
            </w:r>
            <w:r>
              <w:rPr>
                <w:sz w:val="14"/>
              </w:rPr>
              <w:t>0.8</w:t>
            </w:r>
          </w:p>
        </w:tc>
        <w:tc>
          <w:tcPr>
            <w:tcW w:w="940" w:type="dxa"/>
            <w:tcBorders>
              <w:left w:val="dotted" w:sz="4" w:space="0" w:color="30859C"/>
              <w:right w:val="dotted" w:sz="4" w:space="0" w:color="30859C"/>
            </w:tcBorders>
            <w:shd w:val="clear" w:color="auto" w:fill="77DFDD"/>
          </w:tcPr>
          <w:p>
            <w:pPr>
              <w:pStyle w:val="TableParagraph"/>
              <w:spacing w:before="14"/>
              <w:ind w:left="89" w:right="94"/>
              <w:rPr>
                <w:sz w:val="14"/>
              </w:rPr>
            </w:pPr>
            <w:r>
              <w:rPr>
                <w:sz w:val="14"/>
              </w:rPr>
              <w:t>4.0 </w:t>
            </w:r>
            <w:r>
              <w:rPr>
                <w:rFonts w:ascii="Times New Roman" w:hAnsi="Times New Roman"/>
                <w:sz w:val="14"/>
              </w:rPr>
              <w:t>± </w:t>
            </w:r>
            <w:r>
              <w:rPr>
                <w:sz w:val="14"/>
              </w:rPr>
              <w:t>3.2</w:t>
            </w:r>
          </w:p>
        </w:tc>
        <w:tc>
          <w:tcPr>
            <w:tcW w:w="1030" w:type="dxa"/>
            <w:tcBorders>
              <w:left w:val="dotted" w:sz="4" w:space="0" w:color="30859C"/>
              <w:right w:val="dotted" w:sz="4" w:space="0" w:color="30859C"/>
            </w:tcBorders>
            <w:shd w:val="clear" w:color="auto" w:fill="77DFDD"/>
          </w:tcPr>
          <w:p>
            <w:pPr>
              <w:pStyle w:val="TableParagraph"/>
              <w:spacing w:before="14"/>
              <w:ind w:left="138" w:right="145"/>
              <w:rPr>
                <w:sz w:val="14"/>
              </w:rPr>
            </w:pPr>
            <w:r>
              <w:rPr>
                <w:sz w:val="14"/>
              </w:rPr>
              <w:t>18.5 </w:t>
            </w:r>
            <w:r>
              <w:rPr>
                <w:rFonts w:ascii="Times New Roman" w:hAnsi="Times New Roman"/>
                <w:sz w:val="14"/>
              </w:rPr>
              <w:t>± </w:t>
            </w:r>
            <w:r>
              <w:rPr>
                <w:sz w:val="14"/>
              </w:rPr>
              <w:t>15.2</w:t>
            </w:r>
          </w:p>
        </w:tc>
        <w:tc>
          <w:tcPr>
            <w:tcW w:w="940" w:type="dxa"/>
            <w:tcBorders>
              <w:left w:val="dotted" w:sz="4" w:space="0" w:color="30859C"/>
              <w:right w:val="dotted" w:sz="4" w:space="0" w:color="30859C"/>
            </w:tcBorders>
            <w:shd w:val="clear" w:color="auto" w:fill="77DFDD"/>
          </w:tcPr>
          <w:p>
            <w:pPr>
              <w:pStyle w:val="TableParagraph"/>
              <w:spacing w:before="14"/>
              <w:ind w:left="94" w:right="94"/>
              <w:rPr>
                <w:sz w:val="14"/>
              </w:rPr>
            </w:pPr>
            <w:r>
              <w:rPr>
                <w:sz w:val="14"/>
              </w:rPr>
              <w:t>10.4 </w:t>
            </w:r>
            <w:r>
              <w:rPr>
                <w:rFonts w:ascii="Times New Roman" w:hAnsi="Times New Roman"/>
                <w:sz w:val="14"/>
              </w:rPr>
              <w:t>± </w:t>
            </w:r>
            <w:r>
              <w:rPr>
                <w:sz w:val="14"/>
              </w:rPr>
              <w:t>6.1</w:t>
            </w:r>
          </w:p>
        </w:tc>
        <w:tc>
          <w:tcPr>
            <w:tcW w:w="940" w:type="dxa"/>
            <w:tcBorders>
              <w:left w:val="dotted" w:sz="4" w:space="0" w:color="30859C"/>
              <w:right w:val="dotted" w:sz="4" w:space="0" w:color="30859C"/>
            </w:tcBorders>
            <w:shd w:val="clear" w:color="auto" w:fill="77DFDD"/>
          </w:tcPr>
          <w:p>
            <w:pPr>
              <w:pStyle w:val="TableParagraph"/>
              <w:spacing w:before="14"/>
              <w:ind w:left="100" w:right="94"/>
              <w:rPr>
                <w:sz w:val="14"/>
              </w:rPr>
            </w:pPr>
            <w:r>
              <w:rPr>
                <w:sz w:val="14"/>
              </w:rPr>
              <w:t>9.3 </w:t>
            </w:r>
            <w:r>
              <w:rPr>
                <w:rFonts w:ascii="Times New Roman" w:hAnsi="Times New Roman"/>
                <w:sz w:val="14"/>
              </w:rPr>
              <w:t>± </w:t>
            </w:r>
            <w:r>
              <w:rPr>
                <w:sz w:val="14"/>
              </w:rPr>
              <w:t>13.8</w:t>
            </w:r>
          </w:p>
        </w:tc>
        <w:tc>
          <w:tcPr>
            <w:tcW w:w="860" w:type="dxa"/>
            <w:tcBorders>
              <w:left w:val="dotted" w:sz="4" w:space="0" w:color="30859C"/>
              <w:right w:val="dotted" w:sz="4" w:space="0" w:color="30859C"/>
            </w:tcBorders>
            <w:shd w:val="clear" w:color="auto" w:fill="77DFDD"/>
          </w:tcPr>
          <w:p>
            <w:pPr>
              <w:pStyle w:val="TableParagraph"/>
              <w:spacing w:before="14"/>
              <w:ind w:left="54" w:right="56"/>
              <w:rPr>
                <w:sz w:val="14"/>
              </w:rPr>
            </w:pPr>
            <w:r>
              <w:rPr>
                <w:sz w:val="14"/>
              </w:rPr>
              <w:t>1.2 </w:t>
            </w:r>
            <w:r>
              <w:rPr>
                <w:rFonts w:ascii="Times New Roman" w:hAnsi="Times New Roman"/>
                <w:sz w:val="14"/>
              </w:rPr>
              <w:t>± </w:t>
            </w:r>
            <w:r>
              <w:rPr>
                <w:sz w:val="14"/>
              </w:rPr>
              <w:t>1.9</w:t>
            </w:r>
          </w:p>
        </w:tc>
        <w:tc>
          <w:tcPr>
            <w:tcW w:w="860" w:type="dxa"/>
            <w:tcBorders>
              <w:left w:val="dotted" w:sz="4" w:space="0" w:color="30859C"/>
              <w:right w:val="dotted" w:sz="4" w:space="0" w:color="30859C"/>
            </w:tcBorders>
            <w:shd w:val="clear" w:color="auto" w:fill="77DFDD"/>
          </w:tcPr>
          <w:p>
            <w:pPr>
              <w:pStyle w:val="TableParagraph"/>
              <w:spacing w:before="14"/>
              <w:ind w:left="54" w:right="60"/>
              <w:rPr>
                <w:sz w:val="14"/>
              </w:rPr>
            </w:pPr>
            <w:r>
              <w:rPr>
                <w:sz w:val="14"/>
              </w:rPr>
              <w:t>9.4 </w:t>
            </w:r>
            <w:r>
              <w:rPr>
                <w:rFonts w:ascii="Times New Roman" w:hAnsi="Times New Roman"/>
                <w:sz w:val="14"/>
              </w:rPr>
              <w:t>± </w:t>
            </w:r>
            <w:r>
              <w:rPr>
                <w:sz w:val="14"/>
              </w:rPr>
              <w:t>9.9</w:t>
            </w:r>
          </w:p>
        </w:tc>
        <w:tc>
          <w:tcPr>
            <w:tcW w:w="935" w:type="dxa"/>
            <w:tcBorders>
              <w:left w:val="dotted" w:sz="4" w:space="0" w:color="30859C"/>
            </w:tcBorders>
            <w:shd w:val="clear" w:color="auto" w:fill="77DFDD"/>
          </w:tcPr>
          <w:p>
            <w:pPr>
              <w:pStyle w:val="TableParagraph"/>
              <w:spacing w:before="14"/>
              <w:ind w:left="100" w:right="94"/>
              <w:rPr>
                <w:sz w:val="14"/>
              </w:rPr>
            </w:pPr>
            <w:r>
              <w:rPr>
                <w:sz w:val="14"/>
              </w:rPr>
              <w:t>53.1 </w:t>
            </w:r>
            <w:r>
              <w:rPr>
                <w:rFonts w:ascii="Times New Roman" w:hAnsi="Times New Roman"/>
                <w:sz w:val="14"/>
              </w:rPr>
              <w:t>± </w:t>
            </w:r>
            <w:r>
              <w:rPr>
                <w:sz w:val="14"/>
              </w:rPr>
              <w:t>39.0</w:t>
            </w:r>
          </w:p>
        </w:tc>
      </w:tr>
      <w:tr>
        <w:trPr>
          <w:trHeight w:val="193" w:hRule="exact"/>
        </w:trPr>
        <w:tc>
          <w:tcPr>
            <w:tcW w:w="260" w:type="dxa"/>
            <w:vMerge/>
            <w:shd w:val="clear" w:color="auto" w:fill="B4EDEC"/>
            <w:textDirection w:val="btLr"/>
          </w:tcPr>
          <w:p>
            <w:pPr/>
          </w:p>
        </w:tc>
        <w:tc>
          <w:tcPr>
            <w:tcW w:w="1030" w:type="dxa"/>
            <w:vMerge/>
            <w:shd w:val="clear" w:color="auto" w:fill="77DFDD"/>
          </w:tcPr>
          <w:p>
            <w:pPr/>
          </w:p>
        </w:tc>
        <w:tc>
          <w:tcPr>
            <w:tcW w:w="870" w:type="dxa"/>
            <w:vMerge/>
            <w:shd w:val="clear" w:color="auto" w:fill="77DFDD"/>
          </w:tcPr>
          <w:p>
            <w:pPr/>
          </w:p>
        </w:tc>
        <w:tc>
          <w:tcPr>
            <w:tcW w:w="155" w:type="dxa"/>
            <w:vMerge/>
            <w:tcBorders>
              <w:right w:val="dotted" w:sz="4" w:space="0" w:color="000000"/>
            </w:tcBorders>
            <w:shd w:val="clear" w:color="auto" w:fill="77DFDD"/>
          </w:tcPr>
          <w:p>
            <w:pPr/>
          </w:p>
        </w:tc>
        <w:tc>
          <w:tcPr>
            <w:tcW w:w="780" w:type="dxa"/>
            <w:tcBorders>
              <w:left w:val="dotted" w:sz="4" w:space="0" w:color="000000"/>
              <w:right w:val="dotted" w:sz="4" w:space="0" w:color="30859C"/>
            </w:tcBorders>
            <w:shd w:val="clear" w:color="auto" w:fill="77DFDD"/>
          </w:tcPr>
          <w:p>
            <w:pPr>
              <w:pStyle w:val="TableParagraph"/>
              <w:spacing w:before="8"/>
              <w:ind w:left="90" w:right="86"/>
              <w:rPr>
                <w:sz w:val="14"/>
              </w:rPr>
            </w:pPr>
            <w:r>
              <w:rPr>
                <w:sz w:val="14"/>
              </w:rPr>
              <w:t>0.9*</w:t>
            </w:r>
          </w:p>
        </w:tc>
        <w:tc>
          <w:tcPr>
            <w:tcW w:w="940" w:type="dxa"/>
            <w:tcBorders>
              <w:left w:val="dotted" w:sz="4" w:space="0" w:color="30859C"/>
              <w:right w:val="dotted" w:sz="4" w:space="0" w:color="30859C"/>
            </w:tcBorders>
            <w:shd w:val="clear" w:color="auto" w:fill="77DFDD"/>
          </w:tcPr>
          <w:p>
            <w:pPr>
              <w:pStyle w:val="TableParagraph"/>
              <w:spacing w:before="8"/>
              <w:ind w:left="85" w:right="94"/>
              <w:rPr>
                <w:sz w:val="14"/>
              </w:rPr>
            </w:pPr>
            <w:r>
              <w:rPr>
                <w:sz w:val="14"/>
              </w:rPr>
              <w:t>0.2*</w:t>
            </w:r>
          </w:p>
        </w:tc>
        <w:tc>
          <w:tcPr>
            <w:tcW w:w="1030" w:type="dxa"/>
            <w:tcBorders>
              <w:left w:val="dotted" w:sz="4" w:space="0" w:color="30859C"/>
              <w:right w:val="dotted" w:sz="4" w:space="0" w:color="30859C"/>
            </w:tcBorders>
            <w:shd w:val="clear" w:color="auto" w:fill="77DFDD"/>
          </w:tcPr>
          <w:p>
            <w:pPr>
              <w:pStyle w:val="TableParagraph"/>
              <w:spacing w:before="8"/>
              <w:ind w:left="134" w:right="145"/>
              <w:rPr>
                <w:sz w:val="14"/>
              </w:rPr>
            </w:pPr>
            <w:r>
              <w:rPr>
                <w:sz w:val="14"/>
              </w:rPr>
              <w:t>0.7*</w:t>
            </w:r>
          </w:p>
        </w:tc>
        <w:tc>
          <w:tcPr>
            <w:tcW w:w="940" w:type="dxa"/>
            <w:tcBorders>
              <w:left w:val="dotted" w:sz="4" w:space="0" w:color="30859C"/>
              <w:right w:val="dotted" w:sz="4" w:space="0" w:color="30859C"/>
            </w:tcBorders>
            <w:shd w:val="clear" w:color="auto" w:fill="77DFDD"/>
          </w:tcPr>
          <w:p>
            <w:pPr>
              <w:pStyle w:val="TableParagraph"/>
              <w:spacing w:before="8"/>
              <w:ind w:left="93" w:right="94"/>
              <w:rPr>
                <w:sz w:val="14"/>
              </w:rPr>
            </w:pPr>
            <w:r>
              <w:rPr>
                <w:sz w:val="14"/>
              </w:rPr>
              <w:t>0.3*</w:t>
            </w:r>
          </w:p>
        </w:tc>
        <w:tc>
          <w:tcPr>
            <w:tcW w:w="940" w:type="dxa"/>
            <w:tcBorders>
              <w:left w:val="dotted" w:sz="4" w:space="0" w:color="30859C"/>
              <w:right w:val="dotted" w:sz="4" w:space="0" w:color="30859C"/>
            </w:tcBorders>
            <w:shd w:val="clear" w:color="auto" w:fill="77DFDD"/>
          </w:tcPr>
          <w:p>
            <w:pPr>
              <w:pStyle w:val="TableParagraph"/>
              <w:spacing w:before="8"/>
              <w:ind w:left="97" w:right="94"/>
              <w:rPr>
                <w:sz w:val="14"/>
              </w:rPr>
            </w:pPr>
            <w:r>
              <w:rPr>
                <w:sz w:val="14"/>
              </w:rPr>
              <w:t>0.6*</w:t>
            </w:r>
          </w:p>
        </w:tc>
        <w:tc>
          <w:tcPr>
            <w:tcW w:w="860" w:type="dxa"/>
            <w:tcBorders>
              <w:left w:val="dotted" w:sz="4" w:space="0" w:color="30859C"/>
              <w:right w:val="dotted" w:sz="4" w:space="0" w:color="30859C"/>
            </w:tcBorders>
            <w:shd w:val="clear" w:color="auto" w:fill="77DFDD"/>
          </w:tcPr>
          <w:p>
            <w:pPr>
              <w:pStyle w:val="TableParagraph"/>
              <w:spacing w:before="8"/>
              <w:ind w:left="54" w:right="43"/>
              <w:rPr>
                <w:sz w:val="14"/>
              </w:rPr>
            </w:pPr>
            <w:r>
              <w:rPr>
                <w:sz w:val="14"/>
              </w:rPr>
              <w:t>0.9*</w:t>
            </w:r>
          </w:p>
        </w:tc>
        <w:tc>
          <w:tcPr>
            <w:tcW w:w="860" w:type="dxa"/>
            <w:tcBorders>
              <w:left w:val="dotted" w:sz="4" w:space="0" w:color="30859C"/>
              <w:right w:val="dotted" w:sz="4" w:space="0" w:color="30859C"/>
            </w:tcBorders>
            <w:shd w:val="clear" w:color="auto" w:fill="77DFDD"/>
          </w:tcPr>
          <w:p>
            <w:pPr>
              <w:pStyle w:val="TableParagraph"/>
              <w:spacing w:before="8"/>
              <w:ind w:left="54" w:right="47"/>
              <w:rPr>
                <w:sz w:val="14"/>
              </w:rPr>
            </w:pPr>
            <w:r>
              <w:rPr>
                <w:sz w:val="14"/>
              </w:rPr>
              <w:t>0.4*</w:t>
            </w:r>
          </w:p>
        </w:tc>
        <w:tc>
          <w:tcPr>
            <w:tcW w:w="935" w:type="dxa"/>
            <w:tcBorders>
              <w:left w:val="dotted" w:sz="4" w:space="0" w:color="30859C"/>
            </w:tcBorders>
            <w:shd w:val="clear" w:color="auto" w:fill="77DFDD"/>
          </w:tcPr>
          <w:p>
            <w:pPr>
              <w:pStyle w:val="TableParagraph"/>
              <w:spacing w:before="8"/>
              <w:ind w:left="96" w:right="94"/>
              <w:rPr>
                <w:sz w:val="14"/>
              </w:rPr>
            </w:pPr>
            <w:r>
              <w:rPr>
                <w:sz w:val="14"/>
              </w:rPr>
              <w:t>0.9*</w:t>
            </w:r>
          </w:p>
        </w:tc>
      </w:tr>
      <w:tr>
        <w:trPr>
          <w:trHeight w:val="218" w:hRule="exact"/>
        </w:trPr>
        <w:tc>
          <w:tcPr>
            <w:tcW w:w="260" w:type="dxa"/>
            <w:vMerge/>
            <w:shd w:val="clear" w:color="auto" w:fill="B4EDEC"/>
            <w:textDirection w:val="btLr"/>
          </w:tcPr>
          <w:p>
            <w:pPr/>
          </w:p>
        </w:tc>
        <w:tc>
          <w:tcPr>
            <w:tcW w:w="1030" w:type="dxa"/>
            <w:vMerge/>
            <w:shd w:val="clear" w:color="auto" w:fill="77DFDD"/>
          </w:tcPr>
          <w:p>
            <w:pPr/>
          </w:p>
        </w:tc>
        <w:tc>
          <w:tcPr>
            <w:tcW w:w="870" w:type="dxa"/>
            <w:vMerge/>
            <w:shd w:val="clear" w:color="auto" w:fill="77DFDD"/>
          </w:tcPr>
          <w:p>
            <w:pPr/>
          </w:p>
        </w:tc>
        <w:tc>
          <w:tcPr>
            <w:tcW w:w="155" w:type="dxa"/>
            <w:vMerge/>
            <w:tcBorders>
              <w:right w:val="dotted" w:sz="4" w:space="0" w:color="000000"/>
            </w:tcBorders>
            <w:shd w:val="clear" w:color="auto" w:fill="77DFDD"/>
          </w:tcPr>
          <w:p>
            <w:pPr/>
          </w:p>
        </w:tc>
        <w:tc>
          <w:tcPr>
            <w:tcW w:w="780" w:type="dxa"/>
            <w:tcBorders>
              <w:left w:val="dotted" w:sz="4" w:space="0" w:color="000000"/>
              <w:right w:val="dotted" w:sz="4" w:space="0" w:color="30859C"/>
            </w:tcBorders>
            <w:shd w:val="clear" w:color="auto" w:fill="77DFDD"/>
          </w:tcPr>
          <w:p>
            <w:pPr>
              <w:pStyle w:val="TableParagraph"/>
              <w:spacing w:before="9"/>
              <w:ind w:left="90" w:right="99"/>
              <w:rPr>
                <w:sz w:val="14"/>
              </w:rPr>
            </w:pPr>
            <w:r>
              <w:rPr>
                <w:sz w:val="14"/>
              </w:rPr>
              <w:t>0.3 </w:t>
            </w:r>
            <w:r>
              <w:rPr>
                <w:rFonts w:ascii="Times New Roman" w:hAnsi="Times New Roman"/>
                <w:sz w:val="14"/>
              </w:rPr>
              <w:t>± </w:t>
            </w:r>
            <w:r>
              <w:rPr>
                <w:sz w:val="14"/>
              </w:rPr>
              <w:t>0.5</w:t>
            </w:r>
          </w:p>
        </w:tc>
        <w:tc>
          <w:tcPr>
            <w:tcW w:w="940" w:type="dxa"/>
            <w:tcBorders>
              <w:left w:val="dotted" w:sz="4" w:space="0" w:color="30859C"/>
              <w:right w:val="dotted" w:sz="4" w:space="0" w:color="30859C"/>
            </w:tcBorders>
            <w:shd w:val="clear" w:color="auto" w:fill="77DFDD"/>
          </w:tcPr>
          <w:p>
            <w:pPr>
              <w:pStyle w:val="TableParagraph"/>
              <w:spacing w:before="9"/>
              <w:ind w:left="89" w:right="94"/>
              <w:rPr>
                <w:sz w:val="14"/>
              </w:rPr>
            </w:pPr>
            <w:r>
              <w:rPr>
                <w:sz w:val="14"/>
              </w:rPr>
              <w:t>2.9 </w:t>
            </w:r>
            <w:r>
              <w:rPr>
                <w:rFonts w:ascii="Times New Roman" w:hAnsi="Times New Roman"/>
                <w:sz w:val="14"/>
              </w:rPr>
              <w:t>± </w:t>
            </w:r>
            <w:r>
              <w:rPr>
                <w:sz w:val="14"/>
              </w:rPr>
              <w:t>2.4</w:t>
            </w:r>
          </w:p>
        </w:tc>
        <w:tc>
          <w:tcPr>
            <w:tcW w:w="1030" w:type="dxa"/>
            <w:tcBorders>
              <w:left w:val="dotted" w:sz="4" w:space="0" w:color="30859C"/>
              <w:right w:val="dotted" w:sz="4" w:space="0" w:color="30859C"/>
            </w:tcBorders>
            <w:shd w:val="clear" w:color="auto" w:fill="77DFDD"/>
          </w:tcPr>
          <w:p>
            <w:pPr>
              <w:pStyle w:val="TableParagraph"/>
              <w:spacing w:before="9"/>
              <w:ind w:left="138" w:right="145"/>
              <w:rPr>
                <w:sz w:val="14"/>
              </w:rPr>
            </w:pPr>
            <w:r>
              <w:rPr>
                <w:sz w:val="14"/>
              </w:rPr>
              <w:t>17.5 </w:t>
            </w:r>
            <w:r>
              <w:rPr>
                <w:rFonts w:ascii="Times New Roman" w:hAnsi="Times New Roman"/>
                <w:sz w:val="14"/>
              </w:rPr>
              <w:t>± </w:t>
            </w:r>
            <w:r>
              <w:rPr>
                <w:sz w:val="14"/>
              </w:rPr>
              <w:t>14.6</w:t>
            </w:r>
          </w:p>
        </w:tc>
        <w:tc>
          <w:tcPr>
            <w:tcW w:w="940" w:type="dxa"/>
            <w:tcBorders>
              <w:left w:val="dotted" w:sz="4" w:space="0" w:color="30859C"/>
              <w:right w:val="dotted" w:sz="4" w:space="0" w:color="30859C"/>
            </w:tcBorders>
            <w:shd w:val="clear" w:color="auto" w:fill="77DFDD"/>
          </w:tcPr>
          <w:p>
            <w:pPr>
              <w:pStyle w:val="TableParagraph"/>
              <w:spacing w:before="9"/>
              <w:ind w:left="94" w:right="94"/>
              <w:rPr>
                <w:sz w:val="14"/>
              </w:rPr>
            </w:pPr>
            <w:r>
              <w:rPr>
                <w:sz w:val="14"/>
              </w:rPr>
              <w:t>9.0 </w:t>
            </w:r>
            <w:r>
              <w:rPr>
                <w:rFonts w:ascii="Times New Roman" w:hAnsi="Times New Roman"/>
                <w:sz w:val="14"/>
              </w:rPr>
              <w:t>± </w:t>
            </w:r>
            <w:r>
              <w:rPr>
                <w:sz w:val="14"/>
              </w:rPr>
              <w:t>6.9</w:t>
            </w:r>
          </w:p>
        </w:tc>
        <w:tc>
          <w:tcPr>
            <w:tcW w:w="940" w:type="dxa"/>
            <w:tcBorders>
              <w:left w:val="dotted" w:sz="4" w:space="0" w:color="30859C"/>
              <w:right w:val="dotted" w:sz="4" w:space="0" w:color="30859C"/>
            </w:tcBorders>
            <w:shd w:val="clear" w:color="auto" w:fill="77DFDD"/>
          </w:tcPr>
          <w:p>
            <w:pPr>
              <w:pStyle w:val="TableParagraph"/>
              <w:spacing w:before="9"/>
              <w:ind w:left="100" w:right="94"/>
              <w:rPr>
                <w:sz w:val="14"/>
              </w:rPr>
            </w:pPr>
            <w:r>
              <w:rPr>
                <w:sz w:val="14"/>
              </w:rPr>
              <w:t>7.5 </w:t>
            </w:r>
            <w:r>
              <w:rPr>
                <w:rFonts w:ascii="Times New Roman" w:hAnsi="Times New Roman"/>
                <w:sz w:val="14"/>
              </w:rPr>
              <w:t>± </w:t>
            </w:r>
            <w:r>
              <w:rPr>
                <w:sz w:val="14"/>
              </w:rPr>
              <w:t>9.0</w:t>
            </w:r>
          </w:p>
        </w:tc>
        <w:tc>
          <w:tcPr>
            <w:tcW w:w="860" w:type="dxa"/>
            <w:tcBorders>
              <w:left w:val="dotted" w:sz="4" w:space="0" w:color="30859C"/>
              <w:right w:val="dotted" w:sz="4" w:space="0" w:color="30859C"/>
            </w:tcBorders>
            <w:shd w:val="clear" w:color="auto" w:fill="77DFDD"/>
          </w:tcPr>
          <w:p>
            <w:pPr>
              <w:pStyle w:val="TableParagraph"/>
              <w:spacing w:before="9"/>
              <w:ind w:left="54" w:right="56"/>
              <w:rPr>
                <w:sz w:val="14"/>
              </w:rPr>
            </w:pPr>
            <w:r>
              <w:rPr>
                <w:sz w:val="14"/>
              </w:rPr>
              <w:t>1.1 </w:t>
            </w:r>
            <w:r>
              <w:rPr>
                <w:rFonts w:ascii="Times New Roman" w:hAnsi="Times New Roman"/>
                <w:sz w:val="14"/>
              </w:rPr>
              <w:t>± </w:t>
            </w:r>
            <w:r>
              <w:rPr>
                <w:sz w:val="14"/>
              </w:rPr>
              <w:t>1.8</w:t>
            </w:r>
          </w:p>
        </w:tc>
        <w:tc>
          <w:tcPr>
            <w:tcW w:w="860" w:type="dxa"/>
            <w:tcBorders>
              <w:left w:val="dotted" w:sz="4" w:space="0" w:color="30859C"/>
              <w:right w:val="dotted" w:sz="4" w:space="0" w:color="30859C"/>
            </w:tcBorders>
            <w:shd w:val="clear" w:color="auto" w:fill="77DFDD"/>
          </w:tcPr>
          <w:p>
            <w:pPr>
              <w:pStyle w:val="TableParagraph"/>
              <w:spacing w:before="9"/>
              <w:ind w:left="54" w:right="60"/>
              <w:rPr>
                <w:sz w:val="14"/>
              </w:rPr>
            </w:pPr>
            <w:r>
              <w:rPr>
                <w:sz w:val="14"/>
              </w:rPr>
              <w:t>11.6 </w:t>
            </w:r>
            <w:r>
              <w:rPr>
                <w:rFonts w:ascii="Times New Roman" w:hAnsi="Times New Roman"/>
                <w:sz w:val="14"/>
              </w:rPr>
              <w:t>± </w:t>
            </w:r>
            <w:r>
              <w:rPr>
                <w:sz w:val="14"/>
              </w:rPr>
              <w:t>10.6</w:t>
            </w:r>
          </w:p>
        </w:tc>
        <w:tc>
          <w:tcPr>
            <w:tcW w:w="935" w:type="dxa"/>
            <w:tcBorders>
              <w:left w:val="dotted" w:sz="4" w:space="0" w:color="30859C"/>
            </w:tcBorders>
            <w:shd w:val="clear" w:color="auto" w:fill="77DFDD"/>
          </w:tcPr>
          <w:p>
            <w:pPr>
              <w:pStyle w:val="TableParagraph"/>
              <w:spacing w:before="9"/>
              <w:ind w:left="100" w:right="94"/>
              <w:rPr>
                <w:sz w:val="14"/>
              </w:rPr>
            </w:pPr>
            <w:r>
              <w:rPr>
                <w:sz w:val="14"/>
              </w:rPr>
              <w:t>49.8 </w:t>
            </w:r>
            <w:r>
              <w:rPr>
                <w:rFonts w:ascii="Times New Roman" w:hAnsi="Times New Roman"/>
                <w:sz w:val="14"/>
              </w:rPr>
              <w:t>± </w:t>
            </w:r>
            <w:r>
              <w:rPr>
                <w:sz w:val="14"/>
              </w:rPr>
              <w:t>25.6</w:t>
            </w:r>
          </w:p>
        </w:tc>
      </w:tr>
      <w:tr>
        <w:trPr>
          <w:trHeight w:val="197" w:hRule="exact"/>
        </w:trPr>
        <w:tc>
          <w:tcPr>
            <w:tcW w:w="260" w:type="dxa"/>
            <w:vMerge/>
            <w:shd w:val="clear" w:color="auto" w:fill="B4EDEC"/>
            <w:textDirection w:val="btLr"/>
          </w:tcPr>
          <w:p>
            <w:pPr/>
          </w:p>
        </w:tc>
        <w:tc>
          <w:tcPr>
            <w:tcW w:w="1030" w:type="dxa"/>
            <w:vMerge w:val="restart"/>
            <w:shd w:val="clear" w:color="auto" w:fill="B4EDEC"/>
          </w:tcPr>
          <w:p>
            <w:pPr>
              <w:pStyle w:val="TableParagraph"/>
              <w:spacing w:before="12"/>
              <w:ind w:left="20"/>
              <w:jc w:val="left"/>
              <w:rPr>
                <w:b/>
                <w:sz w:val="15"/>
              </w:rPr>
            </w:pPr>
            <w:r>
              <w:rPr>
                <w:b/>
                <w:sz w:val="15"/>
              </w:rPr>
              <w:t>Frutas y</w:t>
            </w:r>
          </w:p>
          <w:p>
            <w:pPr>
              <w:pStyle w:val="TableParagraph"/>
              <w:spacing w:before="28"/>
              <w:ind w:left="20"/>
              <w:jc w:val="left"/>
              <w:rPr>
                <w:b/>
                <w:sz w:val="15"/>
              </w:rPr>
            </w:pPr>
            <w:r>
              <w:rPr>
                <w:b/>
                <w:sz w:val="15"/>
              </w:rPr>
              <w:t>verduras</w:t>
            </w:r>
          </w:p>
        </w:tc>
        <w:tc>
          <w:tcPr>
            <w:tcW w:w="870" w:type="dxa"/>
            <w:vMerge w:val="restart"/>
            <w:shd w:val="clear" w:color="auto" w:fill="B4EDEC"/>
          </w:tcPr>
          <w:p>
            <w:pPr>
              <w:pStyle w:val="TableParagraph"/>
              <w:spacing w:before="10"/>
              <w:ind w:left="20"/>
              <w:jc w:val="left"/>
              <w:rPr>
                <w:sz w:val="12"/>
              </w:rPr>
            </w:pPr>
            <w:r>
              <w:rPr>
                <w:sz w:val="12"/>
              </w:rPr>
              <w:t>Si</w:t>
            </w:r>
          </w:p>
          <w:p>
            <w:pPr>
              <w:pStyle w:val="TableParagraph"/>
              <w:spacing w:before="0"/>
              <w:jc w:val="left"/>
              <w:rPr>
                <w:b/>
                <w:sz w:val="12"/>
              </w:rPr>
            </w:pPr>
          </w:p>
          <w:p>
            <w:pPr>
              <w:pStyle w:val="TableParagraph"/>
              <w:spacing w:before="7"/>
              <w:jc w:val="left"/>
              <w:rPr>
                <w:b/>
                <w:sz w:val="9"/>
              </w:rPr>
            </w:pPr>
          </w:p>
          <w:p>
            <w:pPr>
              <w:pStyle w:val="TableParagraph"/>
              <w:spacing w:before="0"/>
              <w:ind w:left="20"/>
              <w:jc w:val="left"/>
              <w:rPr>
                <w:sz w:val="12"/>
              </w:rPr>
            </w:pPr>
            <w:r>
              <w:rPr>
                <w:sz w:val="12"/>
              </w:rPr>
              <w:t>No</w:t>
            </w:r>
          </w:p>
        </w:tc>
        <w:tc>
          <w:tcPr>
            <w:tcW w:w="155" w:type="dxa"/>
            <w:vMerge w:val="restart"/>
            <w:tcBorders>
              <w:right w:val="dotted" w:sz="4" w:space="0" w:color="000000"/>
            </w:tcBorders>
            <w:shd w:val="clear" w:color="auto" w:fill="B4EDEC"/>
          </w:tcPr>
          <w:p>
            <w:pPr>
              <w:pStyle w:val="TableParagraph"/>
              <w:spacing w:before="8"/>
              <w:jc w:val="left"/>
              <w:rPr>
                <w:b/>
                <w:sz w:val="17"/>
              </w:rPr>
            </w:pPr>
          </w:p>
          <w:p>
            <w:pPr>
              <w:pStyle w:val="TableParagraph"/>
              <w:spacing w:before="0"/>
              <w:ind w:left="51"/>
              <w:jc w:val="left"/>
              <w:rPr>
                <w:b/>
                <w:sz w:val="12"/>
              </w:rPr>
            </w:pPr>
            <w:r>
              <w:rPr>
                <w:b/>
                <w:w w:val="99"/>
                <w:sz w:val="12"/>
              </w:rPr>
              <w:t>P</w:t>
            </w:r>
          </w:p>
        </w:tc>
        <w:tc>
          <w:tcPr>
            <w:tcW w:w="780" w:type="dxa"/>
            <w:tcBorders>
              <w:left w:val="dotted" w:sz="4" w:space="0" w:color="000000"/>
              <w:right w:val="dotted" w:sz="4" w:space="0" w:color="30859C"/>
            </w:tcBorders>
            <w:shd w:val="clear" w:color="auto" w:fill="B4EDEC"/>
          </w:tcPr>
          <w:p>
            <w:pPr>
              <w:pStyle w:val="TableParagraph"/>
              <w:spacing w:before="11"/>
              <w:ind w:left="90" w:right="99"/>
              <w:rPr>
                <w:sz w:val="14"/>
              </w:rPr>
            </w:pPr>
            <w:r>
              <w:rPr>
                <w:sz w:val="14"/>
              </w:rPr>
              <w:t>0.3 </w:t>
            </w:r>
            <w:r>
              <w:rPr>
                <w:rFonts w:ascii="Times New Roman" w:hAnsi="Times New Roman"/>
                <w:sz w:val="14"/>
              </w:rPr>
              <w:t>± </w:t>
            </w:r>
            <w:r>
              <w:rPr>
                <w:sz w:val="14"/>
              </w:rPr>
              <w:t>0.5</w:t>
            </w:r>
          </w:p>
        </w:tc>
        <w:tc>
          <w:tcPr>
            <w:tcW w:w="940" w:type="dxa"/>
            <w:tcBorders>
              <w:left w:val="dotted" w:sz="4" w:space="0" w:color="30859C"/>
              <w:right w:val="dotted" w:sz="4" w:space="0" w:color="30859C"/>
            </w:tcBorders>
            <w:shd w:val="clear" w:color="auto" w:fill="B4EDEC"/>
          </w:tcPr>
          <w:p>
            <w:pPr>
              <w:pStyle w:val="TableParagraph"/>
              <w:spacing w:before="11"/>
              <w:ind w:left="89" w:right="94"/>
              <w:rPr>
                <w:sz w:val="14"/>
              </w:rPr>
            </w:pPr>
            <w:r>
              <w:rPr>
                <w:sz w:val="14"/>
              </w:rPr>
              <w:t>2.9 </w:t>
            </w:r>
            <w:r>
              <w:rPr>
                <w:rFonts w:ascii="Times New Roman" w:hAnsi="Times New Roman"/>
                <w:sz w:val="14"/>
              </w:rPr>
              <w:t>± </w:t>
            </w:r>
            <w:r>
              <w:rPr>
                <w:sz w:val="14"/>
              </w:rPr>
              <w:t>2.5</w:t>
            </w:r>
          </w:p>
        </w:tc>
        <w:tc>
          <w:tcPr>
            <w:tcW w:w="1030" w:type="dxa"/>
            <w:tcBorders>
              <w:left w:val="dotted" w:sz="4" w:space="0" w:color="30859C"/>
              <w:right w:val="dotted" w:sz="4" w:space="0" w:color="30859C"/>
            </w:tcBorders>
            <w:shd w:val="clear" w:color="auto" w:fill="B4EDEC"/>
          </w:tcPr>
          <w:p>
            <w:pPr>
              <w:pStyle w:val="TableParagraph"/>
              <w:spacing w:before="11"/>
              <w:ind w:left="138" w:right="145"/>
              <w:rPr>
                <w:sz w:val="14"/>
              </w:rPr>
            </w:pPr>
            <w:r>
              <w:rPr>
                <w:sz w:val="14"/>
              </w:rPr>
              <w:t>17.1 </w:t>
            </w:r>
            <w:r>
              <w:rPr>
                <w:rFonts w:ascii="Times New Roman" w:hAnsi="Times New Roman"/>
                <w:sz w:val="14"/>
              </w:rPr>
              <w:t>± </w:t>
            </w:r>
            <w:r>
              <w:rPr>
                <w:sz w:val="14"/>
              </w:rPr>
              <w:t>14.0</w:t>
            </w:r>
          </w:p>
        </w:tc>
        <w:tc>
          <w:tcPr>
            <w:tcW w:w="940" w:type="dxa"/>
            <w:tcBorders>
              <w:left w:val="dotted" w:sz="4" w:space="0" w:color="30859C"/>
              <w:right w:val="dotted" w:sz="4" w:space="0" w:color="30859C"/>
            </w:tcBorders>
            <w:shd w:val="clear" w:color="auto" w:fill="B4EDEC"/>
          </w:tcPr>
          <w:p>
            <w:pPr>
              <w:pStyle w:val="TableParagraph"/>
              <w:spacing w:before="11"/>
              <w:ind w:left="94" w:right="94"/>
              <w:rPr>
                <w:sz w:val="14"/>
              </w:rPr>
            </w:pPr>
            <w:r>
              <w:rPr>
                <w:sz w:val="14"/>
              </w:rPr>
              <w:t>8.8 </w:t>
            </w:r>
            <w:r>
              <w:rPr>
                <w:rFonts w:ascii="Times New Roman" w:hAnsi="Times New Roman"/>
                <w:sz w:val="14"/>
              </w:rPr>
              <w:t>± </w:t>
            </w:r>
            <w:r>
              <w:rPr>
                <w:sz w:val="14"/>
              </w:rPr>
              <w:t>6.7</w:t>
            </w:r>
          </w:p>
        </w:tc>
        <w:tc>
          <w:tcPr>
            <w:tcW w:w="940" w:type="dxa"/>
            <w:tcBorders>
              <w:left w:val="dotted" w:sz="4" w:space="0" w:color="30859C"/>
              <w:right w:val="dotted" w:sz="4" w:space="0" w:color="30859C"/>
            </w:tcBorders>
            <w:shd w:val="clear" w:color="auto" w:fill="B4EDEC"/>
          </w:tcPr>
          <w:p>
            <w:pPr>
              <w:pStyle w:val="TableParagraph"/>
              <w:spacing w:before="11"/>
              <w:ind w:left="100" w:right="94"/>
              <w:rPr>
                <w:sz w:val="14"/>
              </w:rPr>
            </w:pPr>
            <w:r>
              <w:rPr>
                <w:sz w:val="14"/>
              </w:rPr>
              <w:t>7.2 </w:t>
            </w:r>
            <w:r>
              <w:rPr>
                <w:rFonts w:ascii="Times New Roman" w:hAnsi="Times New Roman"/>
                <w:sz w:val="14"/>
              </w:rPr>
              <w:t>± </w:t>
            </w:r>
            <w:r>
              <w:rPr>
                <w:sz w:val="14"/>
              </w:rPr>
              <w:t>8.8</w:t>
            </w:r>
          </w:p>
        </w:tc>
        <w:tc>
          <w:tcPr>
            <w:tcW w:w="860" w:type="dxa"/>
            <w:tcBorders>
              <w:left w:val="dotted" w:sz="4" w:space="0" w:color="30859C"/>
              <w:right w:val="dotted" w:sz="4" w:space="0" w:color="30859C"/>
            </w:tcBorders>
            <w:shd w:val="clear" w:color="auto" w:fill="B4EDEC"/>
          </w:tcPr>
          <w:p>
            <w:pPr>
              <w:pStyle w:val="TableParagraph"/>
              <w:spacing w:before="11"/>
              <w:ind w:left="54" w:right="56"/>
              <w:rPr>
                <w:sz w:val="14"/>
              </w:rPr>
            </w:pPr>
            <w:r>
              <w:rPr>
                <w:sz w:val="14"/>
              </w:rPr>
              <w:t>1.1 </w:t>
            </w:r>
            <w:r>
              <w:rPr>
                <w:rFonts w:ascii="Times New Roman" w:hAnsi="Times New Roman"/>
                <w:sz w:val="14"/>
              </w:rPr>
              <w:t>± </w:t>
            </w:r>
            <w:r>
              <w:rPr>
                <w:sz w:val="14"/>
              </w:rPr>
              <w:t>1.8</w:t>
            </w:r>
          </w:p>
        </w:tc>
        <w:tc>
          <w:tcPr>
            <w:tcW w:w="860" w:type="dxa"/>
            <w:tcBorders>
              <w:left w:val="dotted" w:sz="4" w:space="0" w:color="30859C"/>
              <w:right w:val="dotted" w:sz="4" w:space="0" w:color="30859C"/>
            </w:tcBorders>
            <w:shd w:val="clear" w:color="auto" w:fill="B4EDEC"/>
          </w:tcPr>
          <w:p>
            <w:pPr>
              <w:pStyle w:val="TableParagraph"/>
              <w:spacing w:before="11"/>
              <w:ind w:left="54" w:right="60"/>
              <w:rPr>
                <w:sz w:val="14"/>
              </w:rPr>
            </w:pPr>
            <w:r>
              <w:rPr>
                <w:sz w:val="14"/>
              </w:rPr>
              <w:t>11.4 </w:t>
            </w:r>
            <w:r>
              <w:rPr>
                <w:rFonts w:ascii="Times New Roman" w:hAnsi="Times New Roman"/>
                <w:sz w:val="14"/>
              </w:rPr>
              <w:t>± </w:t>
            </w:r>
            <w:r>
              <w:rPr>
                <w:sz w:val="14"/>
              </w:rPr>
              <w:t>10.0</w:t>
            </w:r>
          </w:p>
        </w:tc>
        <w:tc>
          <w:tcPr>
            <w:tcW w:w="935" w:type="dxa"/>
            <w:tcBorders>
              <w:left w:val="dotted" w:sz="4" w:space="0" w:color="30859C"/>
            </w:tcBorders>
            <w:shd w:val="clear" w:color="auto" w:fill="B4EDEC"/>
          </w:tcPr>
          <w:p>
            <w:pPr>
              <w:pStyle w:val="TableParagraph"/>
              <w:spacing w:before="11"/>
              <w:ind w:left="100" w:right="94"/>
              <w:rPr>
                <w:sz w:val="14"/>
              </w:rPr>
            </w:pPr>
            <w:r>
              <w:rPr>
                <w:sz w:val="14"/>
              </w:rPr>
              <w:t>48.7 </w:t>
            </w:r>
            <w:r>
              <w:rPr>
                <w:rFonts w:ascii="Times New Roman" w:hAnsi="Times New Roman"/>
                <w:sz w:val="14"/>
              </w:rPr>
              <w:t>± </w:t>
            </w:r>
            <w:r>
              <w:rPr>
                <w:sz w:val="14"/>
              </w:rPr>
              <w:t>27.7</w:t>
            </w:r>
          </w:p>
        </w:tc>
      </w:tr>
      <w:tr>
        <w:trPr>
          <w:trHeight w:val="193" w:hRule="exact"/>
        </w:trPr>
        <w:tc>
          <w:tcPr>
            <w:tcW w:w="260" w:type="dxa"/>
            <w:vMerge/>
            <w:shd w:val="clear" w:color="auto" w:fill="B4EDEC"/>
            <w:textDirection w:val="btLr"/>
          </w:tcPr>
          <w:p>
            <w:pPr/>
          </w:p>
        </w:tc>
        <w:tc>
          <w:tcPr>
            <w:tcW w:w="1030" w:type="dxa"/>
            <w:vMerge/>
            <w:shd w:val="clear" w:color="auto" w:fill="B4EDEC"/>
          </w:tcPr>
          <w:p>
            <w:pPr/>
          </w:p>
        </w:tc>
        <w:tc>
          <w:tcPr>
            <w:tcW w:w="870" w:type="dxa"/>
            <w:vMerge/>
            <w:shd w:val="clear" w:color="auto" w:fill="B4EDEC"/>
          </w:tcPr>
          <w:p>
            <w:pPr/>
          </w:p>
        </w:tc>
        <w:tc>
          <w:tcPr>
            <w:tcW w:w="155" w:type="dxa"/>
            <w:vMerge/>
            <w:tcBorders>
              <w:right w:val="dotted" w:sz="4" w:space="0" w:color="000000"/>
            </w:tcBorders>
            <w:shd w:val="clear" w:color="auto" w:fill="B4EDEC"/>
          </w:tcPr>
          <w:p>
            <w:pPr/>
          </w:p>
        </w:tc>
        <w:tc>
          <w:tcPr>
            <w:tcW w:w="780" w:type="dxa"/>
            <w:tcBorders>
              <w:left w:val="dotted" w:sz="4" w:space="0" w:color="000000"/>
              <w:right w:val="dotted" w:sz="4" w:space="0" w:color="30859C"/>
            </w:tcBorders>
            <w:shd w:val="clear" w:color="auto" w:fill="B4EDEC"/>
          </w:tcPr>
          <w:p>
            <w:pPr>
              <w:pStyle w:val="TableParagraph"/>
              <w:spacing w:before="8"/>
              <w:ind w:left="90" w:right="86"/>
              <w:rPr>
                <w:sz w:val="14"/>
              </w:rPr>
            </w:pPr>
            <w:r>
              <w:rPr>
                <w:sz w:val="14"/>
              </w:rPr>
              <w:t>0.7*</w:t>
            </w:r>
          </w:p>
        </w:tc>
        <w:tc>
          <w:tcPr>
            <w:tcW w:w="940" w:type="dxa"/>
            <w:tcBorders>
              <w:left w:val="dotted" w:sz="4" w:space="0" w:color="30859C"/>
              <w:right w:val="dotted" w:sz="4" w:space="0" w:color="30859C"/>
            </w:tcBorders>
            <w:shd w:val="clear" w:color="auto" w:fill="B4EDEC"/>
          </w:tcPr>
          <w:p>
            <w:pPr>
              <w:pStyle w:val="TableParagraph"/>
              <w:spacing w:before="8"/>
              <w:ind w:left="85" w:right="94"/>
              <w:rPr>
                <w:sz w:val="14"/>
              </w:rPr>
            </w:pPr>
            <w:r>
              <w:rPr>
                <w:sz w:val="14"/>
              </w:rPr>
              <w:t>0.5*</w:t>
            </w:r>
          </w:p>
        </w:tc>
        <w:tc>
          <w:tcPr>
            <w:tcW w:w="1030" w:type="dxa"/>
            <w:tcBorders>
              <w:left w:val="dotted" w:sz="4" w:space="0" w:color="30859C"/>
              <w:right w:val="dotted" w:sz="4" w:space="0" w:color="30859C"/>
            </w:tcBorders>
            <w:shd w:val="clear" w:color="auto" w:fill="B4EDEC"/>
          </w:tcPr>
          <w:p>
            <w:pPr>
              <w:pStyle w:val="TableParagraph"/>
              <w:spacing w:before="8"/>
              <w:ind w:left="134" w:right="145"/>
              <w:rPr>
                <w:sz w:val="14"/>
              </w:rPr>
            </w:pPr>
            <w:r>
              <w:rPr>
                <w:sz w:val="14"/>
              </w:rPr>
              <w:t>0.6*</w:t>
            </w:r>
          </w:p>
        </w:tc>
        <w:tc>
          <w:tcPr>
            <w:tcW w:w="940" w:type="dxa"/>
            <w:tcBorders>
              <w:left w:val="dotted" w:sz="4" w:space="0" w:color="30859C"/>
              <w:right w:val="dotted" w:sz="4" w:space="0" w:color="30859C"/>
            </w:tcBorders>
            <w:shd w:val="clear" w:color="auto" w:fill="B4EDEC"/>
          </w:tcPr>
          <w:p>
            <w:pPr>
              <w:pStyle w:val="TableParagraph"/>
              <w:spacing w:before="8"/>
              <w:ind w:left="93" w:right="94"/>
              <w:rPr>
                <w:sz w:val="14"/>
              </w:rPr>
            </w:pPr>
            <w:r>
              <w:rPr>
                <w:sz w:val="14"/>
              </w:rPr>
              <w:t>0.2*</w:t>
            </w:r>
          </w:p>
        </w:tc>
        <w:tc>
          <w:tcPr>
            <w:tcW w:w="940" w:type="dxa"/>
            <w:tcBorders>
              <w:left w:val="dotted" w:sz="4" w:space="0" w:color="30859C"/>
              <w:right w:val="dotted" w:sz="4" w:space="0" w:color="30859C"/>
            </w:tcBorders>
            <w:shd w:val="clear" w:color="auto" w:fill="B4EDEC"/>
          </w:tcPr>
          <w:p>
            <w:pPr>
              <w:pStyle w:val="TableParagraph"/>
              <w:spacing w:before="8"/>
              <w:ind w:left="97" w:right="94"/>
              <w:rPr>
                <w:sz w:val="14"/>
              </w:rPr>
            </w:pPr>
            <w:r>
              <w:rPr>
                <w:sz w:val="14"/>
              </w:rPr>
              <w:t>0.3*</w:t>
            </w:r>
          </w:p>
        </w:tc>
        <w:tc>
          <w:tcPr>
            <w:tcW w:w="860" w:type="dxa"/>
            <w:tcBorders>
              <w:left w:val="dotted" w:sz="4" w:space="0" w:color="30859C"/>
              <w:right w:val="dotted" w:sz="4" w:space="0" w:color="30859C"/>
            </w:tcBorders>
            <w:shd w:val="clear" w:color="auto" w:fill="B4EDEC"/>
          </w:tcPr>
          <w:p>
            <w:pPr>
              <w:pStyle w:val="TableParagraph"/>
              <w:spacing w:before="8"/>
              <w:ind w:left="54" w:right="43"/>
              <w:rPr>
                <w:sz w:val="14"/>
              </w:rPr>
            </w:pPr>
            <w:r>
              <w:rPr>
                <w:sz w:val="14"/>
              </w:rPr>
              <w:t>0.7*</w:t>
            </w:r>
          </w:p>
        </w:tc>
        <w:tc>
          <w:tcPr>
            <w:tcW w:w="860" w:type="dxa"/>
            <w:tcBorders>
              <w:left w:val="dotted" w:sz="4" w:space="0" w:color="30859C"/>
              <w:right w:val="dotted" w:sz="4" w:space="0" w:color="30859C"/>
            </w:tcBorders>
            <w:shd w:val="clear" w:color="auto" w:fill="B4EDEC"/>
          </w:tcPr>
          <w:p>
            <w:pPr>
              <w:pStyle w:val="TableParagraph"/>
              <w:spacing w:before="8"/>
              <w:ind w:left="54" w:right="47"/>
              <w:rPr>
                <w:sz w:val="14"/>
              </w:rPr>
            </w:pPr>
            <w:r>
              <w:rPr>
                <w:sz w:val="14"/>
              </w:rPr>
              <w:t>0.4*</w:t>
            </w:r>
          </w:p>
        </w:tc>
        <w:tc>
          <w:tcPr>
            <w:tcW w:w="935" w:type="dxa"/>
            <w:tcBorders>
              <w:left w:val="dotted" w:sz="4" w:space="0" w:color="30859C"/>
            </w:tcBorders>
            <w:shd w:val="clear" w:color="auto" w:fill="B4EDEC"/>
          </w:tcPr>
          <w:p>
            <w:pPr>
              <w:pStyle w:val="TableParagraph"/>
              <w:spacing w:before="8"/>
              <w:ind w:left="96" w:right="94"/>
              <w:rPr>
                <w:sz w:val="14"/>
              </w:rPr>
            </w:pPr>
            <w:r>
              <w:rPr>
                <w:sz w:val="14"/>
              </w:rPr>
              <w:t>0.3*</w:t>
            </w:r>
          </w:p>
        </w:tc>
      </w:tr>
      <w:tr>
        <w:trPr>
          <w:trHeight w:val="221" w:hRule="exact"/>
        </w:trPr>
        <w:tc>
          <w:tcPr>
            <w:tcW w:w="260" w:type="dxa"/>
            <w:vMerge/>
            <w:shd w:val="clear" w:color="auto" w:fill="B4EDEC"/>
            <w:textDirection w:val="btLr"/>
          </w:tcPr>
          <w:p>
            <w:pPr/>
          </w:p>
        </w:tc>
        <w:tc>
          <w:tcPr>
            <w:tcW w:w="1030" w:type="dxa"/>
            <w:vMerge/>
            <w:shd w:val="clear" w:color="auto" w:fill="B4EDEC"/>
          </w:tcPr>
          <w:p>
            <w:pPr/>
          </w:p>
        </w:tc>
        <w:tc>
          <w:tcPr>
            <w:tcW w:w="870" w:type="dxa"/>
            <w:vMerge/>
            <w:shd w:val="clear" w:color="auto" w:fill="B4EDEC"/>
          </w:tcPr>
          <w:p>
            <w:pPr/>
          </w:p>
        </w:tc>
        <w:tc>
          <w:tcPr>
            <w:tcW w:w="155" w:type="dxa"/>
            <w:vMerge/>
            <w:tcBorders>
              <w:right w:val="dotted" w:sz="4" w:space="0" w:color="000000"/>
            </w:tcBorders>
            <w:shd w:val="clear" w:color="auto" w:fill="B4EDEC"/>
          </w:tcPr>
          <w:p>
            <w:pPr/>
          </w:p>
        </w:tc>
        <w:tc>
          <w:tcPr>
            <w:tcW w:w="780" w:type="dxa"/>
            <w:tcBorders>
              <w:left w:val="dotted" w:sz="4" w:space="0" w:color="000000"/>
              <w:right w:val="dotted" w:sz="4" w:space="0" w:color="30859C"/>
            </w:tcBorders>
            <w:shd w:val="clear" w:color="auto" w:fill="B4EDEC"/>
          </w:tcPr>
          <w:p>
            <w:pPr>
              <w:pStyle w:val="TableParagraph"/>
              <w:spacing w:before="9"/>
              <w:ind w:left="90" w:right="99"/>
              <w:rPr>
                <w:sz w:val="14"/>
              </w:rPr>
            </w:pPr>
            <w:r>
              <w:rPr>
                <w:sz w:val="14"/>
              </w:rPr>
              <w:t>0.3 </w:t>
            </w:r>
            <w:r>
              <w:rPr>
                <w:rFonts w:ascii="Times New Roman" w:hAnsi="Times New Roman"/>
                <w:sz w:val="14"/>
              </w:rPr>
              <w:t>± </w:t>
            </w:r>
            <w:r>
              <w:rPr>
                <w:sz w:val="14"/>
              </w:rPr>
              <w:t>0.6</w:t>
            </w:r>
          </w:p>
        </w:tc>
        <w:tc>
          <w:tcPr>
            <w:tcW w:w="940" w:type="dxa"/>
            <w:tcBorders>
              <w:left w:val="dotted" w:sz="4" w:space="0" w:color="30859C"/>
              <w:right w:val="dotted" w:sz="4" w:space="0" w:color="30859C"/>
            </w:tcBorders>
            <w:shd w:val="clear" w:color="auto" w:fill="B4EDEC"/>
          </w:tcPr>
          <w:p>
            <w:pPr>
              <w:pStyle w:val="TableParagraph"/>
              <w:spacing w:before="9"/>
              <w:ind w:left="89" w:right="94"/>
              <w:rPr>
                <w:sz w:val="14"/>
              </w:rPr>
            </w:pPr>
            <w:r>
              <w:rPr>
                <w:sz w:val="14"/>
              </w:rPr>
              <w:t>3.6 </w:t>
            </w:r>
            <w:r>
              <w:rPr>
                <w:rFonts w:ascii="Times New Roman" w:hAnsi="Times New Roman"/>
                <w:sz w:val="14"/>
              </w:rPr>
              <w:t>± </w:t>
            </w:r>
            <w:r>
              <w:rPr>
                <w:sz w:val="14"/>
              </w:rPr>
              <w:t>3.0</w:t>
            </w:r>
          </w:p>
        </w:tc>
        <w:tc>
          <w:tcPr>
            <w:tcW w:w="1030" w:type="dxa"/>
            <w:tcBorders>
              <w:left w:val="dotted" w:sz="4" w:space="0" w:color="30859C"/>
              <w:right w:val="dotted" w:sz="4" w:space="0" w:color="30859C"/>
            </w:tcBorders>
            <w:shd w:val="clear" w:color="auto" w:fill="B4EDEC"/>
          </w:tcPr>
          <w:p>
            <w:pPr>
              <w:pStyle w:val="TableParagraph"/>
              <w:spacing w:before="9"/>
              <w:ind w:left="138" w:right="145"/>
              <w:rPr>
                <w:sz w:val="14"/>
              </w:rPr>
            </w:pPr>
            <w:r>
              <w:rPr>
                <w:sz w:val="14"/>
              </w:rPr>
              <w:t>19.2 </w:t>
            </w:r>
            <w:r>
              <w:rPr>
                <w:rFonts w:ascii="Times New Roman" w:hAnsi="Times New Roman"/>
                <w:sz w:val="14"/>
              </w:rPr>
              <w:t>± </w:t>
            </w:r>
            <w:r>
              <w:rPr>
                <w:sz w:val="14"/>
              </w:rPr>
              <w:t>17.1</w:t>
            </w:r>
          </w:p>
        </w:tc>
        <w:tc>
          <w:tcPr>
            <w:tcW w:w="940" w:type="dxa"/>
            <w:tcBorders>
              <w:left w:val="dotted" w:sz="4" w:space="0" w:color="30859C"/>
              <w:right w:val="dotted" w:sz="4" w:space="0" w:color="30859C"/>
            </w:tcBorders>
            <w:shd w:val="clear" w:color="auto" w:fill="B4EDEC"/>
          </w:tcPr>
          <w:p>
            <w:pPr>
              <w:pStyle w:val="TableParagraph"/>
              <w:spacing w:before="9"/>
              <w:ind w:left="94" w:right="94"/>
              <w:rPr>
                <w:sz w:val="14"/>
              </w:rPr>
            </w:pPr>
            <w:r>
              <w:rPr>
                <w:sz w:val="14"/>
              </w:rPr>
              <w:t>11.1 </w:t>
            </w:r>
            <w:r>
              <w:rPr>
                <w:rFonts w:ascii="Times New Roman" w:hAnsi="Times New Roman"/>
                <w:sz w:val="14"/>
              </w:rPr>
              <w:t>± </w:t>
            </w:r>
            <w:r>
              <w:rPr>
                <w:sz w:val="14"/>
              </w:rPr>
              <w:t>6.8</w:t>
            </w:r>
          </w:p>
        </w:tc>
        <w:tc>
          <w:tcPr>
            <w:tcW w:w="940" w:type="dxa"/>
            <w:tcBorders>
              <w:left w:val="dotted" w:sz="4" w:space="0" w:color="30859C"/>
              <w:right w:val="dotted" w:sz="4" w:space="0" w:color="30859C"/>
            </w:tcBorders>
            <w:shd w:val="clear" w:color="auto" w:fill="B4EDEC"/>
          </w:tcPr>
          <w:p>
            <w:pPr>
              <w:pStyle w:val="TableParagraph"/>
              <w:spacing w:before="9"/>
              <w:ind w:left="100" w:right="94"/>
              <w:rPr>
                <w:sz w:val="14"/>
              </w:rPr>
            </w:pPr>
            <w:r>
              <w:rPr>
                <w:sz w:val="14"/>
              </w:rPr>
              <w:t>10.7 </w:t>
            </w:r>
            <w:r>
              <w:rPr>
                <w:rFonts w:ascii="Times New Roman" w:hAnsi="Times New Roman"/>
                <w:sz w:val="14"/>
              </w:rPr>
              <w:t>± </w:t>
            </w:r>
            <w:r>
              <w:rPr>
                <w:sz w:val="14"/>
              </w:rPr>
              <w:t>14.0</w:t>
            </w:r>
          </w:p>
        </w:tc>
        <w:tc>
          <w:tcPr>
            <w:tcW w:w="860" w:type="dxa"/>
            <w:tcBorders>
              <w:left w:val="dotted" w:sz="4" w:space="0" w:color="30859C"/>
              <w:right w:val="dotted" w:sz="4" w:space="0" w:color="30859C"/>
            </w:tcBorders>
            <w:shd w:val="clear" w:color="auto" w:fill="B4EDEC"/>
          </w:tcPr>
          <w:p>
            <w:pPr>
              <w:pStyle w:val="TableParagraph"/>
              <w:spacing w:before="9"/>
              <w:ind w:left="54" w:right="56"/>
              <w:rPr>
                <w:sz w:val="14"/>
              </w:rPr>
            </w:pPr>
            <w:r>
              <w:rPr>
                <w:sz w:val="14"/>
              </w:rPr>
              <w:t>1.3 </w:t>
            </w:r>
            <w:r>
              <w:rPr>
                <w:rFonts w:ascii="Times New Roman" w:hAnsi="Times New Roman"/>
                <w:sz w:val="14"/>
              </w:rPr>
              <w:t>± </w:t>
            </w:r>
            <w:r>
              <w:rPr>
                <w:sz w:val="14"/>
              </w:rPr>
              <w:t>1.9</w:t>
            </w:r>
          </w:p>
        </w:tc>
        <w:tc>
          <w:tcPr>
            <w:tcW w:w="860" w:type="dxa"/>
            <w:tcBorders>
              <w:left w:val="dotted" w:sz="4" w:space="0" w:color="30859C"/>
              <w:right w:val="dotted" w:sz="4" w:space="0" w:color="30859C"/>
            </w:tcBorders>
            <w:shd w:val="clear" w:color="auto" w:fill="B4EDEC"/>
          </w:tcPr>
          <w:p>
            <w:pPr>
              <w:pStyle w:val="TableParagraph"/>
              <w:spacing w:before="9"/>
              <w:ind w:left="54" w:right="60"/>
              <w:rPr>
                <w:sz w:val="14"/>
              </w:rPr>
            </w:pPr>
            <w:r>
              <w:rPr>
                <w:sz w:val="14"/>
              </w:rPr>
              <w:t>10.5 </w:t>
            </w:r>
            <w:r>
              <w:rPr>
                <w:rFonts w:ascii="Times New Roman" w:hAnsi="Times New Roman"/>
                <w:sz w:val="14"/>
              </w:rPr>
              <w:t>± </w:t>
            </w:r>
            <w:r>
              <w:rPr>
                <w:sz w:val="14"/>
              </w:rPr>
              <w:t>12.5</w:t>
            </w:r>
          </w:p>
        </w:tc>
        <w:tc>
          <w:tcPr>
            <w:tcW w:w="935" w:type="dxa"/>
            <w:tcBorders>
              <w:left w:val="dotted" w:sz="4" w:space="0" w:color="30859C"/>
            </w:tcBorders>
            <w:shd w:val="clear" w:color="auto" w:fill="B4EDEC"/>
          </w:tcPr>
          <w:p>
            <w:pPr>
              <w:pStyle w:val="TableParagraph"/>
              <w:spacing w:before="9"/>
              <w:ind w:left="100" w:right="94"/>
              <w:rPr>
                <w:sz w:val="14"/>
              </w:rPr>
            </w:pPr>
            <w:r>
              <w:rPr>
                <w:sz w:val="14"/>
              </w:rPr>
              <w:t>57.4 </w:t>
            </w:r>
            <w:r>
              <w:rPr>
                <w:rFonts w:ascii="Times New Roman" w:hAnsi="Times New Roman"/>
                <w:sz w:val="14"/>
              </w:rPr>
              <w:t>± </w:t>
            </w:r>
            <w:r>
              <w:rPr>
                <w:sz w:val="14"/>
              </w:rPr>
              <w:t>29.6</w:t>
            </w:r>
          </w:p>
        </w:tc>
      </w:tr>
      <w:tr>
        <w:trPr>
          <w:trHeight w:val="194" w:hRule="exact"/>
        </w:trPr>
        <w:tc>
          <w:tcPr>
            <w:tcW w:w="260" w:type="dxa"/>
            <w:vMerge/>
            <w:shd w:val="clear" w:color="auto" w:fill="B4EDEC"/>
            <w:textDirection w:val="btLr"/>
          </w:tcPr>
          <w:p>
            <w:pPr/>
          </w:p>
        </w:tc>
        <w:tc>
          <w:tcPr>
            <w:tcW w:w="1030" w:type="dxa"/>
            <w:vMerge w:val="restart"/>
            <w:shd w:val="clear" w:color="auto" w:fill="77DFDD"/>
          </w:tcPr>
          <w:p>
            <w:pPr>
              <w:pStyle w:val="TableParagraph"/>
              <w:spacing w:before="3"/>
              <w:jc w:val="left"/>
              <w:rPr>
                <w:b/>
                <w:sz w:val="18"/>
              </w:rPr>
            </w:pPr>
          </w:p>
          <w:p>
            <w:pPr>
              <w:pStyle w:val="TableParagraph"/>
              <w:spacing w:before="0"/>
              <w:ind w:left="20"/>
              <w:jc w:val="left"/>
              <w:rPr>
                <w:b/>
                <w:sz w:val="15"/>
              </w:rPr>
            </w:pPr>
            <w:r>
              <w:rPr>
                <w:b/>
                <w:sz w:val="15"/>
              </w:rPr>
              <w:t>Pescado</w:t>
            </w:r>
          </w:p>
        </w:tc>
        <w:tc>
          <w:tcPr>
            <w:tcW w:w="870" w:type="dxa"/>
            <w:vMerge w:val="restart"/>
            <w:shd w:val="clear" w:color="auto" w:fill="77DFDD"/>
          </w:tcPr>
          <w:p>
            <w:pPr>
              <w:pStyle w:val="TableParagraph"/>
              <w:spacing w:before="8"/>
              <w:ind w:left="20"/>
              <w:jc w:val="left"/>
              <w:rPr>
                <w:sz w:val="12"/>
              </w:rPr>
            </w:pPr>
            <w:r>
              <w:rPr>
                <w:sz w:val="12"/>
              </w:rPr>
              <w:t>Si</w:t>
            </w:r>
          </w:p>
          <w:p>
            <w:pPr>
              <w:pStyle w:val="TableParagraph"/>
              <w:spacing w:before="0"/>
              <w:jc w:val="left"/>
              <w:rPr>
                <w:b/>
                <w:sz w:val="12"/>
              </w:rPr>
            </w:pPr>
          </w:p>
          <w:p>
            <w:pPr>
              <w:pStyle w:val="TableParagraph"/>
              <w:spacing w:before="7"/>
              <w:jc w:val="left"/>
              <w:rPr>
                <w:b/>
                <w:sz w:val="9"/>
              </w:rPr>
            </w:pPr>
          </w:p>
          <w:p>
            <w:pPr>
              <w:pStyle w:val="TableParagraph"/>
              <w:spacing w:before="0"/>
              <w:ind w:left="20"/>
              <w:jc w:val="left"/>
              <w:rPr>
                <w:sz w:val="12"/>
              </w:rPr>
            </w:pPr>
            <w:r>
              <w:rPr>
                <w:sz w:val="12"/>
              </w:rPr>
              <w:t>No</w:t>
            </w:r>
          </w:p>
        </w:tc>
        <w:tc>
          <w:tcPr>
            <w:tcW w:w="155" w:type="dxa"/>
            <w:vMerge w:val="restart"/>
            <w:tcBorders>
              <w:right w:val="dotted" w:sz="4" w:space="0" w:color="000000"/>
            </w:tcBorders>
            <w:shd w:val="clear" w:color="auto" w:fill="77DFDD"/>
          </w:tcPr>
          <w:p>
            <w:pPr>
              <w:pStyle w:val="TableParagraph"/>
              <w:spacing w:before="5"/>
              <w:jc w:val="left"/>
              <w:rPr>
                <w:b/>
                <w:sz w:val="17"/>
              </w:rPr>
            </w:pPr>
          </w:p>
          <w:p>
            <w:pPr>
              <w:pStyle w:val="TableParagraph"/>
              <w:spacing w:before="1"/>
              <w:ind w:left="51"/>
              <w:jc w:val="left"/>
              <w:rPr>
                <w:b/>
                <w:sz w:val="12"/>
              </w:rPr>
            </w:pPr>
            <w:r>
              <w:rPr>
                <w:b/>
                <w:w w:val="99"/>
                <w:sz w:val="12"/>
              </w:rPr>
              <w:t>P</w:t>
            </w:r>
          </w:p>
        </w:tc>
        <w:tc>
          <w:tcPr>
            <w:tcW w:w="780" w:type="dxa"/>
            <w:tcBorders>
              <w:left w:val="dotted" w:sz="4" w:space="0" w:color="000000"/>
              <w:right w:val="dotted" w:sz="4" w:space="0" w:color="30859C"/>
            </w:tcBorders>
            <w:shd w:val="clear" w:color="auto" w:fill="77DFDD"/>
          </w:tcPr>
          <w:p>
            <w:pPr>
              <w:pStyle w:val="TableParagraph"/>
              <w:spacing w:before="9"/>
              <w:ind w:left="90" w:right="99"/>
              <w:rPr>
                <w:sz w:val="14"/>
              </w:rPr>
            </w:pPr>
            <w:r>
              <w:rPr>
                <w:sz w:val="14"/>
              </w:rPr>
              <w:t>0.1 </w:t>
            </w:r>
            <w:r>
              <w:rPr>
                <w:rFonts w:ascii="Times New Roman" w:hAnsi="Times New Roman"/>
                <w:sz w:val="14"/>
              </w:rPr>
              <w:t>± </w:t>
            </w:r>
            <w:r>
              <w:rPr>
                <w:sz w:val="14"/>
              </w:rPr>
              <w:t>0.3</w:t>
            </w:r>
          </w:p>
        </w:tc>
        <w:tc>
          <w:tcPr>
            <w:tcW w:w="940" w:type="dxa"/>
            <w:tcBorders>
              <w:left w:val="dotted" w:sz="4" w:space="0" w:color="30859C"/>
              <w:right w:val="dotted" w:sz="4" w:space="0" w:color="30859C"/>
            </w:tcBorders>
            <w:shd w:val="clear" w:color="auto" w:fill="77DFDD"/>
          </w:tcPr>
          <w:p>
            <w:pPr>
              <w:pStyle w:val="TableParagraph"/>
              <w:spacing w:before="9"/>
              <w:ind w:left="89" w:right="94"/>
              <w:rPr>
                <w:sz w:val="14"/>
              </w:rPr>
            </w:pPr>
            <w:r>
              <w:rPr>
                <w:sz w:val="14"/>
              </w:rPr>
              <w:t>2.8 </w:t>
            </w:r>
            <w:r>
              <w:rPr>
                <w:rFonts w:ascii="Times New Roman" w:hAnsi="Times New Roman"/>
                <w:sz w:val="14"/>
              </w:rPr>
              <w:t>± </w:t>
            </w:r>
            <w:r>
              <w:rPr>
                <w:sz w:val="14"/>
              </w:rPr>
              <w:t>2.4</w:t>
            </w:r>
          </w:p>
        </w:tc>
        <w:tc>
          <w:tcPr>
            <w:tcW w:w="1030" w:type="dxa"/>
            <w:tcBorders>
              <w:left w:val="dotted" w:sz="4" w:space="0" w:color="30859C"/>
              <w:right w:val="dotted" w:sz="4" w:space="0" w:color="30859C"/>
            </w:tcBorders>
            <w:shd w:val="clear" w:color="auto" w:fill="77DFDD"/>
          </w:tcPr>
          <w:p>
            <w:pPr>
              <w:pStyle w:val="TableParagraph"/>
              <w:spacing w:before="9"/>
              <w:ind w:left="138" w:right="145"/>
              <w:rPr>
                <w:sz w:val="14"/>
              </w:rPr>
            </w:pPr>
            <w:r>
              <w:rPr>
                <w:sz w:val="14"/>
              </w:rPr>
              <w:t>23.0 </w:t>
            </w:r>
            <w:r>
              <w:rPr>
                <w:rFonts w:ascii="Times New Roman" w:hAnsi="Times New Roman"/>
                <w:sz w:val="14"/>
              </w:rPr>
              <w:t>± </w:t>
            </w:r>
            <w:r>
              <w:rPr>
                <w:sz w:val="14"/>
              </w:rPr>
              <w:t>15.4</w:t>
            </w:r>
          </w:p>
        </w:tc>
        <w:tc>
          <w:tcPr>
            <w:tcW w:w="940" w:type="dxa"/>
            <w:tcBorders>
              <w:left w:val="dotted" w:sz="4" w:space="0" w:color="30859C"/>
              <w:right w:val="dotted" w:sz="4" w:space="0" w:color="30859C"/>
            </w:tcBorders>
            <w:shd w:val="clear" w:color="auto" w:fill="77DFDD"/>
          </w:tcPr>
          <w:p>
            <w:pPr>
              <w:pStyle w:val="TableParagraph"/>
              <w:spacing w:before="9"/>
              <w:ind w:left="94" w:right="94"/>
              <w:rPr>
                <w:sz w:val="14"/>
              </w:rPr>
            </w:pPr>
            <w:r>
              <w:rPr>
                <w:sz w:val="14"/>
              </w:rPr>
              <w:t>8.2 </w:t>
            </w:r>
            <w:r>
              <w:rPr>
                <w:rFonts w:ascii="Times New Roman" w:hAnsi="Times New Roman"/>
                <w:sz w:val="14"/>
              </w:rPr>
              <w:t>± </w:t>
            </w:r>
            <w:r>
              <w:rPr>
                <w:sz w:val="14"/>
              </w:rPr>
              <w:t>6.7</w:t>
            </w:r>
          </w:p>
        </w:tc>
        <w:tc>
          <w:tcPr>
            <w:tcW w:w="940" w:type="dxa"/>
            <w:tcBorders>
              <w:left w:val="dotted" w:sz="4" w:space="0" w:color="30859C"/>
              <w:right w:val="dotted" w:sz="4" w:space="0" w:color="30859C"/>
            </w:tcBorders>
            <w:shd w:val="clear" w:color="auto" w:fill="77DFDD"/>
          </w:tcPr>
          <w:p>
            <w:pPr>
              <w:pStyle w:val="TableParagraph"/>
              <w:spacing w:before="9"/>
              <w:ind w:left="100" w:right="94"/>
              <w:rPr>
                <w:sz w:val="14"/>
              </w:rPr>
            </w:pPr>
            <w:r>
              <w:rPr>
                <w:sz w:val="14"/>
              </w:rPr>
              <w:t>6.0 </w:t>
            </w:r>
            <w:r>
              <w:rPr>
                <w:rFonts w:ascii="Times New Roman" w:hAnsi="Times New Roman"/>
                <w:sz w:val="14"/>
              </w:rPr>
              <w:t>± </w:t>
            </w:r>
            <w:r>
              <w:rPr>
                <w:sz w:val="14"/>
              </w:rPr>
              <w:t>7.9</w:t>
            </w:r>
          </w:p>
        </w:tc>
        <w:tc>
          <w:tcPr>
            <w:tcW w:w="860" w:type="dxa"/>
            <w:tcBorders>
              <w:left w:val="dotted" w:sz="4" w:space="0" w:color="30859C"/>
              <w:right w:val="dotted" w:sz="4" w:space="0" w:color="30859C"/>
            </w:tcBorders>
            <w:shd w:val="clear" w:color="auto" w:fill="77DFDD"/>
          </w:tcPr>
          <w:p>
            <w:pPr>
              <w:pStyle w:val="TableParagraph"/>
              <w:spacing w:before="9"/>
              <w:ind w:left="54" w:right="56"/>
              <w:rPr>
                <w:sz w:val="14"/>
              </w:rPr>
            </w:pPr>
            <w:r>
              <w:rPr>
                <w:sz w:val="14"/>
              </w:rPr>
              <w:t>0.9 </w:t>
            </w:r>
            <w:r>
              <w:rPr>
                <w:rFonts w:ascii="Times New Roman" w:hAnsi="Times New Roman"/>
                <w:sz w:val="14"/>
              </w:rPr>
              <w:t>± </w:t>
            </w:r>
            <w:r>
              <w:rPr>
                <w:sz w:val="14"/>
              </w:rPr>
              <w:t>1.3</w:t>
            </w:r>
          </w:p>
        </w:tc>
        <w:tc>
          <w:tcPr>
            <w:tcW w:w="860" w:type="dxa"/>
            <w:tcBorders>
              <w:left w:val="dotted" w:sz="4" w:space="0" w:color="30859C"/>
              <w:right w:val="dotted" w:sz="4" w:space="0" w:color="30859C"/>
            </w:tcBorders>
            <w:shd w:val="clear" w:color="auto" w:fill="77DFDD"/>
          </w:tcPr>
          <w:p>
            <w:pPr>
              <w:pStyle w:val="TableParagraph"/>
              <w:spacing w:before="9"/>
              <w:ind w:left="54" w:right="60"/>
              <w:rPr>
                <w:sz w:val="14"/>
              </w:rPr>
            </w:pPr>
            <w:r>
              <w:rPr>
                <w:sz w:val="14"/>
              </w:rPr>
              <w:t>9.4 </w:t>
            </w:r>
            <w:r>
              <w:rPr>
                <w:rFonts w:ascii="Times New Roman" w:hAnsi="Times New Roman"/>
                <w:sz w:val="14"/>
              </w:rPr>
              <w:t>± </w:t>
            </w:r>
            <w:r>
              <w:rPr>
                <w:sz w:val="14"/>
              </w:rPr>
              <w:t>5.5</w:t>
            </w:r>
          </w:p>
        </w:tc>
        <w:tc>
          <w:tcPr>
            <w:tcW w:w="935" w:type="dxa"/>
            <w:tcBorders>
              <w:left w:val="dotted" w:sz="4" w:space="0" w:color="30859C"/>
            </w:tcBorders>
            <w:shd w:val="clear" w:color="auto" w:fill="77DFDD"/>
          </w:tcPr>
          <w:p>
            <w:pPr>
              <w:pStyle w:val="TableParagraph"/>
              <w:spacing w:before="9"/>
              <w:ind w:left="100" w:right="94"/>
              <w:rPr>
                <w:sz w:val="14"/>
              </w:rPr>
            </w:pPr>
            <w:r>
              <w:rPr>
                <w:sz w:val="14"/>
              </w:rPr>
              <w:t>50.3 </w:t>
            </w:r>
            <w:r>
              <w:rPr>
                <w:rFonts w:ascii="Times New Roman" w:hAnsi="Times New Roman"/>
                <w:sz w:val="14"/>
              </w:rPr>
              <w:t>± </w:t>
            </w:r>
            <w:r>
              <w:rPr>
                <w:sz w:val="14"/>
              </w:rPr>
              <w:t>22.2</w:t>
            </w:r>
          </w:p>
        </w:tc>
      </w:tr>
      <w:tr>
        <w:trPr>
          <w:trHeight w:val="193" w:hRule="exact"/>
        </w:trPr>
        <w:tc>
          <w:tcPr>
            <w:tcW w:w="260" w:type="dxa"/>
            <w:vMerge/>
            <w:shd w:val="clear" w:color="auto" w:fill="B4EDEC"/>
            <w:textDirection w:val="btLr"/>
          </w:tcPr>
          <w:p>
            <w:pPr/>
          </w:p>
        </w:tc>
        <w:tc>
          <w:tcPr>
            <w:tcW w:w="1030" w:type="dxa"/>
            <w:vMerge/>
            <w:shd w:val="clear" w:color="auto" w:fill="77DFDD"/>
          </w:tcPr>
          <w:p>
            <w:pPr/>
          </w:p>
        </w:tc>
        <w:tc>
          <w:tcPr>
            <w:tcW w:w="870" w:type="dxa"/>
            <w:vMerge/>
            <w:shd w:val="clear" w:color="auto" w:fill="77DFDD"/>
          </w:tcPr>
          <w:p>
            <w:pPr/>
          </w:p>
        </w:tc>
        <w:tc>
          <w:tcPr>
            <w:tcW w:w="155" w:type="dxa"/>
            <w:vMerge/>
            <w:tcBorders>
              <w:right w:val="dotted" w:sz="4" w:space="0" w:color="000000"/>
            </w:tcBorders>
            <w:shd w:val="clear" w:color="auto" w:fill="77DFDD"/>
          </w:tcPr>
          <w:p>
            <w:pPr/>
          </w:p>
        </w:tc>
        <w:tc>
          <w:tcPr>
            <w:tcW w:w="780" w:type="dxa"/>
            <w:tcBorders>
              <w:left w:val="dotted" w:sz="4" w:space="0" w:color="000000"/>
              <w:right w:val="dotted" w:sz="4" w:space="0" w:color="30859C"/>
            </w:tcBorders>
            <w:shd w:val="clear" w:color="auto" w:fill="77DFDD"/>
          </w:tcPr>
          <w:p>
            <w:pPr>
              <w:pStyle w:val="TableParagraph"/>
              <w:spacing w:before="8"/>
              <w:ind w:left="90" w:right="86"/>
              <w:rPr>
                <w:sz w:val="14"/>
              </w:rPr>
            </w:pPr>
            <w:r>
              <w:rPr>
                <w:sz w:val="14"/>
              </w:rPr>
              <w:t>0.1*</w:t>
            </w:r>
          </w:p>
        </w:tc>
        <w:tc>
          <w:tcPr>
            <w:tcW w:w="940" w:type="dxa"/>
            <w:tcBorders>
              <w:left w:val="dotted" w:sz="4" w:space="0" w:color="30859C"/>
              <w:right w:val="dotted" w:sz="4" w:space="0" w:color="30859C"/>
            </w:tcBorders>
            <w:shd w:val="clear" w:color="auto" w:fill="77DFDD"/>
          </w:tcPr>
          <w:p>
            <w:pPr>
              <w:pStyle w:val="TableParagraph"/>
              <w:spacing w:before="8"/>
              <w:ind w:left="85" w:right="94"/>
              <w:rPr>
                <w:sz w:val="14"/>
              </w:rPr>
            </w:pPr>
            <w:r>
              <w:rPr>
                <w:sz w:val="14"/>
              </w:rPr>
              <w:t>0.7*</w:t>
            </w:r>
          </w:p>
        </w:tc>
        <w:tc>
          <w:tcPr>
            <w:tcW w:w="1030" w:type="dxa"/>
            <w:tcBorders>
              <w:left w:val="dotted" w:sz="4" w:space="0" w:color="30859C"/>
              <w:right w:val="dotted" w:sz="4" w:space="0" w:color="30859C"/>
            </w:tcBorders>
            <w:shd w:val="clear" w:color="auto" w:fill="77DFDD"/>
          </w:tcPr>
          <w:p>
            <w:pPr>
              <w:pStyle w:val="TableParagraph"/>
              <w:spacing w:before="8"/>
              <w:ind w:left="134" w:right="145"/>
              <w:rPr>
                <w:sz w:val="14"/>
              </w:rPr>
            </w:pPr>
            <w:r>
              <w:rPr>
                <w:sz w:val="14"/>
              </w:rPr>
              <w:t>0.2*</w:t>
            </w:r>
          </w:p>
        </w:tc>
        <w:tc>
          <w:tcPr>
            <w:tcW w:w="940" w:type="dxa"/>
            <w:tcBorders>
              <w:left w:val="dotted" w:sz="4" w:space="0" w:color="30859C"/>
              <w:right w:val="dotted" w:sz="4" w:space="0" w:color="30859C"/>
            </w:tcBorders>
            <w:shd w:val="clear" w:color="auto" w:fill="77DFDD"/>
          </w:tcPr>
          <w:p>
            <w:pPr>
              <w:pStyle w:val="TableParagraph"/>
              <w:spacing w:before="8"/>
              <w:ind w:left="93" w:right="94"/>
              <w:rPr>
                <w:sz w:val="14"/>
              </w:rPr>
            </w:pPr>
            <w:r>
              <w:rPr>
                <w:sz w:val="14"/>
              </w:rPr>
              <w:t>0.5*</w:t>
            </w:r>
          </w:p>
        </w:tc>
        <w:tc>
          <w:tcPr>
            <w:tcW w:w="940" w:type="dxa"/>
            <w:tcBorders>
              <w:left w:val="dotted" w:sz="4" w:space="0" w:color="30859C"/>
              <w:right w:val="dotted" w:sz="4" w:space="0" w:color="30859C"/>
            </w:tcBorders>
            <w:shd w:val="clear" w:color="auto" w:fill="77DFDD"/>
          </w:tcPr>
          <w:p>
            <w:pPr>
              <w:pStyle w:val="TableParagraph"/>
              <w:spacing w:before="8"/>
              <w:ind w:left="97" w:right="94"/>
              <w:rPr>
                <w:sz w:val="14"/>
              </w:rPr>
            </w:pPr>
            <w:r>
              <w:rPr>
                <w:sz w:val="14"/>
              </w:rPr>
              <w:t>0.4*</w:t>
            </w:r>
          </w:p>
        </w:tc>
        <w:tc>
          <w:tcPr>
            <w:tcW w:w="860" w:type="dxa"/>
            <w:tcBorders>
              <w:left w:val="dotted" w:sz="4" w:space="0" w:color="30859C"/>
              <w:right w:val="dotted" w:sz="4" w:space="0" w:color="30859C"/>
            </w:tcBorders>
            <w:shd w:val="clear" w:color="auto" w:fill="77DFDD"/>
          </w:tcPr>
          <w:p>
            <w:pPr>
              <w:pStyle w:val="TableParagraph"/>
              <w:spacing w:before="8"/>
              <w:ind w:left="54" w:right="43"/>
              <w:rPr>
                <w:sz w:val="14"/>
              </w:rPr>
            </w:pPr>
            <w:r>
              <w:rPr>
                <w:sz w:val="14"/>
              </w:rPr>
              <w:t>0.7*</w:t>
            </w:r>
          </w:p>
        </w:tc>
        <w:tc>
          <w:tcPr>
            <w:tcW w:w="860" w:type="dxa"/>
            <w:tcBorders>
              <w:left w:val="dotted" w:sz="4" w:space="0" w:color="30859C"/>
              <w:right w:val="dotted" w:sz="4" w:space="0" w:color="30859C"/>
            </w:tcBorders>
            <w:shd w:val="clear" w:color="auto" w:fill="77DFDD"/>
          </w:tcPr>
          <w:p>
            <w:pPr>
              <w:pStyle w:val="TableParagraph"/>
              <w:spacing w:before="8"/>
              <w:ind w:left="54" w:right="47"/>
              <w:rPr>
                <w:sz w:val="14"/>
              </w:rPr>
            </w:pPr>
            <w:r>
              <w:rPr>
                <w:sz w:val="14"/>
              </w:rPr>
              <w:t>0.9*</w:t>
            </w:r>
          </w:p>
        </w:tc>
        <w:tc>
          <w:tcPr>
            <w:tcW w:w="935" w:type="dxa"/>
            <w:tcBorders>
              <w:left w:val="dotted" w:sz="4" w:space="0" w:color="30859C"/>
            </w:tcBorders>
            <w:shd w:val="clear" w:color="auto" w:fill="77DFDD"/>
          </w:tcPr>
          <w:p>
            <w:pPr>
              <w:pStyle w:val="TableParagraph"/>
              <w:spacing w:before="8"/>
              <w:ind w:left="96" w:right="94"/>
              <w:rPr>
                <w:sz w:val="14"/>
              </w:rPr>
            </w:pPr>
            <w:r>
              <w:rPr>
                <w:sz w:val="14"/>
              </w:rPr>
              <w:t>0.7*</w:t>
            </w:r>
          </w:p>
        </w:tc>
      </w:tr>
      <w:tr>
        <w:trPr>
          <w:trHeight w:val="213" w:hRule="exact"/>
        </w:trPr>
        <w:tc>
          <w:tcPr>
            <w:tcW w:w="260" w:type="dxa"/>
            <w:vMerge/>
            <w:shd w:val="clear" w:color="auto" w:fill="B4EDEC"/>
            <w:textDirection w:val="btLr"/>
          </w:tcPr>
          <w:p>
            <w:pPr/>
          </w:p>
        </w:tc>
        <w:tc>
          <w:tcPr>
            <w:tcW w:w="1030" w:type="dxa"/>
            <w:vMerge/>
            <w:shd w:val="clear" w:color="auto" w:fill="77DFDD"/>
          </w:tcPr>
          <w:p>
            <w:pPr/>
          </w:p>
        </w:tc>
        <w:tc>
          <w:tcPr>
            <w:tcW w:w="870" w:type="dxa"/>
            <w:vMerge/>
            <w:shd w:val="clear" w:color="auto" w:fill="77DFDD"/>
          </w:tcPr>
          <w:p>
            <w:pPr/>
          </w:p>
        </w:tc>
        <w:tc>
          <w:tcPr>
            <w:tcW w:w="155" w:type="dxa"/>
            <w:vMerge/>
            <w:tcBorders>
              <w:right w:val="dotted" w:sz="4" w:space="0" w:color="000000"/>
            </w:tcBorders>
            <w:shd w:val="clear" w:color="auto" w:fill="77DFDD"/>
          </w:tcPr>
          <w:p>
            <w:pPr/>
          </w:p>
        </w:tc>
        <w:tc>
          <w:tcPr>
            <w:tcW w:w="780" w:type="dxa"/>
            <w:tcBorders>
              <w:left w:val="dotted" w:sz="4" w:space="0" w:color="000000"/>
              <w:right w:val="dotted" w:sz="4" w:space="0" w:color="30859C"/>
            </w:tcBorders>
            <w:shd w:val="clear" w:color="auto" w:fill="77DFDD"/>
          </w:tcPr>
          <w:p>
            <w:pPr>
              <w:pStyle w:val="TableParagraph"/>
              <w:spacing w:before="9"/>
              <w:ind w:left="90" w:right="99"/>
              <w:rPr>
                <w:sz w:val="14"/>
              </w:rPr>
            </w:pPr>
            <w:r>
              <w:rPr>
                <w:sz w:val="14"/>
              </w:rPr>
              <w:t>0.4 </w:t>
            </w:r>
            <w:r>
              <w:rPr>
                <w:rFonts w:ascii="Times New Roman" w:hAnsi="Times New Roman"/>
                <w:sz w:val="14"/>
              </w:rPr>
              <w:t>± </w:t>
            </w:r>
            <w:r>
              <w:rPr>
                <w:sz w:val="14"/>
              </w:rPr>
              <w:t>0.5</w:t>
            </w:r>
          </w:p>
        </w:tc>
        <w:tc>
          <w:tcPr>
            <w:tcW w:w="940" w:type="dxa"/>
            <w:tcBorders>
              <w:left w:val="dotted" w:sz="4" w:space="0" w:color="30859C"/>
              <w:right w:val="dotted" w:sz="4" w:space="0" w:color="30859C"/>
            </w:tcBorders>
            <w:shd w:val="clear" w:color="auto" w:fill="77DFDD"/>
          </w:tcPr>
          <w:p>
            <w:pPr>
              <w:pStyle w:val="TableParagraph"/>
              <w:spacing w:before="9"/>
              <w:ind w:left="89" w:right="94"/>
              <w:rPr>
                <w:sz w:val="14"/>
              </w:rPr>
            </w:pPr>
            <w:r>
              <w:rPr>
                <w:sz w:val="14"/>
              </w:rPr>
              <w:t>3.1 </w:t>
            </w:r>
            <w:r>
              <w:rPr>
                <w:rFonts w:ascii="Times New Roman" w:hAnsi="Times New Roman"/>
                <w:sz w:val="14"/>
              </w:rPr>
              <w:t>± </w:t>
            </w:r>
            <w:r>
              <w:rPr>
                <w:sz w:val="14"/>
              </w:rPr>
              <w:t>2.6</w:t>
            </w:r>
          </w:p>
        </w:tc>
        <w:tc>
          <w:tcPr>
            <w:tcW w:w="1030" w:type="dxa"/>
            <w:tcBorders>
              <w:left w:val="dotted" w:sz="4" w:space="0" w:color="30859C"/>
              <w:right w:val="dotted" w:sz="4" w:space="0" w:color="30859C"/>
            </w:tcBorders>
            <w:shd w:val="clear" w:color="auto" w:fill="77DFDD"/>
          </w:tcPr>
          <w:p>
            <w:pPr>
              <w:pStyle w:val="TableParagraph"/>
              <w:spacing w:before="9"/>
              <w:ind w:left="138" w:right="145"/>
              <w:rPr>
                <w:sz w:val="14"/>
              </w:rPr>
            </w:pPr>
            <w:r>
              <w:rPr>
                <w:sz w:val="14"/>
              </w:rPr>
              <w:t>16.7 </w:t>
            </w:r>
            <w:r>
              <w:rPr>
                <w:rFonts w:ascii="Times New Roman" w:hAnsi="Times New Roman"/>
                <w:sz w:val="14"/>
              </w:rPr>
              <w:t>± </w:t>
            </w:r>
            <w:r>
              <w:rPr>
                <w:sz w:val="14"/>
              </w:rPr>
              <w:t>14.3</w:t>
            </w:r>
          </w:p>
        </w:tc>
        <w:tc>
          <w:tcPr>
            <w:tcW w:w="940" w:type="dxa"/>
            <w:tcBorders>
              <w:left w:val="dotted" w:sz="4" w:space="0" w:color="30859C"/>
              <w:right w:val="dotted" w:sz="4" w:space="0" w:color="30859C"/>
            </w:tcBorders>
            <w:shd w:val="clear" w:color="auto" w:fill="77DFDD"/>
          </w:tcPr>
          <w:p>
            <w:pPr>
              <w:pStyle w:val="TableParagraph"/>
              <w:spacing w:before="9"/>
              <w:ind w:left="94" w:right="94"/>
              <w:rPr>
                <w:sz w:val="14"/>
              </w:rPr>
            </w:pPr>
            <w:r>
              <w:rPr>
                <w:sz w:val="14"/>
              </w:rPr>
              <w:t>9.5 </w:t>
            </w:r>
            <w:r>
              <w:rPr>
                <w:rFonts w:ascii="Times New Roman" w:hAnsi="Times New Roman"/>
                <w:sz w:val="14"/>
              </w:rPr>
              <w:t>± </w:t>
            </w:r>
            <w:r>
              <w:rPr>
                <w:sz w:val="14"/>
              </w:rPr>
              <w:t>6.8</w:t>
            </w:r>
          </w:p>
        </w:tc>
        <w:tc>
          <w:tcPr>
            <w:tcW w:w="940" w:type="dxa"/>
            <w:tcBorders>
              <w:left w:val="dotted" w:sz="4" w:space="0" w:color="30859C"/>
              <w:right w:val="dotted" w:sz="4" w:space="0" w:color="30859C"/>
            </w:tcBorders>
            <w:shd w:val="clear" w:color="auto" w:fill="77DFDD"/>
          </w:tcPr>
          <w:p>
            <w:pPr>
              <w:pStyle w:val="TableParagraph"/>
              <w:spacing w:before="9"/>
              <w:ind w:left="100" w:right="94"/>
              <w:rPr>
                <w:sz w:val="14"/>
              </w:rPr>
            </w:pPr>
            <w:r>
              <w:rPr>
                <w:sz w:val="14"/>
              </w:rPr>
              <w:t>8.2 </w:t>
            </w:r>
            <w:r>
              <w:rPr>
                <w:rFonts w:ascii="Times New Roman" w:hAnsi="Times New Roman"/>
                <w:sz w:val="14"/>
              </w:rPr>
              <w:t>± </w:t>
            </w:r>
            <w:r>
              <w:rPr>
                <w:sz w:val="14"/>
              </w:rPr>
              <w:t>10.3</w:t>
            </w:r>
          </w:p>
        </w:tc>
        <w:tc>
          <w:tcPr>
            <w:tcW w:w="860" w:type="dxa"/>
            <w:tcBorders>
              <w:left w:val="dotted" w:sz="4" w:space="0" w:color="30859C"/>
              <w:right w:val="dotted" w:sz="4" w:space="0" w:color="30859C"/>
            </w:tcBorders>
            <w:shd w:val="clear" w:color="auto" w:fill="77DFDD"/>
          </w:tcPr>
          <w:p>
            <w:pPr>
              <w:pStyle w:val="TableParagraph"/>
              <w:spacing w:before="9"/>
              <w:ind w:left="54" w:right="56"/>
              <w:rPr>
                <w:sz w:val="14"/>
              </w:rPr>
            </w:pPr>
            <w:r>
              <w:rPr>
                <w:sz w:val="14"/>
              </w:rPr>
              <w:t>1.2 </w:t>
            </w:r>
            <w:r>
              <w:rPr>
                <w:rFonts w:ascii="Times New Roman" w:hAnsi="Times New Roman"/>
                <w:sz w:val="14"/>
              </w:rPr>
              <w:t>± </w:t>
            </w:r>
            <w:r>
              <w:rPr>
                <w:sz w:val="14"/>
              </w:rPr>
              <w:t>1.9</w:t>
            </w:r>
          </w:p>
        </w:tc>
        <w:tc>
          <w:tcPr>
            <w:tcW w:w="860" w:type="dxa"/>
            <w:tcBorders>
              <w:left w:val="dotted" w:sz="4" w:space="0" w:color="30859C"/>
              <w:right w:val="dotted" w:sz="4" w:space="0" w:color="30859C"/>
            </w:tcBorders>
            <w:shd w:val="clear" w:color="auto" w:fill="77DFDD"/>
          </w:tcPr>
          <w:p>
            <w:pPr>
              <w:pStyle w:val="TableParagraph"/>
              <w:spacing w:before="9"/>
              <w:ind w:left="54" w:right="60"/>
              <w:rPr>
                <w:sz w:val="14"/>
              </w:rPr>
            </w:pPr>
            <w:r>
              <w:rPr>
                <w:sz w:val="14"/>
              </w:rPr>
              <w:t>11.6 </w:t>
            </w:r>
            <w:r>
              <w:rPr>
                <w:rFonts w:ascii="Times New Roman" w:hAnsi="Times New Roman"/>
                <w:sz w:val="14"/>
              </w:rPr>
              <w:t>± </w:t>
            </w:r>
            <w:r>
              <w:rPr>
                <w:sz w:val="14"/>
              </w:rPr>
              <w:t>11.1</w:t>
            </w:r>
          </w:p>
        </w:tc>
        <w:tc>
          <w:tcPr>
            <w:tcW w:w="935" w:type="dxa"/>
            <w:tcBorders>
              <w:left w:val="dotted" w:sz="4" w:space="0" w:color="30859C"/>
            </w:tcBorders>
            <w:shd w:val="clear" w:color="auto" w:fill="77DFDD"/>
          </w:tcPr>
          <w:p>
            <w:pPr>
              <w:pStyle w:val="TableParagraph"/>
              <w:spacing w:before="9"/>
              <w:ind w:left="100" w:right="94"/>
              <w:rPr>
                <w:sz w:val="14"/>
              </w:rPr>
            </w:pPr>
            <w:r>
              <w:rPr>
                <w:sz w:val="14"/>
              </w:rPr>
              <w:t>50.4 </w:t>
            </w:r>
            <w:r>
              <w:rPr>
                <w:rFonts w:ascii="Times New Roman" w:hAnsi="Times New Roman"/>
                <w:sz w:val="14"/>
              </w:rPr>
              <w:t>± </w:t>
            </w:r>
            <w:r>
              <w:rPr>
                <w:sz w:val="14"/>
              </w:rPr>
              <w:t>29.2</w:t>
            </w:r>
          </w:p>
        </w:tc>
      </w:tr>
      <w:tr>
        <w:trPr>
          <w:trHeight w:val="202" w:hRule="exact"/>
        </w:trPr>
        <w:tc>
          <w:tcPr>
            <w:tcW w:w="260" w:type="dxa"/>
            <w:vMerge/>
            <w:shd w:val="clear" w:color="auto" w:fill="B4EDEC"/>
            <w:textDirection w:val="btLr"/>
          </w:tcPr>
          <w:p>
            <w:pPr/>
          </w:p>
        </w:tc>
        <w:tc>
          <w:tcPr>
            <w:tcW w:w="1030" w:type="dxa"/>
            <w:vMerge w:val="restart"/>
            <w:shd w:val="clear" w:color="auto" w:fill="B4EDEC"/>
          </w:tcPr>
          <w:p>
            <w:pPr>
              <w:pStyle w:val="TableParagraph"/>
              <w:spacing w:before="17"/>
              <w:ind w:left="20"/>
              <w:jc w:val="left"/>
              <w:rPr>
                <w:b/>
                <w:sz w:val="15"/>
              </w:rPr>
            </w:pPr>
            <w:r>
              <w:rPr>
                <w:b/>
                <w:sz w:val="15"/>
              </w:rPr>
              <w:t>Té</w:t>
            </w:r>
          </w:p>
        </w:tc>
        <w:tc>
          <w:tcPr>
            <w:tcW w:w="870" w:type="dxa"/>
            <w:vMerge w:val="restart"/>
            <w:shd w:val="clear" w:color="auto" w:fill="B4EDEC"/>
          </w:tcPr>
          <w:p>
            <w:pPr>
              <w:pStyle w:val="TableParagraph"/>
              <w:spacing w:before="15"/>
              <w:ind w:left="20"/>
              <w:jc w:val="left"/>
              <w:rPr>
                <w:sz w:val="12"/>
              </w:rPr>
            </w:pPr>
            <w:r>
              <w:rPr>
                <w:sz w:val="12"/>
              </w:rPr>
              <w:t>Si</w:t>
            </w:r>
          </w:p>
          <w:p>
            <w:pPr>
              <w:pStyle w:val="TableParagraph"/>
              <w:spacing w:before="0"/>
              <w:jc w:val="left"/>
              <w:rPr>
                <w:b/>
                <w:sz w:val="12"/>
              </w:rPr>
            </w:pPr>
          </w:p>
          <w:p>
            <w:pPr>
              <w:pStyle w:val="TableParagraph"/>
              <w:spacing w:before="7"/>
              <w:jc w:val="left"/>
              <w:rPr>
                <w:b/>
                <w:sz w:val="9"/>
              </w:rPr>
            </w:pPr>
          </w:p>
          <w:p>
            <w:pPr>
              <w:pStyle w:val="TableParagraph"/>
              <w:spacing w:before="0"/>
              <w:ind w:left="20"/>
              <w:jc w:val="left"/>
              <w:rPr>
                <w:sz w:val="12"/>
              </w:rPr>
            </w:pPr>
            <w:r>
              <w:rPr>
                <w:sz w:val="12"/>
              </w:rPr>
              <w:t>No</w:t>
            </w:r>
          </w:p>
        </w:tc>
        <w:tc>
          <w:tcPr>
            <w:tcW w:w="155" w:type="dxa"/>
            <w:vMerge w:val="restart"/>
            <w:tcBorders>
              <w:right w:val="dotted" w:sz="4" w:space="0" w:color="000000"/>
            </w:tcBorders>
            <w:shd w:val="clear" w:color="auto" w:fill="B4EDEC"/>
          </w:tcPr>
          <w:p>
            <w:pPr>
              <w:pStyle w:val="TableParagraph"/>
              <w:spacing w:before="0"/>
              <w:jc w:val="left"/>
              <w:rPr>
                <w:b/>
                <w:sz w:val="12"/>
              </w:rPr>
            </w:pPr>
          </w:p>
          <w:p>
            <w:pPr>
              <w:pStyle w:val="TableParagraph"/>
              <w:spacing w:before="71"/>
              <w:ind w:left="51"/>
              <w:jc w:val="left"/>
              <w:rPr>
                <w:b/>
                <w:sz w:val="12"/>
              </w:rPr>
            </w:pPr>
            <w:r>
              <w:rPr>
                <w:b/>
                <w:w w:val="99"/>
                <w:sz w:val="12"/>
              </w:rPr>
              <w:t>P</w:t>
            </w:r>
          </w:p>
        </w:tc>
        <w:tc>
          <w:tcPr>
            <w:tcW w:w="780" w:type="dxa"/>
            <w:tcBorders>
              <w:left w:val="dotted" w:sz="4" w:space="0" w:color="000000"/>
              <w:right w:val="dotted" w:sz="4" w:space="0" w:color="30859C"/>
            </w:tcBorders>
            <w:shd w:val="clear" w:color="auto" w:fill="B4EDEC"/>
          </w:tcPr>
          <w:p>
            <w:pPr>
              <w:pStyle w:val="TableParagraph"/>
              <w:spacing w:before="17"/>
              <w:ind w:left="90" w:right="99"/>
              <w:rPr>
                <w:sz w:val="14"/>
              </w:rPr>
            </w:pPr>
            <w:r>
              <w:rPr>
                <w:sz w:val="14"/>
              </w:rPr>
              <w:t>0.4 </w:t>
            </w:r>
            <w:r>
              <w:rPr>
                <w:rFonts w:ascii="Times New Roman" w:hAnsi="Times New Roman"/>
                <w:sz w:val="14"/>
              </w:rPr>
              <w:t>± </w:t>
            </w:r>
            <w:r>
              <w:rPr>
                <w:sz w:val="14"/>
              </w:rPr>
              <w:t>0.5</w:t>
            </w:r>
          </w:p>
        </w:tc>
        <w:tc>
          <w:tcPr>
            <w:tcW w:w="940" w:type="dxa"/>
            <w:tcBorders>
              <w:left w:val="dotted" w:sz="4" w:space="0" w:color="30859C"/>
              <w:right w:val="dotted" w:sz="4" w:space="0" w:color="30859C"/>
            </w:tcBorders>
            <w:shd w:val="clear" w:color="auto" w:fill="B4EDEC"/>
          </w:tcPr>
          <w:p>
            <w:pPr>
              <w:pStyle w:val="TableParagraph"/>
              <w:spacing w:before="17"/>
              <w:ind w:left="89" w:right="94"/>
              <w:rPr>
                <w:sz w:val="14"/>
              </w:rPr>
            </w:pPr>
            <w:r>
              <w:rPr>
                <w:sz w:val="14"/>
              </w:rPr>
              <w:t>3.2 </w:t>
            </w:r>
            <w:r>
              <w:rPr>
                <w:rFonts w:ascii="Times New Roman" w:hAnsi="Times New Roman"/>
                <w:sz w:val="14"/>
              </w:rPr>
              <w:t>± </w:t>
            </w:r>
            <w:r>
              <w:rPr>
                <w:sz w:val="14"/>
              </w:rPr>
              <w:t>2.6</w:t>
            </w:r>
          </w:p>
        </w:tc>
        <w:tc>
          <w:tcPr>
            <w:tcW w:w="1030" w:type="dxa"/>
            <w:tcBorders>
              <w:left w:val="dotted" w:sz="4" w:space="0" w:color="30859C"/>
              <w:right w:val="dotted" w:sz="4" w:space="0" w:color="30859C"/>
            </w:tcBorders>
            <w:shd w:val="clear" w:color="auto" w:fill="B4EDEC"/>
          </w:tcPr>
          <w:p>
            <w:pPr>
              <w:pStyle w:val="TableParagraph"/>
              <w:spacing w:before="17"/>
              <w:ind w:left="138" w:right="145"/>
              <w:rPr>
                <w:sz w:val="14"/>
              </w:rPr>
            </w:pPr>
            <w:r>
              <w:rPr>
                <w:sz w:val="14"/>
              </w:rPr>
              <w:t>16.9 </w:t>
            </w:r>
            <w:r>
              <w:rPr>
                <w:rFonts w:ascii="Times New Roman" w:hAnsi="Times New Roman"/>
                <w:sz w:val="14"/>
              </w:rPr>
              <w:t>± </w:t>
            </w:r>
            <w:r>
              <w:rPr>
                <w:sz w:val="14"/>
              </w:rPr>
              <w:t>15.2</w:t>
            </w:r>
          </w:p>
        </w:tc>
        <w:tc>
          <w:tcPr>
            <w:tcW w:w="940" w:type="dxa"/>
            <w:tcBorders>
              <w:left w:val="dotted" w:sz="4" w:space="0" w:color="30859C"/>
              <w:right w:val="dotted" w:sz="4" w:space="0" w:color="30859C"/>
            </w:tcBorders>
            <w:shd w:val="clear" w:color="auto" w:fill="B4EDEC"/>
          </w:tcPr>
          <w:p>
            <w:pPr>
              <w:pStyle w:val="TableParagraph"/>
              <w:spacing w:before="17"/>
              <w:ind w:left="94" w:right="94"/>
              <w:rPr>
                <w:sz w:val="14"/>
              </w:rPr>
            </w:pPr>
            <w:r>
              <w:rPr>
                <w:sz w:val="14"/>
              </w:rPr>
              <w:t>9.2 </w:t>
            </w:r>
            <w:r>
              <w:rPr>
                <w:rFonts w:ascii="Times New Roman" w:hAnsi="Times New Roman"/>
                <w:sz w:val="14"/>
              </w:rPr>
              <w:t>± </w:t>
            </w:r>
            <w:r>
              <w:rPr>
                <w:sz w:val="14"/>
              </w:rPr>
              <w:t>7.1</w:t>
            </w:r>
          </w:p>
        </w:tc>
        <w:tc>
          <w:tcPr>
            <w:tcW w:w="940" w:type="dxa"/>
            <w:tcBorders>
              <w:left w:val="dotted" w:sz="4" w:space="0" w:color="30859C"/>
              <w:right w:val="dotted" w:sz="4" w:space="0" w:color="30859C"/>
            </w:tcBorders>
            <w:shd w:val="clear" w:color="auto" w:fill="B4EDEC"/>
          </w:tcPr>
          <w:p>
            <w:pPr>
              <w:pStyle w:val="TableParagraph"/>
              <w:spacing w:before="17"/>
              <w:ind w:left="100" w:right="94"/>
              <w:rPr>
                <w:sz w:val="14"/>
              </w:rPr>
            </w:pPr>
            <w:r>
              <w:rPr>
                <w:sz w:val="14"/>
              </w:rPr>
              <w:t>8.6 </w:t>
            </w:r>
            <w:r>
              <w:rPr>
                <w:rFonts w:ascii="Times New Roman" w:hAnsi="Times New Roman"/>
                <w:sz w:val="14"/>
              </w:rPr>
              <w:t>± </w:t>
            </w:r>
            <w:r>
              <w:rPr>
                <w:sz w:val="14"/>
              </w:rPr>
              <w:t>10.8</w:t>
            </w:r>
          </w:p>
        </w:tc>
        <w:tc>
          <w:tcPr>
            <w:tcW w:w="860" w:type="dxa"/>
            <w:tcBorders>
              <w:left w:val="dotted" w:sz="4" w:space="0" w:color="30859C"/>
              <w:right w:val="dotted" w:sz="4" w:space="0" w:color="30859C"/>
            </w:tcBorders>
            <w:shd w:val="clear" w:color="auto" w:fill="B4EDEC"/>
          </w:tcPr>
          <w:p>
            <w:pPr>
              <w:pStyle w:val="TableParagraph"/>
              <w:spacing w:before="17"/>
              <w:ind w:left="54" w:right="56"/>
              <w:rPr>
                <w:sz w:val="14"/>
              </w:rPr>
            </w:pPr>
            <w:r>
              <w:rPr>
                <w:sz w:val="14"/>
              </w:rPr>
              <w:t>1.1 </w:t>
            </w:r>
            <w:r>
              <w:rPr>
                <w:rFonts w:ascii="Times New Roman" w:hAnsi="Times New Roman"/>
                <w:sz w:val="14"/>
              </w:rPr>
              <w:t>± </w:t>
            </w:r>
            <w:r>
              <w:rPr>
                <w:sz w:val="14"/>
              </w:rPr>
              <w:t>1.7</w:t>
            </w:r>
          </w:p>
        </w:tc>
        <w:tc>
          <w:tcPr>
            <w:tcW w:w="860" w:type="dxa"/>
            <w:tcBorders>
              <w:left w:val="dotted" w:sz="4" w:space="0" w:color="30859C"/>
              <w:right w:val="dotted" w:sz="4" w:space="0" w:color="30859C"/>
            </w:tcBorders>
            <w:shd w:val="clear" w:color="auto" w:fill="B4EDEC"/>
          </w:tcPr>
          <w:p>
            <w:pPr>
              <w:pStyle w:val="TableParagraph"/>
              <w:spacing w:before="17"/>
              <w:ind w:left="54" w:right="60"/>
              <w:rPr>
                <w:sz w:val="14"/>
              </w:rPr>
            </w:pPr>
            <w:r>
              <w:rPr>
                <w:sz w:val="14"/>
              </w:rPr>
              <w:t>12.1 </w:t>
            </w:r>
            <w:r>
              <w:rPr>
                <w:rFonts w:ascii="Times New Roman" w:hAnsi="Times New Roman"/>
                <w:sz w:val="14"/>
              </w:rPr>
              <w:t>± </w:t>
            </w:r>
            <w:r>
              <w:rPr>
                <w:sz w:val="14"/>
              </w:rPr>
              <w:t>11.4</w:t>
            </w:r>
          </w:p>
        </w:tc>
        <w:tc>
          <w:tcPr>
            <w:tcW w:w="935" w:type="dxa"/>
            <w:tcBorders>
              <w:left w:val="dotted" w:sz="4" w:space="0" w:color="30859C"/>
            </w:tcBorders>
            <w:shd w:val="clear" w:color="auto" w:fill="B4EDEC"/>
          </w:tcPr>
          <w:p>
            <w:pPr>
              <w:pStyle w:val="TableParagraph"/>
              <w:spacing w:before="17"/>
              <w:ind w:left="100" w:right="94"/>
              <w:rPr>
                <w:sz w:val="14"/>
              </w:rPr>
            </w:pPr>
            <w:r>
              <w:rPr>
                <w:sz w:val="14"/>
              </w:rPr>
              <w:t>51.2 </w:t>
            </w:r>
            <w:r>
              <w:rPr>
                <w:rFonts w:ascii="Times New Roman" w:hAnsi="Times New Roman"/>
                <w:sz w:val="14"/>
              </w:rPr>
              <w:t>± </w:t>
            </w:r>
            <w:r>
              <w:rPr>
                <w:sz w:val="14"/>
              </w:rPr>
              <w:t>30.2</w:t>
            </w:r>
          </w:p>
        </w:tc>
      </w:tr>
      <w:tr>
        <w:trPr>
          <w:trHeight w:val="193" w:hRule="exact"/>
        </w:trPr>
        <w:tc>
          <w:tcPr>
            <w:tcW w:w="260" w:type="dxa"/>
            <w:vMerge/>
            <w:shd w:val="clear" w:color="auto" w:fill="B4EDEC"/>
            <w:textDirection w:val="btLr"/>
          </w:tcPr>
          <w:p>
            <w:pPr/>
          </w:p>
        </w:tc>
        <w:tc>
          <w:tcPr>
            <w:tcW w:w="1030" w:type="dxa"/>
            <w:vMerge/>
            <w:shd w:val="clear" w:color="auto" w:fill="B4EDEC"/>
          </w:tcPr>
          <w:p>
            <w:pPr/>
          </w:p>
        </w:tc>
        <w:tc>
          <w:tcPr>
            <w:tcW w:w="870" w:type="dxa"/>
            <w:vMerge/>
            <w:shd w:val="clear" w:color="auto" w:fill="B4EDEC"/>
          </w:tcPr>
          <w:p>
            <w:pPr/>
          </w:p>
        </w:tc>
        <w:tc>
          <w:tcPr>
            <w:tcW w:w="155" w:type="dxa"/>
            <w:vMerge/>
            <w:tcBorders>
              <w:right w:val="dotted" w:sz="4" w:space="0" w:color="000000"/>
            </w:tcBorders>
            <w:shd w:val="clear" w:color="auto" w:fill="B4EDEC"/>
          </w:tcPr>
          <w:p>
            <w:pPr/>
          </w:p>
        </w:tc>
        <w:tc>
          <w:tcPr>
            <w:tcW w:w="780" w:type="dxa"/>
            <w:tcBorders>
              <w:left w:val="dotted" w:sz="4" w:space="0" w:color="000000"/>
              <w:right w:val="dotted" w:sz="4" w:space="0" w:color="30859C"/>
            </w:tcBorders>
            <w:shd w:val="clear" w:color="auto" w:fill="B4EDEC"/>
          </w:tcPr>
          <w:p>
            <w:pPr>
              <w:pStyle w:val="TableParagraph"/>
              <w:spacing w:before="8"/>
              <w:ind w:left="90" w:right="86"/>
              <w:rPr>
                <w:sz w:val="14"/>
              </w:rPr>
            </w:pPr>
            <w:r>
              <w:rPr>
                <w:sz w:val="14"/>
              </w:rPr>
              <w:t>0.1*</w:t>
            </w:r>
          </w:p>
        </w:tc>
        <w:tc>
          <w:tcPr>
            <w:tcW w:w="940" w:type="dxa"/>
            <w:tcBorders>
              <w:left w:val="dotted" w:sz="4" w:space="0" w:color="30859C"/>
              <w:right w:val="dotted" w:sz="4" w:space="0" w:color="30859C"/>
            </w:tcBorders>
            <w:shd w:val="clear" w:color="auto" w:fill="B4EDEC"/>
          </w:tcPr>
          <w:p>
            <w:pPr>
              <w:pStyle w:val="TableParagraph"/>
              <w:spacing w:before="8"/>
              <w:ind w:left="85" w:right="94"/>
              <w:rPr>
                <w:sz w:val="14"/>
              </w:rPr>
            </w:pPr>
            <w:r>
              <w:rPr>
                <w:sz w:val="14"/>
              </w:rPr>
              <w:t>0.5*</w:t>
            </w:r>
          </w:p>
        </w:tc>
        <w:tc>
          <w:tcPr>
            <w:tcW w:w="1030" w:type="dxa"/>
            <w:tcBorders>
              <w:left w:val="dotted" w:sz="4" w:space="0" w:color="30859C"/>
              <w:right w:val="dotted" w:sz="4" w:space="0" w:color="30859C"/>
            </w:tcBorders>
            <w:shd w:val="clear" w:color="auto" w:fill="B4EDEC"/>
          </w:tcPr>
          <w:p>
            <w:pPr>
              <w:pStyle w:val="TableParagraph"/>
              <w:spacing w:before="8"/>
              <w:ind w:left="134" w:right="145"/>
              <w:rPr>
                <w:sz w:val="14"/>
              </w:rPr>
            </w:pPr>
            <w:r>
              <w:rPr>
                <w:sz w:val="14"/>
              </w:rPr>
              <w:t>0.3*</w:t>
            </w:r>
          </w:p>
        </w:tc>
        <w:tc>
          <w:tcPr>
            <w:tcW w:w="940" w:type="dxa"/>
            <w:tcBorders>
              <w:left w:val="dotted" w:sz="4" w:space="0" w:color="30859C"/>
              <w:right w:val="dotted" w:sz="4" w:space="0" w:color="30859C"/>
            </w:tcBorders>
            <w:shd w:val="clear" w:color="auto" w:fill="B4EDEC"/>
          </w:tcPr>
          <w:p>
            <w:pPr>
              <w:pStyle w:val="TableParagraph"/>
              <w:spacing w:before="8"/>
              <w:ind w:left="93" w:right="94"/>
              <w:rPr>
                <w:sz w:val="14"/>
              </w:rPr>
            </w:pPr>
            <w:r>
              <w:rPr>
                <w:sz w:val="14"/>
              </w:rPr>
              <w:t>0.6*</w:t>
            </w:r>
          </w:p>
        </w:tc>
        <w:tc>
          <w:tcPr>
            <w:tcW w:w="940" w:type="dxa"/>
            <w:tcBorders>
              <w:left w:val="dotted" w:sz="4" w:space="0" w:color="30859C"/>
              <w:right w:val="dotted" w:sz="4" w:space="0" w:color="30859C"/>
            </w:tcBorders>
            <w:shd w:val="clear" w:color="auto" w:fill="B4EDEC"/>
          </w:tcPr>
          <w:p>
            <w:pPr>
              <w:pStyle w:val="TableParagraph"/>
              <w:spacing w:before="8"/>
              <w:ind w:left="97" w:right="94"/>
              <w:rPr>
                <w:sz w:val="14"/>
              </w:rPr>
            </w:pPr>
            <w:r>
              <w:rPr>
                <w:sz w:val="14"/>
              </w:rPr>
              <w:t>0.4*</w:t>
            </w:r>
          </w:p>
        </w:tc>
        <w:tc>
          <w:tcPr>
            <w:tcW w:w="860" w:type="dxa"/>
            <w:tcBorders>
              <w:left w:val="dotted" w:sz="4" w:space="0" w:color="30859C"/>
              <w:right w:val="dotted" w:sz="4" w:space="0" w:color="30859C"/>
            </w:tcBorders>
            <w:shd w:val="clear" w:color="auto" w:fill="B4EDEC"/>
          </w:tcPr>
          <w:p>
            <w:pPr>
              <w:pStyle w:val="TableParagraph"/>
              <w:spacing w:before="8"/>
              <w:ind w:left="54" w:right="43"/>
              <w:rPr>
                <w:sz w:val="14"/>
              </w:rPr>
            </w:pPr>
            <w:r>
              <w:rPr>
                <w:sz w:val="14"/>
              </w:rPr>
              <w:t>0.8*</w:t>
            </w:r>
          </w:p>
        </w:tc>
        <w:tc>
          <w:tcPr>
            <w:tcW w:w="860" w:type="dxa"/>
            <w:tcBorders>
              <w:left w:val="dotted" w:sz="4" w:space="0" w:color="30859C"/>
              <w:right w:val="dotted" w:sz="4" w:space="0" w:color="30859C"/>
            </w:tcBorders>
            <w:shd w:val="clear" w:color="auto" w:fill="B4EDEC"/>
          </w:tcPr>
          <w:p>
            <w:pPr>
              <w:pStyle w:val="TableParagraph"/>
              <w:spacing w:before="8"/>
              <w:ind w:left="54" w:right="47"/>
              <w:rPr>
                <w:sz w:val="14"/>
              </w:rPr>
            </w:pPr>
            <w:r>
              <w:rPr>
                <w:sz w:val="14"/>
              </w:rPr>
              <w:t>0.5*</w:t>
            </w:r>
          </w:p>
        </w:tc>
        <w:tc>
          <w:tcPr>
            <w:tcW w:w="935" w:type="dxa"/>
            <w:tcBorders>
              <w:left w:val="dotted" w:sz="4" w:space="0" w:color="30859C"/>
            </w:tcBorders>
            <w:shd w:val="clear" w:color="auto" w:fill="B4EDEC"/>
          </w:tcPr>
          <w:p>
            <w:pPr>
              <w:pStyle w:val="TableParagraph"/>
              <w:spacing w:before="8"/>
              <w:ind w:left="96" w:right="94"/>
              <w:rPr>
                <w:sz w:val="14"/>
              </w:rPr>
            </w:pPr>
            <w:r>
              <w:rPr>
                <w:sz w:val="14"/>
              </w:rPr>
              <w:t>0.9*</w:t>
            </w:r>
          </w:p>
        </w:tc>
      </w:tr>
      <w:tr>
        <w:trPr>
          <w:trHeight w:val="185" w:hRule="exact"/>
        </w:trPr>
        <w:tc>
          <w:tcPr>
            <w:tcW w:w="260" w:type="dxa"/>
            <w:vMerge/>
            <w:shd w:val="clear" w:color="auto" w:fill="B4EDEC"/>
            <w:textDirection w:val="btLr"/>
          </w:tcPr>
          <w:p>
            <w:pPr/>
          </w:p>
        </w:tc>
        <w:tc>
          <w:tcPr>
            <w:tcW w:w="1030" w:type="dxa"/>
            <w:vMerge/>
            <w:shd w:val="clear" w:color="auto" w:fill="B4EDEC"/>
          </w:tcPr>
          <w:p>
            <w:pPr/>
          </w:p>
        </w:tc>
        <w:tc>
          <w:tcPr>
            <w:tcW w:w="870" w:type="dxa"/>
            <w:vMerge/>
            <w:shd w:val="clear" w:color="auto" w:fill="B4EDEC"/>
          </w:tcPr>
          <w:p>
            <w:pPr/>
          </w:p>
        </w:tc>
        <w:tc>
          <w:tcPr>
            <w:tcW w:w="155" w:type="dxa"/>
            <w:vMerge/>
            <w:tcBorders>
              <w:right w:val="dotted" w:sz="4" w:space="0" w:color="000000"/>
            </w:tcBorders>
            <w:shd w:val="clear" w:color="auto" w:fill="B4EDEC"/>
          </w:tcPr>
          <w:p>
            <w:pPr/>
          </w:p>
        </w:tc>
        <w:tc>
          <w:tcPr>
            <w:tcW w:w="780" w:type="dxa"/>
            <w:tcBorders>
              <w:left w:val="dotted" w:sz="4" w:space="0" w:color="000000"/>
              <w:right w:val="dotted" w:sz="4" w:space="0" w:color="30859C"/>
            </w:tcBorders>
            <w:shd w:val="clear" w:color="auto" w:fill="B4EDEC"/>
          </w:tcPr>
          <w:p>
            <w:pPr>
              <w:pStyle w:val="TableParagraph"/>
              <w:spacing w:before="9"/>
              <w:ind w:left="90" w:right="99"/>
              <w:rPr>
                <w:sz w:val="14"/>
              </w:rPr>
            </w:pPr>
            <w:r>
              <w:rPr>
                <w:sz w:val="14"/>
              </w:rPr>
              <w:t>0.2 </w:t>
            </w:r>
            <w:r>
              <w:rPr>
                <w:rFonts w:ascii="Times New Roman" w:hAnsi="Times New Roman"/>
                <w:sz w:val="14"/>
              </w:rPr>
              <w:t>± </w:t>
            </w:r>
            <w:r>
              <w:rPr>
                <w:sz w:val="14"/>
              </w:rPr>
              <w:t>0.5</w:t>
            </w:r>
          </w:p>
        </w:tc>
        <w:tc>
          <w:tcPr>
            <w:tcW w:w="940" w:type="dxa"/>
            <w:tcBorders>
              <w:left w:val="dotted" w:sz="4" w:space="0" w:color="30859C"/>
              <w:right w:val="dotted" w:sz="4" w:space="0" w:color="30859C"/>
            </w:tcBorders>
            <w:shd w:val="clear" w:color="auto" w:fill="B4EDEC"/>
          </w:tcPr>
          <w:p>
            <w:pPr>
              <w:pStyle w:val="TableParagraph"/>
              <w:spacing w:before="9"/>
              <w:ind w:left="89" w:right="94"/>
              <w:rPr>
                <w:sz w:val="14"/>
              </w:rPr>
            </w:pPr>
            <w:r>
              <w:rPr>
                <w:sz w:val="14"/>
              </w:rPr>
              <w:t>2.7 </w:t>
            </w:r>
            <w:r>
              <w:rPr>
                <w:rFonts w:ascii="Times New Roman" w:hAnsi="Times New Roman"/>
                <w:sz w:val="14"/>
              </w:rPr>
              <w:t>± </w:t>
            </w:r>
            <w:r>
              <w:rPr>
                <w:sz w:val="14"/>
              </w:rPr>
              <w:t>2.5</w:t>
            </w:r>
          </w:p>
        </w:tc>
        <w:tc>
          <w:tcPr>
            <w:tcW w:w="1030" w:type="dxa"/>
            <w:tcBorders>
              <w:left w:val="dotted" w:sz="4" w:space="0" w:color="30859C"/>
              <w:right w:val="dotted" w:sz="4" w:space="0" w:color="30859C"/>
            </w:tcBorders>
            <w:shd w:val="clear" w:color="auto" w:fill="B4EDEC"/>
          </w:tcPr>
          <w:p>
            <w:pPr>
              <w:pStyle w:val="TableParagraph"/>
              <w:spacing w:before="9"/>
              <w:ind w:left="138" w:right="145"/>
              <w:rPr>
                <w:sz w:val="14"/>
              </w:rPr>
            </w:pPr>
            <w:r>
              <w:rPr>
                <w:sz w:val="14"/>
              </w:rPr>
              <w:t>19.5 </w:t>
            </w:r>
            <w:r>
              <w:rPr>
                <w:rFonts w:ascii="Times New Roman" w:hAnsi="Times New Roman"/>
                <w:sz w:val="14"/>
              </w:rPr>
              <w:t>± </w:t>
            </w:r>
            <w:r>
              <w:rPr>
                <w:sz w:val="14"/>
              </w:rPr>
              <w:t>13.1</w:t>
            </w:r>
          </w:p>
        </w:tc>
        <w:tc>
          <w:tcPr>
            <w:tcW w:w="940" w:type="dxa"/>
            <w:tcBorders>
              <w:left w:val="dotted" w:sz="4" w:space="0" w:color="30859C"/>
              <w:right w:val="dotted" w:sz="4" w:space="0" w:color="30859C"/>
            </w:tcBorders>
            <w:shd w:val="clear" w:color="auto" w:fill="B4EDEC"/>
          </w:tcPr>
          <w:p>
            <w:pPr>
              <w:pStyle w:val="TableParagraph"/>
              <w:spacing w:before="9"/>
              <w:ind w:left="94" w:right="94"/>
              <w:rPr>
                <w:sz w:val="14"/>
              </w:rPr>
            </w:pPr>
            <w:r>
              <w:rPr>
                <w:sz w:val="14"/>
              </w:rPr>
              <w:t>9.5 </w:t>
            </w:r>
            <w:r>
              <w:rPr>
                <w:rFonts w:ascii="Times New Roman" w:hAnsi="Times New Roman"/>
                <w:sz w:val="14"/>
              </w:rPr>
              <w:t>± </w:t>
            </w:r>
            <w:r>
              <w:rPr>
                <w:sz w:val="14"/>
              </w:rPr>
              <w:t>5.8</w:t>
            </w:r>
          </w:p>
        </w:tc>
        <w:tc>
          <w:tcPr>
            <w:tcW w:w="940" w:type="dxa"/>
            <w:tcBorders>
              <w:left w:val="dotted" w:sz="4" w:space="0" w:color="30859C"/>
              <w:right w:val="dotted" w:sz="4" w:space="0" w:color="30859C"/>
            </w:tcBorders>
            <w:shd w:val="clear" w:color="auto" w:fill="B4EDEC"/>
          </w:tcPr>
          <w:p>
            <w:pPr>
              <w:pStyle w:val="TableParagraph"/>
              <w:spacing w:before="9"/>
              <w:ind w:left="100" w:right="94"/>
              <w:rPr>
                <w:sz w:val="14"/>
              </w:rPr>
            </w:pPr>
            <w:r>
              <w:rPr>
                <w:sz w:val="14"/>
              </w:rPr>
              <w:t>6.1 </w:t>
            </w:r>
            <w:r>
              <w:rPr>
                <w:rFonts w:ascii="Times New Roman" w:hAnsi="Times New Roman"/>
                <w:sz w:val="14"/>
              </w:rPr>
              <w:t>± </w:t>
            </w:r>
            <w:r>
              <w:rPr>
                <w:sz w:val="14"/>
              </w:rPr>
              <w:t>7.0</w:t>
            </w:r>
          </w:p>
        </w:tc>
        <w:tc>
          <w:tcPr>
            <w:tcW w:w="860" w:type="dxa"/>
            <w:tcBorders>
              <w:left w:val="dotted" w:sz="4" w:space="0" w:color="30859C"/>
              <w:right w:val="dotted" w:sz="4" w:space="0" w:color="30859C"/>
            </w:tcBorders>
            <w:shd w:val="clear" w:color="auto" w:fill="B4EDEC"/>
          </w:tcPr>
          <w:p>
            <w:pPr>
              <w:pStyle w:val="TableParagraph"/>
              <w:spacing w:before="9"/>
              <w:ind w:left="54" w:right="56"/>
              <w:rPr>
                <w:sz w:val="14"/>
              </w:rPr>
            </w:pPr>
            <w:r>
              <w:rPr>
                <w:sz w:val="14"/>
              </w:rPr>
              <w:t>1.2 </w:t>
            </w:r>
            <w:r>
              <w:rPr>
                <w:rFonts w:ascii="Times New Roman" w:hAnsi="Times New Roman"/>
                <w:sz w:val="14"/>
              </w:rPr>
              <w:t>± </w:t>
            </w:r>
            <w:r>
              <w:rPr>
                <w:sz w:val="14"/>
              </w:rPr>
              <w:t>2.1</w:t>
            </w:r>
          </w:p>
        </w:tc>
        <w:tc>
          <w:tcPr>
            <w:tcW w:w="860" w:type="dxa"/>
            <w:tcBorders>
              <w:left w:val="dotted" w:sz="4" w:space="0" w:color="30859C"/>
              <w:right w:val="dotted" w:sz="4" w:space="0" w:color="30859C"/>
            </w:tcBorders>
            <w:shd w:val="clear" w:color="auto" w:fill="B4EDEC"/>
          </w:tcPr>
          <w:p>
            <w:pPr>
              <w:pStyle w:val="TableParagraph"/>
              <w:spacing w:before="9"/>
              <w:ind w:left="54" w:right="60"/>
              <w:rPr>
                <w:sz w:val="14"/>
              </w:rPr>
            </w:pPr>
            <w:r>
              <w:rPr>
                <w:sz w:val="14"/>
              </w:rPr>
              <w:t>9.1 </w:t>
            </w:r>
            <w:r>
              <w:rPr>
                <w:rFonts w:ascii="Times New Roman" w:hAnsi="Times New Roman"/>
                <w:sz w:val="14"/>
              </w:rPr>
              <w:t>± </w:t>
            </w:r>
            <w:r>
              <w:rPr>
                <w:sz w:val="14"/>
              </w:rPr>
              <w:t>7.6</w:t>
            </w:r>
          </w:p>
        </w:tc>
        <w:tc>
          <w:tcPr>
            <w:tcW w:w="935" w:type="dxa"/>
            <w:tcBorders>
              <w:left w:val="dotted" w:sz="4" w:space="0" w:color="30859C"/>
            </w:tcBorders>
            <w:shd w:val="clear" w:color="auto" w:fill="B4EDEC"/>
          </w:tcPr>
          <w:p>
            <w:pPr>
              <w:pStyle w:val="TableParagraph"/>
              <w:spacing w:before="9"/>
              <w:ind w:left="100" w:right="94"/>
              <w:rPr>
                <w:sz w:val="14"/>
              </w:rPr>
            </w:pPr>
            <w:r>
              <w:rPr>
                <w:sz w:val="14"/>
              </w:rPr>
              <w:t>48.3 </w:t>
            </w:r>
            <w:r>
              <w:rPr>
                <w:rFonts w:ascii="Times New Roman" w:hAnsi="Times New Roman"/>
                <w:sz w:val="14"/>
              </w:rPr>
              <w:t>± </w:t>
            </w:r>
            <w:r>
              <w:rPr>
                <w:sz w:val="14"/>
              </w:rPr>
              <w:t>22.2</w:t>
            </w:r>
          </w:p>
        </w:tc>
      </w:tr>
      <w:tr>
        <w:trPr>
          <w:trHeight w:val="202" w:hRule="exact"/>
        </w:trPr>
        <w:tc>
          <w:tcPr>
            <w:tcW w:w="260" w:type="dxa"/>
            <w:vMerge/>
            <w:shd w:val="clear" w:color="auto" w:fill="B4EDEC"/>
            <w:textDirection w:val="btLr"/>
          </w:tcPr>
          <w:p>
            <w:pPr/>
          </w:p>
        </w:tc>
        <w:tc>
          <w:tcPr>
            <w:tcW w:w="1030" w:type="dxa"/>
            <w:vMerge w:val="restart"/>
            <w:shd w:val="clear" w:color="auto" w:fill="77DFDD"/>
          </w:tcPr>
          <w:p>
            <w:pPr>
              <w:pStyle w:val="TableParagraph"/>
              <w:spacing w:before="18"/>
              <w:ind w:left="20"/>
              <w:jc w:val="left"/>
              <w:rPr>
                <w:b/>
                <w:sz w:val="15"/>
              </w:rPr>
            </w:pPr>
            <w:r>
              <w:rPr>
                <w:b/>
                <w:sz w:val="15"/>
              </w:rPr>
              <w:t>Café</w:t>
            </w:r>
          </w:p>
        </w:tc>
        <w:tc>
          <w:tcPr>
            <w:tcW w:w="870" w:type="dxa"/>
            <w:vMerge w:val="restart"/>
            <w:shd w:val="clear" w:color="auto" w:fill="77DFDD"/>
          </w:tcPr>
          <w:p>
            <w:pPr>
              <w:pStyle w:val="TableParagraph"/>
              <w:spacing w:before="15"/>
              <w:ind w:left="20"/>
              <w:jc w:val="left"/>
              <w:rPr>
                <w:sz w:val="12"/>
              </w:rPr>
            </w:pPr>
            <w:r>
              <w:rPr>
                <w:sz w:val="12"/>
              </w:rPr>
              <w:t>Si</w:t>
            </w:r>
          </w:p>
          <w:p>
            <w:pPr>
              <w:pStyle w:val="TableParagraph"/>
              <w:spacing w:before="0"/>
              <w:jc w:val="left"/>
              <w:rPr>
                <w:b/>
                <w:sz w:val="12"/>
              </w:rPr>
            </w:pPr>
          </w:p>
          <w:p>
            <w:pPr>
              <w:pStyle w:val="TableParagraph"/>
              <w:spacing w:before="7"/>
              <w:jc w:val="left"/>
              <w:rPr>
                <w:b/>
                <w:sz w:val="9"/>
              </w:rPr>
            </w:pPr>
          </w:p>
          <w:p>
            <w:pPr>
              <w:pStyle w:val="TableParagraph"/>
              <w:spacing w:before="0"/>
              <w:ind w:left="20"/>
              <w:jc w:val="left"/>
              <w:rPr>
                <w:sz w:val="12"/>
              </w:rPr>
            </w:pPr>
            <w:r>
              <w:rPr>
                <w:sz w:val="12"/>
              </w:rPr>
              <w:t>No</w:t>
            </w:r>
          </w:p>
        </w:tc>
        <w:tc>
          <w:tcPr>
            <w:tcW w:w="155" w:type="dxa"/>
            <w:vMerge w:val="restart"/>
            <w:tcBorders>
              <w:right w:val="dotted" w:sz="4" w:space="0" w:color="000000"/>
            </w:tcBorders>
            <w:shd w:val="clear" w:color="auto" w:fill="77DFDD"/>
          </w:tcPr>
          <w:p>
            <w:pPr>
              <w:pStyle w:val="TableParagraph"/>
              <w:spacing w:before="0"/>
              <w:jc w:val="left"/>
              <w:rPr>
                <w:b/>
                <w:sz w:val="12"/>
              </w:rPr>
            </w:pPr>
          </w:p>
          <w:p>
            <w:pPr>
              <w:pStyle w:val="TableParagraph"/>
              <w:spacing w:before="71"/>
              <w:ind w:left="51"/>
              <w:jc w:val="left"/>
              <w:rPr>
                <w:b/>
                <w:sz w:val="12"/>
              </w:rPr>
            </w:pPr>
            <w:r>
              <w:rPr>
                <w:b/>
                <w:w w:val="100"/>
                <w:sz w:val="12"/>
              </w:rPr>
              <w:t>P</w:t>
            </w:r>
          </w:p>
        </w:tc>
        <w:tc>
          <w:tcPr>
            <w:tcW w:w="780" w:type="dxa"/>
            <w:tcBorders>
              <w:left w:val="dotted" w:sz="4" w:space="0" w:color="000000"/>
              <w:right w:val="dotted" w:sz="4" w:space="0" w:color="30859C"/>
            </w:tcBorders>
            <w:shd w:val="clear" w:color="auto" w:fill="77DFDD"/>
          </w:tcPr>
          <w:p>
            <w:pPr>
              <w:pStyle w:val="TableParagraph"/>
              <w:spacing w:before="17"/>
              <w:ind w:left="90" w:right="99"/>
              <w:rPr>
                <w:sz w:val="14"/>
              </w:rPr>
            </w:pPr>
            <w:r>
              <w:rPr>
                <w:sz w:val="14"/>
              </w:rPr>
              <w:t>0.5 </w:t>
            </w:r>
            <w:r>
              <w:rPr>
                <w:rFonts w:ascii="Times New Roman" w:hAnsi="Times New Roman"/>
                <w:sz w:val="14"/>
              </w:rPr>
              <w:t>± </w:t>
            </w:r>
            <w:r>
              <w:rPr>
                <w:sz w:val="14"/>
              </w:rPr>
              <w:t>0.7</w:t>
            </w:r>
          </w:p>
        </w:tc>
        <w:tc>
          <w:tcPr>
            <w:tcW w:w="940" w:type="dxa"/>
            <w:tcBorders>
              <w:left w:val="dotted" w:sz="4" w:space="0" w:color="30859C"/>
              <w:right w:val="dotted" w:sz="4" w:space="0" w:color="30859C"/>
            </w:tcBorders>
            <w:shd w:val="clear" w:color="auto" w:fill="77DFDD"/>
          </w:tcPr>
          <w:p>
            <w:pPr>
              <w:pStyle w:val="TableParagraph"/>
              <w:spacing w:before="17"/>
              <w:ind w:left="89" w:right="94"/>
              <w:rPr>
                <w:sz w:val="14"/>
              </w:rPr>
            </w:pPr>
            <w:r>
              <w:rPr>
                <w:sz w:val="14"/>
              </w:rPr>
              <w:t>3.2 </w:t>
            </w:r>
            <w:r>
              <w:rPr>
                <w:rFonts w:ascii="Times New Roman" w:hAnsi="Times New Roman"/>
                <w:sz w:val="14"/>
              </w:rPr>
              <w:t>± </w:t>
            </w:r>
            <w:r>
              <w:rPr>
                <w:sz w:val="14"/>
              </w:rPr>
              <w:t>2.5</w:t>
            </w:r>
          </w:p>
        </w:tc>
        <w:tc>
          <w:tcPr>
            <w:tcW w:w="1030" w:type="dxa"/>
            <w:tcBorders>
              <w:left w:val="dotted" w:sz="4" w:space="0" w:color="30859C"/>
              <w:right w:val="dotted" w:sz="4" w:space="0" w:color="30859C"/>
            </w:tcBorders>
            <w:shd w:val="clear" w:color="auto" w:fill="77DFDD"/>
          </w:tcPr>
          <w:p>
            <w:pPr>
              <w:pStyle w:val="TableParagraph"/>
              <w:spacing w:before="17"/>
              <w:ind w:left="138" w:right="145"/>
              <w:rPr>
                <w:sz w:val="14"/>
              </w:rPr>
            </w:pPr>
            <w:r>
              <w:rPr>
                <w:sz w:val="14"/>
              </w:rPr>
              <w:t>18.5 </w:t>
            </w:r>
            <w:r>
              <w:rPr>
                <w:rFonts w:ascii="Times New Roman" w:hAnsi="Times New Roman"/>
                <w:sz w:val="14"/>
              </w:rPr>
              <w:t>± </w:t>
            </w:r>
            <w:r>
              <w:rPr>
                <w:sz w:val="14"/>
              </w:rPr>
              <w:t>15.9</w:t>
            </w:r>
          </w:p>
        </w:tc>
        <w:tc>
          <w:tcPr>
            <w:tcW w:w="940" w:type="dxa"/>
            <w:tcBorders>
              <w:left w:val="dotted" w:sz="4" w:space="0" w:color="30859C"/>
              <w:right w:val="dotted" w:sz="4" w:space="0" w:color="30859C"/>
            </w:tcBorders>
            <w:shd w:val="clear" w:color="auto" w:fill="77DFDD"/>
          </w:tcPr>
          <w:p>
            <w:pPr>
              <w:pStyle w:val="TableParagraph"/>
              <w:spacing w:before="17"/>
              <w:ind w:left="94" w:right="94"/>
              <w:rPr>
                <w:sz w:val="14"/>
              </w:rPr>
            </w:pPr>
            <w:r>
              <w:rPr>
                <w:sz w:val="14"/>
              </w:rPr>
              <w:t>8.9 </w:t>
            </w:r>
            <w:r>
              <w:rPr>
                <w:rFonts w:ascii="Times New Roman" w:hAnsi="Times New Roman"/>
                <w:sz w:val="14"/>
              </w:rPr>
              <w:t>± </w:t>
            </w:r>
            <w:r>
              <w:rPr>
                <w:sz w:val="14"/>
              </w:rPr>
              <w:t>6.5</w:t>
            </w:r>
          </w:p>
        </w:tc>
        <w:tc>
          <w:tcPr>
            <w:tcW w:w="940" w:type="dxa"/>
            <w:tcBorders>
              <w:left w:val="dotted" w:sz="4" w:space="0" w:color="30859C"/>
              <w:right w:val="dotted" w:sz="4" w:space="0" w:color="30859C"/>
            </w:tcBorders>
            <w:shd w:val="clear" w:color="auto" w:fill="77DFDD"/>
          </w:tcPr>
          <w:p>
            <w:pPr>
              <w:pStyle w:val="TableParagraph"/>
              <w:spacing w:before="17"/>
              <w:ind w:left="100" w:right="94"/>
              <w:rPr>
                <w:sz w:val="14"/>
              </w:rPr>
            </w:pPr>
            <w:r>
              <w:rPr>
                <w:sz w:val="14"/>
              </w:rPr>
              <w:t>8.0 </w:t>
            </w:r>
            <w:r>
              <w:rPr>
                <w:rFonts w:ascii="Times New Roman" w:hAnsi="Times New Roman"/>
                <w:sz w:val="14"/>
              </w:rPr>
              <w:t>± </w:t>
            </w:r>
            <w:r>
              <w:rPr>
                <w:sz w:val="14"/>
              </w:rPr>
              <w:t>12.1</w:t>
            </w:r>
          </w:p>
        </w:tc>
        <w:tc>
          <w:tcPr>
            <w:tcW w:w="860" w:type="dxa"/>
            <w:tcBorders>
              <w:left w:val="dotted" w:sz="4" w:space="0" w:color="30859C"/>
              <w:right w:val="dotted" w:sz="4" w:space="0" w:color="30859C"/>
            </w:tcBorders>
            <w:shd w:val="clear" w:color="auto" w:fill="77DFDD"/>
          </w:tcPr>
          <w:p>
            <w:pPr>
              <w:pStyle w:val="TableParagraph"/>
              <w:spacing w:before="17"/>
              <w:ind w:left="54" w:right="56"/>
              <w:rPr>
                <w:sz w:val="14"/>
              </w:rPr>
            </w:pPr>
            <w:r>
              <w:rPr>
                <w:sz w:val="14"/>
              </w:rPr>
              <w:t>1.1 </w:t>
            </w:r>
            <w:r>
              <w:rPr>
                <w:rFonts w:ascii="Times New Roman" w:hAnsi="Times New Roman"/>
                <w:sz w:val="14"/>
              </w:rPr>
              <w:t>± </w:t>
            </w:r>
            <w:r>
              <w:rPr>
                <w:sz w:val="14"/>
              </w:rPr>
              <w:t>2.1</w:t>
            </w:r>
          </w:p>
        </w:tc>
        <w:tc>
          <w:tcPr>
            <w:tcW w:w="860" w:type="dxa"/>
            <w:tcBorders>
              <w:left w:val="dotted" w:sz="4" w:space="0" w:color="30859C"/>
              <w:right w:val="dotted" w:sz="4" w:space="0" w:color="30859C"/>
            </w:tcBorders>
            <w:shd w:val="clear" w:color="auto" w:fill="77DFDD"/>
          </w:tcPr>
          <w:p>
            <w:pPr>
              <w:pStyle w:val="TableParagraph"/>
              <w:spacing w:before="17"/>
              <w:ind w:left="54" w:right="60"/>
              <w:rPr>
                <w:sz w:val="14"/>
              </w:rPr>
            </w:pPr>
            <w:r>
              <w:rPr>
                <w:sz w:val="14"/>
              </w:rPr>
              <w:t>10.3 </w:t>
            </w:r>
            <w:r>
              <w:rPr>
                <w:rFonts w:ascii="Times New Roman" w:hAnsi="Times New Roman"/>
                <w:sz w:val="14"/>
              </w:rPr>
              <w:t>± </w:t>
            </w:r>
            <w:r>
              <w:rPr>
                <w:sz w:val="14"/>
              </w:rPr>
              <w:t>10.1</w:t>
            </w:r>
          </w:p>
        </w:tc>
        <w:tc>
          <w:tcPr>
            <w:tcW w:w="935" w:type="dxa"/>
            <w:tcBorders>
              <w:left w:val="dotted" w:sz="4" w:space="0" w:color="30859C"/>
            </w:tcBorders>
            <w:shd w:val="clear" w:color="auto" w:fill="77DFDD"/>
          </w:tcPr>
          <w:p>
            <w:pPr>
              <w:pStyle w:val="TableParagraph"/>
              <w:spacing w:before="17"/>
              <w:ind w:left="100" w:right="94"/>
              <w:rPr>
                <w:sz w:val="14"/>
              </w:rPr>
            </w:pPr>
            <w:r>
              <w:rPr>
                <w:sz w:val="14"/>
              </w:rPr>
              <w:t>50.3 </w:t>
            </w:r>
            <w:r>
              <w:rPr>
                <w:rFonts w:ascii="Times New Roman" w:hAnsi="Times New Roman"/>
                <w:sz w:val="14"/>
              </w:rPr>
              <w:t>± </w:t>
            </w:r>
            <w:r>
              <w:rPr>
                <w:sz w:val="14"/>
              </w:rPr>
              <w:t>34.7</w:t>
            </w:r>
          </w:p>
        </w:tc>
      </w:tr>
      <w:tr>
        <w:trPr>
          <w:trHeight w:val="193" w:hRule="exact"/>
        </w:trPr>
        <w:tc>
          <w:tcPr>
            <w:tcW w:w="260" w:type="dxa"/>
            <w:vMerge/>
            <w:shd w:val="clear" w:color="auto" w:fill="B4EDEC"/>
            <w:textDirection w:val="btLr"/>
          </w:tcPr>
          <w:p>
            <w:pPr/>
          </w:p>
        </w:tc>
        <w:tc>
          <w:tcPr>
            <w:tcW w:w="1030" w:type="dxa"/>
            <w:vMerge/>
            <w:shd w:val="clear" w:color="auto" w:fill="77DFDD"/>
          </w:tcPr>
          <w:p>
            <w:pPr/>
          </w:p>
        </w:tc>
        <w:tc>
          <w:tcPr>
            <w:tcW w:w="870" w:type="dxa"/>
            <w:vMerge/>
            <w:shd w:val="clear" w:color="auto" w:fill="77DFDD"/>
          </w:tcPr>
          <w:p>
            <w:pPr/>
          </w:p>
        </w:tc>
        <w:tc>
          <w:tcPr>
            <w:tcW w:w="155" w:type="dxa"/>
            <w:vMerge/>
            <w:tcBorders>
              <w:right w:val="dotted" w:sz="4" w:space="0" w:color="000000"/>
            </w:tcBorders>
            <w:shd w:val="clear" w:color="auto" w:fill="77DFDD"/>
          </w:tcPr>
          <w:p>
            <w:pPr/>
          </w:p>
        </w:tc>
        <w:tc>
          <w:tcPr>
            <w:tcW w:w="780" w:type="dxa"/>
            <w:tcBorders>
              <w:left w:val="dotted" w:sz="4" w:space="0" w:color="000000"/>
              <w:right w:val="dotted" w:sz="4" w:space="0" w:color="30859C"/>
            </w:tcBorders>
            <w:shd w:val="clear" w:color="auto" w:fill="77DFDD"/>
          </w:tcPr>
          <w:p>
            <w:pPr>
              <w:pStyle w:val="TableParagraph"/>
              <w:spacing w:before="8"/>
              <w:ind w:left="90" w:right="85"/>
              <w:rPr>
                <w:sz w:val="14"/>
              </w:rPr>
            </w:pPr>
            <w:r>
              <w:rPr>
                <w:sz w:val="14"/>
              </w:rPr>
              <w:t>0.07*</w:t>
            </w:r>
          </w:p>
        </w:tc>
        <w:tc>
          <w:tcPr>
            <w:tcW w:w="940" w:type="dxa"/>
            <w:tcBorders>
              <w:left w:val="dotted" w:sz="4" w:space="0" w:color="30859C"/>
              <w:right w:val="dotted" w:sz="4" w:space="0" w:color="30859C"/>
            </w:tcBorders>
            <w:shd w:val="clear" w:color="auto" w:fill="77DFDD"/>
          </w:tcPr>
          <w:p>
            <w:pPr>
              <w:pStyle w:val="TableParagraph"/>
              <w:spacing w:before="8"/>
              <w:ind w:left="85" w:right="94"/>
              <w:rPr>
                <w:sz w:val="14"/>
              </w:rPr>
            </w:pPr>
            <w:r>
              <w:rPr>
                <w:sz w:val="14"/>
              </w:rPr>
              <w:t>0.6*</w:t>
            </w:r>
          </w:p>
        </w:tc>
        <w:tc>
          <w:tcPr>
            <w:tcW w:w="1030" w:type="dxa"/>
            <w:tcBorders>
              <w:left w:val="dotted" w:sz="4" w:space="0" w:color="30859C"/>
              <w:right w:val="dotted" w:sz="4" w:space="0" w:color="30859C"/>
            </w:tcBorders>
            <w:shd w:val="clear" w:color="auto" w:fill="77DFDD"/>
          </w:tcPr>
          <w:p>
            <w:pPr>
              <w:pStyle w:val="TableParagraph"/>
              <w:spacing w:before="8"/>
              <w:ind w:left="134" w:right="145"/>
              <w:rPr>
                <w:sz w:val="14"/>
              </w:rPr>
            </w:pPr>
            <w:r>
              <w:rPr>
                <w:sz w:val="14"/>
              </w:rPr>
              <w:t>0.7*</w:t>
            </w:r>
          </w:p>
        </w:tc>
        <w:tc>
          <w:tcPr>
            <w:tcW w:w="940" w:type="dxa"/>
            <w:tcBorders>
              <w:left w:val="dotted" w:sz="4" w:space="0" w:color="30859C"/>
              <w:right w:val="dotted" w:sz="4" w:space="0" w:color="30859C"/>
            </w:tcBorders>
            <w:shd w:val="clear" w:color="auto" w:fill="77DFDD"/>
          </w:tcPr>
          <w:p>
            <w:pPr>
              <w:pStyle w:val="TableParagraph"/>
              <w:spacing w:before="8"/>
              <w:ind w:left="93" w:right="94"/>
              <w:rPr>
                <w:sz w:val="14"/>
              </w:rPr>
            </w:pPr>
            <w:r>
              <w:rPr>
                <w:sz w:val="14"/>
              </w:rPr>
              <w:t>0.8*</w:t>
            </w:r>
          </w:p>
        </w:tc>
        <w:tc>
          <w:tcPr>
            <w:tcW w:w="940" w:type="dxa"/>
            <w:tcBorders>
              <w:left w:val="dotted" w:sz="4" w:space="0" w:color="30859C"/>
              <w:right w:val="dotted" w:sz="4" w:space="0" w:color="30859C"/>
            </w:tcBorders>
            <w:shd w:val="clear" w:color="auto" w:fill="77DFDD"/>
          </w:tcPr>
          <w:p>
            <w:pPr>
              <w:pStyle w:val="TableParagraph"/>
              <w:spacing w:before="8"/>
              <w:ind w:left="97" w:right="94"/>
              <w:rPr>
                <w:sz w:val="14"/>
              </w:rPr>
            </w:pPr>
            <w:r>
              <w:rPr>
                <w:sz w:val="14"/>
              </w:rPr>
              <w:t>0.3*</w:t>
            </w:r>
          </w:p>
        </w:tc>
        <w:tc>
          <w:tcPr>
            <w:tcW w:w="860" w:type="dxa"/>
            <w:tcBorders>
              <w:left w:val="dotted" w:sz="4" w:space="0" w:color="30859C"/>
              <w:right w:val="dotted" w:sz="4" w:space="0" w:color="30859C"/>
            </w:tcBorders>
            <w:shd w:val="clear" w:color="auto" w:fill="77DFDD"/>
          </w:tcPr>
          <w:p>
            <w:pPr>
              <w:pStyle w:val="TableParagraph"/>
              <w:spacing w:before="8"/>
              <w:ind w:left="54" w:right="43"/>
              <w:rPr>
                <w:sz w:val="14"/>
              </w:rPr>
            </w:pPr>
            <w:r>
              <w:rPr>
                <w:sz w:val="14"/>
              </w:rPr>
              <w:t>0.4*</w:t>
            </w:r>
          </w:p>
        </w:tc>
        <w:tc>
          <w:tcPr>
            <w:tcW w:w="860" w:type="dxa"/>
            <w:tcBorders>
              <w:left w:val="dotted" w:sz="4" w:space="0" w:color="30859C"/>
              <w:right w:val="dotted" w:sz="4" w:space="0" w:color="30859C"/>
            </w:tcBorders>
            <w:shd w:val="clear" w:color="auto" w:fill="77DFDD"/>
          </w:tcPr>
          <w:p>
            <w:pPr>
              <w:pStyle w:val="TableParagraph"/>
              <w:spacing w:before="8"/>
              <w:ind w:left="54" w:right="47"/>
              <w:rPr>
                <w:sz w:val="14"/>
              </w:rPr>
            </w:pPr>
            <w:r>
              <w:rPr>
                <w:sz w:val="14"/>
              </w:rPr>
              <w:t>0.3*</w:t>
            </w:r>
          </w:p>
        </w:tc>
        <w:tc>
          <w:tcPr>
            <w:tcW w:w="935" w:type="dxa"/>
            <w:tcBorders>
              <w:left w:val="dotted" w:sz="4" w:space="0" w:color="30859C"/>
            </w:tcBorders>
            <w:shd w:val="clear" w:color="auto" w:fill="77DFDD"/>
          </w:tcPr>
          <w:p>
            <w:pPr>
              <w:pStyle w:val="TableParagraph"/>
              <w:spacing w:before="8"/>
              <w:ind w:left="96" w:right="94"/>
              <w:rPr>
                <w:sz w:val="14"/>
              </w:rPr>
            </w:pPr>
            <w:r>
              <w:rPr>
                <w:sz w:val="14"/>
              </w:rPr>
              <w:t>0.4*</w:t>
            </w:r>
          </w:p>
        </w:tc>
      </w:tr>
      <w:tr>
        <w:trPr>
          <w:trHeight w:val="185" w:hRule="exact"/>
        </w:trPr>
        <w:tc>
          <w:tcPr>
            <w:tcW w:w="260" w:type="dxa"/>
            <w:vMerge/>
            <w:shd w:val="clear" w:color="auto" w:fill="B4EDEC"/>
            <w:textDirection w:val="btLr"/>
          </w:tcPr>
          <w:p>
            <w:pPr/>
          </w:p>
        </w:tc>
        <w:tc>
          <w:tcPr>
            <w:tcW w:w="1030" w:type="dxa"/>
            <w:vMerge/>
            <w:shd w:val="clear" w:color="auto" w:fill="77DFDD"/>
          </w:tcPr>
          <w:p>
            <w:pPr/>
          </w:p>
        </w:tc>
        <w:tc>
          <w:tcPr>
            <w:tcW w:w="870" w:type="dxa"/>
            <w:vMerge/>
            <w:shd w:val="clear" w:color="auto" w:fill="77DFDD"/>
          </w:tcPr>
          <w:p>
            <w:pPr/>
          </w:p>
        </w:tc>
        <w:tc>
          <w:tcPr>
            <w:tcW w:w="155" w:type="dxa"/>
            <w:vMerge/>
            <w:tcBorders>
              <w:right w:val="dotted" w:sz="4" w:space="0" w:color="000000"/>
            </w:tcBorders>
            <w:shd w:val="clear" w:color="auto" w:fill="77DFDD"/>
          </w:tcPr>
          <w:p>
            <w:pPr/>
          </w:p>
        </w:tc>
        <w:tc>
          <w:tcPr>
            <w:tcW w:w="780" w:type="dxa"/>
            <w:tcBorders>
              <w:left w:val="dotted" w:sz="4" w:space="0" w:color="000000"/>
              <w:right w:val="dotted" w:sz="4" w:space="0" w:color="30859C"/>
            </w:tcBorders>
            <w:shd w:val="clear" w:color="auto" w:fill="77DFDD"/>
          </w:tcPr>
          <w:p>
            <w:pPr>
              <w:pStyle w:val="TableParagraph"/>
              <w:spacing w:before="9"/>
              <w:ind w:left="90" w:right="99"/>
              <w:rPr>
                <w:sz w:val="14"/>
              </w:rPr>
            </w:pPr>
            <w:r>
              <w:rPr>
                <w:sz w:val="14"/>
              </w:rPr>
              <w:t>0.2 </w:t>
            </w:r>
            <w:r>
              <w:rPr>
                <w:rFonts w:ascii="Times New Roman" w:hAnsi="Times New Roman"/>
                <w:sz w:val="14"/>
              </w:rPr>
              <w:t>± </w:t>
            </w:r>
            <w:r>
              <w:rPr>
                <w:sz w:val="14"/>
              </w:rPr>
              <w:t>0.4</w:t>
            </w:r>
          </w:p>
        </w:tc>
        <w:tc>
          <w:tcPr>
            <w:tcW w:w="940" w:type="dxa"/>
            <w:tcBorders>
              <w:left w:val="dotted" w:sz="4" w:space="0" w:color="30859C"/>
              <w:right w:val="dotted" w:sz="4" w:space="0" w:color="30859C"/>
            </w:tcBorders>
            <w:shd w:val="clear" w:color="auto" w:fill="77DFDD"/>
          </w:tcPr>
          <w:p>
            <w:pPr>
              <w:pStyle w:val="TableParagraph"/>
              <w:spacing w:before="9"/>
              <w:ind w:left="89" w:right="94"/>
              <w:rPr>
                <w:sz w:val="14"/>
              </w:rPr>
            </w:pPr>
            <w:r>
              <w:rPr>
                <w:sz w:val="14"/>
              </w:rPr>
              <w:t>3.0 </w:t>
            </w:r>
            <w:r>
              <w:rPr>
                <w:rFonts w:ascii="Times New Roman" w:hAnsi="Times New Roman"/>
                <w:sz w:val="14"/>
              </w:rPr>
              <w:t>± </w:t>
            </w:r>
            <w:r>
              <w:rPr>
                <w:sz w:val="14"/>
              </w:rPr>
              <w:t>2.7</w:t>
            </w:r>
          </w:p>
        </w:tc>
        <w:tc>
          <w:tcPr>
            <w:tcW w:w="1030" w:type="dxa"/>
            <w:tcBorders>
              <w:left w:val="dotted" w:sz="4" w:space="0" w:color="30859C"/>
              <w:right w:val="dotted" w:sz="4" w:space="0" w:color="30859C"/>
            </w:tcBorders>
            <w:shd w:val="clear" w:color="auto" w:fill="77DFDD"/>
          </w:tcPr>
          <w:p>
            <w:pPr>
              <w:pStyle w:val="TableParagraph"/>
              <w:spacing w:before="9"/>
              <w:ind w:left="138" w:right="145"/>
              <w:rPr>
                <w:sz w:val="14"/>
              </w:rPr>
            </w:pPr>
            <w:r>
              <w:rPr>
                <w:sz w:val="14"/>
              </w:rPr>
              <w:t>17.0 </w:t>
            </w:r>
            <w:r>
              <w:rPr>
                <w:rFonts w:ascii="Times New Roman" w:hAnsi="Times New Roman"/>
                <w:sz w:val="14"/>
              </w:rPr>
              <w:t>± </w:t>
            </w:r>
            <w:r>
              <w:rPr>
                <w:sz w:val="14"/>
              </w:rPr>
              <w:t>13.7</w:t>
            </w:r>
          </w:p>
        </w:tc>
        <w:tc>
          <w:tcPr>
            <w:tcW w:w="940" w:type="dxa"/>
            <w:tcBorders>
              <w:left w:val="dotted" w:sz="4" w:space="0" w:color="30859C"/>
              <w:right w:val="dotted" w:sz="4" w:space="0" w:color="30859C"/>
            </w:tcBorders>
            <w:shd w:val="clear" w:color="auto" w:fill="77DFDD"/>
          </w:tcPr>
          <w:p>
            <w:pPr>
              <w:pStyle w:val="TableParagraph"/>
              <w:spacing w:before="9"/>
              <w:ind w:left="94" w:right="94"/>
              <w:rPr>
                <w:sz w:val="14"/>
              </w:rPr>
            </w:pPr>
            <w:r>
              <w:rPr>
                <w:sz w:val="14"/>
              </w:rPr>
              <w:t>9.5 </w:t>
            </w:r>
            <w:r>
              <w:rPr>
                <w:rFonts w:ascii="Times New Roman" w:hAnsi="Times New Roman"/>
                <w:sz w:val="14"/>
              </w:rPr>
              <w:t>± </w:t>
            </w:r>
            <w:r>
              <w:rPr>
                <w:sz w:val="14"/>
              </w:rPr>
              <w:t>6.9</w:t>
            </w:r>
          </w:p>
        </w:tc>
        <w:tc>
          <w:tcPr>
            <w:tcW w:w="940" w:type="dxa"/>
            <w:tcBorders>
              <w:left w:val="dotted" w:sz="4" w:space="0" w:color="30859C"/>
              <w:right w:val="dotted" w:sz="4" w:space="0" w:color="30859C"/>
            </w:tcBorders>
            <w:shd w:val="clear" w:color="auto" w:fill="77DFDD"/>
          </w:tcPr>
          <w:p>
            <w:pPr>
              <w:pStyle w:val="TableParagraph"/>
              <w:spacing w:before="9"/>
              <w:ind w:left="100" w:right="94"/>
              <w:rPr>
                <w:sz w:val="14"/>
              </w:rPr>
            </w:pPr>
            <w:r>
              <w:rPr>
                <w:sz w:val="14"/>
              </w:rPr>
              <w:t>7.7 </w:t>
            </w:r>
            <w:r>
              <w:rPr>
                <w:rFonts w:ascii="Times New Roman" w:hAnsi="Times New Roman"/>
                <w:sz w:val="14"/>
              </w:rPr>
              <w:t>± </w:t>
            </w:r>
            <w:r>
              <w:rPr>
                <w:sz w:val="14"/>
              </w:rPr>
              <w:t>7.9</w:t>
            </w:r>
          </w:p>
        </w:tc>
        <w:tc>
          <w:tcPr>
            <w:tcW w:w="860" w:type="dxa"/>
            <w:tcBorders>
              <w:left w:val="dotted" w:sz="4" w:space="0" w:color="30859C"/>
              <w:right w:val="dotted" w:sz="4" w:space="0" w:color="30859C"/>
            </w:tcBorders>
            <w:shd w:val="clear" w:color="auto" w:fill="77DFDD"/>
          </w:tcPr>
          <w:p>
            <w:pPr>
              <w:pStyle w:val="TableParagraph"/>
              <w:spacing w:before="9"/>
              <w:ind w:left="54" w:right="56"/>
              <w:rPr>
                <w:sz w:val="14"/>
              </w:rPr>
            </w:pPr>
            <w:r>
              <w:rPr>
                <w:sz w:val="14"/>
              </w:rPr>
              <w:t>1.1 </w:t>
            </w:r>
            <w:r>
              <w:rPr>
                <w:rFonts w:ascii="Times New Roman" w:hAnsi="Times New Roman"/>
                <w:sz w:val="14"/>
              </w:rPr>
              <w:t>± </w:t>
            </w:r>
            <w:r>
              <w:rPr>
                <w:sz w:val="14"/>
              </w:rPr>
              <w:t>1.6</w:t>
            </w:r>
          </w:p>
        </w:tc>
        <w:tc>
          <w:tcPr>
            <w:tcW w:w="860" w:type="dxa"/>
            <w:tcBorders>
              <w:left w:val="dotted" w:sz="4" w:space="0" w:color="30859C"/>
              <w:right w:val="dotted" w:sz="4" w:space="0" w:color="30859C"/>
            </w:tcBorders>
            <w:shd w:val="clear" w:color="auto" w:fill="77DFDD"/>
          </w:tcPr>
          <w:p>
            <w:pPr>
              <w:pStyle w:val="TableParagraph"/>
              <w:spacing w:before="9"/>
              <w:ind w:left="54" w:right="60"/>
              <w:rPr>
                <w:sz w:val="14"/>
              </w:rPr>
            </w:pPr>
            <w:r>
              <w:rPr>
                <w:sz w:val="14"/>
              </w:rPr>
              <w:t>11.9 </w:t>
            </w:r>
            <w:r>
              <w:rPr>
                <w:rFonts w:ascii="Times New Roman" w:hAnsi="Times New Roman"/>
                <w:sz w:val="14"/>
              </w:rPr>
              <w:t>± </w:t>
            </w:r>
            <w:r>
              <w:rPr>
                <w:sz w:val="14"/>
              </w:rPr>
              <w:t>10.8</w:t>
            </w:r>
          </w:p>
        </w:tc>
        <w:tc>
          <w:tcPr>
            <w:tcW w:w="935" w:type="dxa"/>
            <w:tcBorders>
              <w:left w:val="dotted" w:sz="4" w:space="0" w:color="30859C"/>
            </w:tcBorders>
            <w:shd w:val="clear" w:color="auto" w:fill="77DFDD"/>
          </w:tcPr>
          <w:p>
            <w:pPr>
              <w:pStyle w:val="TableParagraph"/>
              <w:spacing w:before="9"/>
              <w:ind w:left="100" w:right="94"/>
              <w:rPr>
                <w:sz w:val="14"/>
              </w:rPr>
            </w:pPr>
            <w:r>
              <w:rPr>
                <w:sz w:val="14"/>
              </w:rPr>
              <w:t>50.5 </w:t>
            </w:r>
            <w:r>
              <w:rPr>
                <w:rFonts w:ascii="Times New Roman" w:hAnsi="Times New Roman"/>
                <w:sz w:val="14"/>
              </w:rPr>
              <w:t>± </w:t>
            </w:r>
            <w:r>
              <w:rPr>
                <w:sz w:val="14"/>
              </w:rPr>
              <w:t>22.2</w:t>
            </w:r>
          </w:p>
        </w:tc>
      </w:tr>
      <w:tr>
        <w:trPr>
          <w:trHeight w:val="202" w:hRule="exact"/>
        </w:trPr>
        <w:tc>
          <w:tcPr>
            <w:tcW w:w="260" w:type="dxa"/>
            <w:vMerge/>
            <w:shd w:val="clear" w:color="auto" w:fill="B4EDEC"/>
            <w:textDirection w:val="btLr"/>
          </w:tcPr>
          <w:p>
            <w:pPr/>
          </w:p>
        </w:tc>
        <w:tc>
          <w:tcPr>
            <w:tcW w:w="1030" w:type="dxa"/>
            <w:vMerge w:val="restart"/>
            <w:shd w:val="clear" w:color="auto" w:fill="B4EDEC"/>
          </w:tcPr>
          <w:p>
            <w:pPr>
              <w:pStyle w:val="TableParagraph"/>
              <w:spacing w:before="18"/>
              <w:ind w:left="20"/>
              <w:jc w:val="left"/>
              <w:rPr>
                <w:b/>
                <w:sz w:val="15"/>
              </w:rPr>
            </w:pPr>
            <w:r>
              <w:rPr>
                <w:b/>
                <w:sz w:val="15"/>
              </w:rPr>
              <w:t>Café</w:t>
            </w:r>
          </w:p>
          <w:p>
            <w:pPr>
              <w:pStyle w:val="TableParagraph"/>
              <w:spacing w:before="27"/>
              <w:ind w:left="20"/>
              <w:jc w:val="left"/>
              <w:rPr>
                <w:b/>
                <w:sz w:val="15"/>
              </w:rPr>
            </w:pPr>
            <w:r>
              <w:rPr>
                <w:b/>
                <w:sz w:val="15"/>
              </w:rPr>
              <w:t>con leche</w:t>
            </w:r>
          </w:p>
        </w:tc>
        <w:tc>
          <w:tcPr>
            <w:tcW w:w="870" w:type="dxa"/>
            <w:vMerge w:val="restart"/>
            <w:shd w:val="clear" w:color="auto" w:fill="B4EDEC"/>
          </w:tcPr>
          <w:p>
            <w:pPr>
              <w:pStyle w:val="TableParagraph"/>
              <w:spacing w:before="16"/>
              <w:ind w:left="20"/>
              <w:jc w:val="left"/>
              <w:rPr>
                <w:sz w:val="12"/>
              </w:rPr>
            </w:pPr>
            <w:r>
              <w:rPr>
                <w:sz w:val="12"/>
              </w:rPr>
              <w:t>Si</w:t>
            </w:r>
          </w:p>
          <w:p>
            <w:pPr>
              <w:pStyle w:val="TableParagraph"/>
              <w:spacing w:before="0"/>
              <w:jc w:val="left"/>
              <w:rPr>
                <w:b/>
                <w:sz w:val="12"/>
              </w:rPr>
            </w:pPr>
          </w:p>
          <w:p>
            <w:pPr>
              <w:pStyle w:val="TableParagraph"/>
              <w:spacing w:before="7"/>
              <w:jc w:val="left"/>
              <w:rPr>
                <w:b/>
                <w:sz w:val="9"/>
              </w:rPr>
            </w:pPr>
          </w:p>
          <w:p>
            <w:pPr>
              <w:pStyle w:val="TableParagraph"/>
              <w:spacing w:before="0"/>
              <w:ind w:left="20"/>
              <w:jc w:val="left"/>
              <w:rPr>
                <w:sz w:val="12"/>
              </w:rPr>
            </w:pPr>
            <w:r>
              <w:rPr>
                <w:sz w:val="12"/>
              </w:rPr>
              <w:t>No</w:t>
            </w:r>
          </w:p>
        </w:tc>
        <w:tc>
          <w:tcPr>
            <w:tcW w:w="155" w:type="dxa"/>
            <w:vMerge w:val="restart"/>
            <w:tcBorders>
              <w:right w:val="dotted" w:sz="4" w:space="0" w:color="000000"/>
            </w:tcBorders>
            <w:shd w:val="clear" w:color="auto" w:fill="B4EDEC"/>
          </w:tcPr>
          <w:p>
            <w:pPr>
              <w:pStyle w:val="TableParagraph"/>
              <w:spacing w:before="0"/>
              <w:jc w:val="left"/>
              <w:rPr>
                <w:b/>
                <w:sz w:val="12"/>
              </w:rPr>
            </w:pPr>
          </w:p>
          <w:p>
            <w:pPr>
              <w:pStyle w:val="TableParagraph"/>
              <w:spacing w:before="71"/>
              <w:ind w:left="51"/>
              <w:jc w:val="left"/>
              <w:rPr>
                <w:b/>
                <w:sz w:val="12"/>
              </w:rPr>
            </w:pPr>
            <w:r>
              <w:rPr>
                <w:b/>
                <w:w w:val="99"/>
                <w:sz w:val="12"/>
              </w:rPr>
              <w:t>P</w:t>
            </w:r>
          </w:p>
        </w:tc>
        <w:tc>
          <w:tcPr>
            <w:tcW w:w="780" w:type="dxa"/>
            <w:tcBorders>
              <w:left w:val="dotted" w:sz="4" w:space="0" w:color="000000"/>
              <w:right w:val="dotted" w:sz="4" w:space="0" w:color="30859C"/>
            </w:tcBorders>
            <w:shd w:val="clear" w:color="auto" w:fill="B4EDEC"/>
          </w:tcPr>
          <w:p>
            <w:pPr>
              <w:pStyle w:val="TableParagraph"/>
              <w:spacing w:before="17"/>
              <w:ind w:left="90" w:right="99"/>
              <w:rPr>
                <w:sz w:val="14"/>
              </w:rPr>
            </w:pPr>
            <w:r>
              <w:rPr>
                <w:sz w:val="14"/>
              </w:rPr>
              <w:t>0.3 </w:t>
            </w:r>
            <w:r>
              <w:rPr>
                <w:rFonts w:ascii="Times New Roman" w:hAnsi="Times New Roman"/>
                <w:sz w:val="14"/>
              </w:rPr>
              <w:t>± </w:t>
            </w:r>
            <w:r>
              <w:rPr>
                <w:sz w:val="14"/>
              </w:rPr>
              <w:t>0.4</w:t>
            </w:r>
          </w:p>
        </w:tc>
        <w:tc>
          <w:tcPr>
            <w:tcW w:w="940" w:type="dxa"/>
            <w:tcBorders>
              <w:left w:val="dotted" w:sz="4" w:space="0" w:color="30859C"/>
              <w:right w:val="dotted" w:sz="4" w:space="0" w:color="30859C"/>
            </w:tcBorders>
            <w:shd w:val="clear" w:color="auto" w:fill="B4EDEC"/>
          </w:tcPr>
          <w:p>
            <w:pPr>
              <w:pStyle w:val="TableParagraph"/>
              <w:spacing w:before="17"/>
              <w:ind w:left="89" w:right="94"/>
              <w:rPr>
                <w:sz w:val="14"/>
              </w:rPr>
            </w:pPr>
            <w:r>
              <w:rPr>
                <w:sz w:val="14"/>
              </w:rPr>
              <w:t>3.0 </w:t>
            </w:r>
            <w:r>
              <w:rPr>
                <w:rFonts w:ascii="Times New Roman" w:hAnsi="Times New Roman"/>
                <w:sz w:val="14"/>
              </w:rPr>
              <w:t>± </w:t>
            </w:r>
            <w:r>
              <w:rPr>
                <w:sz w:val="14"/>
              </w:rPr>
              <w:t>2.4</w:t>
            </w:r>
          </w:p>
        </w:tc>
        <w:tc>
          <w:tcPr>
            <w:tcW w:w="1030" w:type="dxa"/>
            <w:tcBorders>
              <w:left w:val="dotted" w:sz="4" w:space="0" w:color="30859C"/>
              <w:right w:val="dotted" w:sz="4" w:space="0" w:color="30859C"/>
            </w:tcBorders>
            <w:shd w:val="clear" w:color="auto" w:fill="B4EDEC"/>
          </w:tcPr>
          <w:p>
            <w:pPr>
              <w:pStyle w:val="TableParagraph"/>
              <w:spacing w:before="17"/>
              <w:ind w:left="138" w:right="145"/>
              <w:rPr>
                <w:sz w:val="14"/>
              </w:rPr>
            </w:pPr>
            <w:r>
              <w:rPr>
                <w:sz w:val="14"/>
              </w:rPr>
              <w:t>22.1 </w:t>
            </w:r>
            <w:r>
              <w:rPr>
                <w:rFonts w:ascii="Times New Roman" w:hAnsi="Times New Roman"/>
                <w:sz w:val="14"/>
              </w:rPr>
              <w:t>± </w:t>
            </w:r>
            <w:r>
              <w:rPr>
                <w:sz w:val="14"/>
              </w:rPr>
              <w:t>16.8</w:t>
            </w:r>
          </w:p>
        </w:tc>
        <w:tc>
          <w:tcPr>
            <w:tcW w:w="940" w:type="dxa"/>
            <w:tcBorders>
              <w:left w:val="dotted" w:sz="4" w:space="0" w:color="30859C"/>
              <w:right w:val="dotted" w:sz="4" w:space="0" w:color="30859C"/>
            </w:tcBorders>
            <w:shd w:val="clear" w:color="auto" w:fill="B4EDEC"/>
          </w:tcPr>
          <w:p>
            <w:pPr>
              <w:pStyle w:val="TableParagraph"/>
              <w:spacing w:before="17"/>
              <w:ind w:left="94" w:right="94"/>
              <w:rPr>
                <w:sz w:val="14"/>
              </w:rPr>
            </w:pPr>
            <w:r>
              <w:rPr>
                <w:sz w:val="14"/>
              </w:rPr>
              <w:t>10.4 </w:t>
            </w:r>
            <w:r>
              <w:rPr>
                <w:rFonts w:ascii="Times New Roman" w:hAnsi="Times New Roman"/>
                <w:sz w:val="14"/>
              </w:rPr>
              <w:t>± </w:t>
            </w:r>
            <w:r>
              <w:rPr>
                <w:sz w:val="14"/>
              </w:rPr>
              <w:t>7.7</w:t>
            </w:r>
          </w:p>
        </w:tc>
        <w:tc>
          <w:tcPr>
            <w:tcW w:w="940" w:type="dxa"/>
            <w:tcBorders>
              <w:left w:val="dotted" w:sz="4" w:space="0" w:color="30859C"/>
              <w:right w:val="dotted" w:sz="4" w:space="0" w:color="30859C"/>
            </w:tcBorders>
            <w:shd w:val="clear" w:color="auto" w:fill="B4EDEC"/>
          </w:tcPr>
          <w:p>
            <w:pPr>
              <w:pStyle w:val="TableParagraph"/>
              <w:spacing w:before="17"/>
              <w:ind w:left="100" w:right="94"/>
              <w:rPr>
                <w:sz w:val="14"/>
              </w:rPr>
            </w:pPr>
            <w:r>
              <w:rPr>
                <w:sz w:val="14"/>
              </w:rPr>
              <w:t>10.4 </w:t>
            </w:r>
            <w:r>
              <w:rPr>
                <w:rFonts w:ascii="Times New Roman" w:hAnsi="Times New Roman"/>
                <w:sz w:val="14"/>
              </w:rPr>
              <w:t>± </w:t>
            </w:r>
            <w:r>
              <w:rPr>
                <w:sz w:val="14"/>
              </w:rPr>
              <w:t>11.8</w:t>
            </w:r>
          </w:p>
        </w:tc>
        <w:tc>
          <w:tcPr>
            <w:tcW w:w="860" w:type="dxa"/>
            <w:tcBorders>
              <w:left w:val="dotted" w:sz="4" w:space="0" w:color="30859C"/>
              <w:right w:val="dotted" w:sz="4" w:space="0" w:color="30859C"/>
            </w:tcBorders>
            <w:shd w:val="clear" w:color="auto" w:fill="B4EDEC"/>
          </w:tcPr>
          <w:p>
            <w:pPr>
              <w:pStyle w:val="TableParagraph"/>
              <w:spacing w:before="17"/>
              <w:ind w:left="54" w:right="56"/>
              <w:rPr>
                <w:sz w:val="14"/>
              </w:rPr>
            </w:pPr>
            <w:r>
              <w:rPr>
                <w:sz w:val="14"/>
              </w:rPr>
              <w:t>0.7 </w:t>
            </w:r>
            <w:r>
              <w:rPr>
                <w:rFonts w:ascii="Times New Roman" w:hAnsi="Times New Roman"/>
                <w:sz w:val="14"/>
              </w:rPr>
              <w:t>± </w:t>
            </w:r>
            <w:r>
              <w:rPr>
                <w:sz w:val="14"/>
              </w:rPr>
              <w:t>1.3</w:t>
            </w:r>
          </w:p>
        </w:tc>
        <w:tc>
          <w:tcPr>
            <w:tcW w:w="860" w:type="dxa"/>
            <w:tcBorders>
              <w:left w:val="dotted" w:sz="4" w:space="0" w:color="30859C"/>
              <w:right w:val="dotted" w:sz="4" w:space="0" w:color="30859C"/>
            </w:tcBorders>
            <w:shd w:val="clear" w:color="auto" w:fill="B4EDEC"/>
          </w:tcPr>
          <w:p>
            <w:pPr>
              <w:pStyle w:val="TableParagraph"/>
              <w:spacing w:before="17"/>
              <w:ind w:left="54" w:right="60"/>
              <w:rPr>
                <w:sz w:val="14"/>
              </w:rPr>
            </w:pPr>
            <w:r>
              <w:rPr>
                <w:sz w:val="14"/>
              </w:rPr>
              <w:t>8.6 </w:t>
            </w:r>
            <w:r>
              <w:rPr>
                <w:rFonts w:ascii="Times New Roman" w:hAnsi="Times New Roman"/>
                <w:sz w:val="14"/>
              </w:rPr>
              <w:t>± </w:t>
            </w:r>
            <w:r>
              <w:rPr>
                <w:sz w:val="14"/>
              </w:rPr>
              <w:t>7.7</w:t>
            </w:r>
          </w:p>
        </w:tc>
        <w:tc>
          <w:tcPr>
            <w:tcW w:w="935" w:type="dxa"/>
            <w:tcBorders>
              <w:left w:val="dotted" w:sz="4" w:space="0" w:color="30859C"/>
            </w:tcBorders>
            <w:shd w:val="clear" w:color="auto" w:fill="B4EDEC"/>
          </w:tcPr>
          <w:p>
            <w:pPr>
              <w:pStyle w:val="TableParagraph"/>
              <w:spacing w:before="17"/>
              <w:ind w:left="100" w:right="94"/>
              <w:rPr>
                <w:sz w:val="14"/>
              </w:rPr>
            </w:pPr>
            <w:r>
              <w:rPr>
                <w:sz w:val="14"/>
              </w:rPr>
              <w:t>55.5 </w:t>
            </w:r>
            <w:r>
              <w:rPr>
                <w:rFonts w:ascii="Times New Roman" w:hAnsi="Times New Roman"/>
                <w:sz w:val="14"/>
              </w:rPr>
              <w:t>± </w:t>
            </w:r>
            <w:r>
              <w:rPr>
                <w:sz w:val="14"/>
              </w:rPr>
              <w:t>29.1</w:t>
            </w:r>
          </w:p>
        </w:tc>
      </w:tr>
      <w:tr>
        <w:trPr>
          <w:trHeight w:val="193" w:hRule="exact"/>
        </w:trPr>
        <w:tc>
          <w:tcPr>
            <w:tcW w:w="260" w:type="dxa"/>
            <w:vMerge/>
            <w:shd w:val="clear" w:color="auto" w:fill="B4EDEC"/>
            <w:textDirection w:val="btLr"/>
          </w:tcPr>
          <w:p>
            <w:pPr/>
          </w:p>
        </w:tc>
        <w:tc>
          <w:tcPr>
            <w:tcW w:w="1030" w:type="dxa"/>
            <w:vMerge/>
            <w:shd w:val="clear" w:color="auto" w:fill="B4EDEC"/>
          </w:tcPr>
          <w:p>
            <w:pPr/>
          </w:p>
        </w:tc>
        <w:tc>
          <w:tcPr>
            <w:tcW w:w="870" w:type="dxa"/>
            <w:vMerge/>
            <w:shd w:val="clear" w:color="auto" w:fill="B4EDEC"/>
          </w:tcPr>
          <w:p>
            <w:pPr/>
          </w:p>
        </w:tc>
        <w:tc>
          <w:tcPr>
            <w:tcW w:w="155" w:type="dxa"/>
            <w:vMerge/>
            <w:tcBorders>
              <w:right w:val="dotted" w:sz="4" w:space="0" w:color="000000"/>
            </w:tcBorders>
            <w:shd w:val="clear" w:color="auto" w:fill="B4EDEC"/>
          </w:tcPr>
          <w:p>
            <w:pPr/>
          </w:p>
        </w:tc>
        <w:tc>
          <w:tcPr>
            <w:tcW w:w="780" w:type="dxa"/>
            <w:tcBorders>
              <w:left w:val="dotted" w:sz="4" w:space="0" w:color="000000"/>
              <w:right w:val="dotted" w:sz="4" w:space="0" w:color="30859C"/>
            </w:tcBorders>
            <w:shd w:val="clear" w:color="auto" w:fill="B4EDEC"/>
          </w:tcPr>
          <w:p>
            <w:pPr>
              <w:pStyle w:val="TableParagraph"/>
              <w:spacing w:before="8"/>
              <w:ind w:left="90" w:right="86"/>
              <w:rPr>
                <w:sz w:val="14"/>
              </w:rPr>
            </w:pPr>
            <w:r>
              <w:rPr>
                <w:sz w:val="14"/>
              </w:rPr>
              <w:t>0.9*</w:t>
            </w:r>
          </w:p>
        </w:tc>
        <w:tc>
          <w:tcPr>
            <w:tcW w:w="940" w:type="dxa"/>
            <w:tcBorders>
              <w:left w:val="dotted" w:sz="4" w:space="0" w:color="30859C"/>
              <w:right w:val="dotted" w:sz="4" w:space="0" w:color="30859C"/>
            </w:tcBorders>
            <w:shd w:val="clear" w:color="auto" w:fill="B4EDEC"/>
          </w:tcPr>
          <w:p>
            <w:pPr>
              <w:pStyle w:val="TableParagraph"/>
              <w:spacing w:before="8"/>
              <w:ind w:left="85" w:right="94"/>
              <w:rPr>
                <w:sz w:val="14"/>
              </w:rPr>
            </w:pPr>
            <w:r>
              <w:rPr>
                <w:sz w:val="14"/>
              </w:rPr>
              <w:t>0.9*</w:t>
            </w:r>
          </w:p>
        </w:tc>
        <w:tc>
          <w:tcPr>
            <w:tcW w:w="1030" w:type="dxa"/>
            <w:tcBorders>
              <w:left w:val="dotted" w:sz="4" w:space="0" w:color="30859C"/>
              <w:right w:val="dotted" w:sz="4" w:space="0" w:color="30859C"/>
            </w:tcBorders>
            <w:shd w:val="clear" w:color="auto" w:fill="B4EDEC"/>
          </w:tcPr>
          <w:p>
            <w:pPr>
              <w:pStyle w:val="TableParagraph"/>
              <w:spacing w:before="8"/>
              <w:ind w:left="134" w:right="145"/>
              <w:rPr>
                <w:sz w:val="14"/>
              </w:rPr>
            </w:pPr>
            <w:r>
              <w:rPr>
                <w:sz w:val="14"/>
              </w:rPr>
              <w:t>0.1*</w:t>
            </w:r>
          </w:p>
        </w:tc>
        <w:tc>
          <w:tcPr>
            <w:tcW w:w="940" w:type="dxa"/>
            <w:tcBorders>
              <w:left w:val="dotted" w:sz="4" w:space="0" w:color="30859C"/>
              <w:right w:val="dotted" w:sz="4" w:space="0" w:color="30859C"/>
            </w:tcBorders>
            <w:shd w:val="clear" w:color="auto" w:fill="B4EDEC"/>
          </w:tcPr>
          <w:p>
            <w:pPr>
              <w:pStyle w:val="TableParagraph"/>
              <w:spacing w:before="8"/>
              <w:ind w:left="93" w:right="94"/>
              <w:rPr>
                <w:sz w:val="14"/>
              </w:rPr>
            </w:pPr>
            <w:r>
              <w:rPr>
                <w:sz w:val="14"/>
              </w:rPr>
              <w:t>0.4*</w:t>
            </w:r>
          </w:p>
        </w:tc>
        <w:tc>
          <w:tcPr>
            <w:tcW w:w="940" w:type="dxa"/>
            <w:tcBorders>
              <w:left w:val="dotted" w:sz="4" w:space="0" w:color="30859C"/>
              <w:right w:val="dotted" w:sz="4" w:space="0" w:color="30859C"/>
            </w:tcBorders>
            <w:shd w:val="clear" w:color="auto" w:fill="B4EDEC"/>
          </w:tcPr>
          <w:p>
            <w:pPr>
              <w:pStyle w:val="TableParagraph"/>
              <w:spacing w:before="8"/>
              <w:ind w:left="97" w:right="94"/>
              <w:rPr>
                <w:sz w:val="14"/>
              </w:rPr>
            </w:pPr>
            <w:r>
              <w:rPr>
                <w:sz w:val="14"/>
              </w:rPr>
              <w:t>0.08*</w:t>
            </w:r>
          </w:p>
        </w:tc>
        <w:tc>
          <w:tcPr>
            <w:tcW w:w="860" w:type="dxa"/>
            <w:tcBorders>
              <w:left w:val="dotted" w:sz="4" w:space="0" w:color="30859C"/>
              <w:right w:val="dotted" w:sz="4" w:space="0" w:color="30859C"/>
            </w:tcBorders>
            <w:shd w:val="clear" w:color="auto" w:fill="B4EDEC"/>
          </w:tcPr>
          <w:p>
            <w:pPr>
              <w:pStyle w:val="TableParagraph"/>
              <w:spacing w:before="8"/>
              <w:ind w:left="54" w:right="43"/>
              <w:rPr>
                <w:sz w:val="14"/>
              </w:rPr>
            </w:pPr>
            <w:r>
              <w:rPr>
                <w:sz w:val="14"/>
              </w:rPr>
              <w:t>0.4*</w:t>
            </w:r>
          </w:p>
        </w:tc>
        <w:tc>
          <w:tcPr>
            <w:tcW w:w="860" w:type="dxa"/>
            <w:tcBorders>
              <w:left w:val="dotted" w:sz="4" w:space="0" w:color="30859C"/>
              <w:right w:val="dotted" w:sz="4" w:space="0" w:color="30859C"/>
            </w:tcBorders>
            <w:shd w:val="clear" w:color="auto" w:fill="B4EDEC"/>
          </w:tcPr>
          <w:p>
            <w:pPr>
              <w:pStyle w:val="TableParagraph"/>
              <w:spacing w:before="8"/>
              <w:ind w:left="54" w:right="47"/>
              <w:rPr>
                <w:sz w:val="14"/>
              </w:rPr>
            </w:pPr>
            <w:r>
              <w:rPr>
                <w:sz w:val="14"/>
              </w:rPr>
              <w:t>0.3*</w:t>
            </w:r>
          </w:p>
        </w:tc>
        <w:tc>
          <w:tcPr>
            <w:tcW w:w="935" w:type="dxa"/>
            <w:tcBorders>
              <w:left w:val="dotted" w:sz="4" w:space="0" w:color="30859C"/>
            </w:tcBorders>
            <w:shd w:val="clear" w:color="auto" w:fill="B4EDEC"/>
          </w:tcPr>
          <w:p>
            <w:pPr>
              <w:pStyle w:val="TableParagraph"/>
              <w:spacing w:before="8"/>
              <w:ind w:left="96" w:right="94"/>
              <w:rPr>
                <w:sz w:val="14"/>
              </w:rPr>
            </w:pPr>
            <w:r>
              <w:rPr>
                <w:sz w:val="14"/>
              </w:rPr>
              <w:t>0.3*</w:t>
            </w:r>
          </w:p>
        </w:tc>
      </w:tr>
      <w:tr>
        <w:trPr>
          <w:trHeight w:val="185" w:hRule="exact"/>
        </w:trPr>
        <w:tc>
          <w:tcPr>
            <w:tcW w:w="260" w:type="dxa"/>
            <w:vMerge/>
            <w:shd w:val="clear" w:color="auto" w:fill="B4EDEC"/>
            <w:textDirection w:val="btLr"/>
          </w:tcPr>
          <w:p>
            <w:pPr/>
          </w:p>
        </w:tc>
        <w:tc>
          <w:tcPr>
            <w:tcW w:w="1030" w:type="dxa"/>
            <w:vMerge/>
            <w:shd w:val="clear" w:color="auto" w:fill="B4EDEC"/>
          </w:tcPr>
          <w:p>
            <w:pPr/>
          </w:p>
        </w:tc>
        <w:tc>
          <w:tcPr>
            <w:tcW w:w="870" w:type="dxa"/>
            <w:vMerge/>
            <w:shd w:val="clear" w:color="auto" w:fill="B4EDEC"/>
          </w:tcPr>
          <w:p>
            <w:pPr/>
          </w:p>
        </w:tc>
        <w:tc>
          <w:tcPr>
            <w:tcW w:w="155" w:type="dxa"/>
            <w:vMerge/>
            <w:tcBorders>
              <w:right w:val="dotted" w:sz="4" w:space="0" w:color="000000"/>
            </w:tcBorders>
            <w:shd w:val="clear" w:color="auto" w:fill="B4EDEC"/>
          </w:tcPr>
          <w:p>
            <w:pPr/>
          </w:p>
        </w:tc>
        <w:tc>
          <w:tcPr>
            <w:tcW w:w="780" w:type="dxa"/>
            <w:tcBorders>
              <w:left w:val="dotted" w:sz="4" w:space="0" w:color="000000"/>
              <w:right w:val="dotted" w:sz="4" w:space="0" w:color="30859C"/>
            </w:tcBorders>
            <w:shd w:val="clear" w:color="auto" w:fill="B4EDEC"/>
          </w:tcPr>
          <w:p>
            <w:pPr>
              <w:pStyle w:val="TableParagraph"/>
              <w:spacing w:before="9"/>
              <w:ind w:left="90" w:right="99"/>
              <w:rPr>
                <w:sz w:val="14"/>
              </w:rPr>
            </w:pPr>
            <w:r>
              <w:rPr>
                <w:sz w:val="14"/>
              </w:rPr>
              <w:t>0.3 </w:t>
            </w:r>
            <w:r>
              <w:rPr>
                <w:rFonts w:ascii="Times New Roman" w:hAnsi="Times New Roman"/>
                <w:sz w:val="14"/>
              </w:rPr>
              <w:t>± </w:t>
            </w:r>
            <w:r>
              <w:rPr>
                <w:sz w:val="14"/>
              </w:rPr>
              <w:t>0.6</w:t>
            </w:r>
          </w:p>
        </w:tc>
        <w:tc>
          <w:tcPr>
            <w:tcW w:w="940" w:type="dxa"/>
            <w:tcBorders>
              <w:left w:val="dotted" w:sz="4" w:space="0" w:color="30859C"/>
              <w:right w:val="dotted" w:sz="4" w:space="0" w:color="30859C"/>
            </w:tcBorders>
            <w:shd w:val="clear" w:color="auto" w:fill="B4EDEC"/>
          </w:tcPr>
          <w:p>
            <w:pPr>
              <w:pStyle w:val="TableParagraph"/>
              <w:spacing w:before="9"/>
              <w:ind w:left="89" w:right="94"/>
              <w:rPr>
                <w:sz w:val="14"/>
              </w:rPr>
            </w:pPr>
            <w:r>
              <w:rPr>
                <w:sz w:val="14"/>
              </w:rPr>
              <w:t>3.1 </w:t>
            </w:r>
            <w:r>
              <w:rPr>
                <w:rFonts w:ascii="Times New Roman" w:hAnsi="Times New Roman"/>
                <w:sz w:val="14"/>
              </w:rPr>
              <w:t>± </w:t>
            </w:r>
            <w:r>
              <w:rPr>
                <w:sz w:val="14"/>
              </w:rPr>
              <w:t>2.7</w:t>
            </w:r>
          </w:p>
        </w:tc>
        <w:tc>
          <w:tcPr>
            <w:tcW w:w="1030" w:type="dxa"/>
            <w:tcBorders>
              <w:left w:val="dotted" w:sz="4" w:space="0" w:color="30859C"/>
              <w:right w:val="dotted" w:sz="4" w:space="0" w:color="30859C"/>
            </w:tcBorders>
            <w:shd w:val="clear" w:color="auto" w:fill="B4EDEC"/>
          </w:tcPr>
          <w:p>
            <w:pPr>
              <w:pStyle w:val="TableParagraph"/>
              <w:spacing w:before="9"/>
              <w:ind w:left="138" w:right="145"/>
              <w:rPr>
                <w:sz w:val="14"/>
              </w:rPr>
            </w:pPr>
            <w:r>
              <w:rPr>
                <w:sz w:val="14"/>
              </w:rPr>
              <w:t>15.8 </w:t>
            </w:r>
            <w:r>
              <w:rPr>
                <w:rFonts w:ascii="Times New Roman" w:hAnsi="Times New Roman"/>
                <w:sz w:val="14"/>
              </w:rPr>
              <w:t>± </w:t>
            </w:r>
            <w:r>
              <w:rPr>
                <w:sz w:val="14"/>
              </w:rPr>
              <w:t>13.2</w:t>
            </w:r>
          </w:p>
        </w:tc>
        <w:tc>
          <w:tcPr>
            <w:tcW w:w="940" w:type="dxa"/>
            <w:tcBorders>
              <w:left w:val="dotted" w:sz="4" w:space="0" w:color="30859C"/>
              <w:right w:val="dotted" w:sz="4" w:space="0" w:color="30859C"/>
            </w:tcBorders>
            <w:shd w:val="clear" w:color="auto" w:fill="B4EDEC"/>
          </w:tcPr>
          <w:p>
            <w:pPr>
              <w:pStyle w:val="TableParagraph"/>
              <w:spacing w:before="9"/>
              <w:ind w:left="94" w:right="94"/>
              <w:rPr>
                <w:sz w:val="14"/>
              </w:rPr>
            </w:pPr>
            <w:r>
              <w:rPr>
                <w:sz w:val="14"/>
              </w:rPr>
              <w:t>8.8 </w:t>
            </w:r>
            <w:r>
              <w:rPr>
                <w:rFonts w:ascii="Times New Roman" w:hAnsi="Times New Roman"/>
                <w:sz w:val="14"/>
              </w:rPr>
              <w:t>± </w:t>
            </w:r>
            <w:r>
              <w:rPr>
                <w:sz w:val="14"/>
              </w:rPr>
              <w:t>6.3</w:t>
            </w:r>
          </w:p>
        </w:tc>
        <w:tc>
          <w:tcPr>
            <w:tcW w:w="940" w:type="dxa"/>
            <w:tcBorders>
              <w:left w:val="dotted" w:sz="4" w:space="0" w:color="30859C"/>
              <w:right w:val="dotted" w:sz="4" w:space="0" w:color="30859C"/>
            </w:tcBorders>
            <w:shd w:val="clear" w:color="auto" w:fill="B4EDEC"/>
          </w:tcPr>
          <w:p>
            <w:pPr>
              <w:pStyle w:val="TableParagraph"/>
              <w:spacing w:before="9"/>
              <w:ind w:left="100" w:right="94"/>
              <w:rPr>
                <w:sz w:val="14"/>
              </w:rPr>
            </w:pPr>
            <w:r>
              <w:rPr>
                <w:sz w:val="14"/>
              </w:rPr>
              <w:t>6.7 </w:t>
            </w:r>
            <w:r>
              <w:rPr>
                <w:rFonts w:ascii="Times New Roman" w:hAnsi="Times New Roman"/>
                <w:sz w:val="14"/>
              </w:rPr>
              <w:t>± </w:t>
            </w:r>
            <w:r>
              <w:rPr>
                <w:sz w:val="14"/>
              </w:rPr>
              <w:t>8.9</w:t>
            </w:r>
          </w:p>
        </w:tc>
        <w:tc>
          <w:tcPr>
            <w:tcW w:w="860" w:type="dxa"/>
            <w:tcBorders>
              <w:left w:val="dotted" w:sz="4" w:space="0" w:color="30859C"/>
              <w:right w:val="dotted" w:sz="4" w:space="0" w:color="30859C"/>
            </w:tcBorders>
            <w:shd w:val="clear" w:color="auto" w:fill="B4EDEC"/>
          </w:tcPr>
          <w:p>
            <w:pPr>
              <w:pStyle w:val="TableParagraph"/>
              <w:spacing w:before="9"/>
              <w:ind w:left="54" w:right="56"/>
              <w:rPr>
                <w:sz w:val="14"/>
              </w:rPr>
            </w:pPr>
            <w:r>
              <w:rPr>
                <w:sz w:val="14"/>
              </w:rPr>
              <w:t>1.3 </w:t>
            </w:r>
            <w:r>
              <w:rPr>
                <w:rFonts w:ascii="Times New Roman" w:hAnsi="Times New Roman"/>
                <w:sz w:val="14"/>
              </w:rPr>
              <w:t>± </w:t>
            </w:r>
            <w:r>
              <w:rPr>
                <w:sz w:val="14"/>
              </w:rPr>
              <w:t>2.0</w:t>
            </w:r>
          </w:p>
        </w:tc>
        <w:tc>
          <w:tcPr>
            <w:tcW w:w="860" w:type="dxa"/>
            <w:tcBorders>
              <w:left w:val="dotted" w:sz="4" w:space="0" w:color="30859C"/>
              <w:right w:val="dotted" w:sz="4" w:space="0" w:color="30859C"/>
            </w:tcBorders>
            <w:shd w:val="clear" w:color="auto" w:fill="B4EDEC"/>
          </w:tcPr>
          <w:p>
            <w:pPr>
              <w:pStyle w:val="TableParagraph"/>
              <w:spacing w:before="9"/>
              <w:ind w:left="54" w:right="60"/>
              <w:rPr>
                <w:sz w:val="14"/>
              </w:rPr>
            </w:pPr>
            <w:r>
              <w:rPr>
                <w:sz w:val="14"/>
              </w:rPr>
              <w:t>12.3 </w:t>
            </w:r>
            <w:r>
              <w:rPr>
                <w:rFonts w:ascii="Times New Roman" w:hAnsi="Times New Roman"/>
                <w:sz w:val="14"/>
              </w:rPr>
              <w:t>± </w:t>
            </w:r>
            <w:r>
              <w:rPr>
                <w:sz w:val="14"/>
              </w:rPr>
              <w:t>11.3</w:t>
            </w:r>
          </w:p>
        </w:tc>
        <w:tc>
          <w:tcPr>
            <w:tcW w:w="935" w:type="dxa"/>
            <w:tcBorders>
              <w:left w:val="dotted" w:sz="4" w:space="0" w:color="30859C"/>
            </w:tcBorders>
            <w:shd w:val="clear" w:color="auto" w:fill="B4EDEC"/>
          </w:tcPr>
          <w:p>
            <w:pPr>
              <w:pStyle w:val="TableParagraph"/>
              <w:spacing w:before="9"/>
              <w:ind w:left="100" w:right="94"/>
              <w:rPr>
                <w:sz w:val="14"/>
              </w:rPr>
            </w:pPr>
            <w:r>
              <w:rPr>
                <w:sz w:val="14"/>
              </w:rPr>
              <w:t>48.2 </w:t>
            </w:r>
            <w:r>
              <w:rPr>
                <w:rFonts w:ascii="Times New Roman" w:hAnsi="Times New Roman"/>
                <w:sz w:val="14"/>
              </w:rPr>
              <w:t>± </w:t>
            </w:r>
            <w:r>
              <w:rPr>
                <w:sz w:val="14"/>
              </w:rPr>
              <w:t>27.6</w:t>
            </w:r>
          </w:p>
        </w:tc>
      </w:tr>
      <w:tr>
        <w:trPr>
          <w:trHeight w:val="202" w:hRule="exact"/>
        </w:trPr>
        <w:tc>
          <w:tcPr>
            <w:tcW w:w="1290" w:type="dxa"/>
            <w:gridSpan w:val="2"/>
            <w:vMerge w:val="restart"/>
            <w:shd w:val="clear" w:color="auto" w:fill="77DFDD"/>
          </w:tcPr>
          <w:p>
            <w:pPr>
              <w:pStyle w:val="TableParagraph"/>
              <w:spacing w:line="285" w:lineRule="auto" w:before="18"/>
              <w:ind w:left="284" w:right="227" w:firstLine="100"/>
              <w:jc w:val="left"/>
              <w:rPr>
                <w:b/>
                <w:sz w:val="15"/>
              </w:rPr>
            </w:pPr>
            <w:r>
              <w:rPr>
                <w:b/>
                <w:sz w:val="15"/>
              </w:rPr>
              <w:t>Lavado de frutas y verduras</w:t>
            </w:r>
          </w:p>
        </w:tc>
        <w:tc>
          <w:tcPr>
            <w:tcW w:w="870" w:type="dxa"/>
            <w:vMerge w:val="restart"/>
            <w:shd w:val="clear" w:color="auto" w:fill="77DFDD"/>
          </w:tcPr>
          <w:p>
            <w:pPr>
              <w:pStyle w:val="TableParagraph"/>
              <w:spacing w:before="16"/>
              <w:ind w:left="20"/>
              <w:jc w:val="left"/>
              <w:rPr>
                <w:sz w:val="12"/>
              </w:rPr>
            </w:pPr>
            <w:r>
              <w:rPr>
                <w:sz w:val="12"/>
              </w:rPr>
              <w:t>Agua y jabón</w:t>
            </w:r>
          </w:p>
          <w:p>
            <w:pPr>
              <w:pStyle w:val="TableParagraph"/>
              <w:spacing w:before="0"/>
              <w:jc w:val="left"/>
              <w:rPr>
                <w:b/>
                <w:sz w:val="12"/>
              </w:rPr>
            </w:pPr>
          </w:p>
          <w:p>
            <w:pPr>
              <w:pStyle w:val="TableParagraph"/>
              <w:spacing w:before="7"/>
              <w:jc w:val="left"/>
              <w:rPr>
                <w:b/>
                <w:sz w:val="9"/>
              </w:rPr>
            </w:pPr>
          </w:p>
          <w:p>
            <w:pPr>
              <w:pStyle w:val="TableParagraph"/>
              <w:spacing w:before="0"/>
              <w:ind w:left="20"/>
              <w:jc w:val="left"/>
              <w:rPr>
                <w:sz w:val="12"/>
              </w:rPr>
            </w:pPr>
            <w:r>
              <w:rPr>
                <w:sz w:val="12"/>
              </w:rPr>
              <w:t>Agua</w:t>
            </w:r>
          </w:p>
        </w:tc>
        <w:tc>
          <w:tcPr>
            <w:tcW w:w="155" w:type="dxa"/>
            <w:vMerge w:val="restart"/>
            <w:tcBorders>
              <w:right w:val="dotted" w:sz="4" w:space="0" w:color="000000"/>
            </w:tcBorders>
            <w:shd w:val="clear" w:color="auto" w:fill="77DFDD"/>
          </w:tcPr>
          <w:p>
            <w:pPr>
              <w:pStyle w:val="TableParagraph"/>
              <w:spacing w:before="0"/>
              <w:jc w:val="left"/>
              <w:rPr>
                <w:b/>
                <w:sz w:val="12"/>
              </w:rPr>
            </w:pPr>
          </w:p>
          <w:p>
            <w:pPr>
              <w:pStyle w:val="TableParagraph"/>
              <w:spacing w:before="71"/>
              <w:ind w:left="51"/>
              <w:jc w:val="left"/>
              <w:rPr>
                <w:b/>
                <w:sz w:val="12"/>
              </w:rPr>
            </w:pPr>
            <w:r>
              <w:rPr>
                <w:b/>
                <w:w w:val="99"/>
                <w:sz w:val="12"/>
              </w:rPr>
              <w:t>P</w:t>
            </w:r>
          </w:p>
        </w:tc>
        <w:tc>
          <w:tcPr>
            <w:tcW w:w="780" w:type="dxa"/>
            <w:tcBorders>
              <w:left w:val="dotted" w:sz="4" w:space="0" w:color="000000"/>
              <w:right w:val="dotted" w:sz="4" w:space="0" w:color="30859C"/>
            </w:tcBorders>
            <w:shd w:val="clear" w:color="auto" w:fill="77DFDD"/>
          </w:tcPr>
          <w:p>
            <w:pPr>
              <w:pStyle w:val="TableParagraph"/>
              <w:spacing w:before="17"/>
              <w:ind w:left="90" w:right="99"/>
              <w:rPr>
                <w:sz w:val="14"/>
              </w:rPr>
            </w:pPr>
            <w:r>
              <w:rPr>
                <w:sz w:val="14"/>
              </w:rPr>
              <w:t>0.3 </w:t>
            </w:r>
            <w:r>
              <w:rPr>
                <w:rFonts w:ascii="Times New Roman" w:hAnsi="Times New Roman"/>
                <w:sz w:val="14"/>
              </w:rPr>
              <w:t>± </w:t>
            </w:r>
            <w:r>
              <w:rPr>
                <w:sz w:val="14"/>
              </w:rPr>
              <w:t>0.5</w:t>
            </w:r>
          </w:p>
        </w:tc>
        <w:tc>
          <w:tcPr>
            <w:tcW w:w="940" w:type="dxa"/>
            <w:tcBorders>
              <w:left w:val="dotted" w:sz="4" w:space="0" w:color="30859C"/>
              <w:right w:val="dotted" w:sz="4" w:space="0" w:color="30859C"/>
            </w:tcBorders>
            <w:shd w:val="clear" w:color="auto" w:fill="77DFDD"/>
          </w:tcPr>
          <w:p>
            <w:pPr>
              <w:pStyle w:val="TableParagraph"/>
              <w:spacing w:before="17"/>
              <w:ind w:left="89" w:right="94"/>
              <w:rPr>
                <w:sz w:val="14"/>
              </w:rPr>
            </w:pPr>
            <w:r>
              <w:rPr>
                <w:sz w:val="14"/>
              </w:rPr>
              <w:t>3.3 </w:t>
            </w:r>
            <w:r>
              <w:rPr>
                <w:rFonts w:ascii="Times New Roman" w:hAnsi="Times New Roman"/>
                <w:sz w:val="14"/>
              </w:rPr>
              <w:t>± </w:t>
            </w:r>
            <w:r>
              <w:rPr>
                <w:sz w:val="14"/>
              </w:rPr>
              <w:t>2.8</w:t>
            </w:r>
          </w:p>
        </w:tc>
        <w:tc>
          <w:tcPr>
            <w:tcW w:w="1030" w:type="dxa"/>
            <w:tcBorders>
              <w:left w:val="dotted" w:sz="4" w:space="0" w:color="30859C"/>
              <w:right w:val="dotted" w:sz="4" w:space="0" w:color="30859C"/>
            </w:tcBorders>
            <w:shd w:val="clear" w:color="auto" w:fill="77DFDD"/>
          </w:tcPr>
          <w:p>
            <w:pPr>
              <w:pStyle w:val="TableParagraph"/>
              <w:spacing w:before="17"/>
              <w:ind w:left="138" w:right="145"/>
              <w:rPr>
                <w:sz w:val="14"/>
              </w:rPr>
            </w:pPr>
            <w:r>
              <w:rPr>
                <w:sz w:val="14"/>
              </w:rPr>
              <w:t>15.7 </w:t>
            </w:r>
            <w:r>
              <w:rPr>
                <w:rFonts w:ascii="Times New Roman" w:hAnsi="Times New Roman"/>
                <w:sz w:val="14"/>
              </w:rPr>
              <w:t>± </w:t>
            </w:r>
            <w:r>
              <w:rPr>
                <w:sz w:val="14"/>
              </w:rPr>
              <w:t>12.9</w:t>
            </w:r>
          </w:p>
        </w:tc>
        <w:tc>
          <w:tcPr>
            <w:tcW w:w="940" w:type="dxa"/>
            <w:tcBorders>
              <w:left w:val="dotted" w:sz="4" w:space="0" w:color="30859C"/>
              <w:right w:val="dotted" w:sz="4" w:space="0" w:color="30859C"/>
            </w:tcBorders>
            <w:shd w:val="clear" w:color="auto" w:fill="77DFDD"/>
          </w:tcPr>
          <w:p>
            <w:pPr>
              <w:pStyle w:val="TableParagraph"/>
              <w:spacing w:before="17"/>
              <w:ind w:left="94" w:right="94"/>
              <w:rPr>
                <w:sz w:val="14"/>
              </w:rPr>
            </w:pPr>
            <w:r>
              <w:rPr>
                <w:sz w:val="14"/>
              </w:rPr>
              <w:t>9.0 </w:t>
            </w:r>
            <w:r>
              <w:rPr>
                <w:rFonts w:ascii="Times New Roman" w:hAnsi="Times New Roman"/>
                <w:sz w:val="14"/>
              </w:rPr>
              <w:t>± </w:t>
            </w:r>
            <w:r>
              <w:rPr>
                <w:sz w:val="14"/>
              </w:rPr>
              <w:t>7.1</w:t>
            </w:r>
          </w:p>
        </w:tc>
        <w:tc>
          <w:tcPr>
            <w:tcW w:w="940" w:type="dxa"/>
            <w:tcBorders>
              <w:left w:val="dotted" w:sz="4" w:space="0" w:color="30859C"/>
              <w:right w:val="dotted" w:sz="4" w:space="0" w:color="30859C"/>
            </w:tcBorders>
            <w:shd w:val="clear" w:color="auto" w:fill="77DFDD"/>
          </w:tcPr>
          <w:p>
            <w:pPr>
              <w:pStyle w:val="TableParagraph"/>
              <w:spacing w:before="17"/>
              <w:ind w:left="100" w:right="94"/>
              <w:rPr>
                <w:sz w:val="14"/>
              </w:rPr>
            </w:pPr>
            <w:r>
              <w:rPr>
                <w:sz w:val="14"/>
              </w:rPr>
              <w:t>7.5 </w:t>
            </w:r>
            <w:r>
              <w:rPr>
                <w:rFonts w:ascii="Times New Roman" w:hAnsi="Times New Roman"/>
                <w:sz w:val="14"/>
              </w:rPr>
              <w:t>± </w:t>
            </w:r>
            <w:r>
              <w:rPr>
                <w:sz w:val="14"/>
              </w:rPr>
              <w:t>10.2</w:t>
            </w:r>
          </w:p>
        </w:tc>
        <w:tc>
          <w:tcPr>
            <w:tcW w:w="860" w:type="dxa"/>
            <w:tcBorders>
              <w:left w:val="dotted" w:sz="4" w:space="0" w:color="30859C"/>
              <w:right w:val="dotted" w:sz="4" w:space="0" w:color="30859C"/>
            </w:tcBorders>
            <w:shd w:val="clear" w:color="auto" w:fill="77DFDD"/>
          </w:tcPr>
          <w:p>
            <w:pPr>
              <w:pStyle w:val="TableParagraph"/>
              <w:spacing w:before="17"/>
              <w:ind w:left="54" w:right="56"/>
              <w:rPr>
                <w:sz w:val="14"/>
              </w:rPr>
            </w:pPr>
            <w:r>
              <w:rPr>
                <w:sz w:val="14"/>
              </w:rPr>
              <w:t>1.1 </w:t>
            </w:r>
            <w:r>
              <w:rPr>
                <w:rFonts w:ascii="Times New Roman" w:hAnsi="Times New Roman"/>
                <w:sz w:val="14"/>
              </w:rPr>
              <w:t>± </w:t>
            </w:r>
            <w:r>
              <w:rPr>
                <w:sz w:val="14"/>
              </w:rPr>
              <w:t>1.6</w:t>
            </w:r>
          </w:p>
        </w:tc>
        <w:tc>
          <w:tcPr>
            <w:tcW w:w="860" w:type="dxa"/>
            <w:tcBorders>
              <w:left w:val="dotted" w:sz="4" w:space="0" w:color="30859C"/>
              <w:right w:val="dotted" w:sz="4" w:space="0" w:color="30859C"/>
            </w:tcBorders>
            <w:shd w:val="clear" w:color="auto" w:fill="77DFDD"/>
          </w:tcPr>
          <w:p>
            <w:pPr>
              <w:pStyle w:val="TableParagraph"/>
              <w:spacing w:before="17"/>
              <w:ind w:left="54" w:right="60"/>
              <w:rPr>
                <w:sz w:val="14"/>
              </w:rPr>
            </w:pPr>
            <w:r>
              <w:rPr>
                <w:sz w:val="14"/>
              </w:rPr>
              <w:t>10.3 </w:t>
            </w:r>
            <w:r>
              <w:rPr>
                <w:rFonts w:ascii="Times New Roman" w:hAnsi="Times New Roman"/>
                <w:sz w:val="14"/>
              </w:rPr>
              <w:t>± </w:t>
            </w:r>
            <w:r>
              <w:rPr>
                <w:sz w:val="14"/>
              </w:rPr>
              <w:t>9.0</w:t>
            </w:r>
          </w:p>
        </w:tc>
        <w:tc>
          <w:tcPr>
            <w:tcW w:w="935" w:type="dxa"/>
            <w:tcBorders>
              <w:left w:val="dotted" w:sz="4" w:space="0" w:color="30859C"/>
            </w:tcBorders>
            <w:shd w:val="clear" w:color="auto" w:fill="77DFDD"/>
          </w:tcPr>
          <w:p>
            <w:pPr>
              <w:pStyle w:val="TableParagraph"/>
              <w:spacing w:before="17"/>
              <w:ind w:left="100" w:right="94"/>
              <w:rPr>
                <w:sz w:val="14"/>
              </w:rPr>
            </w:pPr>
            <w:r>
              <w:rPr>
                <w:sz w:val="14"/>
              </w:rPr>
              <w:t>47.2 </w:t>
            </w:r>
            <w:r>
              <w:rPr>
                <w:rFonts w:ascii="Times New Roman" w:hAnsi="Times New Roman"/>
                <w:sz w:val="14"/>
              </w:rPr>
              <w:t>± </w:t>
            </w:r>
            <w:r>
              <w:rPr>
                <w:sz w:val="14"/>
              </w:rPr>
              <w:t>25.9</w:t>
            </w:r>
          </w:p>
        </w:tc>
      </w:tr>
      <w:tr>
        <w:trPr>
          <w:trHeight w:val="193" w:hRule="exact"/>
        </w:trPr>
        <w:tc>
          <w:tcPr>
            <w:tcW w:w="1290" w:type="dxa"/>
            <w:gridSpan w:val="2"/>
            <w:vMerge/>
            <w:shd w:val="clear" w:color="auto" w:fill="77DFDD"/>
          </w:tcPr>
          <w:p>
            <w:pPr/>
          </w:p>
        </w:tc>
        <w:tc>
          <w:tcPr>
            <w:tcW w:w="870" w:type="dxa"/>
            <w:vMerge/>
            <w:shd w:val="clear" w:color="auto" w:fill="77DFDD"/>
          </w:tcPr>
          <w:p>
            <w:pPr/>
          </w:p>
        </w:tc>
        <w:tc>
          <w:tcPr>
            <w:tcW w:w="155" w:type="dxa"/>
            <w:vMerge/>
            <w:tcBorders>
              <w:right w:val="dotted" w:sz="4" w:space="0" w:color="000000"/>
            </w:tcBorders>
            <w:shd w:val="clear" w:color="auto" w:fill="77DFDD"/>
          </w:tcPr>
          <w:p>
            <w:pPr/>
          </w:p>
        </w:tc>
        <w:tc>
          <w:tcPr>
            <w:tcW w:w="780" w:type="dxa"/>
            <w:tcBorders>
              <w:left w:val="dotted" w:sz="4" w:space="0" w:color="000000"/>
              <w:right w:val="dotted" w:sz="4" w:space="0" w:color="30859C"/>
            </w:tcBorders>
            <w:shd w:val="clear" w:color="auto" w:fill="77DFDD"/>
          </w:tcPr>
          <w:p>
            <w:pPr>
              <w:pStyle w:val="TableParagraph"/>
              <w:spacing w:before="8"/>
              <w:ind w:left="90" w:right="86"/>
              <w:rPr>
                <w:sz w:val="14"/>
              </w:rPr>
            </w:pPr>
            <w:r>
              <w:rPr>
                <w:sz w:val="14"/>
              </w:rPr>
              <w:t>0.3*</w:t>
            </w:r>
          </w:p>
        </w:tc>
        <w:tc>
          <w:tcPr>
            <w:tcW w:w="940" w:type="dxa"/>
            <w:tcBorders>
              <w:left w:val="dotted" w:sz="4" w:space="0" w:color="30859C"/>
              <w:right w:val="dotted" w:sz="4" w:space="0" w:color="30859C"/>
            </w:tcBorders>
            <w:shd w:val="clear" w:color="auto" w:fill="77DFDD"/>
          </w:tcPr>
          <w:p>
            <w:pPr>
              <w:pStyle w:val="TableParagraph"/>
              <w:spacing w:before="8"/>
              <w:ind w:left="85" w:right="94"/>
              <w:rPr>
                <w:sz w:val="14"/>
              </w:rPr>
            </w:pPr>
            <w:r>
              <w:rPr>
                <w:sz w:val="14"/>
              </w:rPr>
              <w:t>0.5*</w:t>
            </w:r>
          </w:p>
        </w:tc>
        <w:tc>
          <w:tcPr>
            <w:tcW w:w="1030" w:type="dxa"/>
            <w:tcBorders>
              <w:left w:val="dotted" w:sz="4" w:space="0" w:color="30859C"/>
              <w:right w:val="dotted" w:sz="4" w:space="0" w:color="30859C"/>
            </w:tcBorders>
            <w:shd w:val="clear" w:color="auto" w:fill="77DFDD"/>
          </w:tcPr>
          <w:p>
            <w:pPr>
              <w:pStyle w:val="TableParagraph"/>
              <w:spacing w:before="8"/>
              <w:ind w:left="134" w:right="145"/>
              <w:rPr>
                <w:sz w:val="14"/>
              </w:rPr>
            </w:pPr>
            <w:r>
              <w:rPr>
                <w:sz w:val="14"/>
              </w:rPr>
              <w:t>0.1*</w:t>
            </w:r>
          </w:p>
        </w:tc>
        <w:tc>
          <w:tcPr>
            <w:tcW w:w="940" w:type="dxa"/>
            <w:tcBorders>
              <w:left w:val="dotted" w:sz="4" w:space="0" w:color="30859C"/>
              <w:right w:val="dotted" w:sz="4" w:space="0" w:color="30859C"/>
            </w:tcBorders>
            <w:shd w:val="clear" w:color="auto" w:fill="77DFDD"/>
          </w:tcPr>
          <w:p>
            <w:pPr>
              <w:pStyle w:val="TableParagraph"/>
              <w:spacing w:before="8"/>
              <w:ind w:left="93" w:right="94"/>
              <w:rPr>
                <w:sz w:val="14"/>
              </w:rPr>
            </w:pPr>
            <w:r>
              <w:rPr>
                <w:sz w:val="14"/>
              </w:rPr>
              <w:t>0.4*</w:t>
            </w:r>
          </w:p>
        </w:tc>
        <w:tc>
          <w:tcPr>
            <w:tcW w:w="940" w:type="dxa"/>
            <w:tcBorders>
              <w:left w:val="dotted" w:sz="4" w:space="0" w:color="30859C"/>
              <w:right w:val="dotted" w:sz="4" w:space="0" w:color="30859C"/>
            </w:tcBorders>
            <w:shd w:val="clear" w:color="auto" w:fill="77DFDD"/>
          </w:tcPr>
          <w:p>
            <w:pPr>
              <w:pStyle w:val="TableParagraph"/>
              <w:spacing w:before="8"/>
              <w:ind w:left="97" w:right="94"/>
              <w:rPr>
                <w:sz w:val="14"/>
              </w:rPr>
            </w:pPr>
            <w:r>
              <w:rPr>
                <w:sz w:val="14"/>
              </w:rPr>
              <w:t>0.3*</w:t>
            </w:r>
          </w:p>
        </w:tc>
        <w:tc>
          <w:tcPr>
            <w:tcW w:w="860" w:type="dxa"/>
            <w:tcBorders>
              <w:left w:val="dotted" w:sz="4" w:space="0" w:color="30859C"/>
              <w:right w:val="dotted" w:sz="4" w:space="0" w:color="30859C"/>
            </w:tcBorders>
            <w:shd w:val="clear" w:color="auto" w:fill="77DFDD"/>
          </w:tcPr>
          <w:p>
            <w:pPr>
              <w:pStyle w:val="TableParagraph"/>
              <w:spacing w:before="8"/>
              <w:ind w:left="54" w:right="43"/>
              <w:rPr>
                <w:sz w:val="14"/>
              </w:rPr>
            </w:pPr>
            <w:r>
              <w:rPr>
                <w:sz w:val="14"/>
              </w:rPr>
              <w:t>0.3*</w:t>
            </w:r>
          </w:p>
        </w:tc>
        <w:tc>
          <w:tcPr>
            <w:tcW w:w="860" w:type="dxa"/>
            <w:tcBorders>
              <w:left w:val="dotted" w:sz="4" w:space="0" w:color="30859C"/>
              <w:right w:val="dotted" w:sz="4" w:space="0" w:color="30859C"/>
            </w:tcBorders>
            <w:shd w:val="clear" w:color="auto" w:fill="77DFDD"/>
          </w:tcPr>
          <w:p>
            <w:pPr>
              <w:pStyle w:val="TableParagraph"/>
              <w:spacing w:before="8"/>
              <w:ind w:left="54" w:right="47"/>
              <w:rPr>
                <w:sz w:val="14"/>
              </w:rPr>
            </w:pPr>
            <w:r>
              <w:rPr>
                <w:sz w:val="14"/>
              </w:rPr>
              <w:t>0.5*</w:t>
            </w:r>
          </w:p>
        </w:tc>
        <w:tc>
          <w:tcPr>
            <w:tcW w:w="935" w:type="dxa"/>
            <w:tcBorders>
              <w:left w:val="dotted" w:sz="4" w:space="0" w:color="30859C"/>
            </w:tcBorders>
            <w:shd w:val="clear" w:color="auto" w:fill="77DFDD"/>
          </w:tcPr>
          <w:p>
            <w:pPr>
              <w:pStyle w:val="TableParagraph"/>
              <w:spacing w:before="8"/>
              <w:ind w:left="96" w:right="94"/>
              <w:rPr>
                <w:sz w:val="14"/>
              </w:rPr>
            </w:pPr>
            <w:r>
              <w:rPr>
                <w:sz w:val="14"/>
              </w:rPr>
              <w:t>0.2*</w:t>
            </w:r>
          </w:p>
        </w:tc>
      </w:tr>
      <w:tr>
        <w:trPr>
          <w:trHeight w:val="215" w:hRule="exact"/>
        </w:trPr>
        <w:tc>
          <w:tcPr>
            <w:tcW w:w="1290" w:type="dxa"/>
            <w:gridSpan w:val="2"/>
            <w:vMerge/>
            <w:shd w:val="clear" w:color="auto" w:fill="77DFDD"/>
          </w:tcPr>
          <w:p>
            <w:pPr/>
          </w:p>
        </w:tc>
        <w:tc>
          <w:tcPr>
            <w:tcW w:w="870" w:type="dxa"/>
            <w:vMerge/>
            <w:shd w:val="clear" w:color="auto" w:fill="77DFDD"/>
          </w:tcPr>
          <w:p>
            <w:pPr/>
          </w:p>
        </w:tc>
        <w:tc>
          <w:tcPr>
            <w:tcW w:w="155" w:type="dxa"/>
            <w:vMerge/>
            <w:tcBorders>
              <w:right w:val="dotted" w:sz="4" w:space="0" w:color="000000"/>
            </w:tcBorders>
            <w:shd w:val="clear" w:color="auto" w:fill="77DFDD"/>
          </w:tcPr>
          <w:p>
            <w:pPr/>
          </w:p>
        </w:tc>
        <w:tc>
          <w:tcPr>
            <w:tcW w:w="780" w:type="dxa"/>
            <w:tcBorders>
              <w:left w:val="dotted" w:sz="4" w:space="0" w:color="000000"/>
              <w:right w:val="dotted" w:sz="4" w:space="0" w:color="30859C"/>
            </w:tcBorders>
            <w:shd w:val="clear" w:color="auto" w:fill="77DFDD"/>
          </w:tcPr>
          <w:p>
            <w:pPr>
              <w:pStyle w:val="TableParagraph"/>
              <w:spacing w:before="9"/>
              <w:ind w:left="90" w:right="99"/>
              <w:rPr>
                <w:sz w:val="14"/>
              </w:rPr>
            </w:pPr>
            <w:r>
              <w:rPr>
                <w:sz w:val="14"/>
              </w:rPr>
              <w:t>0.2 </w:t>
            </w:r>
            <w:r>
              <w:rPr>
                <w:rFonts w:ascii="Times New Roman" w:hAnsi="Times New Roman"/>
                <w:sz w:val="14"/>
              </w:rPr>
              <w:t>± </w:t>
            </w:r>
            <w:r>
              <w:rPr>
                <w:sz w:val="14"/>
              </w:rPr>
              <w:t>0.5</w:t>
            </w:r>
          </w:p>
        </w:tc>
        <w:tc>
          <w:tcPr>
            <w:tcW w:w="940" w:type="dxa"/>
            <w:tcBorders>
              <w:left w:val="dotted" w:sz="4" w:space="0" w:color="30859C"/>
              <w:right w:val="dotted" w:sz="4" w:space="0" w:color="30859C"/>
            </w:tcBorders>
            <w:shd w:val="clear" w:color="auto" w:fill="77DFDD"/>
          </w:tcPr>
          <w:p>
            <w:pPr>
              <w:pStyle w:val="TableParagraph"/>
              <w:spacing w:before="9"/>
              <w:ind w:left="89" w:right="94"/>
              <w:rPr>
                <w:sz w:val="14"/>
              </w:rPr>
            </w:pPr>
            <w:r>
              <w:rPr>
                <w:sz w:val="14"/>
              </w:rPr>
              <w:t>2.5 </w:t>
            </w:r>
            <w:r>
              <w:rPr>
                <w:rFonts w:ascii="Times New Roman" w:hAnsi="Times New Roman"/>
                <w:sz w:val="14"/>
              </w:rPr>
              <w:t>± </w:t>
            </w:r>
            <w:r>
              <w:rPr>
                <w:sz w:val="14"/>
              </w:rPr>
              <w:t>1.9</w:t>
            </w:r>
          </w:p>
        </w:tc>
        <w:tc>
          <w:tcPr>
            <w:tcW w:w="1030" w:type="dxa"/>
            <w:tcBorders>
              <w:left w:val="dotted" w:sz="4" w:space="0" w:color="30859C"/>
              <w:right w:val="dotted" w:sz="4" w:space="0" w:color="30859C"/>
            </w:tcBorders>
            <w:shd w:val="clear" w:color="auto" w:fill="77DFDD"/>
          </w:tcPr>
          <w:p>
            <w:pPr>
              <w:pStyle w:val="TableParagraph"/>
              <w:spacing w:before="9"/>
              <w:ind w:left="138" w:right="145"/>
              <w:rPr>
                <w:sz w:val="14"/>
              </w:rPr>
            </w:pPr>
            <w:r>
              <w:rPr>
                <w:sz w:val="14"/>
              </w:rPr>
              <w:t>22.1 </w:t>
            </w:r>
            <w:r>
              <w:rPr>
                <w:rFonts w:ascii="Times New Roman" w:hAnsi="Times New Roman"/>
                <w:sz w:val="14"/>
              </w:rPr>
              <w:t>± </w:t>
            </w:r>
            <w:r>
              <w:rPr>
                <w:sz w:val="14"/>
              </w:rPr>
              <w:t>17.3</w:t>
            </w:r>
          </w:p>
        </w:tc>
        <w:tc>
          <w:tcPr>
            <w:tcW w:w="940" w:type="dxa"/>
            <w:tcBorders>
              <w:left w:val="dotted" w:sz="4" w:space="0" w:color="30859C"/>
              <w:right w:val="dotted" w:sz="4" w:space="0" w:color="30859C"/>
            </w:tcBorders>
            <w:shd w:val="clear" w:color="auto" w:fill="77DFDD"/>
          </w:tcPr>
          <w:p>
            <w:pPr>
              <w:pStyle w:val="TableParagraph"/>
              <w:spacing w:before="9"/>
              <w:ind w:left="94" w:right="94"/>
              <w:rPr>
                <w:sz w:val="14"/>
              </w:rPr>
            </w:pPr>
            <w:r>
              <w:rPr>
                <w:sz w:val="14"/>
              </w:rPr>
              <w:t>9.8 </w:t>
            </w:r>
            <w:r>
              <w:rPr>
                <w:rFonts w:ascii="Times New Roman" w:hAnsi="Times New Roman"/>
                <w:sz w:val="14"/>
              </w:rPr>
              <w:t>± </w:t>
            </w:r>
            <w:r>
              <w:rPr>
                <w:sz w:val="14"/>
              </w:rPr>
              <w:t>5.7</w:t>
            </w:r>
          </w:p>
        </w:tc>
        <w:tc>
          <w:tcPr>
            <w:tcW w:w="940" w:type="dxa"/>
            <w:tcBorders>
              <w:left w:val="dotted" w:sz="4" w:space="0" w:color="30859C"/>
              <w:right w:val="dotted" w:sz="4" w:space="0" w:color="30859C"/>
            </w:tcBorders>
            <w:shd w:val="clear" w:color="auto" w:fill="77DFDD"/>
          </w:tcPr>
          <w:p>
            <w:pPr>
              <w:pStyle w:val="TableParagraph"/>
              <w:spacing w:before="9"/>
              <w:ind w:left="100" w:right="94"/>
              <w:rPr>
                <w:sz w:val="14"/>
              </w:rPr>
            </w:pPr>
            <w:r>
              <w:rPr>
                <w:sz w:val="14"/>
              </w:rPr>
              <w:t>8.6 </w:t>
            </w:r>
            <w:r>
              <w:rPr>
                <w:rFonts w:ascii="Times New Roman" w:hAnsi="Times New Roman"/>
                <w:sz w:val="14"/>
              </w:rPr>
              <w:t>± </w:t>
            </w:r>
            <w:r>
              <w:rPr>
                <w:sz w:val="14"/>
              </w:rPr>
              <w:t>9.5</w:t>
            </w:r>
          </w:p>
        </w:tc>
        <w:tc>
          <w:tcPr>
            <w:tcW w:w="860" w:type="dxa"/>
            <w:tcBorders>
              <w:left w:val="dotted" w:sz="4" w:space="0" w:color="30859C"/>
              <w:right w:val="dotted" w:sz="4" w:space="0" w:color="30859C"/>
            </w:tcBorders>
            <w:shd w:val="clear" w:color="auto" w:fill="77DFDD"/>
          </w:tcPr>
          <w:p>
            <w:pPr>
              <w:pStyle w:val="TableParagraph"/>
              <w:spacing w:before="9"/>
              <w:ind w:left="54" w:right="56"/>
              <w:rPr>
                <w:sz w:val="14"/>
              </w:rPr>
            </w:pPr>
            <w:r>
              <w:rPr>
                <w:sz w:val="14"/>
              </w:rPr>
              <w:t>1.2 </w:t>
            </w:r>
            <w:r>
              <w:rPr>
                <w:rFonts w:ascii="Times New Roman" w:hAnsi="Times New Roman"/>
                <w:sz w:val="14"/>
              </w:rPr>
              <w:t>± </w:t>
            </w:r>
            <w:r>
              <w:rPr>
                <w:sz w:val="14"/>
              </w:rPr>
              <w:t>2.4</w:t>
            </w:r>
          </w:p>
        </w:tc>
        <w:tc>
          <w:tcPr>
            <w:tcW w:w="860" w:type="dxa"/>
            <w:tcBorders>
              <w:left w:val="dotted" w:sz="4" w:space="0" w:color="30859C"/>
              <w:right w:val="dotted" w:sz="4" w:space="0" w:color="30859C"/>
            </w:tcBorders>
            <w:shd w:val="clear" w:color="auto" w:fill="77DFDD"/>
          </w:tcPr>
          <w:p>
            <w:pPr>
              <w:pStyle w:val="TableParagraph"/>
              <w:spacing w:before="9"/>
              <w:ind w:left="54" w:right="60"/>
              <w:rPr>
                <w:sz w:val="14"/>
              </w:rPr>
            </w:pPr>
            <w:r>
              <w:rPr>
                <w:sz w:val="14"/>
              </w:rPr>
              <w:t>13.3 </w:t>
            </w:r>
            <w:r>
              <w:rPr>
                <w:rFonts w:ascii="Times New Roman" w:hAnsi="Times New Roman"/>
                <w:sz w:val="14"/>
              </w:rPr>
              <w:t>± </w:t>
            </w:r>
            <w:r>
              <w:rPr>
                <w:sz w:val="14"/>
              </w:rPr>
              <w:t>13.2</w:t>
            </w:r>
          </w:p>
        </w:tc>
        <w:tc>
          <w:tcPr>
            <w:tcW w:w="935" w:type="dxa"/>
            <w:tcBorders>
              <w:left w:val="dotted" w:sz="4" w:space="0" w:color="30859C"/>
            </w:tcBorders>
            <w:shd w:val="clear" w:color="auto" w:fill="77DFDD"/>
          </w:tcPr>
          <w:p>
            <w:pPr>
              <w:pStyle w:val="TableParagraph"/>
              <w:spacing w:before="9"/>
              <w:ind w:left="100" w:right="94"/>
              <w:rPr>
                <w:sz w:val="14"/>
              </w:rPr>
            </w:pPr>
            <w:r>
              <w:rPr>
                <w:sz w:val="14"/>
              </w:rPr>
              <w:t>57.8 </w:t>
            </w:r>
            <w:r>
              <w:rPr>
                <w:rFonts w:ascii="Times New Roman" w:hAnsi="Times New Roman"/>
                <w:sz w:val="14"/>
              </w:rPr>
              <w:t>± </w:t>
            </w:r>
            <w:r>
              <w:rPr>
                <w:sz w:val="14"/>
              </w:rPr>
              <w:t>31.8</w:t>
            </w:r>
          </w:p>
        </w:tc>
      </w:tr>
      <w:tr>
        <w:trPr>
          <w:trHeight w:val="190" w:hRule="exact"/>
        </w:trPr>
        <w:tc>
          <w:tcPr>
            <w:tcW w:w="1290" w:type="dxa"/>
            <w:gridSpan w:val="2"/>
            <w:vMerge w:val="restart"/>
            <w:shd w:val="clear" w:color="auto" w:fill="B4EDEC"/>
          </w:tcPr>
          <w:p>
            <w:pPr>
              <w:pStyle w:val="TableParagraph"/>
              <w:spacing w:line="285" w:lineRule="auto" w:before="15"/>
              <w:ind w:left="53" w:right="60" w:firstLine="9"/>
              <w:rPr>
                <w:b/>
                <w:sz w:val="15"/>
              </w:rPr>
            </w:pPr>
            <w:r>
              <w:rPr>
                <w:b/>
                <w:spacing w:val="-3"/>
                <w:sz w:val="15"/>
              </w:rPr>
              <w:t>Antecedentes heredofamiliares </w:t>
            </w:r>
            <w:r>
              <w:rPr>
                <w:b/>
                <w:sz w:val="15"/>
              </w:rPr>
              <w:t>de </w:t>
            </w:r>
            <w:r>
              <w:rPr>
                <w:b/>
                <w:spacing w:val="-3"/>
                <w:sz w:val="15"/>
              </w:rPr>
              <w:t>cáncer</w:t>
            </w:r>
          </w:p>
        </w:tc>
        <w:tc>
          <w:tcPr>
            <w:tcW w:w="870" w:type="dxa"/>
            <w:vMerge w:val="restart"/>
            <w:shd w:val="clear" w:color="auto" w:fill="B4EDEC"/>
          </w:tcPr>
          <w:p>
            <w:pPr>
              <w:pStyle w:val="TableParagraph"/>
              <w:spacing w:before="13"/>
              <w:ind w:left="20"/>
              <w:jc w:val="left"/>
              <w:rPr>
                <w:sz w:val="12"/>
              </w:rPr>
            </w:pPr>
            <w:r>
              <w:rPr>
                <w:sz w:val="12"/>
              </w:rPr>
              <w:t>Si</w:t>
            </w:r>
          </w:p>
          <w:p>
            <w:pPr>
              <w:pStyle w:val="TableParagraph"/>
              <w:spacing w:before="0"/>
              <w:jc w:val="left"/>
              <w:rPr>
                <w:b/>
                <w:sz w:val="12"/>
              </w:rPr>
            </w:pPr>
          </w:p>
          <w:p>
            <w:pPr>
              <w:pStyle w:val="TableParagraph"/>
              <w:spacing w:before="7"/>
              <w:jc w:val="left"/>
              <w:rPr>
                <w:b/>
                <w:sz w:val="9"/>
              </w:rPr>
            </w:pPr>
          </w:p>
          <w:p>
            <w:pPr>
              <w:pStyle w:val="TableParagraph"/>
              <w:spacing w:before="0"/>
              <w:ind w:left="20"/>
              <w:jc w:val="left"/>
              <w:rPr>
                <w:sz w:val="12"/>
              </w:rPr>
            </w:pPr>
            <w:r>
              <w:rPr>
                <w:sz w:val="12"/>
              </w:rPr>
              <w:t>No</w:t>
            </w:r>
          </w:p>
        </w:tc>
        <w:tc>
          <w:tcPr>
            <w:tcW w:w="155" w:type="dxa"/>
            <w:vMerge w:val="restart"/>
            <w:tcBorders>
              <w:right w:val="dotted" w:sz="4" w:space="0" w:color="000000"/>
            </w:tcBorders>
            <w:shd w:val="clear" w:color="auto" w:fill="B4EDEC"/>
          </w:tcPr>
          <w:p>
            <w:pPr>
              <w:pStyle w:val="TableParagraph"/>
              <w:spacing w:before="0"/>
              <w:jc w:val="left"/>
              <w:rPr>
                <w:b/>
                <w:sz w:val="12"/>
              </w:rPr>
            </w:pPr>
          </w:p>
          <w:p>
            <w:pPr>
              <w:pStyle w:val="TableParagraph"/>
              <w:spacing w:before="69"/>
              <w:ind w:left="51"/>
              <w:jc w:val="left"/>
              <w:rPr>
                <w:b/>
                <w:sz w:val="12"/>
              </w:rPr>
            </w:pPr>
            <w:r>
              <w:rPr>
                <w:b/>
                <w:w w:val="99"/>
                <w:sz w:val="12"/>
              </w:rPr>
              <w:t>P</w:t>
            </w:r>
          </w:p>
        </w:tc>
        <w:tc>
          <w:tcPr>
            <w:tcW w:w="780" w:type="dxa"/>
            <w:tcBorders>
              <w:left w:val="dotted" w:sz="4" w:space="0" w:color="000000"/>
              <w:right w:val="dotted" w:sz="4" w:space="0" w:color="30859C"/>
            </w:tcBorders>
            <w:shd w:val="clear" w:color="auto" w:fill="B4EDEC"/>
          </w:tcPr>
          <w:p>
            <w:pPr>
              <w:pStyle w:val="TableParagraph"/>
              <w:spacing w:before="15"/>
              <w:ind w:left="90" w:right="99"/>
              <w:rPr>
                <w:sz w:val="14"/>
              </w:rPr>
            </w:pPr>
            <w:r>
              <w:rPr>
                <w:sz w:val="14"/>
              </w:rPr>
              <w:t>0.6 </w:t>
            </w:r>
            <w:r>
              <w:rPr>
                <w:rFonts w:ascii="Times New Roman" w:hAnsi="Times New Roman"/>
                <w:sz w:val="14"/>
              </w:rPr>
              <w:t>± </w:t>
            </w:r>
            <w:r>
              <w:rPr>
                <w:sz w:val="14"/>
              </w:rPr>
              <w:t>0.6</w:t>
            </w:r>
          </w:p>
        </w:tc>
        <w:tc>
          <w:tcPr>
            <w:tcW w:w="940" w:type="dxa"/>
            <w:tcBorders>
              <w:left w:val="dotted" w:sz="4" w:space="0" w:color="30859C"/>
              <w:right w:val="dotted" w:sz="4" w:space="0" w:color="30859C"/>
            </w:tcBorders>
            <w:shd w:val="clear" w:color="auto" w:fill="B4EDEC"/>
          </w:tcPr>
          <w:p>
            <w:pPr>
              <w:pStyle w:val="TableParagraph"/>
              <w:spacing w:before="15"/>
              <w:ind w:left="89" w:right="94"/>
              <w:rPr>
                <w:sz w:val="14"/>
              </w:rPr>
            </w:pPr>
            <w:r>
              <w:rPr>
                <w:sz w:val="14"/>
              </w:rPr>
              <w:t>2.1 </w:t>
            </w:r>
            <w:r>
              <w:rPr>
                <w:rFonts w:ascii="Times New Roman" w:hAnsi="Times New Roman"/>
                <w:sz w:val="14"/>
              </w:rPr>
              <w:t>± </w:t>
            </w:r>
            <w:r>
              <w:rPr>
                <w:sz w:val="14"/>
              </w:rPr>
              <w:t>1.5</w:t>
            </w:r>
          </w:p>
        </w:tc>
        <w:tc>
          <w:tcPr>
            <w:tcW w:w="1030" w:type="dxa"/>
            <w:tcBorders>
              <w:left w:val="dotted" w:sz="4" w:space="0" w:color="30859C"/>
              <w:right w:val="dotted" w:sz="4" w:space="0" w:color="30859C"/>
            </w:tcBorders>
            <w:shd w:val="clear" w:color="auto" w:fill="B4EDEC"/>
          </w:tcPr>
          <w:p>
            <w:pPr>
              <w:pStyle w:val="TableParagraph"/>
              <w:spacing w:before="15"/>
              <w:ind w:left="138" w:right="145"/>
              <w:rPr>
                <w:sz w:val="14"/>
              </w:rPr>
            </w:pPr>
            <w:r>
              <w:rPr>
                <w:sz w:val="14"/>
              </w:rPr>
              <w:t>12.1 </w:t>
            </w:r>
            <w:r>
              <w:rPr>
                <w:rFonts w:ascii="Times New Roman" w:hAnsi="Times New Roman"/>
                <w:sz w:val="14"/>
              </w:rPr>
              <w:t>± </w:t>
            </w:r>
            <w:r>
              <w:rPr>
                <w:sz w:val="14"/>
              </w:rPr>
              <w:t>9.7</w:t>
            </w:r>
          </w:p>
        </w:tc>
        <w:tc>
          <w:tcPr>
            <w:tcW w:w="940" w:type="dxa"/>
            <w:tcBorders>
              <w:left w:val="dotted" w:sz="4" w:space="0" w:color="30859C"/>
              <w:right w:val="dotted" w:sz="4" w:space="0" w:color="30859C"/>
            </w:tcBorders>
            <w:shd w:val="clear" w:color="auto" w:fill="B4EDEC"/>
          </w:tcPr>
          <w:p>
            <w:pPr>
              <w:pStyle w:val="TableParagraph"/>
              <w:spacing w:before="15"/>
              <w:ind w:left="94" w:right="94"/>
              <w:rPr>
                <w:sz w:val="14"/>
              </w:rPr>
            </w:pPr>
            <w:r>
              <w:rPr>
                <w:sz w:val="14"/>
              </w:rPr>
              <w:t>6.3 </w:t>
            </w:r>
            <w:r>
              <w:rPr>
                <w:rFonts w:ascii="Times New Roman" w:hAnsi="Times New Roman"/>
                <w:sz w:val="14"/>
              </w:rPr>
              <w:t>± </w:t>
            </w:r>
            <w:r>
              <w:rPr>
                <w:sz w:val="14"/>
              </w:rPr>
              <w:t>5.5</w:t>
            </w:r>
          </w:p>
        </w:tc>
        <w:tc>
          <w:tcPr>
            <w:tcW w:w="940" w:type="dxa"/>
            <w:tcBorders>
              <w:left w:val="dotted" w:sz="4" w:space="0" w:color="30859C"/>
              <w:right w:val="dotted" w:sz="4" w:space="0" w:color="30859C"/>
            </w:tcBorders>
            <w:shd w:val="clear" w:color="auto" w:fill="B4EDEC"/>
          </w:tcPr>
          <w:p>
            <w:pPr>
              <w:pStyle w:val="TableParagraph"/>
              <w:spacing w:before="15"/>
              <w:ind w:left="100" w:right="94"/>
              <w:rPr>
                <w:sz w:val="14"/>
              </w:rPr>
            </w:pPr>
            <w:r>
              <w:rPr>
                <w:sz w:val="14"/>
              </w:rPr>
              <w:t>7.7 </w:t>
            </w:r>
            <w:r>
              <w:rPr>
                <w:rFonts w:ascii="Times New Roman" w:hAnsi="Times New Roman"/>
                <w:sz w:val="14"/>
              </w:rPr>
              <w:t>± </w:t>
            </w:r>
            <w:r>
              <w:rPr>
                <w:sz w:val="14"/>
              </w:rPr>
              <w:t>7.7</w:t>
            </w:r>
          </w:p>
        </w:tc>
        <w:tc>
          <w:tcPr>
            <w:tcW w:w="860" w:type="dxa"/>
            <w:tcBorders>
              <w:left w:val="dotted" w:sz="4" w:space="0" w:color="30859C"/>
              <w:right w:val="dotted" w:sz="4" w:space="0" w:color="30859C"/>
            </w:tcBorders>
            <w:shd w:val="clear" w:color="auto" w:fill="B4EDEC"/>
          </w:tcPr>
          <w:p>
            <w:pPr>
              <w:pStyle w:val="TableParagraph"/>
              <w:spacing w:before="15"/>
              <w:ind w:left="54" w:right="56"/>
              <w:rPr>
                <w:sz w:val="14"/>
              </w:rPr>
            </w:pPr>
            <w:r>
              <w:rPr>
                <w:sz w:val="14"/>
              </w:rPr>
              <w:t>1.5 </w:t>
            </w:r>
            <w:r>
              <w:rPr>
                <w:rFonts w:ascii="Times New Roman" w:hAnsi="Times New Roman"/>
                <w:sz w:val="14"/>
              </w:rPr>
              <w:t>± </w:t>
            </w:r>
            <w:r>
              <w:rPr>
                <w:sz w:val="14"/>
              </w:rPr>
              <w:t>2.6</w:t>
            </w:r>
          </w:p>
        </w:tc>
        <w:tc>
          <w:tcPr>
            <w:tcW w:w="860" w:type="dxa"/>
            <w:tcBorders>
              <w:left w:val="dotted" w:sz="4" w:space="0" w:color="30859C"/>
              <w:right w:val="dotted" w:sz="4" w:space="0" w:color="30859C"/>
            </w:tcBorders>
            <w:shd w:val="clear" w:color="auto" w:fill="B4EDEC"/>
          </w:tcPr>
          <w:p>
            <w:pPr>
              <w:pStyle w:val="TableParagraph"/>
              <w:spacing w:before="15"/>
              <w:ind w:left="54" w:right="60"/>
              <w:rPr>
                <w:sz w:val="14"/>
              </w:rPr>
            </w:pPr>
            <w:r>
              <w:rPr>
                <w:sz w:val="14"/>
              </w:rPr>
              <w:t>13.7 </w:t>
            </w:r>
            <w:r>
              <w:rPr>
                <w:rFonts w:ascii="Times New Roman" w:hAnsi="Times New Roman"/>
                <w:sz w:val="14"/>
              </w:rPr>
              <w:t>± </w:t>
            </w:r>
            <w:r>
              <w:rPr>
                <w:sz w:val="14"/>
              </w:rPr>
              <w:t>13.3</w:t>
            </w:r>
          </w:p>
        </w:tc>
        <w:tc>
          <w:tcPr>
            <w:tcW w:w="935" w:type="dxa"/>
            <w:tcBorders>
              <w:left w:val="dotted" w:sz="4" w:space="0" w:color="30859C"/>
            </w:tcBorders>
            <w:shd w:val="clear" w:color="auto" w:fill="B4EDEC"/>
          </w:tcPr>
          <w:p>
            <w:pPr>
              <w:pStyle w:val="TableParagraph"/>
              <w:spacing w:before="15"/>
              <w:ind w:left="100" w:right="94"/>
              <w:rPr>
                <w:sz w:val="14"/>
              </w:rPr>
            </w:pPr>
            <w:r>
              <w:rPr>
                <w:sz w:val="14"/>
              </w:rPr>
              <w:t>43.7 </w:t>
            </w:r>
            <w:r>
              <w:rPr>
                <w:rFonts w:ascii="Times New Roman" w:hAnsi="Times New Roman"/>
                <w:sz w:val="14"/>
              </w:rPr>
              <w:t>± </w:t>
            </w:r>
            <w:r>
              <w:rPr>
                <w:sz w:val="14"/>
              </w:rPr>
              <w:t>21.4</w:t>
            </w:r>
          </w:p>
        </w:tc>
      </w:tr>
      <w:tr>
        <w:trPr>
          <w:trHeight w:val="190" w:hRule="exact"/>
        </w:trPr>
        <w:tc>
          <w:tcPr>
            <w:tcW w:w="1290" w:type="dxa"/>
            <w:gridSpan w:val="2"/>
            <w:vMerge/>
            <w:shd w:val="clear" w:color="auto" w:fill="B4EDEC"/>
          </w:tcPr>
          <w:p>
            <w:pPr/>
          </w:p>
        </w:tc>
        <w:tc>
          <w:tcPr>
            <w:tcW w:w="870" w:type="dxa"/>
            <w:vMerge/>
            <w:shd w:val="clear" w:color="auto" w:fill="B4EDEC"/>
          </w:tcPr>
          <w:p>
            <w:pPr/>
          </w:p>
        </w:tc>
        <w:tc>
          <w:tcPr>
            <w:tcW w:w="155" w:type="dxa"/>
            <w:vMerge/>
            <w:tcBorders>
              <w:right w:val="dotted" w:sz="4" w:space="0" w:color="000000"/>
            </w:tcBorders>
            <w:shd w:val="clear" w:color="auto" w:fill="B4EDEC"/>
          </w:tcPr>
          <w:p>
            <w:pPr/>
          </w:p>
        </w:tc>
        <w:tc>
          <w:tcPr>
            <w:tcW w:w="780" w:type="dxa"/>
            <w:tcBorders>
              <w:left w:val="dotted" w:sz="4" w:space="0" w:color="000000"/>
              <w:right w:val="dotted" w:sz="4" w:space="0" w:color="30859C"/>
            </w:tcBorders>
            <w:shd w:val="clear" w:color="auto" w:fill="BEBEBE"/>
          </w:tcPr>
          <w:p>
            <w:pPr>
              <w:pStyle w:val="TableParagraph"/>
              <w:spacing w:before="18"/>
              <w:ind w:left="90" w:right="85"/>
              <w:rPr>
                <w:b/>
                <w:sz w:val="14"/>
              </w:rPr>
            </w:pPr>
            <w:r>
              <w:rPr>
                <w:b/>
                <w:sz w:val="14"/>
              </w:rPr>
              <w:t>0.05*</w:t>
            </w:r>
          </w:p>
        </w:tc>
        <w:tc>
          <w:tcPr>
            <w:tcW w:w="940" w:type="dxa"/>
            <w:tcBorders>
              <w:left w:val="dotted" w:sz="4" w:space="0" w:color="30859C"/>
              <w:right w:val="dotted" w:sz="4" w:space="0" w:color="30859C"/>
            </w:tcBorders>
            <w:shd w:val="clear" w:color="auto" w:fill="B4EDEC"/>
          </w:tcPr>
          <w:p>
            <w:pPr>
              <w:pStyle w:val="TableParagraph"/>
              <w:spacing w:before="18"/>
              <w:ind w:left="85" w:right="94"/>
              <w:rPr>
                <w:sz w:val="14"/>
              </w:rPr>
            </w:pPr>
            <w:r>
              <w:rPr>
                <w:sz w:val="14"/>
              </w:rPr>
              <w:t>0.3*</w:t>
            </w:r>
          </w:p>
        </w:tc>
        <w:tc>
          <w:tcPr>
            <w:tcW w:w="1030" w:type="dxa"/>
            <w:tcBorders>
              <w:left w:val="dotted" w:sz="4" w:space="0" w:color="30859C"/>
              <w:right w:val="dotted" w:sz="4" w:space="0" w:color="30859C"/>
            </w:tcBorders>
            <w:shd w:val="clear" w:color="auto" w:fill="B4EDEC"/>
          </w:tcPr>
          <w:p>
            <w:pPr>
              <w:pStyle w:val="TableParagraph"/>
              <w:spacing w:before="18"/>
              <w:ind w:left="134" w:right="145"/>
              <w:rPr>
                <w:sz w:val="14"/>
              </w:rPr>
            </w:pPr>
            <w:r>
              <w:rPr>
                <w:sz w:val="14"/>
              </w:rPr>
              <w:t>0.2*</w:t>
            </w:r>
          </w:p>
        </w:tc>
        <w:tc>
          <w:tcPr>
            <w:tcW w:w="940" w:type="dxa"/>
            <w:tcBorders>
              <w:left w:val="dotted" w:sz="4" w:space="0" w:color="30859C"/>
              <w:right w:val="dotted" w:sz="4" w:space="0" w:color="30859C"/>
            </w:tcBorders>
            <w:shd w:val="clear" w:color="auto" w:fill="B4EDEC"/>
          </w:tcPr>
          <w:p>
            <w:pPr>
              <w:pStyle w:val="TableParagraph"/>
              <w:spacing w:before="18"/>
              <w:ind w:left="93" w:right="94"/>
              <w:rPr>
                <w:sz w:val="14"/>
              </w:rPr>
            </w:pPr>
            <w:r>
              <w:rPr>
                <w:sz w:val="14"/>
              </w:rPr>
              <w:t>0.1*</w:t>
            </w:r>
          </w:p>
        </w:tc>
        <w:tc>
          <w:tcPr>
            <w:tcW w:w="940" w:type="dxa"/>
            <w:tcBorders>
              <w:left w:val="dotted" w:sz="4" w:space="0" w:color="30859C"/>
              <w:right w:val="dotted" w:sz="4" w:space="0" w:color="30859C"/>
            </w:tcBorders>
            <w:shd w:val="clear" w:color="auto" w:fill="B4EDEC"/>
          </w:tcPr>
          <w:p>
            <w:pPr>
              <w:pStyle w:val="TableParagraph"/>
              <w:spacing w:before="18"/>
              <w:ind w:left="97" w:right="94"/>
              <w:rPr>
                <w:sz w:val="14"/>
              </w:rPr>
            </w:pPr>
            <w:r>
              <w:rPr>
                <w:sz w:val="14"/>
              </w:rPr>
              <w:t>0.7*</w:t>
            </w:r>
          </w:p>
        </w:tc>
        <w:tc>
          <w:tcPr>
            <w:tcW w:w="860" w:type="dxa"/>
            <w:tcBorders>
              <w:left w:val="dotted" w:sz="4" w:space="0" w:color="30859C"/>
              <w:right w:val="dotted" w:sz="4" w:space="0" w:color="30859C"/>
            </w:tcBorders>
            <w:shd w:val="clear" w:color="auto" w:fill="B4EDEC"/>
          </w:tcPr>
          <w:p>
            <w:pPr>
              <w:pStyle w:val="TableParagraph"/>
              <w:spacing w:before="18"/>
              <w:ind w:left="54" w:right="43"/>
              <w:rPr>
                <w:sz w:val="14"/>
              </w:rPr>
            </w:pPr>
            <w:r>
              <w:rPr>
                <w:sz w:val="14"/>
              </w:rPr>
              <w:t>0.8*</w:t>
            </w:r>
          </w:p>
        </w:tc>
        <w:tc>
          <w:tcPr>
            <w:tcW w:w="860" w:type="dxa"/>
            <w:tcBorders>
              <w:left w:val="dotted" w:sz="4" w:space="0" w:color="30859C"/>
              <w:right w:val="dotted" w:sz="4" w:space="0" w:color="30859C"/>
            </w:tcBorders>
            <w:shd w:val="clear" w:color="auto" w:fill="B4EDEC"/>
          </w:tcPr>
          <w:p>
            <w:pPr>
              <w:pStyle w:val="TableParagraph"/>
              <w:spacing w:before="18"/>
              <w:ind w:left="54" w:right="47"/>
              <w:rPr>
                <w:sz w:val="14"/>
              </w:rPr>
            </w:pPr>
            <w:r>
              <w:rPr>
                <w:sz w:val="14"/>
              </w:rPr>
              <w:t>0.7*</w:t>
            </w:r>
          </w:p>
        </w:tc>
        <w:tc>
          <w:tcPr>
            <w:tcW w:w="935" w:type="dxa"/>
            <w:tcBorders>
              <w:left w:val="dotted" w:sz="4" w:space="0" w:color="30859C"/>
            </w:tcBorders>
            <w:shd w:val="clear" w:color="auto" w:fill="B4EDEC"/>
          </w:tcPr>
          <w:p>
            <w:pPr>
              <w:pStyle w:val="TableParagraph"/>
              <w:spacing w:before="18"/>
              <w:ind w:left="96" w:right="94"/>
              <w:rPr>
                <w:sz w:val="14"/>
              </w:rPr>
            </w:pPr>
            <w:r>
              <w:rPr>
                <w:sz w:val="14"/>
              </w:rPr>
              <w:t>0.3*</w:t>
            </w:r>
          </w:p>
        </w:tc>
      </w:tr>
      <w:tr>
        <w:trPr>
          <w:trHeight w:val="230" w:hRule="exact"/>
        </w:trPr>
        <w:tc>
          <w:tcPr>
            <w:tcW w:w="1290" w:type="dxa"/>
            <w:gridSpan w:val="2"/>
            <w:vMerge/>
            <w:shd w:val="clear" w:color="auto" w:fill="B4EDEC"/>
          </w:tcPr>
          <w:p>
            <w:pPr/>
          </w:p>
        </w:tc>
        <w:tc>
          <w:tcPr>
            <w:tcW w:w="870" w:type="dxa"/>
            <w:vMerge/>
            <w:shd w:val="clear" w:color="auto" w:fill="B4EDEC"/>
          </w:tcPr>
          <w:p>
            <w:pPr/>
          </w:p>
        </w:tc>
        <w:tc>
          <w:tcPr>
            <w:tcW w:w="155" w:type="dxa"/>
            <w:vMerge/>
            <w:tcBorders>
              <w:right w:val="dotted" w:sz="4" w:space="0" w:color="000000"/>
            </w:tcBorders>
            <w:shd w:val="clear" w:color="auto" w:fill="B4EDEC"/>
          </w:tcPr>
          <w:p>
            <w:pPr/>
          </w:p>
        </w:tc>
        <w:tc>
          <w:tcPr>
            <w:tcW w:w="780" w:type="dxa"/>
            <w:tcBorders>
              <w:left w:val="dotted" w:sz="4" w:space="0" w:color="000000"/>
              <w:right w:val="dotted" w:sz="4" w:space="0" w:color="30859C"/>
            </w:tcBorders>
            <w:shd w:val="clear" w:color="auto" w:fill="B4EDEC"/>
          </w:tcPr>
          <w:p>
            <w:pPr>
              <w:pStyle w:val="TableParagraph"/>
              <w:spacing w:before="21"/>
              <w:ind w:left="90" w:right="99"/>
              <w:rPr>
                <w:sz w:val="14"/>
              </w:rPr>
            </w:pPr>
            <w:r>
              <w:rPr>
                <w:sz w:val="14"/>
              </w:rPr>
              <w:t>0.2 </w:t>
            </w:r>
            <w:r>
              <w:rPr>
                <w:rFonts w:ascii="Times New Roman" w:hAnsi="Times New Roman"/>
                <w:sz w:val="14"/>
              </w:rPr>
              <w:t>± </w:t>
            </w:r>
            <w:r>
              <w:rPr>
                <w:sz w:val="14"/>
              </w:rPr>
              <w:t>0.5</w:t>
            </w:r>
          </w:p>
        </w:tc>
        <w:tc>
          <w:tcPr>
            <w:tcW w:w="940" w:type="dxa"/>
            <w:tcBorders>
              <w:left w:val="dotted" w:sz="4" w:space="0" w:color="30859C"/>
              <w:right w:val="dotted" w:sz="4" w:space="0" w:color="30859C"/>
            </w:tcBorders>
            <w:shd w:val="clear" w:color="auto" w:fill="B4EDEC"/>
          </w:tcPr>
          <w:p>
            <w:pPr>
              <w:pStyle w:val="TableParagraph"/>
              <w:spacing w:before="21"/>
              <w:ind w:left="89" w:right="94"/>
              <w:rPr>
                <w:sz w:val="14"/>
              </w:rPr>
            </w:pPr>
            <w:r>
              <w:rPr>
                <w:sz w:val="14"/>
              </w:rPr>
              <w:t>3.3 </w:t>
            </w:r>
            <w:r>
              <w:rPr>
                <w:rFonts w:ascii="Times New Roman" w:hAnsi="Times New Roman"/>
                <w:sz w:val="14"/>
              </w:rPr>
              <w:t>± </w:t>
            </w:r>
            <w:r>
              <w:rPr>
                <w:sz w:val="14"/>
              </w:rPr>
              <w:t>2.7</w:t>
            </w:r>
          </w:p>
        </w:tc>
        <w:tc>
          <w:tcPr>
            <w:tcW w:w="1030" w:type="dxa"/>
            <w:tcBorders>
              <w:left w:val="dotted" w:sz="4" w:space="0" w:color="30859C"/>
              <w:right w:val="dotted" w:sz="4" w:space="0" w:color="30859C"/>
            </w:tcBorders>
            <w:shd w:val="clear" w:color="auto" w:fill="B4EDEC"/>
          </w:tcPr>
          <w:p>
            <w:pPr>
              <w:pStyle w:val="TableParagraph"/>
              <w:spacing w:before="21"/>
              <w:ind w:left="138" w:right="145"/>
              <w:rPr>
                <w:sz w:val="14"/>
              </w:rPr>
            </w:pPr>
            <w:r>
              <w:rPr>
                <w:sz w:val="14"/>
              </w:rPr>
              <w:t>18.8 </w:t>
            </w:r>
            <w:r>
              <w:rPr>
                <w:rFonts w:ascii="Times New Roman" w:hAnsi="Times New Roman"/>
                <w:sz w:val="14"/>
              </w:rPr>
              <w:t>± </w:t>
            </w:r>
            <w:r>
              <w:rPr>
                <w:sz w:val="14"/>
              </w:rPr>
              <w:t>15.2</w:t>
            </w:r>
          </w:p>
        </w:tc>
        <w:tc>
          <w:tcPr>
            <w:tcW w:w="940" w:type="dxa"/>
            <w:tcBorders>
              <w:left w:val="dotted" w:sz="4" w:space="0" w:color="30859C"/>
              <w:right w:val="dotted" w:sz="4" w:space="0" w:color="30859C"/>
            </w:tcBorders>
            <w:shd w:val="clear" w:color="auto" w:fill="B4EDEC"/>
          </w:tcPr>
          <w:p>
            <w:pPr>
              <w:pStyle w:val="TableParagraph"/>
              <w:spacing w:before="21"/>
              <w:ind w:left="94" w:right="94"/>
              <w:rPr>
                <w:sz w:val="14"/>
              </w:rPr>
            </w:pPr>
            <w:r>
              <w:rPr>
                <w:sz w:val="14"/>
              </w:rPr>
              <w:t>9.9 </w:t>
            </w:r>
            <w:r>
              <w:rPr>
                <w:rFonts w:ascii="Times New Roman" w:hAnsi="Times New Roman"/>
                <w:sz w:val="14"/>
              </w:rPr>
              <w:t>± </w:t>
            </w:r>
            <w:r>
              <w:rPr>
                <w:sz w:val="14"/>
              </w:rPr>
              <w:t>6.8</w:t>
            </w:r>
          </w:p>
        </w:tc>
        <w:tc>
          <w:tcPr>
            <w:tcW w:w="940" w:type="dxa"/>
            <w:tcBorders>
              <w:left w:val="dotted" w:sz="4" w:space="0" w:color="30859C"/>
              <w:right w:val="dotted" w:sz="4" w:space="0" w:color="30859C"/>
            </w:tcBorders>
            <w:shd w:val="clear" w:color="auto" w:fill="B4EDEC"/>
          </w:tcPr>
          <w:p>
            <w:pPr>
              <w:pStyle w:val="TableParagraph"/>
              <w:spacing w:before="21"/>
              <w:ind w:left="100" w:right="94"/>
              <w:rPr>
                <w:sz w:val="14"/>
              </w:rPr>
            </w:pPr>
            <w:r>
              <w:rPr>
                <w:sz w:val="14"/>
              </w:rPr>
              <w:t>7.9 </w:t>
            </w:r>
            <w:r>
              <w:rPr>
                <w:rFonts w:ascii="Times New Roman" w:hAnsi="Times New Roman"/>
                <w:sz w:val="14"/>
              </w:rPr>
              <w:t>± </w:t>
            </w:r>
            <w:r>
              <w:rPr>
                <w:sz w:val="14"/>
              </w:rPr>
              <w:t>10.4</w:t>
            </w:r>
          </w:p>
        </w:tc>
        <w:tc>
          <w:tcPr>
            <w:tcW w:w="860" w:type="dxa"/>
            <w:tcBorders>
              <w:left w:val="dotted" w:sz="4" w:space="0" w:color="30859C"/>
              <w:right w:val="dotted" w:sz="4" w:space="0" w:color="30859C"/>
            </w:tcBorders>
            <w:shd w:val="clear" w:color="auto" w:fill="B4EDEC"/>
          </w:tcPr>
          <w:p>
            <w:pPr>
              <w:pStyle w:val="TableParagraph"/>
              <w:spacing w:before="21"/>
              <w:ind w:left="54" w:right="56"/>
              <w:rPr>
                <w:sz w:val="14"/>
              </w:rPr>
            </w:pPr>
            <w:r>
              <w:rPr>
                <w:sz w:val="14"/>
              </w:rPr>
              <w:t>1.1 </w:t>
            </w:r>
            <w:r>
              <w:rPr>
                <w:rFonts w:ascii="Times New Roman" w:hAnsi="Times New Roman"/>
                <w:sz w:val="14"/>
              </w:rPr>
              <w:t>± </w:t>
            </w:r>
            <w:r>
              <w:rPr>
                <w:sz w:val="14"/>
              </w:rPr>
              <w:t>1.6</w:t>
            </w:r>
          </w:p>
        </w:tc>
        <w:tc>
          <w:tcPr>
            <w:tcW w:w="860" w:type="dxa"/>
            <w:tcBorders>
              <w:left w:val="dotted" w:sz="4" w:space="0" w:color="30859C"/>
              <w:right w:val="dotted" w:sz="4" w:space="0" w:color="30859C"/>
            </w:tcBorders>
            <w:shd w:val="clear" w:color="auto" w:fill="B4EDEC"/>
          </w:tcPr>
          <w:p>
            <w:pPr>
              <w:pStyle w:val="TableParagraph"/>
              <w:spacing w:before="21"/>
              <w:ind w:left="54" w:right="60"/>
              <w:rPr>
                <w:sz w:val="14"/>
              </w:rPr>
            </w:pPr>
            <w:r>
              <w:rPr>
                <w:sz w:val="14"/>
              </w:rPr>
              <w:t>10.7 </w:t>
            </w:r>
            <w:r>
              <w:rPr>
                <w:rFonts w:ascii="Times New Roman" w:hAnsi="Times New Roman"/>
                <w:sz w:val="14"/>
              </w:rPr>
              <w:t>± </w:t>
            </w:r>
            <w:r>
              <w:rPr>
                <w:sz w:val="14"/>
              </w:rPr>
              <w:t>9.8</w:t>
            </w:r>
          </w:p>
        </w:tc>
        <w:tc>
          <w:tcPr>
            <w:tcW w:w="935" w:type="dxa"/>
            <w:tcBorders>
              <w:left w:val="dotted" w:sz="4" w:space="0" w:color="30859C"/>
            </w:tcBorders>
            <w:shd w:val="clear" w:color="auto" w:fill="B4EDEC"/>
          </w:tcPr>
          <w:p>
            <w:pPr>
              <w:pStyle w:val="TableParagraph"/>
              <w:spacing w:before="21"/>
              <w:ind w:left="100" w:right="94"/>
              <w:rPr>
                <w:sz w:val="14"/>
              </w:rPr>
            </w:pPr>
            <w:r>
              <w:rPr>
                <w:sz w:val="14"/>
              </w:rPr>
              <w:t>51.8 </w:t>
            </w:r>
            <w:r>
              <w:rPr>
                <w:rFonts w:ascii="Times New Roman" w:hAnsi="Times New Roman"/>
                <w:sz w:val="14"/>
              </w:rPr>
              <w:t>± </w:t>
            </w:r>
            <w:r>
              <w:rPr>
                <w:sz w:val="14"/>
              </w:rPr>
              <w:t>29.2</w:t>
            </w:r>
          </w:p>
        </w:tc>
      </w:tr>
      <w:tr>
        <w:trPr>
          <w:trHeight w:val="201" w:hRule="exact"/>
        </w:trPr>
        <w:tc>
          <w:tcPr>
            <w:tcW w:w="1290" w:type="dxa"/>
            <w:gridSpan w:val="2"/>
            <w:shd w:val="clear" w:color="auto" w:fill="77DFDD"/>
          </w:tcPr>
          <w:p>
            <w:pPr>
              <w:pStyle w:val="TableParagraph"/>
              <w:spacing w:before="13"/>
              <w:ind w:left="264"/>
              <w:jc w:val="left"/>
              <w:rPr>
                <w:b/>
                <w:sz w:val="15"/>
              </w:rPr>
            </w:pPr>
            <w:r>
              <w:rPr>
                <w:b/>
                <w:sz w:val="15"/>
              </w:rPr>
              <w:t>Problemas</w:t>
            </w:r>
          </w:p>
        </w:tc>
        <w:tc>
          <w:tcPr>
            <w:tcW w:w="870" w:type="dxa"/>
            <w:shd w:val="clear" w:color="auto" w:fill="77DFDD"/>
          </w:tcPr>
          <w:p>
            <w:pPr>
              <w:pStyle w:val="TableParagraph"/>
              <w:spacing w:before="11"/>
              <w:ind w:left="20"/>
              <w:jc w:val="left"/>
              <w:rPr>
                <w:sz w:val="12"/>
              </w:rPr>
            </w:pPr>
            <w:r>
              <w:rPr>
                <w:sz w:val="12"/>
              </w:rPr>
              <w:t>Si</w:t>
            </w:r>
          </w:p>
        </w:tc>
        <w:tc>
          <w:tcPr>
            <w:tcW w:w="155" w:type="dxa"/>
            <w:tcBorders>
              <w:right w:val="dotted" w:sz="4" w:space="0" w:color="000000"/>
            </w:tcBorders>
            <w:shd w:val="clear" w:color="auto" w:fill="77DFDD"/>
          </w:tcPr>
          <w:p>
            <w:pPr/>
          </w:p>
        </w:tc>
        <w:tc>
          <w:tcPr>
            <w:tcW w:w="780" w:type="dxa"/>
            <w:tcBorders>
              <w:left w:val="dotted" w:sz="4" w:space="0" w:color="000000"/>
              <w:right w:val="dotted" w:sz="4" w:space="0" w:color="30859C"/>
            </w:tcBorders>
            <w:shd w:val="clear" w:color="auto" w:fill="77DFDD"/>
          </w:tcPr>
          <w:p>
            <w:pPr>
              <w:pStyle w:val="TableParagraph"/>
              <w:spacing w:before="12"/>
              <w:ind w:left="90" w:right="99"/>
              <w:rPr>
                <w:sz w:val="14"/>
              </w:rPr>
            </w:pPr>
            <w:r>
              <w:rPr>
                <w:sz w:val="14"/>
              </w:rPr>
              <w:t>0.3 </w:t>
            </w:r>
            <w:r>
              <w:rPr>
                <w:rFonts w:ascii="Times New Roman" w:hAnsi="Times New Roman"/>
                <w:sz w:val="14"/>
              </w:rPr>
              <w:t>± </w:t>
            </w:r>
            <w:r>
              <w:rPr>
                <w:sz w:val="14"/>
              </w:rPr>
              <w:t>0.4</w:t>
            </w:r>
          </w:p>
        </w:tc>
        <w:tc>
          <w:tcPr>
            <w:tcW w:w="940" w:type="dxa"/>
            <w:tcBorders>
              <w:left w:val="dotted" w:sz="4" w:space="0" w:color="30859C"/>
              <w:right w:val="dotted" w:sz="4" w:space="0" w:color="30859C"/>
            </w:tcBorders>
            <w:shd w:val="clear" w:color="auto" w:fill="77DFDD"/>
          </w:tcPr>
          <w:p>
            <w:pPr>
              <w:pStyle w:val="TableParagraph"/>
              <w:spacing w:before="12"/>
              <w:ind w:left="89" w:right="94"/>
              <w:rPr>
                <w:sz w:val="14"/>
              </w:rPr>
            </w:pPr>
            <w:r>
              <w:rPr>
                <w:sz w:val="14"/>
              </w:rPr>
              <w:t>2.9 </w:t>
            </w:r>
            <w:r>
              <w:rPr>
                <w:rFonts w:ascii="Times New Roman" w:hAnsi="Times New Roman"/>
                <w:sz w:val="14"/>
              </w:rPr>
              <w:t>± </w:t>
            </w:r>
            <w:r>
              <w:rPr>
                <w:sz w:val="14"/>
              </w:rPr>
              <w:t>2.4</w:t>
            </w:r>
          </w:p>
        </w:tc>
        <w:tc>
          <w:tcPr>
            <w:tcW w:w="1030" w:type="dxa"/>
            <w:tcBorders>
              <w:left w:val="dotted" w:sz="4" w:space="0" w:color="30859C"/>
              <w:right w:val="dotted" w:sz="4" w:space="0" w:color="30859C"/>
            </w:tcBorders>
            <w:shd w:val="clear" w:color="auto" w:fill="77DFDD"/>
          </w:tcPr>
          <w:p>
            <w:pPr>
              <w:pStyle w:val="TableParagraph"/>
              <w:spacing w:before="12"/>
              <w:ind w:left="138" w:right="145"/>
              <w:rPr>
                <w:sz w:val="14"/>
              </w:rPr>
            </w:pPr>
            <w:r>
              <w:rPr>
                <w:sz w:val="14"/>
              </w:rPr>
              <w:t>21.2 </w:t>
            </w:r>
            <w:r>
              <w:rPr>
                <w:rFonts w:ascii="Times New Roman" w:hAnsi="Times New Roman"/>
                <w:sz w:val="14"/>
              </w:rPr>
              <w:t>± </w:t>
            </w:r>
            <w:r>
              <w:rPr>
                <w:sz w:val="14"/>
              </w:rPr>
              <w:t>18.4</w:t>
            </w:r>
          </w:p>
        </w:tc>
        <w:tc>
          <w:tcPr>
            <w:tcW w:w="940" w:type="dxa"/>
            <w:tcBorders>
              <w:left w:val="dotted" w:sz="4" w:space="0" w:color="30859C"/>
              <w:right w:val="dotted" w:sz="4" w:space="0" w:color="30859C"/>
            </w:tcBorders>
            <w:shd w:val="clear" w:color="auto" w:fill="77DFDD"/>
          </w:tcPr>
          <w:p>
            <w:pPr>
              <w:pStyle w:val="TableParagraph"/>
              <w:spacing w:before="12"/>
              <w:ind w:left="94" w:right="94"/>
              <w:rPr>
                <w:sz w:val="14"/>
              </w:rPr>
            </w:pPr>
            <w:r>
              <w:rPr>
                <w:sz w:val="14"/>
              </w:rPr>
              <w:t>9.8 </w:t>
            </w:r>
            <w:r>
              <w:rPr>
                <w:rFonts w:ascii="Times New Roman" w:hAnsi="Times New Roman"/>
                <w:sz w:val="14"/>
              </w:rPr>
              <w:t>± </w:t>
            </w:r>
            <w:r>
              <w:rPr>
                <w:sz w:val="14"/>
              </w:rPr>
              <w:t>6.6</w:t>
            </w:r>
          </w:p>
        </w:tc>
        <w:tc>
          <w:tcPr>
            <w:tcW w:w="940" w:type="dxa"/>
            <w:tcBorders>
              <w:left w:val="dotted" w:sz="4" w:space="0" w:color="30859C"/>
              <w:right w:val="dotted" w:sz="4" w:space="0" w:color="30859C"/>
            </w:tcBorders>
            <w:shd w:val="clear" w:color="auto" w:fill="77DFDD"/>
          </w:tcPr>
          <w:p>
            <w:pPr>
              <w:pStyle w:val="TableParagraph"/>
              <w:spacing w:before="12"/>
              <w:ind w:left="100" w:right="94"/>
              <w:rPr>
                <w:sz w:val="14"/>
              </w:rPr>
            </w:pPr>
            <w:r>
              <w:rPr>
                <w:sz w:val="14"/>
              </w:rPr>
              <w:t>10.4 </w:t>
            </w:r>
            <w:r>
              <w:rPr>
                <w:rFonts w:ascii="Times New Roman" w:hAnsi="Times New Roman"/>
                <w:sz w:val="14"/>
              </w:rPr>
              <w:t>± </w:t>
            </w:r>
            <w:r>
              <w:rPr>
                <w:sz w:val="14"/>
              </w:rPr>
              <w:t>12.7</w:t>
            </w:r>
          </w:p>
        </w:tc>
        <w:tc>
          <w:tcPr>
            <w:tcW w:w="860" w:type="dxa"/>
            <w:tcBorders>
              <w:left w:val="dotted" w:sz="4" w:space="0" w:color="30859C"/>
              <w:right w:val="dotted" w:sz="4" w:space="0" w:color="30859C"/>
            </w:tcBorders>
            <w:shd w:val="clear" w:color="auto" w:fill="77DFDD"/>
          </w:tcPr>
          <w:p>
            <w:pPr>
              <w:pStyle w:val="TableParagraph"/>
              <w:spacing w:before="12"/>
              <w:ind w:left="54" w:right="56"/>
              <w:rPr>
                <w:sz w:val="14"/>
              </w:rPr>
            </w:pPr>
            <w:r>
              <w:rPr>
                <w:sz w:val="14"/>
              </w:rPr>
              <w:t>0.8 </w:t>
            </w:r>
            <w:r>
              <w:rPr>
                <w:rFonts w:ascii="Times New Roman" w:hAnsi="Times New Roman"/>
                <w:sz w:val="14"/>
              </w:rPr>
              <w:t>± </w:t>
            </w:r>
            <w:r>
              <w:rPr>
                <w:sz w:val="14"/>
              </w:rPr>
              <w:t>1.4</w:t>
            </w:r>
          </w:p>
        </w:tc>
        <w:tc>
          <w:tcPr>
            <w:tcW w:w="860" w:type="dxa"/>
            <w:tcBorders>
              <w:left w:val="dotted" w:sz="4" w:space="0" w:color="30859C"/>
              <w:right w:val="dotted" w:sz="4" w:space="0" w:color="30859C"/>
            </w:tcBorders>
            <w:shd w:val="clear" w:color="auto" w:fill="77DFDD"/>
          </w:tcPr>
          <w:p>
            <w:pPr>
              <w:pStyle w:val="TableParagraph"/>
              <w:spacing w:before="12"/>
              <w:ind w:left="54" w:right="60"/>
              <w:rPr>
                <w:sz w:val="14"/>
              </w:rPr>
            </w:pPr>
            <w:r>
              <w:rPr>
                <w:sz w:val="14"/>
              </w:rPr>
              <w:t>11.4 </w:t>
            </w:r>
            <w:r>
              <w:rPr>
                <w:rFonts w:ascii="Times New Roman" w:hAnsi="Times New Roman"/>
                <w:sz w:val="14"/>
              </w:rPr>
              <w:t>± </w:t>
            </w:r>
            <w:r>
              <w:rPr>
                <w:sz w:val="14"/>
              </w:rPr>
              <w:t>7.5</w:t>
            </w:r>
          </w:p>
        </w:tc>
        <w:tc>
          <w:tcPr>
            <w:tcW w:w="935" w:type="dxa"/>
            <w:tcBorders>
              <w:left w:val="dotted" w:sz="4" w:space="0" w:color="30859C"/>
            </w:tcBorders>
            <w:shd w:val="clear" w:color="auto" w:fill="77DFDD"/>
          </w:tcPr>
          <w:p>
            <w:pPr>
              <w:pStyle w:val="TableParagraph"/>
              <w:spacing w:before="12"/>
              <w:ind w:left="100" w:right="94"/>
              <w:rPr>
                <w:sz w:val="14"/>
              </w:rPr>
            </w:pPr>
            <w:r>
              <w:rPr>
                <w:sz w:val="14"/>
              </w:rPr>
              <w:t>56.7 </w:t>
            </w:r>
            <w:r>
              <w:rPr>
                <w:rFonts w:ascii="Times New Roman" w:hAnsi="Times New Roman"/>
                <w:sz w:val="14"/>
              </w:rPr>
              <w:t>± </w:t>
            </w:r>
            <w:r>
              <w:rPr>
                <w:sz w:val="14"/>
              </w:rPr>
              <w:t>28.7</w:t>
            </w:r>
          </w:p>
        </w:tc>
      </w:tr>
      <w:tr>
        <w:trPr>
          <w:trHeight w:val="197" w:hRule="exact"/>
        </w:trPr>
        <w:tc>
          <w:tcPr>
            <w:tcW w:w="1290" w:type="dxa"/>
            <w:gridSpan w:val="2"/>
            <w:shd w:val="clear" w:color="auto" w:fill="77DFDD"/>
          </w:tcPr>
          <w:p>
            <w:pPr>
              <w:pStyle w:val="TableParagraph"/>
              <w:spacing w:before="12"/>
              <w:ind w:left="436" w:right="441"/>
              <w:rPr>
                <w:b/>
                <w:sz w:val="15"/>
              </w:rPr>
            </w:pPr>
            <w:r>
              <w:rPr>
                <w:b/>
                <w:sz w:val="15"/>
              </w:rPr>
              <w:t>de</w:t>
            </w:r>
          </w:p>
        </w:tc>
        <w:tc>
          <w:tcPr>
            <w:tcW w:w="870" w:type="dxa"/>
            <w:shd w:val="clear" w:color="auto" w:fill="77DFDD"/>
          </w:tcPr>
          <w:p>
            <w:pPr/>
          </w:p>
        </w:tc>
        <w:tc>
          <w:tcPr>
            <w:tcW w:w="155" w:type="dxa"/>
            <w:tcBorders>
              <w:right w:val="dotted" w:sz="4" w:space="0" w:color="000000"/>
            </w:tcBorders>
            <w:shd w:val="clear" w:color="auto" w:fill="77DFDD"/>
          </w:tcPr>
          <w:p>
            <w:pPr>
              <w:pStyle w:val="TableParagraph"/>
              <w:spacing w:before="3"/>
              <w:ind w:right="16"/>
              <w:jc w:val="right"/>
              <w:rPr>
                <w:b/>
                <w:sz w:val="12"/>
              </w:rPr>
            </w:pPr>
            <w:r>
              <w:rPr>
                <w:b/>
                <w:w w:val="99"/>
                <w:sz w:val="12"/>
              </w:rPr>
              <w:t>P</w:t>
            </w:r>
          </w:p>
        </w:tc>
        <w:tc>
          <w:tcPr>
            <w:tcW w:w="780" w:type="dxa"/>
            <w:tcBorders>
              <w:left w:val="dotted" w:sz="4" w:space="0" w:color="000000"/>
              <w:right w:val="dotted" w:sz="4" w:space="0" w:color="30859C"/>
            </w:tcBorders>
            <w:shd w:val="clear" w:color="auto" w:fill="77DFDD"/>
          </w:tcPr>
          <w:p>
            <w:pPr>
              <w:pStyle w:val="TableParagraph"/>
              <w:spacing w:before="4"/>
              <w:ind w:left="90" w:right="86"/>
              <w:rPr>
                <w:sz w:val="14"/>
              </w:rPr>
            </w:pPr>
            <w:r>
              <w:rPr>
                <w:sz w:val="14"/>
              </w:rPr>
              <w:t>0.8*</w:t>
            </w:r>
          </w:p>
        </w:tc>
        <w:tc>
          <w:tcPr>
            <w:tcW w:w="940" w:type="dxa"/>
            <w:tcBorders>
              <w:left w:val="dotted" w:sz="4" w:space="0" w:color="30859C"/>
              <w:right w:val="dotted" w:sz="4" w:space="0" w:color="30859C"/>
            </w:tcBorders>
            <w:shd w:val="clear" w:color="auto" w:fill="77DFDD"/>
          </w:tcPr>
          <w:p>
            <w:pPr>
              <w:pStyle w:val="TableParagraph"/>
              <w:spacing w:before="4"/>
              <w:ind w:left="85" w:right="94"/>
              <w:rPr>
                <w:sz w:val="14"/>
              </w:rPr>
            </w:pPr>
            <w:r>
              <w:rPr>
                <w:sz w:val="14"/>
              </w:rPr>
              <w:t>0.8*</w:t>
            </w:r>
          </w:p>
        </w:tc>
        <w:tc>
          <w:tcPr>
            <w:tcW w:w="1030" w:type="dxa"/>
            <w:tcBorders>
              <w:left w:val="dotted" w:sz="4" w:space="0" w:color="30859C"/>
              <w:right w:val="dotted" w:sz="4" w:space="0" w:color="30859C"/>
            </w:tcBorders>
            <w:shd w:val="clear" w:color="auto" w:fill="77DFDD"/>
          </w:tcPr>
          <w:p>
            <w:pPr>
              <w:pStyle w:val="TableParagraph"/>
              <w:spacing w:before="4"/>
              <w:ind w:left="134" w:right="145"/>
              <w:rPr>
                <w:sz w:val="14"/>
              </w:rPr>
            </w:pPr>
            <w:r>
              <w:rPr>
                <w:sz w:val="14"/>
              </w:rPr>
              <w:t>0.4*</w:t>
            </w:r>
          </w:p>
        </w:tc>
        <w:tc>
          <w:tcPr>
            <w:tcW w:w="940" w:type="dxa"/>
            <w:tcBorders>
              <w:left w:val="dotted" w:sz="4" w:space="0" w:color="30859C"/>
              <w:right w:val="dotted" w:sz="4" w:space="0" w:color="30859C"/>
            </w:tcBorders>
            <w:shd w:val="clear" w:color="auto" w:fill="77DFDD"/>
          </w:tcPr>
          <w:p>
            <w:pPr>
              <w:pStyle w:val="TableParagraph"/>
              <w:spacing w:before="4"/>
              <w:ind w:left="93" w:right="94"/>
              <w:rPr>
                <w:sz w:val="14"/>
              </w:rPr>
            </w:pPr>
            <w:r>
              <w:rPr>
                <w:sz w:val="14"/>
              </w:rPr>
              <w:t>0.6*</w:t>
            </w:r>
          </w:p>
        </w:tc>
        <w:tc>
          <w:tcPr>
            <w:tcW w:w="940" w:type="dxa"/>
            <w:tcBorders>
              <w:left w:val="dotted" w:sz="4" w:space="0" w:color="30859C"/>
              <w:right w:val="dotted" w:sz="4" w:space="0" w:color="30859C"/>
            </w:tcBorders>
            <w:shd w:val="clear" w:color="auto" w:fill="77DFDD"/>
          </w:tcPr>
          <w:p>
            <w:pPr>
              <w:pStyle w:val="TableParagraph"/>
              <w:spacing w:before="4"/>
              <w:ind w:left="97" w:right="94"/>
              <w:rPr>
                <w:sz w:val="14"/>
              </w:rPr>
            </w:pPr>
            <w:r>
              <w:rPr>
                <w:sz w:val="14"/>
              </w:rPr>
              <w:t>0.2*</w:t>
            </w:r>
          </w:p>
        </w:tc>
        <w:tc>
          <w:tcPr>
            <w:tcW w:w="860" w:type="dxa"/>
            <w:tcBorders>
              <w:left w:val="dotted" w:sz="4" w:space="0" w:color="30859C"/>
              <w:right w:val="dotted" w:sz="4" w:space="0" w:color="30859C"/>
            </w:tcBorders>
            <w:shd w:val="clear" w:color="auto" w:fill="77DFDD"/>
          </w:tcPr>
          <w:p>
            <w:pPr>
              <w:pStyle w:val="TableParagraph"/>
              <w:spacing w:before="4"/>
              <w:ind w:left="54" w:right="43"/>
              <w:rPr>
                <w:sz w:val="14"/>
              </w:rPr>
            </w:pPr>
            <w:r>
              <w:rPr>
                <w:sz w:val="14"/>
              </w:rPr>
              <w:t>0.3*</w:t>
            </w:r>
          </w:p>
        </w:tc>
        <w:tc>
          <w:tcPr>
            <w:tcW w:w="860" w:type="dxa"/>
            <w:tcBorders>
              <w:left w:val="dotted" w:sz="4" w:space="0" w:color="30859C"/>
              <w:right w:val="dotted" w:sz="4" w:space="0" w:color="30859C"/>
            </w:tcBorders>
            <w:shd w:val="clear" w:color="auto" w:fill="77DFDD"/>
          </w:tcPr>
          <w:p>
            <w:pPr>
              <w:pStyle w:val="TableParagraph"/>
              <w:spacing w:before="4"/>
              <w:ind w:left="54" w:right="47"/>
              <w:rPr>
                <w:sz w:val="14"/>
              </w:rPr>
            </w:pPr>
            <w:r>
              <w:rPr>
                <w:sz w:val="14"/>
              </w:rPr>
              <w:t>0.3*</w:t>
            </w:r>
          </w:p>
        </w:tc>
        <w:tc>
          <w:tcPr>
            <w:tcW w:w="935" w:type="dxa"/>
            <w:tcBorders>
              <w:left w:val="dotted" w:sz="4" w:space="0" w:color="30859C"/>
            </w:tcBorders>
            <w:shd w:val="clear" w:color="auto" w:fill="77DFDD"/>
          </w:tcPr>
          <w:p>
            <w:pPr>
              <w:pStyle w:val="TableParagraph"/>
              <w:spacing w:before="4"/>
              <w:ind w:left="96" w:right="94"/>
              <w:rPr>
                <w:sz w:val="14"/>
              </w:rPr>
            </w:pPr>
            <w:r>
              <w:rPr>
                <w:sz w:val="14"/>
              </w:rPr>
              <w:t>0.2*</w:t>
            </w:r>
          </w:p>
        </w:tc>
      </w:tr>
      <w:tr>
        <w:trPr>
          <w:trHeight w:val="202" w:hRule="exact"/>
        </w:trPr>
        <w:tc>
          <w:tcPr>
            <w:tcW w:w="1290" w:type="dxa"/>
            <w:gridSpan w:val="2"/>
            <w:shd w:val="clear" w:color="auto" w:fill="77DFDD"/>
          </w:tcPr>
          <w:p>
            <w:pPr>
              <w:pStyle w:val="TableParagraph"/>
              <w:spacing w:before="25"/>
              <w:ind w:left="254"/>
              <w:jc w:val="left"/>
              <w:rPr>
                <w:b/>
                <w:sz w:val="15"/>
              </w:rPr>
            </w:pPr>
            <w:r>
              <w:rPr>
                <w:b/>
                <w:sz w:val="15"/>
              </w:rPr>
              <w:t>nacimiento</w:t>
            </w:r>
          </w:p>
        </w:tc>
        <w:tc>
          <w:tcPr>
            <w:tcW w:w="870" w:type="dxa"/>
            <w:shd w:val="clear" w:color="auto" w:fill="77DFDD"/>
          </w:tcPr>
          <w:p>
            <w:pPr>
              <w:pStyle w:val="TableParagraph"/>
              <w:spacing w:before="0"/>
              <w:ind w:left="20"/>
              <w:jc w:val="left"/>
              <w:rPr>
                <w:sz w:val="12"/>
              </w:rPr>
            </w:pPr>
            <w:r>
              <w:rPr>
                <w:sz w:val="12"/>
              </w:rPr>
              <w:t>No</w:t>
            </w:r>
          </w:p>
        </w:tc>
        <w:tc>
          <w:tcPr>
            <w:tcW w:w="155" w:type="dxa"/>
            <w:tcBorders>
              <w:right w:val="dotted" w:sz="4" w:space="0" w:color="000000"/>
            </w:tcBorders>
            <w:shd w:val="clear" w:color="auto" w:fill="77DFDD"/>
          </w:tcPr>
          <w:p>
            <w:pPr/>
          </w:p>
        </w:tc>
        <w:tc>
          <w:tcPr>
            <w:tcW w:w="780" w:type="dxa"/>
            <w:tcBorders>
              <w:left w:val="dotted" w:sz="4" w:space="0" w:color="000000"/>
              <w:right w:val="dotted" w:sz="4" w:space="0" w:color="30859C"/>
            </w:tcBorders>
            <w:shd w:val="clear" w:color="auto" w:fill="77DFDD"/>
          </w:tcPr>
          <w:p>
            <w:pPr>
              <w:pStyle w:val="TableParagraph"/>
              <w:spacing w:before="1"/>
              <w:ind w:left="90" w:right="99"/>
              <w:rPr>
                <w:sz w:val="14"/>
              </w:rPr>
            </w:pPr>
            <w:r>
              <w:rPr>
                <w:sz w:val="14"/>
              </w:rPr>
              <w:t>0.3 </w:t>
            </w:r>
            <w:r>
              <w:rPr>
                <w:rFonts w:ascii="Times New Roman" w:hAnsi="Times New Roman"/>
                <w:sz w:val="14"/>
              </w:rPr>
              <w:t>± </w:t>
            </w:r>
            <w:r>
              <w:rPr>
                <w:sz w:val="14"/>
              </w:rPr>
              <w:t>0.6</w:t>
            </w:r>
          </w:p>
        </w:tc>
        <w:tc>
          <w:tcPr>
            <w:tcW w:w="940" w:type="dxa"/>
            <w:tcBorders>
              <w:left w:val="dotted" w:sz="4" w:space="0" w:color="30859C"/>
              <w:right w:val="dotted" w:sz="4" w:space="0" w:color="30859C"/>
            </w:tcBorders>
            <w:shd w:val="clear" w:color="auto" w:fill="77DFDD"/>
          </w:tcPr>
          <w:p>
            <w:pPr>
              <w:pStyle w:val="TableParagraph"/>
              <w:spacing w:before="1"/>
              <w:ind w:left="89" w:right="94"/>
              <w:rPr>
                <w:sz w:val="14"/>
              </w:rPr>
            </w:pPr>
            <w:r>
              <w:rPr>
                <w:sz w:val="14"/>
              </w:rPr>
              <w:t>3.1 </w:t>
            </w:r>
            <w:r>
              <w:rPr>
                <w:rFonts w:ascii="Times New Roman" w:hAnsi="Times New Roman"/>
                <w:sz w:val="14"/>
              </w:rPr>
              <w:t>± </w:t>
            </w:r>
            <w:r>
              <w:rPr>
                <w:sz w:val="14"/>
              </w:rPr>
              <w:t>2.7</w:t>
            </w:r>
          </w:p>
        </w:tc>
        <w:tc>
          <w:tcPr>
            <w:tcW w:w="1030" w:type="dxa"/>
            <w:tcBorders>
              <w:left w:val="dotted" w:sz="4" w:space="0" w:color="30859C"/>
              <w:right w:val="dotted" w:sz="4" w:space="0" w:color="30859C"/>
            </w:tcBorders>
            <w:shd w:val="clear" w:color="auto" w:fill="77DFDD"/>
          </w:tcPr>
          <w:p>
            <w:pPr>
              <w:pStyle w:val="TableParagraph"/>
              <w:spacing w:before="1"/>
              <w:ind w:left="138" w:right="145"/>
              <w:rPr>
                <w:sz w:val="14"/>
              </w:rPr>
            </w:pPr>
            <w:r>
              <w:rPr>
                <w:sz w:val="14"/>
              </w:rPr>
              <w:t>16.5 </w:t>
            </w:r>
            <w:r>
              <w:rPr>
                <w:rFonts w:ascii="Times New Roman" w:hAnsi="Times New Roman"/>
                <w:sz w:val="14"/>
              </w:rPr>
              <w:t>± </w:t>
            </w:r>
            <w:r>
              <w:rPr>
                <w:sz w:val="14"/>
              </w:rPr>
              <w:t>13.2</w:t>
            </w:r>
          </w:p>
        </w:tc>
        <w:tc>
          <w:tcPr>
            <w:tcW w:w="940" w:type="dxa"/>
            <w:tcBorders>
              <w:left w:val="dotted" w:sz="4" w:space="0" w:color="30859C"/>
              <w:right w:val="dotted" w:sz="4" w:space="0" w:color="30859C"/>
            </w:tcBorders>
            <w:shd w:val="clear" w:color="auto" w:fill="77DFDD"/>
          </w:tcPr>
          <w:p>
            <w:pPr>
              <w:pStyle w:val="TableParagraph"/>
              <w:spacing w:before="1"/>
              <w:ind w:left="94" w:right="94"/>
              <w:rPr>
                <w:sz w:val="14"/>
              </w:rPr>
            </w:pPr>
            <w:r>
              <w:rPr>
                <w:sz w:val="14"/>
              </w:rPr>
              <w:t>9.1 </w:t>
            </w:r>
            <w:r>
              <w:rPr>
                <w:rFonts w:ascii="Times New Roman" w:hAnsi="Times New Roman"/>
                <w:sz w:val="14"/>
              </w:rPr>
              <w:t>± </w:t>
            </w:r>
            <w:r>
              <w:rPr>
                <w:sz w:val="14"/>
              </w:rPr>
              <w:t>6.8</w:t>
            </w:r>
          </w:p>
        </w:tc>
        <w:tc>
          <w:tcPr>
            <w:tcW w:w="940" w:type="dxa"/>
            <w:tcBorders>
              <w:left w:val="dotted" w:sz="4" w:space="0" w:color="30859C"/>
              <w:right w:val="dotted" w:sz="4" w:space="0" w:color="30859C"/>
            </w:tcBorders>
            <w:shd w:val="clear" w:color="auto" w:fill="77DFDD"/>
          </w:tcPr>
          <w:p>
            <w:pPr>
              <w:pStyle w:val="TableParagraph"/>
              <w:spacing w:before="1"/>
              <w:ind w:left="100" w:right="94"/>
              <w:rPr>
                <w:sz w:val="14"/>
              </w:rPr>
            </w:pPr>
            <w:r>
              <w:rPr>
                <w:sz w:val="14"/>
              </w:rPr>
              <w:t>7.0 </w:t>
            </w:r>
            <w:r>
              <w:rPr>
                <w:rFonts w:ascii="Times New Roman" w:hAnsi="Times New Roman"/>
                <w:sz w:val="14"/>
              </w:rPr>
              <w:t>± </w:t>
            </w:r>
            <w:r>
              <w:rPr>
                <w:sz w:val="14"/>
              </w:rPr>
              <w:t>8.9</w:t>
            </w:r>
          </w:p>
        </w:tc>
        <w:tc>
          <w:tcPr>
            <w:tcW w:w="860" w:type="dxa"/>
            <w:tcBorders>
              <w:left w:val="dotted" w:sz="4" w:space="0" w:color="30859C"/>
              <w:right w:val="dotted" w:sz="4" w:space="0" w:color="30859C"/>
            </w:tcBorders>
            <w:shd w:val="clear" w:color="auto" w:fill="77DFDD"/>
          </w:tcPr>
          <w:p>
            <w:pPr>
              <w:pStyle w:val="TableParagraph"/>
              <w:spacing w:before="1"/>
              <w:ind w:left="54" w:right="56"/>
              <w:rPr>
                <w:sz w:val="14"/>
              </w:rPr>
            </w:pPr>
            <w:r>
              <w:rPr>
                <w:sz w:val="14"/>
              </w:rPr>
              <w:t>1.2 </w:t>
            </w:r>
            <w:r>
              <w:rPr>
                <w:rFonts w:ascii="Times New Roman" w:hAnsi="Times New Roman"/>
                <w:sz w:val="14"/>
              </w:rPr>
              <w:t>± </w:t>
            </w:r>
            <w:r>
              <w:rPr>
                <w:sz w:val="14"/>
              </w:rPr>
              <w:t>1.9</w:t>
            </w:r>
          </w:p>
        </w:tc>
        <w:tc>
          <w:tcPr>
            <w:tcW w:w="860" w:type="dxa"/>
            <w:tcBorders>
              <w:left w:val="dotted" w:sz="4" w:space="0" w:color="30859C"/>
              <w:right w:val="dotted" w:sz="4" w:space="0" w:color="30859C"/>
            </w:tcBorders>
            <w:shd w:val="clear" w:color="auto" w:fill="77DFDD"/>
          </w:tcPr>
          <w:p>
            <w:pPr>
              <w:pStyle w:val="TableParagraph"/>
              <w:spacing w:before="1"/>
              <w:ind w:left="54" w:right="60"/>
              <w:rPr>
                <w:sz w:val="14"/>
              </w:rPr>
            </w:pPr>
            <w:r>
              <w:rPr>
                <w:sz w:val="14"/>
              </w:rPr>
              <w:t>11.2 </w:t>
            </w:r>
            <w:r>
              <w:rPr>
                <w:rFonts w:ascii="Times New Roman" w:hAnsi="Times New Roman"/>
                <w:sz w:val="14"/>
              </w:rPr>
              <w:t>± </w:t>
            </w:r>
            <w:r>
              <w:rPr>
                <w:sz w:val="14"/>
              </w:rPr>
              <w:t>11.3</w:t>
            </w:r>
          </w:p>
        </w:tc>
        <w:tc>
          <w:tcPr>
            <w:tcW w:w="935" w:type="dxa"/>
            <w:tcBorders>
              <w:left w:val="dotted" w:sz="4" w:space="0" w:color="30859C"/>
            </w:tcBorders>
            <w:shd w:val="clear" w:color="auto" w:fill="77DFDD"/>
          </w:tcPr>
          <w:p>
            <w:pPr>
              <w:pStyle w:val="TableParagraph"/>
              <w:spacing w:before="1"/>
              <w:ind w:left="100" w:right="94"/>
              <w:rPr>
                <w:sz w:val="14"/>
              </w:rPr>
            </w:pPr>
            <w:r>
              <w:rPr>
                <w:sz w:val="14"/>
              </w:rPr>
              <w:t>48.4 </w:t>
            </w:r>
            <w:r>
              <w:rPr>
                <w:rFonts w:ascii="Times New Roman" w:hAnsi="Times New Roman"/>
                <w:sz w:val="14"/>
              </w:rPr>
              <w:t>± </w:t>
            </w:r>
            <w:r>
              <w:rPr>
                <w:sz w:val="14"/>
              </w:rPr>
              <w:t>27.8</w:t>
            </w:r>
          </w:p>
        </w:tc>
      </w:tr>
      <w:tr>
        <w:trPr>
          <w:trHeight w:val="209" w:hRule="exact"/>
        </w:trPr>
        <w:tc>
          <w:tcPr>
            <w:tcW w:w="1290" w:type="dxa"/>
            <w:gridSpan w:val="2"/>
            <w:shd w:val="clear" w:color="auto" w:fill="B4EDEC"/>
          </w:tcPr>
          <w:p>
            <w:pPr>
              <w:pStyle w:val="TableParagraph"/>
              <w:spacing w:before="21"/>
              <w:ind w:left="304"/>
              <w:jc w:val="left"/>
              <w:rPr>
                <w:b/>
                <w:sz w:val="15"/>
              </w:rPr>
            </w:pPr>
            <w:r>
              <w:rPr>
                <w:b/>
                <w:sz w:val="15"/>
              </w:rPr>
              <w:t>Consumo</w:t>
            </w:r>
          </w:p>
        </w:tc>
        <w:tc>
          <w:tcPr>
            <w:tcW w:w="870" w:type="dxa"/>
            <w:shd w:val="clear" w:color="auto" w:fill="B4EDEC"/>
          </w:tcPr>
          <w:p>
            <w:pPr>
              <w:pStyle w:val="TableParagraph"/>
              <w:spacing w:before="19"/>
              <w:ind w:left="20"/>
              <w:jc w:val="left"/>
              <w:rPr>
                <w:sz w:val="12"/>
              </w:rPr>
            </w:pPr>
            <w:r>
              <w:rPr>
                <w:sz w:val="12"/>
              </w:rPr>
              <w:t>Si</w:t>
            </w:r>
          </w:p>
        </w:tc>
        <w:tc>
          <w:tcPr>
            <w:tcW w:w="155" w:type="dxa"/>
            <w:tcBorders>
              <w:right w:val="dotted" w:sz="4" w:space="0" w:color="000000"/>
            </w:tcBorders>
            <w:shd w:val="clear" w:color="auto" w:fill="B4EDEC"/>
          </w:tcPr>
          <w:p>
            <w:pPr/>
          </w:p>
        </w:tc>
        <w:tc>
          <w:tcPr>
            <w:tcW w:w="780" w:type="dxa"/>
            <w:tcBorders>
              <w:left w:val="dotted" w:sz="4" w:space="0" w:color="000000"/>
              <w:right w:val="dotted" w:sz="4" w:space="0" w:color="30859C"/>
            </w:tcBorders>
            <w:shd w:val="clear" w:color="auto" w:fill="B4EDEC"/>
          </w:tcPr>
          <w:p>
            <w:pPr>
              <w:pStyle w:val="TableParagraph"/>
              <w:spacing w:before="20"/>
              <w:ind w:left="90" w:right="99"/>
              <w:rPr>
                <w:sz w:val="14"/>
              </w:rPr>
            </w:pPr>
            <w:r>
              <w:rPr>
                <w:sz w:val="14"/>
              </w:rPr>
              <w:t>0.0 </w:t>
            </w:r>
            <w:r>
              <w:rPr>
                <w:rFonts w:ascii="Times New Roman" w:hAnsi="Times New Roman"/>
                <w:sz w:val="14"/>
              </w:rPr>
              <w:t>± </w:t>
            </w:r>
            <w:r>
              <w:rPr>
                <w:sz w:val="14"/>
              </w:rPr>
              <w:t>0.0</w:t>
            </w:r>
          </w:p>
        </w:tc>
        <w:tc>
          <w:tcPr>
            <w:tcW w:w="940" w:type="dxa"/>
            <w:tcBorders>
              <w:left w:val="dotted" w:sz="4" w:space="0" w:color="30859C"/>
              <w:right w:val="dotted" w:sz="4" w:space="0" w:color="30859C"/>
            </w:tcBorders>
            <w:shd w:val="clear" w:color="auto" w:fill="B4EDEC"/>
          </w:tcPr>
          <w:p>
            <w:pPr>
              <w:pStyle w:val="TableParagraph"/>
              <w:spacing w:before="20"/>
              <w:ind w:left="89" w:right="94"/>
              <w:rPr>
                <w:sz w:val="14"/>
              </w:rPr>
            </w:pPr>
            <w:r>
              <w:rPr>
                <w:sz w:val="14"/>
              </w:rPr>
              <w:t>4.6 </w:t>
            </w:r>
            <w:r>
              <w:rPr>
                <w:rFonts w:ascii="Times New Roman" w:hAnsi="Times New Roman"/>
                <w:sz w:val="14"/>
              </w:rPr>
              <w:t>± </w:t>
            </w:r>
            <w:r>
              <w:rPr>
                <w:sz w:val="14"/>
              </w:rPr>
              <w:t>6.4</w:t>
            </w:r>
          </w:p>
        </w:tc>
        <w:tc>
          <w:tcPr>
            <w:tcW w:w="1030" w:type="dxa"/>
            <w:tcBorders>
              <w:left w:val="dotted" w:sz="4" w:space="0" w:color="30859C"/>
              <w:right w:val="dotted" w:sz="4" w:space="0" w:color="30859C"/>
            </w:tcBorders>
            <w:shd w:val="clear" w:color="auto" w:fill="B4EDEC"/>
          </w:tcPr>
          <w:p>
            <w:pPr>
              <w:pStyle w:val="TableParagraph"/>
              <w:spacing w:before="20"/>
              <w:ind w:left="138" w:right="145"/>
              <w:rPr>
                <w:sz w:val="14"/>
              </w:rPr>
            </w:pPr>
            <w:r>
              <w:rPr>
                <w:sz w:val="14"/>
              </w:rPr>
              <w:t>18.0 </w:t>
            </w:r>
            <w:r>
              <w:rPr>
                <w:rFonts w:ascii="Times New Roman" w:hAnsi="Times New Roman"/>
                <w:sz w:val="14"/>
              </w:rPr>
              <w:t>± </w:t>
            </w:r>
            <w:r>
              <w:rPr>
                <w:sz w:val="14"/>
              </w:rPr>
              <w:t>28.6</w:t>
            </w:r>
          </w:p>
        </w:tc>
        <w:tc>
          <w:tcPr>
            <w:tcW w:w="940" w:type="dxa"/>
            <w:tcBorders>
              <w:left w:val="dotted" w:sz="4" w:space="0" w:color="30859C"/>
              <w:right w:val="dotted" w:sz="4" w:space="0" w:color="30859C"/>
            </w:tcBorders>
            <w:shd w:val="clear" w:color="auto" w:fill="B4EDEC"/>
          </w:tcPr>
          <w:p>
            <w:pPr>
              <w:pStyle w:val="TableParagraph"/>
              <w:spacing w:before="20"/>
              <w:ind w:left="94" w:right="94"/>
              <w:rPr>
                <w:sz w:val="14"/>
              </w:rPr>
            </w:pPr>
            <w:r>
              <w:rPr>
                <w:sz w:val="14"/>
              </w:rPr>
              <w:t>3.3 </w:t>
            </w:r>
            <w:r>
              <w:rPr>
                <w:rFonts w:ascii="Times New Roman" w:hAnsi="Times New Roman"/>
                <w:sz w:val="14"/>
              </w:rPr>
              <w:t>± </w:t>
            </w:r>
            <w:r>
              <w:rPr>
                <w:sz w:val="14"/>
              </w:rPr>
              <w:t>3.0</w:t>
            </w:r>
          </w:p>
        </w:tc>
        <w:tc>
          <w:tcPr>
            <w:tcW w:w="940" w:type="dxa"/>
            <w:tcBorders>
              <w:left w:val="dotted" w:sz="4" w:space="0" w:color="30859C"/>
              <w:right w:val="dotted" w:sz="4" w:space="0" w:color="30859C"/>
            </w:tcBorders>
            <w:shd w:val="clear" w:color="auto" w:fill="B4EDEC"/>
          </w:tcPr>
          <w:p>
            <w:pPr>
              <w:pStyle w:val="TableParagraph"/>
              <w:spacing w:before="20"/>
              <w:ind w:left="100" w:right="94"/>
              <w:rPr>
                <w:sz w:val="14"/>
              </w:rPr>
            </w:pPr>
            <w:r>
              <w:rPr>
                <w:sz w:val="14"/>
              </w:rPr>
              <w:t>17.0 </w:t>
            </w:r>
            <w:r>
              <w:rPr>
                <w:rFonts w:ascii="Times New Roman" w:hAnsi="Times New Roman"/>
                <w:sz w:val="14"/>
              </w:rPr>
              <w:t>± </w:t>
            </w:r>
            <w:r>
              <w:rPr>
                <w:sz w:val="14"/>
              </w:rPr>
              <w:t>29.4</w:t>
            </w:r>
          </w:p>
        </w:tc>
        <w:tc>
          <w:tcPr>
            <w:tcW w:w="860" w:type="dxa"/>
            <w:tcBorders>
              <w:left w:val="dotted" w:sz="4" w:space="0" w:color="30859C"/>
              <w:right w:val="dotted" w:sz="4" w:space="0" w:color="30859C"/>
            </w:tcBorders>
            <w:shd w:val="clear" w:color="auto" w:fill="B4EDEC"/>
          </w:tcPr>
          <w:p>
            <w:pPr>
              <w:pStyle w:val="TableParagraph"/>
              <w:spacing w:before="20"/>
              <w:ind w:left="54" w:right="56"/>
              <w:rPr>
                <w:sz w:val="14"/>
              </w:rPr>
            </w:pPr>
            <w:r>
              <w:rPr>
                <w:sz w:val="14"/>
              </w:rPr>
              <w:t>1.6 </w:t>
            </w:r>
            <w:r>
              <w:rPr>
                <w:rFonts w:ascii="Times New Roman" w:hAnsi="Times New Roman"/>
                <w:sz w:val="14"/>
              </w:rPr>
              <w:t>± </w:t>
            </w:r>
            <w:r>
              <w:rPr>
                <w:sz w:val="14"/>
              </w:rPr>
              <w:t>1.5</w:t>
            </w:r>
          </w:p>
        </w:tc>
        <w:tc>
          <w:tcPr>
            <w:tcW w:w="860" w:type="dxa"/>
            <w:tcBorders>
              <w:left w:val="dotted" w:sz="4" w:space="0" w:color="30859C"/>
              <w:right w:val="dotted" w:sz="4" w:space="0" w:color="30859C"/>
            </w:tcBorders>
            <w:shd w:val="clear" w:color="auto" w:fill="B4EDEC"/>
          </w:tcPr>
          <w:p>
            <w:pPr>
              <w:pStyle w:val="TableParagraph"/>
              <w:spacing w:before="20"/>
              <w:ind w:left="54" w:right="60"/>
              <w:rPr>
                <w:sz w:val="14"/>
              </w:rPr>
            </w:pPr>
            <w:r>
              <w:rPr>
                <w:sz w:val="14"/>
              </w:rPr>
              <w:t>5.0 </w:t>
            </w:r>
            <w:r>
              <w:rPr>
                <w:rFonts w:ascii="Times New Roman" w:hAnsi="Times New Roman"/>
                <w:sz w:val="14"/>
              </w:rPr>
              <w:t>± </w:t>
            </w:r>
            <w:r>
              <w:rPr>
                <w:sz w:val="14"/>
              </w:rPr>
              <w:t>4.3</w:t>
            </w:r>
          </w:p>
        </w:tc>
        <w:tc>
          <w:tcPr>
            <w:tcW w:w="935" w:type="dxa"/>
            <w:tcBorders>
              <w:left w:val="dotted" w:sz="4" w:space="0" w:color="30859C"/>
            </w:tcBorders>
            <w:shd w:val="clear" w:color="auto" w:fill="B4EDEC"/>
          </w:tcPr>
          <w:p>
            <w:pPr>
              <w:pStyle w:val="TableParagraph"/>
              <w:spacing w:before="20"/>
              <w:ind w:left="100" w:right="94"/>
              <w:rPr>
                <w:sz w:val="14"/>
              </w:rPr>
            </w:pPr>
            <w:r>
              <w:rPr>
                <w:sz w:val="14"/>
              </w:rPr>
              <w:t>49.6 </w:t>
            </w:r>
            <w:r>
              <w:rPr>
                <w:rFonts w:ascii="Times New Roman" w:hAnsi="Times New Roman"/>
                <w:sz w:val="14"/>
              </w:rPr>
              <w:t>± </w:t>
            </w:r>
            <w:r>
              <w:rPr>
                <w:sz w:val="14"/>
              </w:rPr>
              <w:t>60.0</w:t>
            </w:r>
          </w:p>
        </w:tc>
      </w:tr>
      <w:tr>
        <w:trPr>
          <w:trHeight w:val="197" w:hRule="exact"/>
        </w:trPr>
        <w:tc>
          <w:tcPr>
            <w:tcW w:w="1290" w:type="dxa"/>
            <w:gridSpan w:val="2"/>
            <w:shd w:val="clear" w:color="auto" w:fill="B4EDEC"/>
          </w:tcPr>
          <w:p>
            <w:pPr>
              <w:pStyle w:val="TableParagraph"/>
              <w:spacing w:before="12"/>
              <w:ind w:left="436" w:right="441"/>
              <w:rPr>
                <w:b/>
                <w:sz w:val="15"/>
              </w:rPr>
            </w:pPr>
            <w:r>
              <w:rPr>
                <w:b/>
                <w:sz w:val="15"/>
              </w:rPr>
              <w:t>de</w:t>
            </w:r>
          </w:p>
        </w:tc>
        <w:tc>
          <w:tcPr>
            <w:tcW w:w="870" w:type="dxa"/>
            <w:shd w:val="clear" w:color="auto" w:fill="B4EDEC"/>
          </w:tcPr>
          <w:p>
            <w:pPr/>
          </w:p>
        </w:tc>
        <w:tc>
          <w:tcPr>
            <w:tcW w:w="155" w:type="dxa"/>
            <w:tcBorders>
              <w:right w:val="dotted" w:sz="4" w:space="0" w:color="000000"/>
            </w:tcBorders>
            <w:shd w:val="clear" w:color="auto" w:fill="B4EDEC"/>
          </w:tcPr>
          <w:p>
            <w:pPr>
              <w:pStyle w:val="TableParagraph"/>
              <w:spacing w:before="3"/>
              <w:ind w:right="16"/>
              <w:jc w:val="right"/>
              <w:rPr>
                <w:b/>
                <w:sz w:val="12"/>
              </w:rPr>
            </w:pPr>
            <w:r>
              <w:rPr>
                <w:b/>
                <w:w w:val="99"/>
                <w:sz w:val="12"/>
              </w:rPr>
              <w:t>P</w:t>
            </w:r>
          </w:p>
        </w:tc>
        <w:tc>
          <w:tcPr>
            <w:tcW w:w="780" w:type="dxa"/>
            <w:tcBorders>
              <w:left w:val="dotted" w:sz="4" w:space="0" w:color="000000"/>
              <w:right w:val="dotted" w:sz="4" w:space="0" w:color="30859C"/>
            </w:tcBorders>
            <w:shd w:val="clear" w:color="auto" w:fill="B4EDEC"/>
          </w:tcPr>
          <w:p>
            <w:pPr>
              <w:pStyle w:val="TableParagraph"/>
              <w:spacing w:before="5"/>
              <w:ind w:left="90" w:right="86"/>
              <w:rPr>
                <w:sz w:val="14"/>
              </w:rPr>
            </w:pPr>
            <w:r>
              <w:rPr>
                <w:sz w:val="14"/>
              </w:rPr>
              <w:t>0.2*</w:t>
            </w:r>
          </w:p>
        </w:tc>
        <w:tc>
          <w:tcPr>
            <w:tcW w:w="940" w:type="dxa"/>
            <w:tcBorders>
              <w:left w:val="dotted" w:sz="4" w:space="0" w:color="30859C"/>
              <w:right w:val="dotted" w:sz="4" w:space="0" w:color="30859C"/>
            </w:tcBorders>
            <w:shd w:val="clear" w:color="auto" w:fill="B4EDEC"/>
          </w:tcPr>
          <w:p>
            <w:pPr>
              <w:pStyle w:val="TableParagraph"/>
              <w:spacing w:before="5"/>
              <w:ind w:left="85" w:right="94"/>
              <w:rPr>
                <w:sz w:val="14"/>
              </w:rPr>
            </w:pPr>
            <w:r>
              <w:rPr>
                <w:sz w:val="14"/>
              </w:rPr>
              <w:t>0.9*</w:t>
            </w:r>
          </w:p>
        </w:tc>
        <w:tc>
          <w:tcPr>
            <w:tcW w:w="1030" w:type="dxa"/>
            <w:tcBorders>
              <w:left w:val="dotted" w:sz="4" w:space="0" w:color="30859C"/>
              <w:right w:val="dotted" w:sz="4" w:space="0" w:color="30859C"/>
            </w:tcBorders>
            <w:shd w:val="clear" w:color="auto" w:fill="B4EDEC"/>
          </w:tcPr>
          <w:p>
            <w:pPr>
              <w:pStyle w:val="TableParagraph"/>
              <w:spacing w:before="5"/>
              <w:ind w:left="134" w:right="145"/>
              <w:rPr>
                <w:sz w:val="14"/>
              </w:rPr>
            </w:pPr>
            <w:r>
              <w:rPr>
                <w:sz w:val="14"/>
              </w:rPr>
              <w:t>0.4*</w:t>
            </w:r>
          </w:p>
        </w:tc>
        <w:tc>
          <w:tcPr>
            <w:tcW w:w="940" w:type="dxa"/>
            <w:tcBorders>
              <w:left w:val="dotted" w:sz="4" w:space="0" w:color="30859C"/>
              <w:right w:val="dotted" w:sz="4" w:space="0" w:color="30859C"/>
            </w:tcBorders>
            <w:shd w:val="clear" w:color="auto" w:fill="B4EDEC"/>
          </w:tcPr>
          <w:p>
            <w:pPr>
              <w:pStyle w:val="TableParagraph"/>
              <w:spacing w:before="5"/>
              <w:ind w:left="93" w:right="94"/>
              <w:rPr>
                <w:sz w:val="14"/>
              </w:rPr>
            </w:pPr>
            <w:r>
              <w:rPr>
                <w:sz w:val="14"/>
              </w:rPr>
              <w:t>0.07*</w:t>
            </w:r>
          </w:p>
        </w:tc>
        <w:tc>
          <w:tcPr>
            <w:tcW w:w="940" w:type="dxa"/>
            <w:tcBorders>
              <w:left w:val="dotted" w:sz="4" w:space="0" w:color="30859C"/>
              <w:right w:val="dotted" w:sz="4" w:space="0" w:color="30859C"/>
            </w:tcBorders>
            <w:shd w:val="clear" w:color="auto" w:fill="B4EDEC"/>
          </w:tcPr>
          <w:p>
            <w:pPr>
              <w:pStyle w:val="TableParagraph"/>
              <w:spacing w:before="5"/>
              <w:ind w:left="97" w:right="94"/>
              <w:rPr>
                <w:sz w:val="14"/>
              </w:rPr>
            </w:pPr>
            <w:r>
              <w:rPr>
                <w:sz w:val="14"/>
              </w:rPr>
              <w:t>0.4*</w:t>
            </w:r>
          </w:p>
        </w:tc>
        <w:tc>
          <w:tcPr>
            <w:tcW w:w="860" w:type="dxa"/>
            <w:tcBorders>
              <w:left w:val="dotted" w:sz="4" w:space="0" w:color="30859C"/>
              <w:right w:val="dotted" w:sz="4" w:space="0" w:color="30859C"/>
            </w:tcBorders>
            <w:shd w:val="clear" w:color="auto" w:fill="B4EDEC"/>
          </w:tcPr>
          <w:p>
            <w:pPr>
              <w:pStyle w:val="TableParagraph"/>
              <w:spacing w:before="5"/>
              <w:ind w:left="54" w:right="43"/>
              <w:rPr>
                <w:sz w:val="14"/>
              </w:rPr>
            </w:pPr>
            <w:r>
              <w:rPr>
                <w:sz w:val="14"/>
              </w:rPr>
              <w:t>0.3*</w:t>
            </w:r>
          </w:p>
        </w:tc>
        <w:tc>
          <w:tcPr>
            <w:tcW w:w="860" w:type="dxa"/>
            <w:tcBorders>
              <w:left w:val="dotted" w:sz="4" w:space="0" w:color="30859C"/>
              <w:right w:val="dotted" w:sz="4" w:space="0" w:color="30859C"/>
            </w:tcBorders>
            <w:shd w:val="clear" w:color="auto" w:fill="B4EDEC"/>
          </w:tcPr>
          <w:p>
            <w:pPr>
              <w:pStyle w:val="TableParagraph"/>
              <w:spacing w:before="5"/>
              <w:ind w:left="54" w:right="47"/>
              <w:rPr>
                <w:sz w:val="14"/>
              </w:rPr>
            </w:pPr>
            <w:r>
              <w:rPr>
                <w:sz w:val="14"/>
              </w:rPr>
              <w:t>0.2*</w:t>
            </w:r>
          </w:p>
        </w:tc>
        <w:tc>
          <w:tcPr>
            <w:tcW w:w="935" w:type="dxa"/>
            <w:tcBorders>
              <w:left w:val="dotted" w:sz="4" w:space="0" w:color="30859C"/>
            </w:tcBorders>
            <w:shd w:val="clear" w:color="auto" w:fill="B4EDEC"/>
          </w:tcPr>
          <w:p>
            <w:pPr>
              <w:pStyle w:val="TableParagraph"/>
              <w:spacing w:before="5"/>
              <w:ind w:left="96" w:right="94"/>
              <w:rPr>
                <w:sz w:val="14"/>
              </w:rPr>
            </w:pPr>
            <w:r>
              <w:rPr>
                <w:sz w:val="14"/>
              </w:rPr>
              <w:t>0.3*</w:t>
            </w:r>
          </w:p>
        </w:tc>
      </w:tr>
      <w:tr>
        <w:trPr>
          <w:trHeight w:val="204" w:hRule="exact"/>
        </w:trPr>
        <w:tc>
          <w:tcPr>
            <w:tcW w:w="1290" w:type="dxa"/>
            <w:gridSpan w:val="2"/>
            <w:shd w:val="clear" w:color="auto" w:fill="B4EDEC"/>
          </w:tcPr>
          <w:p>
            <w:pPr>
              <w:pStyle w:val="TableParagraph"/>
              <w:spacing w:before="26"/>
              <w:ind w:left="304"/>
              <w:jc w:val="left"/>
              <w:rPr>
                <w:b/>
                <w:sz w:val="15"/>
              </w:rPr>
            </w:pPr>
            <w:r>
              <w:rPr>
                <w:b/>
                <w:sz w:val="15"/>
              </w:rPr>
              <w:t>vitaminas</w:t>
            </w:r>
          </w:p>
        </w:tc>
        <w:tc>
          <w:tcPr>
            <w:tcW w:w="870" w:type="dxa"/>
            <w:shd w:val="clear" w:color="auto" w:fill="B4EDEC"/>
          </w:tcPr>
          <w:p>
            <w:pPr>
              <w:pStyle w:val="TableParagraph"/>
              <w:spacing w:before="0"/>
              <w:ind w:left="20"/>
              <w:jc w:val="left"/>
              <w:rPr>
                <w:sz w:val="12"/>
              </w:rPr>
            </w:pPr>
            <w:r>
              <w:rPr>
                <w:sz w:val="12"/>
              </w:rPr>
              <w:t>No</w:t>
            </w:r>
          </w:p>
        </w:tc>
        <w:tc>
          <w:tcPr>
            <w:tcW w:w="155" w:type="dxa"/>
            <w:tcBorders>
              <w:right w:val="dotted" w:sz="4" w:space="0" w:color="000000"/>
            </w:tcBorders>
            <w:shd w:val="clear" w:color="auto" w:fill="B4EDEC"/>
          </w:tcPr>
          <w:p>
            <w:pPr/>
          </w:p>
        </w:tc>
        <w:tc>
          <w:tcPr>
            <w:tcW w:w="780" w:type="dxa"/>
            <w:tcBorders>
              <w:left w:val="dotted" w:sz="4" w:space="0" w:color="000000"/>
              <w:right w:val="dotted" w:sz="4" w:space="0" w:color="30859C"/>
            </w:tcBorders>
            <w:shd w:val="clear" w:color="auto" w:fill="B4EDEC"/>
          </w:tcPr>
          <w:p>
            <w:pPr>
              <w:pStyle w:val="TableParagraph"/>
              <w:spacing w:before="1"/>
              <w:ind w:left="90" w:right="99"/>
              <w:rPr>
                <w:sz w:val="14"/>
              </w:rPr>
            </w:pPr>
            <w:r>
              <w:rPr>
                <w:sz w:val="14"/>
              </w:rPr>
              <w:t>0.3 </w:t>
            </w:r>
            <w:r>
              <w:rPr>
                <w:rFonts w:ascii="Times New Roman" w:hAnsi="Times New Roman"/>
                <w:sz w:val="14"/>
              </w:rPr>
              <w:t>± </w:t>
            </w:r>
            <w:r>
              <w:rPr>
                <w:sz w:val="14"/>
              </w:rPr>
              <w:t>0.5</w:t>
            </w:r>
          </w:p>
        </w:tc>
        <w:tc>
          <w:tcPr>
            <w:tcW w:w="940" w:type="dxa"/>
            <w:tcBorders>
              <w:left w:val="dotted" w:sz="4" w:space="0" w:color="30859C"/>
              <w:right w:val="dotted" w:sz="4" w:space="0" w:color="30859C"/>
            </w:tcBorders>
            <w:shd w:val="clear" w:color="auto" w:fill="B4EDEC"/>
          </w:tcPr>
          <w:p>
            <w:pPr>
              <w:pStyle w:val="TableParagraph"/>
              <w:spacing w:before="1"/>
              <w:ind w:left="89" w:right="94"/>
              <w:rPr>
                <w:sz w:val="14"/>
              </w:rPr>
            </w:pPr>
            <w:r>
              <w:rPr>
                <w:sz w:val="14"/>
              </w:rPr>
              <w:t>3.0 </w:t>
            </w:r>
            <w:r>
              <w:rPr>
                <w:rFonts w:ascii="Times New Roman" w:hAnsi="Times New Roman"/>
                <w:sz w:val="14"/>
              </w:rPr>
              <w:t>± </w:t>
            </w:r>
            <w:r>
              <w:rPr>
                <w:sz w:val="14"/>
              </w:rPr>
              <w:t>2.4</w:t>
            </w:r>
          </w:p>
        </w:tc>
        <w:tc>
          <w:tcPr>
            <w:tcW w:w="1030" w:type="dxa"/>
            <w:tcBorders>
              <w:left w:val="dotted" w:sz="4" w:space="0" w:color="30859C"/>
              <w:right w:val="dotted" w:sz="4" w:space="0" w:color="30859C"/>
            </w:tcBorders>
            <w:shd w:val="clear" w:color="auto" w:fill="B4EDEC"/>
          </w:tcPr>
          <w:p>
            <w:pPr>
              <w:pStyle w:val="TableParagraph"/>
              <w:spacing w:before="1"/>
              <w:ind w:left="138" w:right="145"/>
              <w:rPr>
                <w:sz w:val="14"/>
              </w:rPr>
            </w:pPr>
            <w:r>
              <w:rPr>
                <w:sz w:val="14"/>
              </w:rPr>
              <w:t>17.6 </w:t>
            </w:r>
            <w:r>
              <w:rPr>
                <w:rFonts w:ascii="Times New Roman" w:hAnsi="Times New Roman"/>
                <w:sz w:val="14"/>
              </w:rPr>
              <w:t>± </w:t>
            </w:r>
            <w:r>
              <w:rPr>
                <w:sz w:val="14"/>
              </w:rPr>
              <w:t>14.0</w:t>
            </w:r>
          </w:p>
        </w:tc>
        <w:tc>
          <w:tcPr>
            <w:tcW w:w="940" w:type="dxa"/>
            <w:tcBorders>
              <w:left w:val="dotted" w:sz="4" w:space="0" w:color="30859C"/>
              <w:right w:val="dotted" w:sz="4" w:space="0" w:color="30859C"/>
            </w:tcBorders>
            <w:shd w:val="clear" w:color="auto" w:fill="B4EDEC"/>
          </w:tcPr>
          <w:p>
            <w:pPr>
              <w:pStyle w:val="TableParagraph"/>
              <w:spacing w:before="1"/>
              <w:ind w:left="94" w:right="94"/>
              <w:rPr>
                <w:sz w:val="14"/>
              </w:rPr>
            </w:pPr>
            <w:r>
              <w:rPr>
                <w:sz w:val="14"/>
              </w:rPr>
              <w:t>9.6 </w:t>
            </w:r>
            <w:r>
              <w:rPr>
                <w:rFonts w:ascii="Times New Roman" w:hAnsi="Times New Roman"/>
                <w:sz w:val="14"/>
              </w:rPr>
              <w:t>± </w:t>
            </w:r>
            <w:r>
              <w:rPr>
                <w:sz w:val="14"/>
              </w:rPr>
              <w:t>6.7</w:t>
            </w:r>
          </w:p>
        </w:tc>
        <w:tc>
          <w:tcPr>
            <w:tcW w:w="940" w:type="dxa"/>
            <w:tcBorders>
              <w:left w:val="dotted" w:sz="4" w:space="0" w:color="30859C"/>
              <w:right w:val="dotted" w:sz="4" w:space="0" w:color="30859C"/>
            </w:tcBorders>
            <w:shd w:val="clear" w:color="auto" w:fill="B4EDEC"/>
          </w:tcPr>
          <w:p>
            <w:pPr>
              <w:pStyle w:val="TableParagraph"/>
              <w:spacing w:before="1"/>
              <w:ind w:left="100" w:right="94"/>
              <w:rPr>
                <w:sz w:val="14"/>
              </w:rPr>
            </w:pPr>
            <w:r>
              <w:rPr>
                <w:sz w:val="14"/>
              </w:rPr>
              <w:t>7.4 </w:t>
            </w:r>
            <w:r>
              <w:rPr>
                <w:rFonts w:ascii="Times New Roman" w:hAnsi="Times New Roman"/>
                <w:sz w:val="14"/>
              </w:rPr>
              <w:t>± </w:t>
            </w:r>
            <w:r>
              <w:rPr>
                <w:sz w:val="14"/>
              </w:rPr>
              <w:t>8.4</w:t>
            </w:r>
          </w:p>
        </w:tc>
        <w:tc>
          <w:tcPr>
            <w:tcW w:w="860" w:type="dxa"/>
            <w:tcBorders>
              <w:left w:val="dotted" w:sz="4" w:space="0" w:color="30859C"/>
              <w:right w:val="dotted" w:sz="4" w:space="0" w:color="30859C"/>
            </w:tcBorders>
            <w:shd w:val="clear" w:color="auto" w:fill="B4EDEC"/>
          </w:tcPr>
          <w:p>
            <w:pPr>
              <w:pStyle w:val="TableParagraph"/>
              <w:spacing w:before="1"/>
              <w:ind w:left="54" w:right="56"/>
              <w:rPr>
                <w:sz w:val="14"/>
              </w:rPr>
            </w:pPr>
            <w:r>
              <w:rPr>
                <w:sz w:val="14"/>
              </w:rPr>
              <w:t>1.1 </w:t>
            </w:r>
            <w:r>
              <w:rPr>
                <w:rFonts w:ascii="Times New Roman" w:hAnsi="Times New Roman"/>
                <w:sz w:val="14"/>
              </w:rPr>
              <w:t>± </w:t>
            </w:r>
            <w:r>
              <w:rPr>
                <w:sz w:val="14"/>
              </w:rPr>
              <w:t>1.8</w:t>
            </w:r>
          </w:p>
        </w:tc>
        <w:tc>
          <w:tcPr>
            <w:tcW w:w="860" w:type="dxa"/>
            <w:tcBorders>
              <w:left w:val="dotted" w:sz="4" w:space="0" w:color="30859C"/>
              <w:right w:val="dotted" w:sz="4" w:space="0" w:color="30859C"/>
            </w:tcBorders>
            <w:shd w:val="clear" w:color="auto" w:fill="B4EDEC"/>
          </w:tcPr>
          <w:p>
            <w:pPr>
              <w:pStyle w:val="TableParagraph"/>
              <w:spacing w:before="1"/>
              <w:ind w:left="54" w:right="60"/>
              <w:rPr>
                <w:sz w:val="14"/>
              </w:rPr>
            </w:pPr>
            <w:r>
              <w:rPr>
                <w:sz w:val="14"/>
              </w:rPr>
              <w:t>11.5 </w:t>
            </w:r>
            <w:r>
              <w:rPr>
                <w:rFonts w:ascii="Times New Roman" w:hAnsi="Times New Roman"/>
                <w:sz w:val="14"/>
              </w:rPr>
              <w:t>± </w:t>
            </w:r>
            <w:r>
              <w:rPr>
                <w:sz w:val="14"/>
              </w:rPr>
              <w:t>10.6</w:t>
            </w:r>
          </w:p>
        </w:tc>
        <w:tc>
          <w:tcPr>
            <w:tcW w:w="935" w:type="dxa"/>
            <w:tcBorders>
              <w:left w:val="dotted" w:sz="4" w:space="0" w:color="30859C"/>
            </w:tcBorders>
            <w:shd w:val="clear" w:color="auto" w:fill="B4EDEC"/>
          </w:tcPr>
          <w:p>
            <w:pPr>
              <w:pStyle w:val="TableParagraph"/>
              <w:spacing w:before="1"/>
              <w:ind w:left="100" w:right="94"/>
              <w:rPr>
                <w:sz w:val="14"/>
              </w:rPr>
            </w:pPr>
            <w:r>
              <w:rPr>
                <w:sz w:val="14"/>
              </w:rPr>
              <w:t>50.4 </w:t>
            </w:r>
            <w:r>
              <w:rPr>
                <w:rFonts w:ascii="Times New Roman" w:hAnsi="Times New Roman"/>
                <w:sz w:val="14"/>
              </w:rPr>
              <w:t>± </w:t>
            </w:r>
            <w:r>
              <w:rPr>
                <w:sz w:val="14"/>
              </w:rPr>
              <w:t>26.5</w:t>
            </w:r>
          </w:p>
        </w:tc>
      </w:tr>
      <w:tr>
        <w:trPr>
          <w:trHeight w:val="190" w:hRule="exact"/>
        </w:trPr>
        <w:tc>
          <w:tcPr>
            <w:tcW w:w="1290" w:type="dxa"/>
            <w:gridSpan w:val="2"/>
            <w:vMerge w:val="restart"/>
            <w:shd w:val="clear" w:color="auto" w:fill="77DFDD"/>
          </w:tcPr>
          <w:p>
            <w:pPr>
              <w:pStyle w:val="TableParagraph"/>
              <w:spacing w:before="19"/>
              <w:ind w:left="324"/>
              <w:jc w:val="left"/>
              <w:rPr>
                <w:b/>
                <w:sz w:val="15"/>
              </w:rPr>
            </w:pPr>
            <w:r>
              <w:rPr>
                <w:b/>
                <w:sz w:val="15"/>
              </w:rPr>
              <w:t>Fumador</w:t>
            </w:r>
          </w:p>
          <w:p>
            <w:pPr>
              <w:pStyle w:val="TableParagraph"/>
              <w:spacing w:before="27"/>
              <w:ind w:left="414" w:right="312"/>
              <w:jc w:val="left"/>
              <w:rPr>
                <w:b/>
                <w:sz w:val="15"/>
              </w:rPr>
            </w:pPr>
            <w:r>
              <w:rPr>
                <w:b/>
                <w:sz w:val="15"/>
              </w:rPr>
              <w:t>pasivo</w:t>
            </w:r>
          </w:p>
        </w:tc>
        <w:tc>
          <w:tcPr>
            <w:tcW w:w="870" w:type="dxa"/>
            <w:vMerge w:val="restart"/>
            <w:shd w:val="clear" w:color="auto" w:fill="77DFDD"/>
          </w:tcPr>
          <w:p>
            <w:pPr>
              <w:pStyle w:val="TableParagraph"/>
              <w:spacing w:before="17"/>
              <w:ind w:left="20"/>
              <w:jc w:val="left"/>
              <w:rPr>
                <w:sz w:val="12"/>
              </w:rPr>
            </w:pPr>
            <w:r>
              <w:rPr>
                <w:sz w:val="12"/>
              </w:rPr>
              <w:t>Si</w:t>
            </w:r>
          </w:p>
          <w:p>
            <w:pPr>
              <w:pStyle w:val="TableParagraph"/>
              <w:spacing w:before="0"/>
              <w:jc w:val="left"/>
              <w:rPr>
                <w:b/>
                <w:sz w:val="12"/>
              </w:rPr>
            </w:pPr>
          </w:p>
          <w:p>
            <w:pPr>
              <w:pStyle w:val="TableParagraph"/>
              <w:spacing w:before="7"/>
              <w:jc w:val="left"/>
              <w:rPr>
                <w:b/>
                <w:sz w:val="9"/>
              </w:rPr>
            </w:pPr>
          </w:p>
          <w:p>
            <w:pPr>
              <w:pStyle w:val="TableParagraph"/>
              <w:spacing w:before="0"/>
              <w:ind w:left="20"/>
              <w:jc w:val="left"/>
              <w:rPr>
                <w:sz w:val="12"/>
              </w:rPr>
            </w:pPr>
            <w:r>
              <w:rPr>
                <w:sz w:val="12"/>
              </w:rPr>
              <w:t>No</w:t>
            </w:r>
          </w:p>
        </w:tc>
        <w:tc>
          <w:tcPr>
            <w:tcW w:w="155" w:type="dxa"/>
            <w:vMerge w:val="restart"/>
            <w:tcBorders>
              <w:right w:val="dotted" w:sz="4" w:space="0" w:color="000000"/>
            </w:tcBorders>
            <w:shd w:val="clear" w:color="auto" w:fill="77DFDD"/>
          </w:tcPr>
          <w:p>
            <w:pPr>
              <w:pStyle w:val="TableParagraph"/>
              <w:spacing w:before="0"/>
              <w:jc w:val="left"/>
              <w:rPr>
                <w:b/>
                <w:sz w:val="12"/>
              </w:rPr>
            </w:pPr>
          </w:p>
          <w:p>
            <w:pPr>
              <w:pStyle w:val="TableParagraph"/>
              <w:spacing w:before="72"/>
              <w:ind w:left="51"/>
              <w:jc w:val="left"/>
              <w:rPr>
                <w:b/>
                <w:sz w:val="12"/>
              </w:rPr>
            </w:pPr>
            <w:r>
              <w:rPr>
                <w:b/>
                <w:w w:val="100"/>
                <w:sz w:val="12"/>
              </w:rPr>
              <w:t>P</w:t>
            </w:r>
          </w:p>
        </w:tc>
        <w:tc>
          <w:tcPr>
            <w:tcW w:w="780" w:type="dxa"/>
            <w:tcBorders>
              <w:left w:val="dotted" w:sz="4" w:space="0" w:color="000000"/>
              <w:right w:val="dotted" w:sz="4" w:space="0" w:color="30859C"/>
            </w:tcBorders>
            <w:shd w:val="clear" w:color="auto" w:fill="77DFDD"/>
          </w:tcPr>
          <w:p>
            <w:pPr>
              <w:pStyle w:val="TableParagraph"/>
              <w:spacing w:before="18"/>
              <w:ind w:left="90" w:right="99"/>
              <w:rPr>
                <w:sz w:val="14"/>
              </w:rPr>
            </w:pPr>
            <w:r>
              <w:rPr>
                <w:sz w:val="14"/>
              </w:rPr>
              <w:t>0.5 </w:t>
            </w:r>
            <w:r>
              <w:rPr>
                <w:rFonts w:ascii="Times New Roman" w:hAnsi="Times New Roman"/>
                <w:sz w:val="14"/>
              </w:rPr>
              <w:t>± </w:t>
            </w:r>
            <w:r>
              <w:rPr>
                <w:sz w:val="14"/>
              </w:rPr>
              <w:t>0.7</w:t>
            </w:r>
          </w:p>
        </w:tc>
        <w:tc>
          <w:tcPr>
            <w:tcW w:w="940" w:type="dxa"/>
            <w:tcBorders>
              <w:left w:val="dotted" w:sz="4" w:space="0" w:color="30859C"/>
              <w:right w:val="dotted" w:sz="4" w:space="0" w:color="30859C"/>
            </w:tcBorders>
            <w:shd w:val="clear" w:color="auto" w:fill="77DFDD"/>
          </w:tcPr>
          <w:p>
            <w:pPr>
              <w:pStyle w:val="TableParagraph"/>
              <w:spacing w:before="18"/>
              <w:ind w:left="89" w:right="94"/>
              <w:rPr>
                <w:sz w:val="14"/>
              </w:rPr>
            </w:pPr>
            <w:r>
              <w:rPr>
                <w:sz w:val="14"/>
              </w:rPr>
              <w:t>2.8 </w:t>
            </w:r>
            <w:r>
              <w:rPr>
                <w:rFonts w:ascii="Times New Roman" w:hAnsi="Times New Roman"/>
                <w:sz w:val="14"/>
              </w:rPr>
              <w:t>± </w:t>
            </w:r>
            <w:r>
              <w:rPr>
                <w:sz w:val="14"/>
              </w:rPr>
              <w:t>2.5</w:t>
            </w:r>
          </w:p>
        </w:tc>
        <w:tc>
          <w:tcPr>
            <w:tcW w:w="1030" w:type="dxa"/>
            <w:tcBorders>
              <w:left w:val="dotted" w:sz="4" w:space="0" w:color="30859C"/>
              <w:right w:val="dotted" w:sz="4" w:space="0" w:color="30859C"/>
            </w:tcBorders>
            <w:shd w:val="clear" w:color="auto" w:fill="77DFDD"/>
          </w:tcPr>
          <w:p>
            <w:pPr>
              <w:pStyle w:val="TableParagraph"/>
              <w:spacing w:before="18"/>
              <w:ind w:left="138" w:right="145"/>
              <w:rPr>
                <w:sz w:val="14"/>
              </w:rPr>
            </w:pPr>
            <w:r>
              <w:rPr>
                <w:sz w:val="14"/>
              </w:rPr>
              <w:t>15.5 </w:t>
            </w:r>
            <w:r>
              <w:rPr>
                <w:rFonts w:ascii="Times New Roman" w:hAnsi="Times New Roman"/>
                <w:sz w:val="14"/>
              </w:rPr>
              <w:t>± </w:t>
            </w:r>
            <w:r>
              <w:rPr>
                <w:sz w:val="14"/>
              </w:rPr>
              <w:t>13.3</w:t>
            </w:r>
          </w:p>
        </w:tc>
        <w:tc>
          <w:tcPr>
            <w:tcW w:w="940" w:type="dxa"/>
            <w:tcBorders>
              <w:left w:val="dotted" w:sz="4" w:space="0" w:color="30859C"/>
              <w:right w:val="dotted" w:sz="4" w:space="0" w:color="30859C"/>
            </w:tcBorders>
            <w:shd w:val="clear" w:color="auto" w:fill="77DFDD"/>
          </w:tcPr>
          <w:p>
            <w:pPr>
              <w:pStyle w:val="TableParagraph"/>
              <w:spacing w:before="18"/>
              <w:ind w:left="94" w:right="94"/>
              <w:rPr>
                <w:sz w:val="14"/>
              </w:rPr>
            </w:pPr>
            <w:r>
              <w:rPr>
                <w:sz w:val="14"/>
              </w:rPr>
              <w:t>9.0 </w:t>
            </w:r>
            <w:r>
              <w:rPr>
                <w:rFonts w:ascii="Times New Roman" w:hAnsi="Times New Roman"/>
                <w:sz w:val="14"/>
              </w:rPr>
              <w:t>± </w:t>
            </w:r>
            <w:r>
              <w:rPr>
                <w:sz w:val="14"/>
              </w:rPr>
              <w:t>6.6</w:t>
            </w:r>
          </w:p>
        </w:tc>
        <w:tc>
          <w:tcPr>
            <w:tcW w:w="940" w:type="dxa"/>
            <w:tcBorders>
              <w:left w:val="dotted" w:sz="4" w:space="0" w:color="30859C"/>
              <w:right w:val="dotted" w:sz="4" w:space="0" w:color="30859C"/>
            </w:tcBorders>
            <w:shd w:val="clear" w:color="auto" w:fill="77DFDD"/>
          </w:tcPr>
          <w:p>
            <w:pPr>
              <w:pStyle w:val="TableParagraph"/>
              <w:spacing w:before="18"/>
              <w:ind w:left="100" w:right="94"/>
              <w:rPr>
                <w:sz w:val="14"/>
              </w:rPr>
            </w:pPr>
            <w:r>
              <w:rPr>
                <w:sz w:val="14"/>
              </w:rPr>
              <w:t>7.7 </w:t>
            </w:r>
            <w:r>
              <w:rPr>
                <w:rFonts w:ascii="Times New Roman" w:hAnsi="Times New Roman"/>
                <w:sz w:val="14"/>
              </w:rPr>
              <w:t>± </w:t>
            </w:r>
            <w:r>
              <w:rPr>
                <w:sz w:val="14"/>
              </w:rPr>
              <w:t>10.6</w:t>
            </w:r>
          </w:p>
        </w:tc>
        <w:tc>
          <w:tcPr>
            <w:tcW w:w="860" w:type="dxa"/>
            <w:tcBorders>
              <w:left w:val="dotted" w:sz="4" w:space="0" w:color="30859C"/>
              <w:right w:val="dotted" w:sz="4" w:space="0" w:color="30859C"/>
            </w:tcBorders>
            <w:shd w:val="clear" w:color="auto" w:fill="77DFDD"/>
          </w:tcPr>
          <w:p>
            <w:pPr>
              <w:pStyle w:val="TableParagraph"/>
              <w:spacing w:before="18"/>
              <w:ind w:left="54" w:right="56"/>
              <w:rPr>
                <w:sz w:val="14"/>
              </w:rPr>
            </w:pPr>
            <w:r>
              <w:rPr>
                <w:sz w:val="14"/>
              </w:rPr>
              <w:t>1.4 </w:t>
            </w:r>
            <w:r>
              <w:rPr>
                <w:rFonts w:ascii="Times New Roman" w:hAnsi="Times New Roman"/>
                <w:sz w:val="14"/>
              </w:rPr>
              <w:t>± </w:t>
            </w:r>
            <w:r>
              <w:rPr>
                <w:sz w:val="14"/>
              </w:rPr>
              <w:t>2.1</w:t>
            </w:r>
          </w:p>
        </w:tc>
        <w:tc>
          <w:tcPr>
            <w:tcW w:w="860" w:type="dxa"/>
            <w:tcBorders>
              <w:left w:val="dotted" w:sz="4" w:space="0" w:color="30859C"/>
              <w:right w:val="dotted" w:sz="4" w:space="0" w:color="30859C"/>
            </w:tcBorders>
            <w:shd w:val="clear" w:color="auto" w:fill="77DFDD"/>
          </w:tcPr>
          <w:p>
            <w:pPr>
              <w:pStyle w:val="TableParagraph"/>
              <w:spacing w:before="18"/>
              <w:ind w:left="54" w:right="60"/>
              <w:rPr>
                <w:sz w:val="14"/>
              </w:rPr>
            </w:pPr>
            <w:r>
              <w:rPr>
                <w:sz w:val="14"/>
              </w:rPr>
              <w:t>13.4 </w:t>
            </w:r>
            <w:r>
              <w:rPr>
                <w:rFonts w:ascii="Times New Roman" w:hAnsi="Times New Roman"/>
                <w:sz w:val="14"/>
              </w:rPr>
              <w:t>± </w:t>
            </w:r>
            <w:r>
              <w:rPr>
                <w:sz w:val="14"/>
              </w:rPr>
              <w:t>11.2</w:t>
            </w:r>
          </w:p>
        </w:tc>
        <w:tc>
          <w:tcPr>
            <w:tcW w:w="935" w:type="dxa"/>
            <w:tcBorders>
              <w:left w:val="dotted" w:sz="4" w:space="0" w:color="30859C"/>
            </w:tcBorders>
            <w:shd w:val="clear" w:color="auto" w:fill="77DFDD"/>
          </w:tcPr>
          <w:p>
            <w:pPr>
              <w:pStyle w:val="TableParagraph"/>
              <w:spacing w:before="18"/>
              <w:ind w:left="100" w:right="94"/>
              <w:rPr>
                <w:sz w:val="14"/>
              </w:rPr>
            </w:pPr>
            <w:r>
              <w:rPr>
                <w:sz w:val="14"/>
              </w:rPr>
              <w:t>50.0 </w:t>
            </w:r>
            <w:r>
              <w:rPr>
                <w:rFonts w:ascii="Times New Roman" w:hAnsi="Times New Roman"/>
                <w:sz w:val="14"/>
              </w:rPr>
              <w:t>± </w:t>
            </w:r>
            <w:r>
              <w:rPr>
                <w:sz w:val="14"/>
              </w:rPr>
              <w:t>29.5</w:t>
            </w:r>
          </w:p>
        </w:tc>
      </w:tr>
      <w:tr>
        <w:trPr>
          <w:trHeight w:val="200" w:hRule="exact"/>
        </w:trPr>
        <w:tc>
          <w:tcPr>
            <w:tcW w:w="1290" w:type="dxa"/>
            <w:gridSpan w:val="2"/>
            <w:vMerge/>
            <w:shd w:val="clear" w:color="auto" w:fill="77DFDD"/>
          </w:tcPr>
          <w:p>
            <w:pPr/>
          </w:p>
        </w:tc>
        <w:tc>
          <w:tcPr>
            <w:tcW w:w="870" w:type="dxa"/>
            <w:vMerge/>
            <w:shd w:val="clear" w:color="auto" w:fill="77DFDD"/>
          </w:tcPr>
          <w:p>
            <w:pPr/>
          </w:p>
        </w:tc>
        <w:tc>
          <w:tcPr>
            <w:tcW w:w="155" w:type="dxa"/>
            <w:vMerge/>
            <w:tcBorders>
              <w:right w:val="dotted" w:sz="4" w:space="0" w:color="000000"/>
            </w:tcBorders>
            <w:shd w:val="clear" w:color="auto" w:fill="77DFDD"/>
          </w:tcPr>
          <w:p>
            <w:pPr/>
          </w:p>
        </w:tc>
        <w:tc>
          <w:tcPr>
            <w:tcW w:w="780" w:type="dxa"/>
            <w:tcBorders>
              <w:left w:val="dotted" w:sz="4" w:space="0" w:color="000000"/>
              <w:right w:val="dotted" w:sz="4" w:space="0" w:color="30859C"/>
            </w:tcBorders>
            <w:shd w:val="clear" w:color="auto" w:fill="BEBEBE"/>
          </w:tcPr>
          <w:p>
            <w:pPr>
              <w:pStyle w:val="TableParagraph"/>
              <w:spacing w:before="21"/>
              <w:ind w:left="90" w:right="85"/>
              <w:rPr>
                <w:b/>
                <w:sz w:val="14"/>
              </w:rPr>
            </w:pPr>
            <w:r>
              <w:rPr>
                <w:b/>
                <w:sz w:val="14"/>
              </w:rPr>
              <w:t>0.05*</w:t>
            </w:r>
          </w:p>
        </w:tc>
        <w:tc>
          <w:tcPr>
            <w:tcW w:w="940" w:type="dxa"/>
            <w:tcBorders>
              <w:left w:val="dotted" w:sz="4" w:space="0" w:color="30859C"/>
              <w:right w:val="dotted" w:sz="4" w:space="0" w:color="30859C"/>
            </w:tcBorders>
            <w:shd w:val="clear" w:color="auto" w:fill="77DFDD"/>
          </w:tcPr>
          <w:p>
            <w:pPr>
              <w:pStyle w:val="TableParagraph"/>
              <w:spacing w:before="21"/>
              <w:ind w:left="85" w:right="94"/>
              <w:rPr>
                <w:sz w:val="14"/>
              </w:rPr>
            </w:pPr>
            <w:r>
              <w:rPr>
                <w:sz w:val="14"/>
              </w:rPr>
              <w:t>0.4*</w:t>
            </w:r>
          </w:p>
        </w:tc>
        <w:tc>
          <w:tcPr>
            <w:tcW w:w="1030" w:type="dxa"/>
            <w:tcBorders>
              <w:left w:val="dotted" w:sz="4" w:space="0" w:color="30859C"/>
              <w:right w:val="dotted" w:sz="4" w:space="0" w:color="30859C"/>
            </w:tcBorders>
            <w:shd w:val="clear" w:color="auto" w:fill="77DFDD"/>
          </w:tcPr>
          <w:p>
            <w:pPr>
              <w:pStyle w:val="TableParagraph"/>
              <w:spacing w:before="21"/>
              <w:ind w:left="134" w:right="145"/>
              <w:rPr>
                <w:sz w:val="14"/>
              </w:rPr>
            </w:pPr>
            <w:r>
              <w:rPr>
                <w:sz w:val="14"/>
              </w:rPr>
              <w:t>0.3*</w:t>
            </w:r>
          </w:p>
        </w:tc>
        <w:tc>
          <w:tcPr>
            <w:tcW w:w="940" w:type="dxa"/>
            <w:tcBorders>
              <w:left w:val="dotted" w:sz="4" w:space="0" w:color="30859C"/>
              <w:right w:val="dotted" w:sz="4" w:space="0" w:color="30859C"/>
            </w:tcBorders>
            <w:shd w:val="clear" w:color="auto" w:fill="77DFDD"/>
          </w:tcPr>
          <w:p>
            <w:pPr>
              <w:pStyle w:val="TableParagraph"/>
              <w:spacing w:before="21"/>
              <w:ind w:left="93" w:right="94"/>
              <w:rPr>
                <w:sz w:val="14"/>
              </w:rPr>
            </w:pPr>
            <w:r>
              <w:rPr>
                <w:sz w:val="14"/>
              </w:rPr>
              <w:t>0.7*</w:t>
            </w:r>
          </w:p>
        </w:tc>
        <w:tc>
          <w:tcPr>
            <w:tcW w:w="940" w:type="dxa"/>
            <w:tcBorders>
              <w:left w:val="dotted" w:sz="4" w:space="0" w:color="30859C"/>
              <w:right w:val="dotted" w:sz="4" w:space="0" w:color="30859C"/>
            </w:tcBorders>
            <w:shd w:val="clear" w:color="auto" w:fill="77DFDD"/>
          </w:tcPr>
          <w:p>
            <w:pPr>
              <w:pStyle w:val="TableParagraph"/>
              <w:spacing w:before="21"/>
              <w:ind w:left="97" w:right="94"/>
              <w:rPr>
                <w:sz w:val="14"/>
              </w:rPr>
            </w:pPr>
            <w:r>
              <w:rPr>
                <w:sz w:val="14"/>
              </w:rPr>
              <w:t>0.4*</w:t>
            </w:r>
          </w:p>
        </w:tc>
        <w:tc>
          <w:tcPr>
            <w:tcW w:w="860" w:type="dxa"/>
            <w:tcBorders>
              <w:left w:val="dotted" w:sz="4" w:space="0" w:color="30859C"/>
              <w:right w:val="dotted" w:sz="4" w:space="0" w:color="30859C"/>
            </w:tcBorders>
            <w:shd w:val="clear" w:color="auto" w:fill="77DFDD"/>
          </w:tcPr>
          <w:p>
            <w:pPr>
              <w:pStyle w:val="TableParagraph"/>
              <w:spacing w:before="21"/>
              <w:ind w:left="54" w:right="43"/>
              <w:rPr>
                <w:sz w:val="14"/>
              </w:rPr>
            </w:pPr>
            <w:r>
              <w:rPr>
                <w:sz w:val="14"/>
              </w:rPr>
              <w:t>0.5*</w:t>
            </w:r>
          </w:p>
        </w:tc>
        <w:tc>
          <w:tcPr>
            <w:tcW w:w="860" w:type="dxa"/>
            <w:tcBorders>
              <w:left w:val="dotted" w:sz="4" w:space="0" w:color="30859C"/>
              <w:right w:val="dotted" w:sz="4" w:space="0" w:color="30859C"/>
            </w:tcBorders>
            <w:shd w:val="clear" w:color="auto" w:fill="77DFDD"/>
          </w:tcPr>
          <w:p>
            <w:pPr>
              <w:pStyle w:val="TableParagraph"/>
              <w:spacing w:before="21"/>
              <w:ind w:left="54" w:right="47"/>
              <w:rPr>
                <w:sz w:val="14"/>
              </w:rPr>
            </w:pPr>
            <w:r>
              <w:rPr>
                <w:sz w:val="14"/>
              </w:rPr>
              <w:t>0.1*</w:t>
            </w:r>
          </w:p>
        </w:tc>
        <w:tc>
          <w:tcPr>
            <w:tcW w:w="935" w:type="dxa"/>
            <w:tcBorders>
              <w:left w:val="dotted" w:sz="4" w:space="0" w:color="30859C"/>
            </w:tcBorders>
            <w:shd w:val="clear" w:color="auto" w:fill="77DFDD"/>
          </w:tcPr>
          <w:p>
            <w:pPr>
              <w:pStyle w:val="TableParagraph"/>
              <w:spacing w:before="21"/>
              <w:ind w:left="96" w:right="94"/>
              <w:rPr>
                <w:sz w:val="14"/>
              </w:rPr>
            </w:pPr>
            <w:r>
              <w:rPr>
                <w:sz w:val="14"/>
              </w:rPr>
              <w:t>0.7*</w:t>
            </w:r>
          </w:p>
        </w:tc>
      </w:tr>
      <w:tr>
        <w:trPr>
          <w:trHeight w:val="190" w:hRule="exact"/>
        </w:trPr>
        <w:tc>
          <w:tcPr>
            <w:tcW w:w="1290" w:type="dxa"/>
            <w:gridSpan w:val="2"/>
            <w:vMerge/>
            <w:shd w:val="clear" w:color="auto" w:fill="77DFDD"/>
          </w:tcPr>
          <w:p>
            <w:pPr/>
          </w:p>
        </w:tc>
        <w:tc>
          <w:tcPr>
            <w:tcW w:w="870" w:type="dxa"/>
            <w:vMerge/>
            <w:shd w:val="clear" w:color="auto" w:fill="77DFDD"/>
          </w:tcPr>
          <w:p>
            <w:pPr/>
          </w:p>
        </w:tc>
        <w:tc>
          <w:tcPr>
            <w:tcW w:w="155" w:type="dxa"/>
            <w:vMerge/>
            <w:tcBorders>
              <w:right w:val="dotted" w:sz="4" w:space="0" w:color="000000"/>
            </w:tcBorders>
            <w:shd w:val="clear" w:color="auto" w:fill="77DFDD"/>
          </w:tcPr>
          <w:p>
            <w:pPr/>
          </w:p>
        </w:tc>
        <w:tc>
          <w:tcPr>
            <w:tcW w:w="780" w:type="dxa"/>
            <w:tcBorders>
              <w:left w:val="dotted" w:sz="4" w:space="0" w:color="000000"/>
              <w:right w:val="dotted" w:sz="4" w:space="0" w:color="30859C"/>
            </w:tcBorders>
            <w:shd w:val="clear" w:color="auto" w:fill="77DFDD"/>
          </w:tcPr>
          <w:p>
            <w:pPr>
              <w:pStyle w:val="TableParagraph"/>
              <w:spacing w:before="15"/>
              <w:ind w:left="90" w:right="99"/>
              <w:rPr>
                <w:sz w:val="14"/>
              </w:rPr>
            </w:pPr>
            <w:r>
              <w:rPr>
                <w:sz w:val="14"/>
              </w:rPr>
              <w:t>0.2 </w:t>
            </w:r>
            <w:r>
              <w:rPr>
                <w:rFonts w:ascii="Times New Roman" w:hAnsi="Times New Roman"/>
                <w:sz w:val="14"/>
              </w:rPr>
              <w:t>± </w:t>
            </w:r>
            <w:r>
              <w:rPr>
                <w:sz w:val="14"/>
              </w:rPr>
              <w:t>0.4</w:t>
            </w:r>
          </w:p>
        </w:tc>
        <w:tc>
          <w:tcPr>
            <w:tcW w:w="940" w:type="dxa"/>
            <w:tcBorders>
              <w:left w:val="dotted" w:sz="4" w:space="0" w:color="30859C"/>
              <w:right w:val="dotted" w:sz="4" w:space="0" w:color="30859C"/>
            </w:tcBorders>
            <w:shd w:val="clear" w:color="auto" w:fill="77DFDD"/>
          </w:tcPr>
          <w:p>
            <w:pPr>
              <w:pStyle w:val="TableParagraph"/>
              <w:spacing w:before="15"/>
              <w:ind w:left="89" w:right="94"/>
              <w:rPr>
                <w:sz w:val="14"/>
              </w:rPr>
            </w:pPr>
            <w:r>
              <w:rPr>
                <w:sz w:val="14"/>
              </w:rPr>
              <w:t>3.3 </w:t>
            </w:r>
            <w:r>
              <w:rPr>
                <w:rFonts w:ascii="Times New Roman" w:hAnsi="Times New Roman"/>
                <w:sz w:val="14"/>
              </w:rPr>
              <w:t>± </w:t>
            </w:r>
            <w:r>
              <w:rPr>
                <w:sz w:val="14"/>
              </w:rPr>
              <w:t>2.7</w:t>
            </w:r>
          </w:p>
        </w:tc>
        <w:tc>
          <w:tcPr>
            <w:tcW w:w="1030" w:type="dxa"/>
            <w:tcBorders>
              <w:left w:val="dotted" w:sz="4" w:space="0" w:color="30859C"/>
              <w:right w:val="dotted" w:sz="4" w:space="0" w:color="30859C"/>
            </w:tcBorders>
            <w:shd w:val="clear" w:color="auto" w:fill="77DFDD"/>
          </w:tcPr>
          <w:p>
            <w:pPr>
              <w:pStyle w:val="TableParagraph"/>
              <w:spacing w:before="15"/>
              <w:ind w:left="138" w:right="145"/>
              <w:rPr>
                <w:sz w:val="14"/>
              </w:rPr>
            </w:pPr>
            <w:r>
              <w:rPr>
                <w:sz w:val="14"/>
              </w:rPr>
              <w:t>19.1 </w:t>
            </w:r>
            <w:r>
              <w:rPr>
                <w:rFonts w:ascii="Times New Roman" w:hAnsi="Times New Roman"/>
                <w:sz w:val="14"/>
              </w:rPr>
              <w:t>± </w:t>
            </w:r>
            <w:r>
              <w:rPr>
                <w:sz w:val="14"/>
              </w:rPr>
              <w:t>15.4</w:t>
            </w:r>
          </w:p>
        </w:tc>
        <w:tc>
          <w:tcPr>
            <w:tcW w:w="940" w:type="dxa"/>
            <w:tcBorders>
              <w:left w:val="dotted" w:sz="4" w:space="0" w:color="30859C"/>
              <w:right w:val="dotted" w:sz="4" w:space="0" w:color="30859C"/>
            </w:tcBorders>
            <w:shd w:val="clear" w:color="auto" w:fill="77DFDD"/>
          </w:tcPr>
          <w:p>
            <w:pPr>
              <w:pStyle w:val="TableParagraph"/>
              <w:spacing w:before="15"/>
              <w:ind w:left="94" w:right="94"/>
              <w:rPr>
                <w:sz w:val="14"/>
              </w:rPr>
            </w:pPr>
            <w:r>
              <w:rPr>
                <w:sz w:val="14"/>
              </w:rPr>
              <w:t>9.5 </w:t>
            </w:r>
            <w:r>
              <w:rPr>
                <w:rFonts w:ascii="Times New Roman" w:hAnsi="Times New Roman"/>
                <w:sz w:val="14"/>
              </w:rPr>
              <w:t>± </w:t>
            </w:r>
            <w:r>
              <w:rPr>
                <w:sz w:val="14"/>
              </w:rPr>
              <w:t>6.9</w:t>
            </w:r>
          </w:p>
        </w:tc>
        <w:tc>
          <w:tcPr>
            <w:tcW w:w="940" w:type="dxa"/>
            <w:tcBorders>
              <w:left w:val="dotted" w:sz="4" w:space="0" w:color="30859C"/>
              <w:right w:val="dotted" w:sz="4" w:space="0" w:color="30859C"/>
            </w:tcBorders>
            <w:shd w:val="clear" w:color="auto" w:fill="77DFDD"/>
          </w:tcPr>
          <w:p>
            <w:pPr>
              <w:pStyle w:val="TableParagraph"/>
              <w:spacing w:before="15"/>
              <w:ind w:left="100" w:right="94"/>
              <w:rPr>
                <w:sz w:val="14"/>
              </w:rPr>
            </w:pPr>
            <w:r>
              <w:rPr>
                <w:sz w:val="14"/>
              </w:rPr>
              <w:t>8.0 </w:t>
            </w:r>
            <w:r>
              <w:rPr>
                <w:rFonts w:ascii="Times New Roman" w:hAnsi="Times New Roman"/>
                <w:sz w:val="14"/>
              </w:rPr>
              <w:t>± </w:t>
            </w:r>
            <w:r>
              <w:rPr>
                <w:sz w:val="14"/>
              </w:rPr>
              <w:t>9.5</w:t>
            </w:r>
          </w:p>
        </w:tc>
        <w:tc>
          <w:tcPr>
            <w:tcW w:w="860" w:type="dxa"/>
            <w:tcBorders>
              <w:left w:val="dotted" w:sz="4" w:space="0" w:color="30859C"/>
              <w:right w:val="dotted" w:sz="4" w:space="0" w:color="30859C"/>
            </w:tcBorders>
            <w:shd w:val="clear" w:color="auto" w:fill="77DFDD"/>
          </w:tcPr>
          <w:p>
            <w:pPr>
              <w:pStyle w:val="TableParagraph"/>
              <w:spacing w:before="15"/>
              <w:ind w:left="54" w:right="56"/>
              <w:rPr>
                <w:sz w:val="14"/>
              </w:rPr>
            </w:pPr>
            <w:r>
              <w:rPr>
                <w:sz w:val="14"/>
              </w:rPr>
              <w:t>0.9 </w:t>
            </w:r>
            <w:r>
              <w:rPr>
                <w:rFonts w:ascii="Times New Roman" w:hAnsi="Times New Roman"/>
                <w:sz w:val="14"/>
              </w:rPr>
              <w:t>± </w:t>
            </w:r>
            <w:r>
              <w:rPr>
                <w:sz w:val="14"/>
              </w:rPr>
              <w:t>1.6</w:t>
            </w:r>
          </w:p>
        </w:tc>
        <w:tc>
          <w:tcPr>
            <w:tcW w:w="860" w:type="dxa"/>
            <w:tcBorders>
              <w:left w:val="dotted" w:sz="4" w:space="0" w:color="30859C"/>
              <w:right w:val="dotted" w:sz="4" w:space="0" w:color="30859C"/>
            </w:tcBorders>
            <w:shd w:val="clear" w:color="auto" w:fill="77DFDD"/>
          </w:tcPr>
          <w:p>
            <w:pPr>
              <w:pStyle w:val="TableParagraph"/>
              <w:spacing w:before="15"/>
              <w:ind w:left="54" w:right="60"/>
              <w:rPr>
                <w:sz w:val="14"/>
              </w:rPr>
            </w:pPr>
            <w:r>
              <w:rPr>
                <w:sz w:val="14"/>
              </w:rPr>
              <w:t>9.7 </w:t>
            </w:r>
            <w:r>
              <w:rPr>
                <w:rFonts w:ascii="Times New Roman" w:hAnsi="Times New Roman"/>
                <w:sz w:val="14"/>
              </w:rPr>
              <w:t>± </w:t>
            </w:r>
            <w:r>
              <w:rPr>
                <w:sz w:val="14"/>
              </w:rPr>
              <w:t>9.7</w:t>
            </w:r>
          </w:p>
        </w:tc>
        <w:tc>
          <w:tcPr>
            <w:tcW w:w="935" w:type="dxa"/>
            <w:tcBorders>
              <w:left w:val="dotted" w:sz="4" w:space="0" w:color="30859C"/>
            </w:tcBorders>
            <w:shd w:val="clear" w:color="auto" w:fill="77DFDD"/>
          </w:tcPr>
          <w:p>
            <w:pPr>
              <w:pStyle w:val="TableParagraph"/>
              <w:spacing w:before="15"/>
              <w:ind w:left="100" w:right="94"/>
              <w:rPr>
                <w:sz w:val="14"/>
              </w:rPr>
            </w:pPr>
            <w:r>
              <w:rPr>
                <w:sz w:val="14"/>
              </w:rPr>
              <w:t>50.7 </w:t>
            </w:r>
            <w:r>
              <w:rPr>
                <w:rFonts w:ascii="Times New Roman" w:hAnsi="Times New Roman"/>
                <w:sz w:val="14"/>
              </w:rPr>
              <w:t>± </w:t>
            </w:r>
            <w:r>
              <w:rPr>
                <w:sz w:val="14"/>
              </w:rPr>
              <w:t>27.3</w:t>
            </w:r>
          </w:p>
        </w:tc>
      </w:tr>
    </w:tbl>
    <w:p>
      <w:pPr>
        <w:spacing w:before="36"/>
        <w:ind w:left="1554" w:right="1703" w:firstLine="0"/>
        <w:jc w:val="left"/>
        <w:rPr>
          <w:sz w:val="12"/>
        </w:rPr>
      </w:pPr>
      <w:r>
        <w:rPr>
          <w:sz w:val="12"/>
        </w:rPr>
        <w:t>Valores expresados en Media </w:t>
      </w:r>
      <w:r>
        <w:rPr>
          <w:rFonts w:ascii="Calibri" w:hAnsi="Calibri"/>
          <w:sz w:val="12"/>
        </w:rPr>
        <w:t>± </w:t>
      </w:r>
      <w:r>
        <w:rPr>
          <w:sz w:val="12"/>
        </w:rPr>
        <w:t>Desviación Estándar;   † Correlación de Spearman; *U de Mann-Whitney</w:t>
      </w:r>
    </w:p>
    <w:p>
      <w:pPr>
        <w:spacing w:before="5"/>
        <w:ind w:left="1554" w:right="1703" w:firstLine="0"/>
        <w:jc w:val="left"/>
        <w:rPr>
          <w:sz w:val="12"/>
        </w:rPr>
      </w:pPr>
      <w:r>
        <w:rPr>
          <w:sz w:val="12"/>
        </w:rPr>
        <w:t>Índice de Masa Corporal (IMC)</w:t>
      </w:r>
    </w:p>
    <w:p>
      <w:pPr>
        <w:spacing w:before="2"/>
        <w:ind w:left="1554" w:right="597" w:firstLine="0"/>
        <w:jc w:val="left"/>
        <w:rPr>
          <w:sz w:val="12"/>
        </w:rPr>
      </w:pPr>
      <w:r>
        <w:rPr>
          <w:sz w:val="12"/>
        </w:rPr>
        <w:t>Micronúcleos (MN); Binucleada (BN); Núcleo Lobulado (NL); Picnosis (PC); Cromatina Condensada (CC); Cariorrexis (CR); Cariolisis (CL); Total de  Anormalidades Nucleares(TAN)</w:t>
      </w:r>
    </w:p>
    <w:p>
      <w:pPr>
        <w:spacing w:after="0"/>
        <w:jc w:val="left"/>
        <w:rPr>
          <w:sz w:val="12"/>
        </w:rPr>
        <w:sectPr>
          <w:pgSz w:w="12240" w:h="15840"/>
          <w:pgMar w:header="0" w:footer="599" w:top="1500" w:bottom="780" w:left="0" w:right="0"/>
        </w:sectPr>
      </w:pPr>
    </w:p>
    <w:p>
      <w:pPr>
        <w:pStyle w:val="Heading4"/>
        <w:spacing w:line="360" w:lineRule="auto" w:before="140"/>
        <w:ind w:left="2174" w:right="1703"/>
      </w:pPr>
      <w:r>
        <w:rPr/>
        <w:t>Tabla 11. Factores de variabilidad influyentes en la formación de micronúcleos y anormalidades nucleares del grupo no expuesto</w:t>
      </w:r>
    </w:p>
    <w:p>
      <w:pPr>
        <w:pStyle w:val="BodyText"/>
        <w:spacing w:before="5"/>
        <w:rPr>
          <w:b/>
          <w:sz w:val="5"/>
        </w:rPr>
      </w:pPr>
    </w:p>
    <w:tbl>
      <w:tblPr>
        <w:tblW w:w="0" w:type="auto"/>
        <w:jc w:val="left"/>
        <w:tblInd w:w="216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0"/>
        <w:gridCol w:w="775"/>
        <w:gridCol w:w="475"/>
        <w:gridCol w:w="388"/>
        <w:gridCol w:w="775"/>
        <w:gridCol w:w="848"/>
        <w:gridCol w:w="775"/>
        <w:gridCol w:w="775"/>
        <w:gridCol w:w="775"/>
        <w:gridCol w:w="775"/>
        <w:gridCol w:w="775"/>
        <w:gridCol w:w="770"/>
      </w:tblGrid>
      <w:tr>
        <w:trPr>
          <w:trHeight w:val="405" w:hRule="exact"/>
        </w:trPr>
        <w:tc>
          <w:tcPr>
            <w:tcW w:w="1938" w:type="dxa"/>
            <w:gridSpan w:val="4"/>
            <w:shd w:val="clear" w:color="auto" w:fill="33CCCC"/>
          </w:tcPr>
          <w:p>
            <w:pPr>
              <w:pStyle w:val="TableParagraph"/>
              <w:spacing w:before="12"/>
              <w:ind w:left="542"/>
              <w:jc w:val="left"/>
              <w:rPr>
                <w:b/>
                <w:sz w:val="15"/>
              </w:rPr>
            </w:pPr>
            <w:r>
              <w:rPr>
                <w:b/>
                <w:sz w:val="15"/>
              </w:rPr>
              <w:t>Factores de</w:t>
            </w:r>
          </w:p>
          <w:p>
            <w:pPr>
              <w:pStyle w:val="TableParagraph"/>
              <w:spacing w:before="30"/>
              <w:ind w:left="542"/>
              <w:jc w:val="left"/>
              <w:rPr>
                <w:b/>
                <w:sz w:val="15"/>
              </w:rPr>
            </w:pPr>
            <w:r>
              <w:rPr>
                <w:b/>
                <w:w w:val="105"/>
                <w:sz w:val="15"/>
              </w:rPr>
              <w:t>variabilidad</w:t>
            </w:r>
          </w:p>
        </w:tc>
        <w:tc>
          <w:tcPr>
            <w:tcW w:w="775" w:type="dxa"/>
            <w:shd w:val="clear" w:color="auto" w:fill="33CCCC"/>
          </w:tcPr>
          <w:p>
            <w:pPr>
              <w:pStyle w:val="TableParagraph"/>
              <w:spacing w:before="10"/>
              <w:jc w:val="left"/>
              <w:rPr>
                <w:b/>
                <w:sz w:val="18"/>
              </w:rPr>
            </w:pPr>
          </w:p>
          <w:p>
            <w:pPr>
              <w:pStyle w:val="TableParagraph"/>
              <w:spacing w:before="0"/>
              <w:ind w:left="243" w:right="247"/>
              <w:rPr>
                <w:b/>
                <w:sz w:val="15"/>
              </w:rPr>
            </w:pPr>
            <w:r>
              <w:rPr>
                <w:b/>
                <w:w w:val="105"/>
                <w:sz w:val="15"/>
              </w:rPr>
              <w:t>MN</w:t>
            </w:r>
          </w:p>
        </w:tc>
        <w:tc>
          <w:tcPr>
            <w:tcW w:w="848" w:type="dxa"/>
            <w:shd w:val="clear" w:color="auto" w:fill="33CCCC"/>
          </w:tcPr>
          <w:p>
            <w:pPr>
              <w:pStyle w:val="TableParagraph"/>
              <w:spacing w:before="10"/>
              <w:jc w:val="left"/>
              <w:rPr>
                <w:b/>
                <w:sz w:val="18"/>
              </w:rPr>
            </w:pPr>
          </w:p>
          <w:p>
            <w:pPr>
              <w:pStyle w:val="TableParagraph"/>
              <w:spacing w:before="0"/>
              <w:ind w:left="290" w:right="289"/>
              <w:rPr>
                <w:b/>
                <w:sz w:val="15"/>
              </w:rPr>
            </w:pPr>
            <w:r>
              <w:rPr>
                <w:b/>
                <w:w w:val="105"/>
                <w:sz w:val="15"/>
              </w:rPr>
              <w:t>BN</w:t>
            </w:r>
          </w:p>
        </w:tc>
        <w:tc>
          <w:tcPr>
            <w:tcW w:w="775" w:type="dxa"/>
            <w:shd w:val="clear" w:color="auto" w:fill="33CCCC"/>
          </w:tcPr>
          <w:p>
            <w:pPr>
              <w:pStyle w:val="TableParagraph"/>
              <w:spacing w:before="10"/>
              <w:jc w:val="left"/>
              <w:rPr>
                <w:b/>
                <w:sz w:val="18"/>
              </w:rPr>
            </w:pPr>
          </w:p>
          <w:p>
            <w:pPr>
              <w:pStyle w:val="TableParagraph"/>
              <w:spacing w:before="0"/>
              <w:ind w:left="243" w:right="235"/>
              <w:rPr>
                <w:b/>
                <w:sz w:val="15"/>
              </w:rPr>
            </w:pPr>
            <w:r>
              <w:rPr>
                <w:b/>
                <w:w w:val="105"/>
                <w:sz w:val="15"/>
              </w:rPr>
              <w:t>NL</w:t>
            </w:r>
          </w:p>
        </w:tc>
        <w:tc>
          <w:tcPr>
            <w:tcW w:w="1550" w:type="dxa"/>
            <w:gridSpan w:val="2"/>
            <w:shd w:val="clear" w:color="auto" w:fill="33CCCC"/>
          </w:tcPr>
          <w:p>
            <w:pPr>
              <w:pStyle w:val="TableParagraph"/>
              <w:spacing w:before="12"/>
              <w:ind w:left="271"/>
              <w:jc w:val="left"/>
              <w:rPr>
                <w:b/>
                <w:sz w:val="15"/>
              </w:rPr>
            </w:pPr>
            <w:r>
              <w:rPr>
                <w:b/>
                <w:w w:val="105"/>
                <w:sz w:val="15"/>
              </w:rPr>
              <w:t>Significancia</w:t>
            </w:r>
          </w:p>
          <w:p>
            <w:pPr>
              <w:pStyle w:val="TableParagraph"/>
              <w:tabs>
                <w:tab w:pos="1053" w:val="left" w:leader="none"/>
              </w:tabs>
              <w:spacing w:before="32"/>
              <w:ind w:left="276"/>
              <w:jc w:val="left"/>
              <w:rPr>
                <w:b/>
                <w:sz w:val="15"/>
              </w:rPr>
            </w:pPr>
            <w:r>
              <w:rPr>
                <w:b/>
                <w:w w:val="105"/>
                <w:sz w:val="15"/>
              </w:rPr>
              <w:t>PC</w:t>
              <w:tab/>
              <w:t>CC</w:t>
            </w:r>
          </w:p>
        </w:tc>
        <w:tc>
          <w:tcPr>
            <w:tcW w:w="775" w:type="dxa"/>
            <w:shd w:val="clear" w:color="auto" w:fill="33CCCC"/>
          </w:tcPr>
          <w:p>
            <w:pPr>
              <w:pStyle w:val="TableParagraph"/>
              <w:spacing w:before="10"/>
              <w:jc w:val="left"/>
              <w:rPr>
                <w:b/>
                <w:sz w:val="18"/>
              </w:rPr>
            </w:pPr>
          </w:p>
          <w:p>
            <w:pPr>
              <w:pStyle w:val="TableParagraph"/>
              <w:spacing w:before="0"/>
              <w:ind w:left="243" w:right="234"/>
              <w:rPr>
                <w:b/>
                <w:sz w:val="15"/>
              </w:rPr>
            </w:pPr>
            <w:r>
              <w:rPr>
                <w:b/>
                <w:w w:val="105"/>
                <w:sz w:val="15"/>
              </w:rPr>
              <w:t>CR</w:t>
            </w:r>
          </w:p>
        </w:tc>
        <w:tc>
          <w:tcPr>
            <w:tcW w:w="775" w:type="dxa"/>
            <w:shd w:val="clear" w:color="auto" w:fill="33CCCC"/>
          </w:tcPr>
          <w:p>
            <w:pPr>
              <w:pStyle w:val="TableParagraph"/>
              <w:spacing w:before="10"/>
              <w:jc w:val="left"/>
              <w:rPr>
                <w:b/>
                <w:sz w:val="18"/>
              </w:rPr>
            </w:pPr>
          </w:p>
          <w:p>
            <w:pPr>
              <w:pStyle w:val="TableParagraph"/>
              <w:spacing w:before="0"/>
              <w:ind w:left="243" w:right="228"/>
              <w:rPr>
                <w:b/>
                <w:sz w:val="15"/>
              </w:rPr>
            </w:pPr>
            <w:r>
              <w:rPr>
                <w:b/>
                <w:w w:val="105"/>
                <w:sz w:val="15"/>
              </w:rPr>
              <w:t>CL</w:t>
            </w:r>
          </w:p>
        </w:tc>
        <w:tc>
          <w:tcPr>
            <w:tcW w:w="770" w:type="dxa"/>
            <w:shd w:val="clear" w:color="auto" w:fill="33CCCC"/>
          </w:tcPr>
          <w:p>
            <w:pPr>
              <w:pStyle w:val="TableParagraph"/>
              <w:spacing w:before="10"/>
              <w:jc w:val="left"/>
              <w:rPr>
                <w:b/>
                <w:sz w:val="18"/>
              </w:rPr>
            </w:pPr>
          </w:p>
          <w:p>
            <w:pPr>
              <w:pStyle w:val="TableParagraph"/>
              <w:spacing w:before="0"/>
              <w:ind w:left="211" w:right="194"/>
              <w:rPr>
                <w:b/>
                <w:sz w:val="15"/>
              </w:rPr>
            </w:pPr>
            <w:r>
              <w:rPr>
                <w:b/>
                <w:w w:val="105"/>
                <w:sz w:val="15"/>
              </w:rPr>
              <w:t>TAN</w:t>
            </w:r>
          </w:p>
        </w:tc>
      </w:tr>
      <w:tr>
        <w:trPr>
          <w:trHeight w:val="192" w:hRule="exact"/>
        </w:trPr>
        <w:tc>
          <w:tcPr>
            <w:tcW w:w="1075" w:type="dxa"/>
            <w:gridSpan w:val="2"/>
            <w:shd w:val="clear" w:color="auto" w:fill="B4EDEC"/>
          </w:tcPr>
          <w:p>
            <w:pPr>
              <w:pStyle w:val="TableParagraph"/>
              <w:spacing w:before="26"/>
              <w:ind w:left="110" w:right="117"/>
              <w:rPr>
                <w:b/>
                <w:sz w:val="13"/>
              </w:rPr>
            </w:pPr>
            <w:r>
              <w:rPr>
                <w:b/>
                <w:w w:val="105"/>
                <w:sz w:val="13"/>
              </w:rPr>
              <w:t>Edad</w:t>
            </w:r>
          </w:p>
        </w:tc>
        <w:tc>
          <w:tcPr>
            <w:tcW w:w="863" w:type="dxa"/>
            <w:gridSpan w:val="2"/>
            <w:tcBorders>
              <w:right w:val="dotted" w:sz="4" w:space="0" w:color="30859C"/>
            </w:tcBorders>
            <w:shd w:val="clear" w:color="auto" w:fill="B4EDEC"/>
          </w:tcPr>
          <w:p>
            <w:pPr>
              <w:pStyle w:val="TableParagraph"/>
              <w:spacing w:before="24"/>
              <w:ind w:left="205"/>
              <w:jc w:val="left"/>
              <w:rPr>
                <w:sz w:val="13"/>
              </w:rPr>
            </w:pPr>
            <w:r>
              <w:rPr>
                <w:w w:val="105"/>
                <w:sz w:val="13"/>
              </w:rPr>
              <w:t>9.5</w:t>
            </w:r>
            <w:r>
              <w:rPr>
                <w:rFonts w:ascii="Calibri" w:hAnsi="Calibri"/>
                <w:w w:val="105"/>
                <w:sz w:val="13"/>
              </w:rPr>
              <w:t>±</w:t>
            </w:r>
            <w:r>
              <w:rPr>
                <w:w w:val="105"/>
                <w:sz w:val="13"/>
              </w:rPr>
              <w:t>2.0</w:t>
            </w:r>
          </w:p>
        </w:tc>
        <w:tc>
          <w:tcPr>
            <w:tcW w:w="775" w:type="dxa"/>
            <w:tcBorders>
              <w:left w:val="dotted" w:sz="4" w:space="0" w:color="30859C"/>
              <w:right w:val="dotted" w:sz="4" w:space="0" w:color="30859C"/>
            </w:tcBorders>
            <w:shd w:val="clear" w:color="auto" w:fill="B4EDEC"/>
          </w:tcPr>
          <w:p>
            <w:pPr>
              <w:pStyle w:val="TableParagraph"/>
              <w:spacing w:before="26"/>
              <w:ind w:left="5" w:right="20"/>
              <w:rPr>
                <w:sz w:val="13"/>
                <w:szCs w:val="13"/>
              </w:rPr>
            </w:pPr>
            <w:r>
              <w:rPr>
                <w:w w:val="105"/>
                <w:sz w:val="13"/>
                <w:szCs w:val="13"/>
              </w:rPr>
              <w:t>0.9ᴥ</w:t>
            </w:r>
          </w:p>
        </w:tc>
        <w:tc>
          <w:tcPr>
            <w:tcW w:w="848" w:type="dxa"/>
            <w:tcBorders>
              <w:left w:val="dotted" w:sz="4" w:space="0" w:color="30859C"/>
              <w:right w:val="dotted" w:sz="4" w:space="0" w:color="30859C"/>
            </w:tcBorders>
            <w:shd w:val="clear" w:color="auto" w:fill="B4EDEC"/>
          </w:tcPr>
          <w:p>
            <w:pPr>
              <w:pStyle w:val="TableParagraph"/>
              <w:spacing w:before="26"/>
              <w:ind w:left="130" w:right="142"/>
              <w:rPr>
                <w:sz w:val="13"/>
                <w:szCs w:val="13"/>
              </w:rPr>
            </w:pPr>
            <w:r>
              <w:rPr>
                <w:w w:val="105"/>
                <w:sz w:val="13"/>
                <w:szCs w:val="13"/>
              </w:rPr>
              <w:t>0.06ᴥ</w:t>
            </w:r>
          </w:p>
        </w:tc>
        <w:tc>
          <w:tcPr>
            <w:tcW w:w="775" w:type="dxa"/>
            <w:tcBorders>
              <w:left w:val="dotted" w:sz="4" w:space="0" w:color="30859C"/>
              <w:right w:val="dotted" w:sz="4" w:space="0" w:color="30859C"/>
            </w:tcBorders>
            <w:shd w:val="clear" w:color="auto" w:fill="B4EDEC"/>
          </w:tcPr>
          <w:p>
            <w:pPr>
              <w:pStyle w:val="TableParagraph"/>
              <w:spacing w:before="26"/>
              <w:ind w:left="19" w:right="20"/>
              <w:rPr>
                <w:sz w:val="13"/>
                <w:szCs w:val="13"/>
              </w:rPr>
            </w:pPr>
            <w:r>
              <w:rPr>
                <w:w w:val="105"/>
                <w:sz w:val="13"/>
                <w:szCs w:val="13"/>
              </w:rPr>
              <w:t>0.1ᴥ</w:t>
            </w:r>
          </w:p>
        </w:tc>
        <w:tc>
          <w:tcPr>
            <w:tcW w:w="775" w:type="dxa"/>
            <w:tcBorders>
              <w:left w:val="dotted" w:sz="4" w:space="0" w:color="30859C"/>
              <w:right w:val="dotted" w:sz="4" w:space="0" w:color="30859C"/>
            </w:tcBorders>
            <w:shd w:val="clear" w:color="auto" w:fill="B4EDEC"/>
          </w:tcPr>
          <w:p>
            <w:pPr>
              <w:pStyle w:val="TableParagraph"/>
              <w:spacing w:before="26"/>
              <w:ind w:right="246"/>
              <w:jc w:val="right"/>
              <w:rPr>
                <w:sz w:val="13"/>
                <w:szCs w:val="13"/>
              </w:rPr>
            </w:pPr>
            <w:r>
              <w:rPr>
                <w:sz w:val="13"/>
                <w:szCs w:val="13"/>
              </w:rPr>
              <w:t>0.6ᴥ</w:t>
            </w:r>
          </w:p>
        </w:tc>
        <w:tc>
          <w:tcPr>
            <w:tcW w:w="775" w:type="dxa"/>
            <w:tcBorders>
              <w:left w:val="dotted" w:sz="4" w:space="0" w:color="30859C"/>
              <w:right w:val="dotted" w:sz="4" w:space="0" w:color="30859C"/>
            </w:tcBorders>
            <w:shd w:val="clear" w:color="auto" w:fill="B4EDEC"/>
          </w:tcPr>
          <w:p>
            <w:pPr>
              <w:pStyle w:val="TableParagraph"/>
              <w:spacing w:before="26"/>
              <w:ind w:left="20" w:right="20"/>
              <w:rPr>
                <w:sz w:val="13"/>
                <w:szCs w:val="13"/>
              </w:rPr>
            </w:pPr>
            <w:r>
              <w:rPr>
                <w:w w:val="105"/>
                <w:sz w:val="13"/>
                <w:szCs w:val="13"/>
              </w:rPr>
              <w:t>0.8ᴥ</w:t>
            </w:r>
          </w:p>
        </w:tc>
        <w:tc>
          <w:tcPr>
            <w:tcW w:w="775" w:type="dxa"/>
            <w:tcBorders>
              <w:left w:val="dotted" w:sz="4" w:space="0" w:color="30859C"/>
              <w:right w:val="dotted" w:sz="4" w:space="0" w:color="30859C"/>
            </w:tcBorders>
            <w:shd w:val="clear" w:color="auto" w:fill="B4EDEC"/>
          </w:tcPr>
          <w:p>
            <w:pPr>
              <w:pStyle w:val="TableParagraph"/>
              <w:spacing w:before="26"/>
              <w:ind w:left="23" w:right="20"/>
              <w:rPr>
                <w:sz w:val="13"/>
                <w:szCs w:val="13"/>
              </w:rPr>
            </w:pPr>
            <w:r>
              <w:rPr>
                <w:w w:val="105"/>
                <w:sz w:val="13"/>
                <w:szCs w:val="13"/>
              </w:rPr>
              <w:t>0.5ᴥ</w:t>
            </w:r>
          </w:p>
        </w:tc>
        <w:tc>
          <w:tcPr>
            <w:tcW w:w="775" w:type="dxa"/>
            <w:tcBorders>
              <w:left w:val="dotted" w:sz="4" w:space="0" w:color="30859C"/>
              <w:right w:val="dotted" w:sz="4" w:space="0" w:color="30859C"/>
            </w:tcBorders>
            <w:shd w:val="clear" w:color="auto" w:fill="B4EDEC"/>
          </w:tcPr>
          <w:p>
            <w:pPr>
              <w:pStyle w:val="TableParagraph"/>
              <w:spacing w:before="26"/>
              <w:ind w:left="24" w:right="20"/>
              <w:rPr>
                <w:sz w:val="13"/>
                <w:szCs w:val="13"/>
              </w:rPr>
            </w:pPr>
            <w:r>
              <w:rPr>
                <w:w w:val="105"/>
                <w:sz w:val="13"/>
                <w:szCs w:val="13"/>
              </w:rPr>
              <w:t>0.7ᴥ</w:t>
            </w:r>
          </w:p>
        </w:tc>
        <w:tc>
          <w:tcPr>
            <w:tcW w:w="770" w:type="dxa"/>
            <w:tcBorders>
              <w:left w:val="dotted" w:sz="4" w:space="0" w:color="30859C"/>
            </w:tcBorders>
            <w:shd w:val="clear" w:color="auto" w:fill="B4EDEC"/>
          </w:tcPr>
          <w:p>
            <w:pPr>
              <w:pStyle w:val="TableParagraph"/>
              <w:spacing w:before="26"/>
              <w:ind w:left="26" w:right="20"/>
              <w:rPr>
                <w:sz w:val="13"/>
                <w:szCs w:val="13"/>
              </w:rPr>
            </w:pPr>
            <w:r>
              <w:rPr>
                <w:w w:val="105"/>
                <w:sz w:val="13"/>
                <w:szCs w:val="13"/>
              </w:rPr>
              <w:t>0.5ᴥ</w:t>
            </w:r>
          </w:p>
        </w:tc>
      </w:tr>
      <w:tr>
        <w:trPr>
          <w:trHeight w:val="182" w:hRule="exact"/>
        </w:trPr>
        <w:tc>
          <w:tcPr>
            <w:tcW w:w="1075" w:type="dxa"/>
            <w:gridSpan w:val="2"/>
            <w:shd w:val="clear" w:color="auto" w:fill="77DFDD"/>
          </w:tcPr>
          <w:p>
            <w:pPr>
              <w:pStyle w:val="TableParagraph"/>
              <w:spacing w:before="20"/>
              <w:ind w:left="114" w:right="117"/>
              <w:rPr>
                <w:b/>
                <w:sz w:val="13"/>
              </w:rPr>
            </w:pPr>
            <w:r>
              <w:rPr>
                <w:b/>
                <w:w w:val="105"/>
                <w:sz w:val="13"/>
              </w:rPr>
              <w:t>IMC</w:t>
            </w:r>
          </w:p>
        </w:tc>
        <w:tc>
          <w:tcPr>
            <w:tcW w:w="863" w:type="dxa"/>
            <w:gridSpan w:val="2"/>
            <w:tcBorders>
              <w:right w:val="dotted" w:sz="4" w:space="0" w:color="30859C"/>
            </w:tcBorders>
            <w:shd w:val="clear" w:color="auto" w:fill="77DFDD"/>
          </w:tcPr>
          <w:p>
            <w:pPr>
              <w:pStyle w:val="TableParagraph"/>
              <w:spacing w:before="18"/>
              <w:ind w:left="174"/>
              <w:jc w:val="left"/>
              <w:rPr>
                <w:sz w:val="13"/>
              </w:rPr>
            </w:pPr>
            <w:r>
              <w:rPr>
                <w:w w:val="105"/>
                <w:sz w:val="13"/>
              </w:rPr>
              <w:t>17.9</w:t>
            </w:r>
            <w:r>
              <w:rPr>
                <w:rFonts w:ascii="Calibri" w:hAnsi="Calibri"/>
                <w:w w:val="105"/>
                <w:sz w:val="13"/>
              </w:rPr>
              <w:t>±</w:t>
            </w:r>
            <w:r>
              <w:rPr>
                <w:w w:val="105"/>
                <w:sz w:val="13"/>
              </w:rPr>
              <w:t>2.2</w:t>
            </w:r>
          </w:p>
        </w:tc>
        <w:tc>
          <w:tcPr>
            <w:tcW w:w="775" w:type="dxa"/>
            <w:tcBorders>
              <w:left w:val="dotted" w:sz="4" w:space="0" w:color="30859C"/>
              <w:right w:val="dotted" w:sz="4" w:space="0" w:color="30859C"/>
            </w:tcBorders>
            <w:shd w:val="clear" w:color="auto" w:fill="77DFDD"/>
          </w:tcPr>
          <w:p>
            <w:pPr>
              <w:pStyle w:val="TableParagraph"/>
              <w:spacing w:before="20"/>
              <w:ind w:left="5" w:right="20"/>
              <w:rPr>
                <w:sz w:val="13"/>
                <w:szCs w:val="13"/>
              </w:rPr>
            </w:pPr>
            <w:r>
              <w:rPr>
                <w:w w:val="105"/>
                <w:sz w:val="13"/>
                <w:szCs w:val="13"/>
              </w:rPr>
              <w:t>0.5ᴥ</w:t>
            </w:r>
          </w:p>
        </w:tc>
        <w:tc>
          <w:tcPr>
            <w:tcW w:w="848" w:type="dxa"/>
            <w:tcBorders>
              <w:left w:val="dotted" w:sz="4" w:space="0" w:color="30859C"/>
              <w:right w:val="dotted" w:sz="4" w:space="0" w:color="30859C"/>
            </w:tcBorders>
            <w:shd w:val="clear" w:color="auto" w:fill="77DFDD"/>
          </w:tcPr>
          <w:p>
            <w:pPr>
              <w:pStyle w:val="TableParagraph"/>
              <w:spacing w:before="20"/>
              <w:ind w:left="138" w:right="140"/>
              <w:rPr>
                <w:sz w:val="13"/>
                <w:szCs w:val="13"/>
              </w:rPr>
            </w:pPr>
            <w:r>
              <w:rPr>
                <w:w w:val="105"/>
                <w:sz w:val="13"/>
                <w:szCs w:val="13"/>
              </w:rPr>
              <w:t>0.2ᴥ</w:t>
            </w:r>
          </w:p>
        </w:tc>
        <w:tc>
          <w:tcPr>
            <w:tcW w:w="775" w:type="dxa"/>
            <w:tcBorders>
              <w:left w:val="dotted" w:sz="4" w:space="0" w:color="30859C"/>
              <w:right w:val="dotted" w:sz="4" w:space="0" w:color="30859C"/>
            </w:tcBorders>
            <w:shd w:val="clear" w:color="auto" w:fill="77DFDD"/>
          </w:tcPr>
          <w:p>
            <w:pPr>
              <w:pStyle w:val="TableParagraph"/>
              <w:spacing w:before="20"/>
              <w:ind w:left="27" w:right="20"/>
              <w:rPr>
                <w:sz w:val="13"/>
                <w:szCs w:val="13"/>
              </w:rPr>
            </w:pPr>
            <w:r>
              <w:rPr>
                <w:w w:val="105"/>
                <w:sz w:val="13"/>
                <w:szCs w:val="13"/>
              </w:rPr>
              <w:t>0.09ᴥ</w:t>
            </w:r>
          </w:p>
        </w:tc>
        <w:tc>
          <w:tcPr>
            <w:tcW w:w="775" w:type="dxa"/>
            <w:tcBorders>
              <w:left w:val="dotted" w:sz="4" w:space="0" w:color="30859C"/>
              <w:right w:val="dotted" w:sz="4" w:space="0" w:color="30859C"/>
            </w:tcBorders>
            <w:shd w:val="clear" w:color="auto" w:fill="77DFDD"/>
          </w:tcPr>
          <w:p>
            <w:pPr>
              <w:pStyle w:val="TableParagraph"/>
              <w:spacing w:before="20"/>
              <w:ind w:right="246"/>
              <w:jc w:val="right"/>
              <w:rPr>
                <w:sz w:val="13"/>
                <w:szCs w:val="13"/>
              </w:rPr>
            </w:pPr>
            <w:r>
              <w:rPr>
                <w:sz w:val="13"/>
                <w:szCs w:val="13"/>
              </w:rPr>
              <w:t>0.9ᴥ</w:t>
            </w:r>
          </w:p>
        </w:tc>
        <w:tc>
          <w:tcPr>
            <w:tcW w:w="775" w:type="dxa"/>
            <w:tcBorders>
              <w:left w:val="dotted" w:sz="4" w:space="0" w:color="30859C"/>
              <w:right w:val="dotted" w:sz="4" w:space="0" w:color="30859C"/>
            </w:tcBorders>
            <w:shd w:val="clear" w:color="auto" w:fill="77DFDD"/>
          </w:tcPr>
          <w:p>
            <w:pPr>
              <w:pStyle w:val="TableParagraph"/>
              <w:spacing w:before="20"/>
              <w:ind w:left="20" w:right="20"/>
              <w:rPr>
                <w:sz w:val="13"/>
                <w:szCs w:val="13"/>
              </w:rPr>
            </w:pPr>
            <w:r>
              <w:rPr>
                <w:w w:val="105"/>
                <w:sz w:val="13"/>
                <w:szCs w:val="13"/>
              </w:rPr>
              <w:t>0.8ᴥ</w:t>
            </w:r>
          </w:p>
        </w:tc>
        <w:tc>
          <w:tcPr>
            <w:tcW w:w="775" w:type="dxa"/>
            <w:tcBorders>
              <w:left w:val="dotted" w:sz="4" w:space="0" w:color="30859C"/>
              <w:right w:val="dotted" w:sz="4" w:space="0" w:color="30859C"/>
            </w:tcBorders>
            <w:shd w:val="clear" w:color="auto" w:fill="77DFDD"/>
          </w:tcPr>
          <w:p>
            <w:pPr>
              <w:pStyle w:val="TableParagraph"/>
              <w:spacing w:before="20"/>
              <w:ind w:left="23" w:right="20"/>
              <w:rPr>
                <w:sz w:val="13"/>
                <w:szCs w:val="13"/>
              </w:rPr>
            </w:pPr>
            <w:r>
              <w:rPr>
                <w:w w:val="105"/>
                <w:sz w:val="13"/>
                <w:szCs w:val="13"/>
              </w:rPr>
              <w:t>0.9ᴥ</w:t>
            </w:r>
          </w:p>
        </w:tc>
        <w:tc>
          <w:tcPr>
            <w:tcW w:w="775" w:type="dxa"/>
            <w:tcBorders>
              <w:left w:val="dotted" w:sz="4" w:space="0" w:color="30859C"/>
              <w:right w:val="dotted" w:sz="4" w:space="0" w:color="30859C"/>
            </w:tcBorders>
            <w:shd w:val="clear" w:color="auto" w:fill="77DFDD"/>
          </w:tcPr>
          <w:p>
            <w:pPr>
              <w:pStyle w:val="TableParagraph"/>
              <w:spacing w:before="20"/>
              <w:ind w:left="24" w:right="20"/>
              <w:rPr>
                <w:sz w:val="13"/>
                <w:szCs w:val="13"/>
              </w:rPr>
            </w:pPr>
            <w:r>
              <w:rPr>
                <w:w w:val="105"/>
                <w:sz w:val="13"/>
                <w:szCs w:val="13"/>
              </w:rPr>
              <w:t>0.5ᴥ</w:t>
            </w:r>
          </w:p>
        </w:tc>
        <w:tc>
          <w:tcPr>
            <w:tcW w:w="770" w:type="dxa"/>
            <w:tcBorders>
              <w:left w:val="dotted" w:sz="4" w:space="0" w:color="30859C"/>
            </w:tcBorders>
            <w:shd w:val="clear" w:color="auto" w:fill="77DFDD"/>
          </w:tcPr>
          <w:p>
            <w:pPr>
              <w:pStyle w:val="TableParagraph"/>
              <w:spacing w:before="20"/>
              <w:ind w:left="26" w:right="20"/>
              <w:rPr>
                <w:sz w:val="13"/>
                <w:szCs w:val="13"/>
              </w:rPr>
            </w:pPr>
            <w:r>
              <w:rPr>
                <w:w w:val="105"/>
                <w:sz w:val="13"/>
                <w:szCs w:val="13"/>
              </w:rPr>
              <w:t>0.1ᴥ</w:t>
            </w:r>
          </w:p>
        </w:tc>
      </w:tr>
      <w:tr>
        <w:trPr>
          <w:trHeight w:val="557" w:hRule="exact"/>
        </w:trPr>
        <w:tc>
          <w:tcPr>
            <w:tcW w:w="1075" w:type="dxa"/>
            <w:gridSpan w:val="2"/>
            <w:shd w:val="clear" w:color="auto" w:fill="B4EDEC"/>
          </w:tcPr>
          <w:p>
            <w:pPr>
              <w:pStyle w:val="TableParagraph"/>
              <w:spacing w:before="11"/>
              <w:jc w:val="left"/>
              <w:rPr>
                <w:b/>
                <w:sz w:val="17"/>
              </w:rPr>
            </w:pPr>
          </w:p>
          <w:p>
            <w:pPr>
              <w:pStyle w:val="TableParagraph"/>
              <w:spacing w:before="0"/>
              <w:ind w:left="304" w:right="246"/>
              <w:jc w:val="left"/>
              <w:rPr>
                <w:b/>
                <w:sz w:val="13"/>
              </w:rPr>
            </w:pPr>
            <w:r>
              <w:rPr>
                <w:b/>
                <w:w w:val="105"/>
                <w:sz w:val="13"/>
              </w:rPr>
              <w:t>Género</w:t>
            </w:r>
          </w:p>
        </w:tc>
        <w:tc>
          <w:tcPr>
            <w:tcW w:w="475" w:type="dxa"/>
            <w:shd w:val="clear" w:color="auto" w:fill="B4EDEC"/>
          </w:tcPr>
          <w:p>
            <w:pPr>
              <w:pStyle w:val="TableParagraph"/>
              <w:spacing w:before="0"/>
              <w:ind w:left="25"/>
              <w:jc w:val="left"/>
              <w:rPr>
                <w:sz w:val="14"/>
              </w:rPr>
            </w:pPr>
            <w:r>
              <w:rPr>
                <w:w w:val="103"/>
                <w:sz w:val="14"/>
              </w:rPr>
              <w:t>♀</w:t>
            </w:r>
          </w:p>
          <w:p>
            <w:pPr>
              <w:pStyle w:val="TableParagraph"/>
              <w:spacing w:before="7"/>
              <w:jc w:val="left"/>
              <w:rPr>
                <w:b/>
                <w:sz w:val="18"/>
              </w:rPr>
            </w:pPr>
          </w:p>
          <w:p>
            <w:pPr>
              <w:pStyle w:val="TableParagraph"/>
              <w:spacing w:before="0"/>
              <w:ind w:left="25"/>
              <w:jc w:val="left"/>
              <w:rPr>
                <w:sz w:val="14"/>
              </w:rPr>
            </w:pPr>
            <w:r>
              <w:rPr>
                <w:w w:val="103"/>
                <w:sz w:val="14"/>
              </w:rPr>
              <w:t>♂</w:t>
            </w:r>
          </w:p>
        </w:tc>
        <w:tc>
          <w:tcPr>
            <w:tcW w:w="388" w:type="dxa"/>
            <w:tcBorders>
              <w:right w:val="dotted" w:sz="4" w:space="0" w:color="30859C"/>
            </w:tcBorders>
            <w:shd w:val="clear" w:color="auto" w:fill="B4EDEC"/>
          </w:tcPr>
          <w:p>
            <w:pPr>
              <w:pStyle w:val="TableParagraph"/>
              <w:spacing w:before="0"/>
              <w:jc w:val="left"/>
              <w:rPr>
                <w:b/>
                <w:sz w:val="12"/>
              </w:rPr>
            </w:pPr>
          </w:p>
          <w:p>
            <w:pPr>
              <w:pStyle w:val="TableParagraph"/>
              <w:spacing w:before="73"/>
              <w:ind w:right="10"/>
              <w:jc w:val="right"/>
              <w:rPr>
                <w:b/>
                <w:sz w:val="13"/>
              </w:rPr>
            </w:pPr>
            <w:r>
              <w:rPr>
                <w:b/>
                <w:w w:val="103"/>
                <w:sz w:val="13"/>
              </w:rPr>
              <w:t>p</w:t>
            </w:r>
          </w:p>
        </w:tc>
        <w:tc>
          <w:tcPr>
            <w:tcW w:w="775" w:type="dxa"/>
            <w:tcBorders>
              <w:left w:val="dotted" w:sz="4" w:space="0" w:color="30859C"/>
              <w:right w:val="dotted" w:sz="4" w:space="0" w:color="30859C"/>
            </w:tcBorders>
            <w:shd w:val="clear" w:color="auto" w:fill="B4EDEC"/>
          </w:tcPr>
          <w:p>
            <w:pPr>
              <w:pStyle w:val="TableParagraph"/>
              <w:spacing w:before="22"/>
              <w:ind w:left="149"/>
              <w:jc w:val="left"/>
              <w:rPr>
                <w:sz w:val="13"/>
              </w:rPr>
            </w:pPr>
            <w:r>
              <w:rPr>
                <w:w w:val="105"/>
                <w:sz w:val="13"/>
              </w:rPr>
              <w:t>0.5</w:t>
            </w:r>
            <w:r>
              <w:rPr>
                <w:rFonts w:ascii="Calibri" w:hAnsi="Calibri"/>
                <w:w w:val="105"/>
                <w:sz w:val="13"/>
              </w:rPr>
              <w:t>±</w:t>
            </w:r>
            <w:r>
              <w:rPr>
                <w:w w:val="105"/>
                <w:sz w:val="13"/>
              </w:rPr>
              <w:t>0.8</w:t>
            </w:r>
          </w:p>
          <w:p>
            <w:pPr>
              <w:pStyle w:val="TableParagraph"/>
              <w:spacing w:before="29"/>
              <w:ind w:left="242"/>
              <w:jc w:val="left"/>
              <w:rPr>
                <w:sz w:val="13"/>
              </w:rPr>
            </w:pPr>
            <w:r>
              <w:rPr>
                <w:w w:val="105"/>
                <w:sz w:val="13"/>
              </w:rPr>
              <w:t>0.64</w:t>
            </w:r>
          </w:p>
          <w:p>
            <w:pPr>
              <w:pStyle w:val="TableParagraph"/>
              <w:spacing w:before="35"/>
              <w:ind w:left="149"/>
              <w:jc w:val="left"/>
              <w:rPr>
                <w:sz w:val="13"/>
              </w:rPr>
            </w:pPr>
            <w:r>
              <w:rPr>
                <w:w w:val="105"/>
                <w:sz w:val="13"/>
              </w:rPr>
              <w:t>0.4</w:t>
            </w:r>
            <w:r>
              <w:rPr>
                <w:rFonts w:ascii="Calibri" w:hAnsi="Calibri"/>
                <w:w w:val="105"/>
                <w:sz w:val="13"/>
              </w:rPr>
              <w:t>±</w:t>
            </w:r>
            <w:r>
              <w:rPr>
                <w:w w:val="105"/>
                <w:sz w:val="13"/>
              </w:rPr>
              <w:t>0.6</w:t>
            </w:r>
          </w:p>
        </w:tc>
        <w:tc>
          <w:tcPr>
            <w:tcW w:w="848" w:type="dxa"/>
            <w:tcBorders>
              <w:left w:val="dotted" w:sz="4" w:space="0" w:color="30859C"/>
              <w:right w:val="dotted" w:sz="4" w:space="0" w:color="30859C"/>
            </w:tcBorders>
            <w:shd w:val="clear" w:color="auto" w:fill="B4EDEC"/>
          </w:tcPr>
          <w:p>
            <w:pPr>
              <w:pStyle w:val="TableParagraph"/>
              <w:spacing w:before="22"/>
              <w:ind w:left="138" w:right="142"/>
              <w:rPr>
                <w:sz w:val="13"/>
              </w:rPr>
            </w:pPr>
            <w:r>
              <w:rPr>
                <w:w w:val="105"/>
                <w:sz w:val="13"/>
              </w:rPr>
              <w:t>2.0</w:t>
            </w:r>
            <w:r>
              <w:rPr>
                <w:rFonts w:ascii="Calibri" w:hAnsi="Calibri"/>
                <w:w w:val="105"/>
                <w:sz w:val="13"/>
              </w:rPr>
              <w:t>±</w:t>
            </w:r>
            <w:r>
              <w:rPr>
                <w:w w:val="105"/>
                <w:sz w:val="13"/>
              </w:rPr>
              <w:t>1.9</w:t>
            </w:r>
          </w:p>
          <w:p>
            <w:pPr>
              <w:pStyle w:val="TableParagraph"/>
              <w:spacing w:before="29"/>
              <w:ind w:left="138" w:right="142"/>
              <w:rPr>
                <w:sz w:val="13"/>
              </w:rPr>
            </w:pPr>
            <w:r>
              <w:rPr>
                <w:w w:val="105"/>
                <w:sz w:val="13"/>
              </w:rPr>
              <w:t>0.08</w:t>
            </w:r>
          </w:p>
          <w:p>
            <w:pPr>
              <w:pStyle w:val="TableParagraph"/>
              <w:spacing w:before="35"/>
              <w:ind w:left="138" w:right="142"/>
              <w:rPr>
                <w:sz w:val="13"/>
              </w:rPr>
            </w:pPr>
            <w:r>
              <w:rPr>
                <w:w w:val="105"/>
                <w:sz w:val="13"/>
              </w:rPr>
              <w:t>1.3</w:t>
            </w:r>
            <w:r>
              <w:rPr>
                <w:rFonts w:ascii="Calibri" w:hAnsi="Calibri"/>
                <w:w w:val="105"/>
                <w:sz w:val="13"/>
              </w:rPr>
              <w:t>±</w:t>
            </w:r>
            <w:r>
              <w:rPr>
                <w:w w:val="105"/>
                <w:sz w:val="13"/>
              </w:rPr>
              <w:t>1.5</w:t>
            </w:r>
          </w:p>
        </w:tc>
        <w:tc>
          <w:tcPr>
            <w:tcW w:w="775" w:type="dxa"/>
            <w:tcBorders>
              <w:left w:val="dotted" w:sz="4" w:space="0" w:color="30859C"/>
              <w:right w:val="dotted" w:sz="4" w:space="0" w:color="30859C"/>
            </w:tcBorders>
            <w:shd w:val="clear" w:color="auto" w:fill="B4EDEC"/>
          </w:tcPr>
          <w:p>
            <w:pPr>
              <w:pStyle w:val="TableParagraph"/>
              <w:spacing w:before="22"/>
              <w:ind w:left="26" w:right="20"/>
              <w:rPr>
                <w:sz w:val="13"/>
              </w:rPr>
            </w:pPr>
            <w:r>
              <w:rPr>
                <w:w w:val="105"/>
                <w:sz w:val="13"/>
              </w:rPr>
              <w:t>16.2</w:t>
            </w:r>
            <w:r>
              <w:rPr>
                <w:rFonts w:ascii="Calibri" w:hAnsi="Calibri"/>
                <w:w w:val="105"/>
                <w:sz w:val="13"/>
              </w:rPr>
              <w:t>±</w:t>
            </w:r>
            <w:r>
              <w:rPr>
                <w:w w:val="105"/>
                <w:sz w:val="13"/>
              </w:rPr>
              <w:t>9.8</w:t>
            </w:r>
          </w:p>
          <w:p>
            <w:pPr>
              <w:pStyle w:val="TableParagraph"/>
              <w:spacing w:before="29"/>
              <w:ind w:left="18" w:right="20"/>
              <w:rPr>
                <w:sz w:val="13"/>
              </w:rPr>
            </w:pPr>
            <w:r>
              <w:rPr>
                <w:w w:val="105"/>
                <w:sz w:val="13"/>
              </w:rPr>
              <w:t>0.60</w:t>
            </w:r>
          </w:p>
          <w:p>
            <w:pPr>
              <w:pStyle w:val="TableParagraph"/>
              <w:spacing w:before="35"/>
              <w:ind w:left="26" w:right="20"/>
              <w:rPr>
                <w:sz w:val="13"/>
              </w:rPr>
            </w:pPr>
            <w:r>
              <w:rPr>
                <w:w w:val="105"/>
                <w:sz w:val="13"/>
              </w:rPr>
              <w:t>17.1</w:t>
            </w:r>
            <w:r>
              <w:rPr>
                <w:rFonts w:ascii="Calibri" w:hAnsi="Calibri"/>
                <w:w w:val="105"/>
                <w:sz w:val="13"/>
              </w:rPr>
              <w:t>±</w:t>
            </w:r>
            <w:r>
              <w:rPr>
                <w:w w:val="105"/>
                <w:sz w:val="13"/>
              </w:rPr>
              <w:t>8.9</w:t>
            </w:r>
          </w:p>
        </w:tc>
        <w:tc>
          <w:tcPr>
            <w:tcW w:w="775" w:type="dxa"/>
            <w:tcBorders>
              <w:left w:val="dotted" w:sz="4" w:space="0" w:color="30859C"/>
              <w:right w:val="dotted" w:sz="4" w:space="0" w:color="30859C"/>
            </w:tcBorders>
            <w:shd w:val="clear" w:color="auto" w:fill="B4EDEC"/>
          </w:tcPr>
          <w:p>
            <w:pPr>
              <w:pStyle w:val="TableParagraph"/>
              <w:spacing w:before="22"/>
              <w:ind w:left="158"/>
              <w:jc w:val="left"/>
              <w:rPr>
                <w:sz w:val="13"/>
              </w:rPr>
            </w:pPr>
            <w:r>
              <w:rPr>
                <w:w w:val="105"/>
                <w:sz w:val="13"/>
              </w:rPr>
              <w:t>9.8</w:t>
            </w:r>
            <w:r>
              <w:rPr>
                <w:rFonts w:ascii="Calibri" w:hAnsi="Calibri"/>
                <w:w w:val="105"/>
                <w:sz w:val="13"/>
              </w:rPr>
              <w:t>±</w:t>
            </w:r>
            <w:r>
              <w:rPr>
                <w:w w:val="105"/>
                <w:sz w:val="13"/>
              </w:rPr>
              <w:t>7.1</w:t>
            </w:r>
          </w:p>
          <w:p>
            <w:pPr>
              <w:pStyle w:val="TableParagraph"/>
              <w:spacing w:before="29"/>
              <w:ind w:left="251"/>
              <w:jc w:val="left"/>
              <w:rPr>
                <w:sz w:val="13"/>
              </w:rPr>
            </w:pPr>
            <w:r>
              <w:rPr>
                <w:w w:val="105"/>
                <w:sz w:val="13"/>
              </w:rPr>
              <w:t>0.48</w:t>
            </w:r>
          </w:p>
          <w:p>
            <w:pPr>
              <w:pStyle w:val="TableParagraph"/>
              <w:spacing w:before="35"/>
              <w:ind w:left="158"/>
              <w:jc w:val="left"/>
              <w:rPr>
                <w:sz w:val="13"/>
              </w:rPr>
            </w:pPr>
            <w:r>
              <w:rPr>
                <w:w w:val="105"/>
                <w:sz w:val="13"/>
              </w:rPr>
              <w:t>8.3</w:t>
            </w:r>
            <w:r>
              <w:rPr>
                <w:rFonts w:ascii="Calibri" w:hAnsi="Calibri"/>
                <w:w w:val="105"/>
                <w:sz w:val="13"/>
              </w:rPr>
              <w:t>±</w:t>
            </w:r>
            <w:r>
              <w:rPr>
                <w:w w:val="105"/>
                <w:sz w:val="13"/>
              </w:rPr>
              <w:t>4.5</w:t>
            </w:r>
          </w:p>
        </w:tc>
        <w:tc>
          <w:tcPr>
            <w:tcW w:w="775" w:type="dxa"/>
            <w:tcBorders>
              <w:left w:val="dotted" w:sz="4" w:space="0" w:color="30859C"/>
              <w:right w:val="dotted" w:sz="4" w:space="0" w:color="30859C"/>
            </w:tcBorders>
            <w:shd w:val="clear" w:color="auto" w:fill="B4EDEC"/>
          </w:tcPr>
          <w:p>
            <w:pPr>
              <w:pStyle w:val="TableParagraph"/>
              <w:spacing w:before="22"/>
              <w:ind w:left="158"/>
              <w:jc w:val="left"/>
              <w:rPr>
                <w:sz w:val="13"/>
              </w:rPr>
            </w:pPr>
            <w:r>
              <w:rPr>
                <w:w w:val="105"/>
                <w:sz w:val="13"/>
              </w:rPr>
              <w:t>4.5</w:t>
            </w:r>
            <w:r>
              <w:rPr>
                <w:rFonts w:ascii="Calibri" w:hAnsi="Calibri"/>
                <w:w w:val="105"/>
                <w:sz w:val="13"/>
              </w:rPr>
              <w:t>±</w:t>
            </w:r>
            <w:r>
              <w:rPr>
                <w:w w:val="105"/>
                <w:sz w:val="13"/>
              </w:rPr>
              <w:t>5.3</w:t>
            </w:r>
          </w:p>
          <w:p>
            <w:pPr>
              <w:pStyle w:val="TableParagraph"/>
              <w:spacing w:before="29"/>
              <w:ind w:left="252"/>
              <w:jc w:val="left"/>
              <w:rPr>
                <w:sz w:val="13"/>
              </w:rPr>
            </w:pPr>
            <w:r>
              <w:rPr>
                <w:w w:val="105"/>
                <w:sz w:val="13"/>
              </w:rPr>
              <w:t>0.52</w:t>
            </w:r>
          </w:p>
          <w:p>
            <w:pPr>
              <w:pStyle w:val="TableParagraph"/>
              <w:spacing w:before="35"/>
              <w:ind w:left="158"/>
              <w:jc w:val="left"/>
              <w:rPr>
                <w:sz w:val="13"/>
              </w:rPr>
            </w:pPr>
            <w:r>
              <w:rPr>
                <w:w w:val="105"/>
                <w:sz w:val="13"/>
              </w:rPr>
              <w:t>6.1</w:t>
            </w:r>
            <w:r>
              <w:rPr>
                <w:rFonts w:ascii="Calibri" w:hAnsi="Calibri"/>
                <w:w w:val="105"/>
                <w:sz w:val="13"/>
              </w:rPr>
              <w:t>±</w:t>
            </w:r>
            <w:r>
              <w:rPr>
                <w:w w:val="105"/>
                <w:sz w:val="13"/>
              </w:rPr>
              <w:t>7.3</w:t>
            </w:r>
          </w:p>
        </w:tc>
        <w:tc>
          <w:tcPr>
            <w:tcW w:w="775" w:type="dxa"/>
            <w:tcBorders>
              <w:left w:val="dotted" w:sz="4" w:space="0" w:color="30859C"/>
              <w:right w:val="dotted" w:sz="4" w:space="0" w:color="30859C"/>
            </w:tcBorders>
            <w:shd w:val="clear" w:color="auto" w:fill="B4EDEC"/>
          </w:tcPr>
          <w:p>
            <w:pPr>
              <w:pStyle w:val="TableParagraph"/>
              <w:spacing w:before="22"/>
              <w:ind w:left="159"/>
              <w:jc w:val="left"/>
              <w:rPr>
                <w:sz w:val="13"/>
              </w:rPr>
            </w:pPr>
            <w:r>
              <w:rPr>
                <w:w w:val="105"/>
                <w:sz w:val="13"/>
              </w:rPr>
              <w:t>2.1</w:t>
            </w:r>
            <w:r>
              <w:rPr>
                <w:rFonts w:ascii="Calibri" w:hAnsi="Calibri"/>
                <w:w w:val="105"/>
                <w:sz w:val="13"/>
              </w:rPr>
              <w:t>±</w:t>
            </w:r>
            <w:r>
              <w:rPr>
                <w:w w:val="105"/>
                <w:sz w:val="13"/>
              </w:rPr>
              <w:t>2.6</w:t>
            </w:r>
          </w:p>
          <w:p>
            <w:pPr>
              <w:pStyle w:val="TableParagraph"/>
              <w:spacing w:before="29"/>
              <w:ind w:left="252"/>
              <w:jc w:val="left"/>
              <w:rPr>
                <w:sz w:val="13"/>
              </w:rPr>
            </w:pPr>
            <w:r>
              <w:rPr>
                <w:w w:val="105"/>
                <w:sz w:val="13"/>
              </w:rPr>
              <w:t>0.76</w:t>
            </w:r>
          </w:p>
          <w:p>
            <w:pPr>
              <w:pStyle w:val="TableParagraph"/>
              <w:spacing w:before="35"/>
              <w:ind w:left="159"/>
              <w:jc w:val="left"/>
              <w:rPr>
                <w:sz w:val="13"/>
              </w:rPr>
            </w:pPr>
            <w:r>
              <w:rPr>
                <w:w w:val="105"/>
                <w:sz w:val="13"/>
              </w:rPr>
              <w:t>2.3</w:t>
            </w:r>
            <w:r>
              <w:rPr>
                <w:rFonts w:ascii="Calibri" w:hAnsi="Calibri"/>
                <w:w w:val="105"/>
                <w:sz w:val="13"/>
              </w:rPr>
              <w:t>±</w:t>
            </w:r>
            <w:r>
              <w:rPr>
                <w:w w:val="105"/>
                <w:sz w:val="13"/>
              </w:rPr>
              <w:t>2.7</w:t>
            </w:r>
          </w:p>
        </w:tc>
        <w:tc>
          <w:tcPr>
            <w:tcW w:w="775" w:type="dxa"/>
            <w:tcBorders>
              <w:left w:val="dotted" w:sz="4" w:space="0" w:color="30859C"/>
              <w:right w:val="dotted" w:sz="4" w:space="0" w:color="30859C"/>
            </w:tcBorders>
            <w:shd w:val="clear" w:color="auto" w:fill="B4EDEC"/>
          </w:tcPr>
          <w:p>
            <w:pPr>
              <w:pStyle w:val="TableParagraph"/>
              <w:spacing w:before="22"/>
              <w:ind w:left="24" w:right="20"/>
              <w:rPr>
                <w:sz w:val="13"/>
              </w:rPr>
            </w:pPr>
            <w:r>
              <w:rPr>
                <w:w w:val="105"/>
                <w:sz w:val="13"/>
              </w:rPr>
              <w:t>11.6</w:t>
            </w:r>
            <w:r>
              <w:rPr>
                <w:rFonts w:ascii="Calibri" w:hAnsi="Calibri"/>
                <w:w w:val="105"/>
                <w:sz w:val="13"/>
              </w:rPr>
              <w:t>±</w:t>
            </w:r>
            <w:r>
              <w:rPr>
                <w:w w:val="105"/>
                <w:sz w:val="13"/>
              </w:rPr>
              <w:t>11.2</w:t>
            </w:r>
          </w:p>
          <w:p>
            <w:pPr>
              <w:pStyle w:val="TableParagraph"/>
              <w:spacing w:before="29"/>
              <w:ind w:left="24" w:right="20"/>
              <w:rPr>
                <w:sz w:val="13"/>
              </w:rPr>
            </w:pPr>
            <w:r>
              <w:rPr>
                <w:w w:val="105"/>
                <w:sz w:val="13"/>
              </w:rPr>
              <w:t>0.63</w:t>
            </w:r>
          </w:p>
          <w:p>
            <w:pPr>
              <w:pStyle w:val="TableParagraph"/>
              <w:spacing w:before="35"/>
              <w:ind w:left="24" w:right="20"/>
              <w:rPr>
                <w:sz w:val="13"/>
              </w:rPr>
            </w:pPr>
            <w:r>
              <w:rPr>
                <w:w w:val="105"/>
                <w:sz w:val="13"/>
              </w:rPr>
              <w:t>13.6</w:t>
            </w:r>
            <w:r>
              <w:rPr>
                <w:rFonts w:ascii="Calibri" w:hAnsi="Calibri"/>
                <w:w w:val="105"/>
                <w:sz w:val="13"/>
              </w:rPr>
              <w:t>±</w:t>
            </w:r>
            <w:r>
              <w:rPr>
                <w:w w:val="105"/>
                <w:sz w:val="13"/>
              </w:rPr>
              <w:t>12.8</w:t>
            </w:r>
          </w:p>
        </w:tc>
        <w:tc>
          <w:tcPr>
            <w:tcW w:w="770" w:type="dxa"/>
            <w:tcBorders>
              <w:left w:val="dotted" w:sz="4" w:space="0" w:color="30859C"/>
            </w:tcBorders>
            <w:shd w:val="clear" w:color="auto" w:fill="B4EDEC"/>
          </w:tcPr>
          <w:p>
            <w:pPr>
              <w:pStyle w:val="TableParagraph"/>
              <w:spacing w:before="22"/>
              <w:ind w:left="25" w:right="20"/>
              <w:rPr>
                <w:sz w:val="13"/>
              </w:rPr>
            </w:pPr>
            <w:r>
              <w:rPr>
                <w:w w:val="105"/>
                <w:sz w:val="13"/>
              </w:rPr>
              <w:t>46.6</w:t>
            </w:r>
            <w:r>
              <w:rPr>
                <w:rFonts w:ascii="Calibri" w:hAnsi="Calibri"/>
                <w:w w:val="105"/>
                <w:sz w:val="13"/>
              </w:rPr>
              <w:t>±</w:t>
            </w:r>
            <w:r>
              <w:rPr>
                <w:w w:val="105"/>
                <w:sz w:val="13"/>
              </w:rPr>
              <w:t>20.2</w:t>
            </w:r>
          </w:p>
          <w:p>
            <w:pPr>
              <w:pStyle w:val="TableParagraph"/>
              <w:spacing w:before="29"/>
              <w:ind w:left="25" w:right="20"/>
              <w:rPr>
                <w:sz w:val="13"/>
              </w:rPr>
            </w:pPr>
            <w:r>
              <w:rPr>
                <w:w w:val="105"/>
                <w:sz w:val="13"/>
              </w:rPr>
              <w:t>0.81</w:t>
            </w:r>
          </w:p>
          <w:p>
            <w:pPr>
              <w:pStyle w:val="TableParagraph"/>
              <w:spacing w:before="35"/>
              <w:ind w:left="25" w:right="20"/>
              <w:rPr>
                <w:sz w:val="13"/>
              </w:rPr>
            </w:pPr>
            <w:r>
              <w:rPr>
                <w:w w:val="105"/>
                <w:sz w:val="13"/>
              </w:rPr>
              <w:t>48.8</w:t>
            </w:r>
            <w:r>
              <w:rPr>
                <w:rFonts w:ascii="Calibri" w:hAnsi="Calibri"/>
                <w:w w:val="105"/>
                <w:sz w:val="13"/>
              </w:rPr>
              <w:t>±</w:t>
            </w:r>
            <w:r>
              <w:rPr>
                <w:w w:val="105"/>
                <w:sz w:val="13"/>
              </w:rPr>
              <w:t>22.3</w:t>
            </w:r>
          </w:p>
        </w:tc>
      </w:tr>
      <w:tr>
        <w:trPr>
          <w:trHeight w:val="567" w:hRule="exact"/>
        </w:trPr>
        <w:tc>
          <w:tcPr>
            <w:tcW w:w="1075" w:type="dxa"/>
            <w:gridSpan w:val="2"/>
            <w:shd w:val="clear" w:color="auto" w:fill="77DFDD"/>
          </w:tcPr>
          <w:p>
            <w:pPr>
              <w:pStyle w:val="TableParagraph"/>
              <w:spacing w:line="300" w:lineRule="auto" w:before="27"/>
              <w:ind w:left="315" w:right="310"/>
              <w:jc w:val="both"/>
              <w:rPr>
                <w:b/>
                <w:sz w:val="13"/>
              </w:rPr>
            </w:pPr>
            <w:r>
              <w:rPr>
                <w:b/>
                <w:spacing w:val="-2"/>
                <w:w w:val="105"/>
                <w:sz w:val="13"/>
              </w:rPr>
              <w:t>Uso </w:t>
            </w:r>
            <w:r>
              <w:rPr>
                <w:b/>
                <w:w w:val="105"/>
                <w:sz w:val="13"/>
              </w:rPr>
              <w:t>de cepillo dental</w:t>
            </w:r>
          </w:p>
        </w:tc>
        <w:tc>
          <w:tcPr>
            <w:tcW w:w="475" w:type="dxa"/>
            <w:shd w:val="clear" w:color="auto" w:fill="77DFDD"/>
          </w:tcPr>
          <w:p>
            <w:pPr>
              <w:pStyle w:val="TableParagraph"/>
              <w:spacing w:before="27"/>
              <w:ind w:left="18"/>
              <w:jc w:val="left"/>
              <w:rPr>
                <w:sz w:val="13"/>
              </w:rPr>
            </w:pPr>
            <w:r>
              <w:rPr>
                <w:w w:val="105"/>
                <w:sz w:val="13"/>
              </w:rPr>
              <w:t>Si</w:t>
            </w:r>
          </w:p>
          <w:p>
            <w:pPr>
              <w:pStyle w:val="TableParagraph"/>
              <w:spacing w:before="0"/>
              <w:jc w:val="left"/>
              <w:rPr>
                <w:b/>
                <w:sz w:val="12"/>
              </w:rPr>
            </w:pPr>
          </w:p>
          <w:p>
            <w:pPr>
              <w:pStyle w:val="TableParagraph"/>
              <w:spacing w:before="85"/>
              <w:ind w:left="18"/>
              <w:jc w:val="left"/>
              <w:rPr>
                <w:sz w:val="13"/>
              </w:rPr>
            </w:pPr>
            <w:r>
              <w:rPr>
                <w:w w:val="105"/>
                <w:sz w:val="13"/>
              </w:rPr>
              <w:t>No</w:t>
            </w:r>
          </w:p>
        </w:tc>
        <w:tc>
          <w:tcPr>
            <w:tcW w:w="388" w:type="dxa"/>
            <w:tcBorders>
              <w:right w:val="dotted" w:sz="4" w:space="0" w:color="30859C"/>
            </w:tcBorders>
            <w:shd w:val="clear" w:color="auto" w:fill="77DFDD"/>
          </w:tcPr>
          <w:p>
            <w:pPr>
              <w:pStyle w:val="TableParagraph"/>
              <w:spacing w:before="0"/>
              <w:jc w:val="left"/>
              <w:rPr>
                <w:b/>
                <w:sz w:val="12"/>
              </w:rPr>
            </w:pPr>
          </w:p>
          <w:p>
            <w:pPr>
              <w:pStyle w:val="TableParagraph"/>
              <w:spacing w:before="75"/>
              <w:ind w:right="10"/>
              <w:jc w:val="right"/>
              <w:rPr>
                <w:b/>
                <w:sz w:val="13"/>
              </w:rPr>
            </w:pPr>
            <w:r>
              <w:rPr>
                <w:b/>
                <w:w w:val="103"/>
                <w:sz w:val="13"/>
              </w:rPr>
              <w:t>p</w:t>
            </w:r>
          </w:p>
        </w:tc>
        <w:tc>
          <w:tcPr>
            <w:tcW w:w="775" w:type="dxa"/>
            <w:tcBorders>
              <w:left w:val="dotted" w:sz="4" w:space="0" w:color="30859C"/>
              <w:right w:val="dotted" w:sz="4" w:space="0" w:color="30859C"/>
            </w:tcBorders>
            <w:shd w:val="clear" w:color="auto" w:fill="77DFDD"/>
          </w:tcPr>
          <w:p>
            <w:pPr>
              <w:pStyle w:val="TableParagraph"/>
              <w:spacing w:before="25"/>
              <w:ind w:left="149"/>
              <w:jc w:val="left"/>
              <w:rPr>
                <w:sz w:val="13"/>
              </w:rPr>
            </w:pPr>
            <w:r>
              <w:rPr>
                <w:w w:val="105"/>
                <w:sz w:val="13"/>
              </w:rPr>
              <w:t>0.5</w:t>
            </w:r>
            <w:r>
              <w:rPr>
                <w:rFonts w:ascii="Calibri" w:hAnsi="Calibri"/>
                <w:w w:val="105"/>
                <w:sz w:val="13"/>
              </w:rPr>
              <w:t>±</w:t>
            </w:r>
            <w:r>
              <w:rPr>
                <w:w w:val="105"/>
                <w:sz w:val="13"/>
              </w:rPr>
              <w:t>0.7</w:t>
            </w:r>
          </w:p>
          <w:p>
            <w:pPr>
              <w:pStyle w:val="TableParagraph"/>
              <w:spacing w:before="30"/>
              <w:ind w:left="242"/>
              <w:jc w:val="left"/>
              <w:rPr>
                <w:sz w:val="13"/>
              </w:rPr>
            </w:pPr>
            <w:r>
              <w:rPr>
                <w:w w:val="105"/>
                <w:sz w:val="13"/>
              </w:rPr>
              <w:t>0.19</w:t>
            </w:r>
          </w:p>
          <w:p>
            <w:pPr>
              <w:pStyle w:val="TableParagraph"/>
              <w:spacing w:before="35"/>
              <w:ind w:left="149"/>
              <w:jc w:val="left"/>
              <w:rPr>
                <w:sz w:val="13"/>
              </w:rPr>
            </w:pPr>
            <w:r>
              <w:rPr>
                <w:w w:val="105"/>
                <w:sz w:val="13"/>
              </w:rPr>
              <w:t>0.0</w:t>
            </w:r>
            <w:r>
              <w:rPr>
                <w:rFonts w:ascii="Calibri" w:hAnsi="Calibri"/>
                <w:w w:val="105"/>
                <w:sz w:val="13"/>
              </w:rPr>
              <w:t>±</w:t>
            </w:r>
            <w:r>
              <w:rPr>
                <w:w w:val="105"/>
                <w:sz w:val="13"/>
              </w:rPr>
              <w:t>0.0</w:t>
            </w:r>
          </w:p>
        </w:tc>
        <w:tc>
          <w:tcPr>
            <w:tcW w:w="848" w:type="dxa"/>
            <w:tcBorders>
              <w:left w:val="dotted" w:sz="4" w:space="0" w:color="30859C"/>
              <w:right w:val="dotted" w:sz="4" w:space="0" w:color="30859C"/>
            </w:tcBorders>
            <w:shd w:val="clear" w:color="auto" w:fill="77DFDD"/>
          </w:tcPr>
          <w:p>
            <w:pPr>
              <w:pStyle w:val="TableParagraph"/>
              <w:spacing w:before="25"/>
              <w:ind w:left="191"/>
              <w:jc w:val="left"/>
              <w:rPr>
                <w:sz w:val="13"/>
              </w:rPr>
            </w:pPr>
            <w:r>
              <w:rPr>
                <w:w w:val="105"/>
                <w:sz w:val="13"/>
              </w:rPr>
              <w:t>1.6</w:t>
            </w:r>
            <w:r>
              <w:rPr>
                <w:rFonts w:ascii="Calibri" w:hAnsi="Calibri"/>
                <w:w w:val="105"/>
                <w:sz w:val="13"/>
              </w:rPr>
              <w:t>±</w:t>
            </w:r>
            <w:r>
              <w:rPr>
                <w:w w:val="105"/>
                <w:sz w:val="13"/>
              </w:rPr>
              <w:t>1.7</w:t>
            </w:r>
          </w:p>
          <w:p>
            <w:pPr>
              <w:pStyle w:val="TableParagraph"/>
              <w:spacing w:before="30"/>
              <w:ind w:left="264"/>
              <w:jc w:val="left"/>
              <w:rPr>
                <w:b/>
                <w:sz w:val="13"/>
              </w:rPr>
            </w:pPr>
            <w:r>
              <w:rPr>
                <w:b/>
                <w:w w:val="105"/>
                <w:sz w:val="13"/>
              </w:rPr>
              <w:t>0.04*</w:t>
            </w:r>
          </w:p>
          <w:p>
            <w:pPr>
              <w:pStyle w:val="TableParagraph"/>
              <w:spacing w:before="35"/>
              <w:ind w:left="191"/>
              <w:jc w:val="left"/>
              <w:rPr>
                <w:sz w:val="13"/>
              </w:rPr>
            </w:pPr>
            <w:r>
              <w:rPr>
                <w:w w:val="105"/>
                <w:sz w:val="13"/>
              </w:rPr>
              <w:t>4.0</w:t>
            </w:r>
            <w:r>
              <w:rPr>
                <w:rFonts w:ascii="Calibri" w:hAnsi="Calibri"/>
                <w:w w:val="105"/>
                <w:sz w:val="13"/>
              </w:rPr>
              <w:t>±</w:t>
            </w:r>
            <w:r>
              <w:rPr>
                <w:w w:val="105"/>
                <w:sz w:val="13"/>
              </w:rPr>
              <w:t>2.0</w:t>
            </w:r>
          </w:p>
        </w:tc>
        <w:tc>
          <w:tcPr>
            <w:tcW w:w="775" w:type="dxa"/>
            <w:tcBorders>
              <w:left w:val="dotted" w:sz="4" w:space="0" w:color="30859C"/>
              <w:right w:val="dotted" w:sz="4" w:space="0" w:color="30859C"/>
            </w:tcBorders>
            <w:shd w:val="clear" w:color="auto" w:fill="77DFDD"/>
          </w:tcPr>
          <w:p>
            <w:pPr>
              <w:pStyle w:val="TableParagraph"/>
              <w:spacing w:before="25"/>
              <w:ind w:left="26" w:right="20"/>
              <w:rPr>
                <w:sz w:val="13"/>
              </w:rPr>
            </w:pPr>
            <w:r>
              <w:rPr>
                <w:w w:val="105"/>
                <w:sz w:val="13"/>
              </w:rPr>
              <w:t>16.5</w:t>
            </w:r>
            <w:r>
              <w:rPr>
                <w:rFonts w:ascii="Calibri" w:hAnsi="Calibri"/>
                <w:w w:val="105"/>
                <w:sz w:val="13"/>
              </w:rPr>
              <w:t>±</w:t>
            </w:r>
            <w:r>
              <w:rPr>
                <w:w w:val="105"/>
                <w:sz w:val="13"/>
              </w:rPr>
              <w:t>9.6</w:t>
            </w:r>
          </w:p>
          <w:p>
            <w:pPr>
              <w:pStyle w:val="TableParagraph"/>
              <w:spacing w:before="30"/>
              <w:ind w:left="18" w:right="20"/>
              <w:rPr>
                <w:sz w:val="13"/>
              </w:rPr>
            </w:pPr>
            <w:r>
              <w:rPr>
                <w:w w:val="105"/>
                <w:sz w:val="13"/>
              </w:rPr>
              <w:t>0.82</w:t>
            </w:r>
          </w:p>
          <w:p>
            <w:pPr>
              <w:pStyle w:val="TableParagraph"/>
              <w:spacing w:before="35"/>
              <w:ind w:left="26" w:right="20"/>
              <w:rPr>
                <w:sz w:val="13"/>
              </w:rPr>
            </w:pPr>
            <w:r>
              <w:rPr>
                <w:w w:val="105"/>
                <w:sz w:val="13"/>
              </w:rPr>
              <w:t>17.6</w:t>
            </w:r>
            <w:r>
              <w:rPr>
                <w:rFonts w:ascii="Calibri" w:hAnsi="Calibri"/>
                <w:w w:val="105"/>
                <w:sz w:val="13"/>
              </w:rPr>
              <w:t>±</w:t>
            </w:r>
            <w:r>
              <w:rPr>
                <w:w w:val="105"/>
                <w:sz w:val="13"/>
              </w:rPr>
              <w:t>2.0</w:t>
            </w:r>
          </w:p>
        </w:tc>
        <w:tc>
          <w:tcPr>
            <w:tcW w:w="775" w:type="dxa"/>
            <w:tcBorders>
              <w:left w:val="dotted" w:sz="4" w:space="0" w:color="30859C"/>
              <w:right w:val="dotted" w:sz="4" w:space="0" w:color="30859C"/>
            </w:tcBorders>
            <w:shd w:val="clear" w:color="auto" w:fill="77DFDD"/>
          </w:tcPr>
          <w:p>
            <w:pPr>
              <w:pStyle w:val="TableParagraph"/>
              <w:spacing w:before="25"/>
              <w:ind w:left="158"/>
              <w:jc w:val="left"/>
              <w:rPr>
                <w:sz w:val="13"/>
              </w:rPr>
            </w:pPr>
            <w:r>
              <w:rPr>
                <w:w w:val="105"/>
                <w:sz w:val="13"/>
              </w:rPr>
              <w:t>9.1</w:t>
            </w:r>
            <w:r>
              <w:rPr>
                <w:rFonts w:ascii="Calibri" w:hAnsi="Calibri"/>
                <w:w w:val="105"/>
                <w:sz w:val="13"/>
              </w:rPr>
              <w:t>±</w:t>
            </w:r>
            <w:r>
              <w:rPr>
                <w:w w:val="105"/>
                <w:sz w:val="13"/>
              </w:rPr>
              <w:t>6.3</w:t>
            </w:r>
          </w:p>
          <w:p>
            <w:pPr>
              <w:pStyle w:val="TableParagraph"/>
              <w:spacing w:before="30"/>
              <w:ind w:left="20" w:right="20"/>
              <w:rPr>
                <w:sz w:val="13"/>
              </w:rPr>
            </w:pPr>
            <w:r>
              <w:rPr>
                <w:w w:val="105"/>
                <w:sz w:val="13"/>
              </w:rPr>
              <w:t>0.24</w:t>
            </w:r>
          </w:p>
          <w:p>
            <w:pPr>
              <w:pStyle w:val="TableParagraph"/>
              <w:spacing w:before="35"/>
              <w:ind w:left="27" w:right="20"/>
              <w:rPr>
                <w:sz w:val="13"/>
              </w:rPr>
            </w:pPr>
            <w:r>
              <w:rPr>
                <w:w w:val="105"/>
                <w:sz w:val="13"/>
              </w:rPr>
              <w:t>11.3</w:t>
            </w:r>
            <w:r>
              <w:rPr>
                <w:rFonts w:ascii="Calibri" w:hAnsi="Calibri"/>
                <w:w w:val="105"/>
                <w:sz w:val="13"/>
              </w:rPr>
              <w:t>±</w:t>
            </w:r>
            <w:r>
              <w:rPr>
                <w:w w:val="105"/>
                <w:sz w:val="13"/>
              </w:rPr>
              <w:t>2.5</w:t>
            </w:r>
          </w:p>
        </w:tc>
        <w:tc>
          <w:tcPr>
            <w:tcW w:w="775" w:type="dxa"/>
            <w:tcBorders>
              <w:left w:val="dotted" w:sz="4" w:space="0" w:color="30859C"/>
              <w:right w:val="dotted" w:sz="4" w:space="0" w:color="30859C"/>
            </w:tcBorders>
            <w:shd w:val="clear" w:color="auto" w:fill="77DFDD"/>
          </w:tcPr>
          <w:p>
            <w:pPr>
              <w:pStyle w:val="TableParagraph"/>
              <w:spacing w:before="25"/>
              <w:ind w:left="158"/>
              <w:jc w:val="left"/>
              <w:rPr>
                <w:sz w:val="13"/>
              </w:rPr>
            </w:pPr>
            <w:r>
              <w:rPr>
                <w:w w:val="105"/>
                <w:sz w:val="13"/>
              </w:rPr>
              <w:t>5.3</w:t>
            </w:r>
            <w:r>
              <w:rPr>
                <w:rFonts w:ascii="Calibri" w:hAnsi="Calibri"/>
                <w:w w:val="105"/>
                <w:sz w:val="13"/>
              </w:rPr>
              <w:t>±</w:t>
            </w:r>
            <w:r>
              <w:rPr>
                <w:w w:val="105"/>
                <w:sz w:val="13"/>
              </w:rPr>
              <w:t>6.3</w:t>
            </w:r>
          </w:p>
          <w:p>
            <w:pPr>
              <w:pStyle w:val="TableParagraph"/>
              <w:spacing w:before="30"/>
              <w:ind w:left="252"/>
              <w:jc w:val="left"/>
              <w:rPr>
                <w:sz w:val="13"/>
              </w:rPr>
            </w:pPr>
            <w:r>
              <w:rPr>
                <w:w w:val="105"/>
                <w:sz w:val="13"/>
              </w:rPr>
              <w:t>0.73</w:t>
            </w:r>
          </w:p>
          <w:p>
            <w:pPr>
              <w:pStyle w:val="TableParagraph"/>
              <w:spacing w:before="35"/>
              <w:ind w:left="158"/>
              <w:jc w:val="left"/>
              <w:rPr>
                <w:sz w:val="13"/>
              </w:rPr>
            </w:pPr>
            <w:r>
              <w:rPr>
                <w:w w:val="105"/>
                <w:sz w:val="13"/>
              </w:rPr>
              <w:t>3.0</w:t>
            </w:r>
            <w:r>
              <w:rPr>
                <w:rFonts w:ascii="Calibri" w:hAnsi="Calibri"/>
                <w:w w:val="105"/>
                <w:sz w:val="13"/>
              </w:rPr>
              <w:t>±</w:t>
            </w:r>
            <w:r>
              <w:rPr>
                <w:w w:val="105"/>
                <w:sz w:val="13"/>
              </w:rPr>
              <w:t>3.0</w:t>
            </w:r>
          </w:p>
        </w:tc>
        <w:tc>
          <w:tcPr>
            <w:tcW w:w="775" w:type="dxa"/>
            <w:tcBorders>
              <w:left w:val="dotted" w:sz="4" w:space="0" w:color="30859C"/>
              <w:right w:val="dotted" w:sz="4" w:space="0" w:color="30859C"/>
            </w:tcBorders>
            <w:shd w:val="clear" w:color="auto" w:fill="77DFDD"/>
          </w:tcPr>
          <w:p>
            <w:pPr>
              <w:pStyle w:val="TableParagraph"/>
              <w:spacing w:before="25"/>
              <w:ind w:left="159"/>
              <w:jc w:val="left"/>
              <w:rPr>
                <w:sz w:val="13"/>
              </w:rPr>
            </w:pPr>
            <w:r>
              <w:rPr>
                <w:w w:val="105"/>
                <w:sz w:val="13"/>
              </w:rPr>
              <w:t>2.2</w:t>
            </w:r>
            <w:r>
              <w:rPr>
                <w:rFonts w:ascii="Calibri" w:hAnsi="Calibri"/>
                <w:w w:val="105"/>
                <w:sz w:val="13"/>
              </w:rPr>
              <w:t>±</w:t>
            </w:r>
            <w:r>
              <w:rPr>
                <w:w w:val="105"/>
                <w:sz w:val="13"/>
              </w:rPr>
              <w:t>2.7</w:t>
            </w:r>
          </w:p>
          <w:p>
            <w:pPr>
              <w:pStyle w:val="TableParagraph"/>
              <w:spacing w:before="30"/>
              <w:ind w:left="252"/>
              <w:jc w:val="left"/>
              <w:rPr>
                <w:sz w:val="13"/>
              </w:rPr>
            </w:pPr>
            <w:r>
              <w:rPr>
                <w:w w:val="105"/>
                <w:sz w:val="13"/>
              </w:rPr>
              <w:t>0.22</w:t>
            </w:r>
          </w:p>
          <w:p>
            <w:pPr>
              <w:pStyle w:val="TableParagraph"/>
              <w:spacing w:before="35"/>
              <w:ind w:left="159"/>
              <w:jc w:val="left"/>
              <w:rPr>
                <w:sz w:val="13"/>
              </w:rPr>
            </w:pPr>
            <w:r>
              <w:rPr>
                <w:w w:val="105"/>
                <w:sz w:val="13"/>
              </w:rPr>
              <w:t>0.6</w:t>
            </w:r>
            <w:r>
              <w:rPr>
                <w:rFonts w:ascii="Calibri" w:hAnsi="Calibri"/>
                <w:w w:val="105"/>
                <w:sz w:val="13"/>
              </w:rPr>
              <w:t>±</w:t>
            </w:r>
            <w:r>
              <w:rPr>
                <w:w w:val="105"/>
                <w:sz w:val="13"/>
              </w:rPr>
              <w:t>1.1</w:t>
            </w:r>
          </w:p>
        </w:tc>
        <w:tc>
          <w:tcPr>
            <w:tcW w:w="775" w:type="dxa"/>
            <w:tcBorders>
              <w:left w:val="dotted" w:sz="4" w:space="0" w:color="30859C"/>
              <w:right w:val="dotted" w:sz="4" w:space="0" w:color="30859C"/>
            </w:tcBorders>
            <w:shd w:val="clear" w:color="auto" w:fill="77DFDD"/>
          </w:tcPr>
          <w:p>
            <w:pPr>
              <w:pStyle w:val="TableParagraph"/>
              <w:spacing w:before="25"/>
              <w:ind w:left="24" w:right="20"/>
              <w:rPr>
                <w:sz w:val="13"/>
              </w:rPr>
            </w:pPr>
            <w:r>
              <w:rPr>
                <w:w w:val="105"/>
                <w:sz w:val="13"/>
              </w:rPr>
              <w:t>12.8</w:t>
            </w:r>
            <w:r>
              <w:rPr>
                <w:rFonts w:ascii="Calibri" w:hAnsi="Calibri"/>
                <w:w w:val="105"/>
                <w:sz w:val="13"/>
              </w:rPr>
              <w:t>±</w:t>
            </w:r>
            <w:r>
              <w:rPr>
                <w:w w:val="105"/>
                <w:sz w:val="13"/>
              </w:rPr>
              <w:t>12.0</w:t>
            </w:r>
          </w:p>
          <w:p>
            <w:pPr>
              <w:pStyle w:val="TableParagraph"/>
              <w:spacing w:before="30"/>
              <w:ind w:left="24" w:right="20"/>
              <w:rPr>
                <w:sz w:val="13"/>
              </w:rPr>
            </w:pPr>
            <w:r>
              <w:rPr>
                <w:w w:val="105"/>
                <w:sz w:val="13"/>
              </w:rPr>
              <w:t>0.20</w:t>
            </w:r>
          </w:p>
          <w:p>
            <w:pPr>
              <w:pStyle w:val="TableParagraph"/>
              <w:spacing w:before="35"/>
              <w:ind w:left="160"/>
              <w:jc w:val="left"/>
              <w:rPr>
                <w:sz w:val="13"/>
              </w:rPr>
            </w:pPr>
            <w:r>
              <w:rPr>
                <w:w w:val="105"/>
                <w:sz w:val="13"/>
              </w:rPr>
              <w:t>5.3</w:t>
            </w:r>
            <w:r>
              <w:rPr>
                <w:rFonts w:ascii="Calibri" w:hAnsi="Calibri"/>
                <w:w w:val="105"/>
                <w:sz w:val="13"/>
              </w:rPr>
              <w:t>±</w:t>
            </w:r>
            <w:r>
              <w:rPr>
                <w:w w:val="105"/>
                <w:sz w:val="13"/>
              </w:rPr>
              <w:t>4.5</w:t>
            </w:r>
          </w:p>
        </w:tc>
        <w:tc>
          <w:tcPr>
            <w:tcW w:w="770" w:type="dxa"/>
            <w:tcBorders>
              <w:left w:val="dotted" w:sz="4" w:space="0" w:color="30859C"/>
            </w:tcBorders>
            <w:shd w:val="clear" w:color="auto" w:fill="77DFDD"/>
          </w:tcPr>
          <w:p>
            <w:pPr>
              <w:pStyle w:val="TableParagraph"/>
              <w:spacing w:before="25"/>
              <w:ind w:left="25" w:right="20"/>
              <w:rPr>
                <w:sz w:val="13"/>
              </w:rPr>
            </w:pPr>
            <w:r>
              <w:rPr>
                <w:w w:val="105"/>
                <w:sz w:val="13"/>
              </w:rPr>
              <w:t>47.8</w:t>
            </w:r>
            <w:r>
              <w:rPr>
                <w:rFonts w:ascii="Calibri" w:hAnsi="Calibri"/>
                <w:w w:val="105"/>
                <w:sz w:val="13"/>
              </w:rPr>
              <w:t>±</w:t>
            </w:r>
            <w:r>
              <w:rPr>
                <w:w w:val="105"/>
                <w:sz w:val="13"/>
              </w:rPr>
              <w:t>21.5</w:t>
            </w:r>
          </w:p>
          <w:p>
            <w:pPr>
              <w:pStyle w:val="TableParagraph"/>
              <w:spacing w:before="30"/>
              <w:ind w:left="25" w:right="20"/>
              <w:rPr>
                <w:sz w:val="13"/>
              </w:rPr>
            </w:pPr>
            <w:r>
              <w:rPr>
                <w:w w:val="105"/>
                <w:sz w:val="13"/>
              </w:rPr>
              <w:t>0.87</w:t>
            </w:r>
          </w:p>
          <w:p>
            <w:pPr>
              <w:pStyle w:val="TableParagraph"/>
              <w:spacing w:before="35"/>
              <w:ind w:left="35" w:right="19"/>
              <w:rPr>
                <w:sz w:val="13"/>
              </w:rPr>
            </w:pPr>
            <w:r>
              <w:rPr>
                <w:w w:val="105"/>
                <w:sz w:val="13"/>
              </w:rPr>
              <w:t>44.0</w:t>
            </w:r>
            <w:r>
              <w:rPr>
                <w:rFonts w:ascii="Calibri" w:hAnsi="Calibri"/>
                <w:w w:val="105"/>
                <w:sz w:val="13"/>
              </w:rPr>
              <w:t>±</w:t>
            </w:r>
            <w:r>
              <w:rPr>
                <w:w w:val="105"/>
                <w:sz w:val="13"/>
              </w:rPr>
              <w:t>6.9</w:t>
            </w:r>
          </w:p>
        </w:tc>
      </w:tr>
      <w:tr>
        <w:trPr>
          <w:trHeight w:val="557" w:hRule="exact"/>
        </w:trPr>
        <w:tc>
          <w:tcPr>
            <w:tcW w:w="1075" w:type="dxa"/>
            <w:gridSpan w:val="2"/>
            <w:shd w:val="clear" w:color="auto" w:fill="B4EDEC"/>
          </w:tcPr>
          <w:p>
            <w:pPr>
              <w:pStyle w:val="TableParagraph"/>
              <w:spacing w:before="19"/>
              <w:ind w:left="110" w:right="117"/>
              <w:rPr>
                <w:b/>
                <w:sz w:val="13"/>
              </w:rPr>
            </w:pPr>
            <w:r>
              <w:rPr>
                <w:b/>
                <w:w w:val="105"/>
                <w:sz w:val="13"/>
              </w:rPr>
              <w:t>Uso</w:t>
            </w:r>
          </w:p>
          <w:p>
            <w:pPr>
              <w:pStyle w:val="TableParagraph"/>
              <w:spacing w:before="33"/>
              <w:ind w:left="120" w:right="117"/>
              <w:rPr>
                <w:b/>
                <w:sz w:val="13"/>
              </w:rPr>
            </w:pPr>
            <w:r>
              <w:rPr>
                <w:b/>
                <w:w w:val="105"/>
                <w:sz w:val="13"/>
              </w:rPr>
              <w:t>de enjuague</w:t>
            </w:r>
          </w:p>
          <w:p>
            <w:pPr>
              <w:pStyle w:val="TableParagraph"/>
              <w:spacing w:before="43"/>
              <w:ind w:left="107" w:right="117"/>
              <w:rPr>
                <w:b/>
                <w:sz w:val="13"/>
              </w:rPr>
            </w:pPr>
            <w:r>
              <w:rPr>
                <w:b/>
                <w:w w:val="105"/>
                <w:sz w:val="13"/>
              </w:rPr>
              <w:t>bucal</w:t>
            </w:r>
          </w:p>
        </w:tc>
        <w:tc>
          <w:tcPr>
            <w:tcW w:w="475" w:type="dxa"/>
            <w:shd w:val="clear" w:color="auto" w:fill="B4EDEC"/>
          </w:tcPr>
          <w:p>
            <w:pPr>
              <w:pStyle w:val="TableParagraph"/>
              <w:spacing w:before="19"/>
              <w:ind w:left="18"/>
              <w:jc w:val="left"/>
              <w:rPr>
                <w:sz w:val="13"/>
              </w:rPr>
            </w:pPr>
            <w:r>
              <w:rPr>
                <w:w w:val="105"/>
                <w:sz w:val="13"/>
              </w:rPr>
              <w:t>Si</w:t>
            </w:r>
          </w:p>
          <w:p>
            <w:pPr>
              <w:pStyle w:val="TableParagraph"/>
              <w:spacing w:before="0"/>
              <w:jc w:val="left"/>
              <w:rPr>
                <w:b/>
                <w:sz w:val="12"/>
              </w:rPr>
            </w:pPr>
          </w:p>
          <w:p>
            <w:pPr>
              <w:pStyle w:val="TableParagraph"/>
              <w:spacing w:before="89"/>
              <w:ind w:left="18"/>
              <w:jc w:val="left"/>
              <w:rPr>
                <w:sz w:val="13"/>
              </w:rPr>
            </w:pPr>
            <w:r>
              <w:rPr>
                <w:w w:val="105"/>
                <w:sz w:val="13"/>
              </w:rPr>
              <w:t>No</w:t>
            </w:r>
          </w:p>
        </w:tc>
        <w:tc>
          <w:tcPr>
            <w:tcW w:w="388" w:type="dxa"/>
            <w:tcBorders>
              <w:right w:val="dotted" w:sz="4" w:space="0" w:color="30859C"/>
            </w:tcBorders>
            <w:shd w:val="clear" w:color="auto" w:fill="B4EDEC"/>
          </w:tcPr>
          <w:p>
            <w:pPr>
              <w:pStyle w:val="TableParagraph"/>
              <w:spacing w:before="0"/>
              <w:jc w:val="left"/>
              <w:rPr>
                <w:b/>
                <w:sz w:val="12"/>
              </w:rPr>
            </w:pPr>
          </w:p>
          <w:p>
            <w:pPr>
              <w:pStyle w:val="TableParagraph"/>
              <w:spacing w:before="71"/>
              <w:ind w:right="10"/>
              <w:jc w:val="right"/>
              <w:rPr>
                <w:b/>
                <w:sz w:val="13"/>
              </w:rPr>
            </w:pPr>
            <w:r>
              <w:rPr>
                <w:b/>
                <w:w w:val="103"/>
                <w:sz w:val="13"/>
              </w:rPr>
              <w:t>p</w:t>
            </w:r>
          </w:p>
        </w:tc>
        <w:tc>
          <w:tcPr>
            <w:tcW w:w="775" w:type="dxa"/>
            <w:tcBorders>
              <w:left w:val="dotted" w:sz="4" w:space="0" w:color="30859C"/>
              <w:right w:val="dotted" w:sz="4" w:space="0" w:color="30859C"/>
            </w:tcBorders>
            <w:shd w:val="clear" w:color="auto" w:fill="B4EDEC"/>
          </w:tcPr>
          <w:p>
            <w:pPr>
              <w:pStyle w:val="TableParagraph"/>
              <w:spacing w:before="17"/>
              <w:ind w:left="5" w:right="20"/>
              <w:rPr>
                <w:sz w:val="13"/>
              </w:rPr>
            </w:pPr>
            <w:r>
              <w:rPr>
                <w:w w:val="105"/>
                <w:sz w:val="13"/>
              </w:rPr>
              <w:t>0.5 </w:t>
            </w:r>
            <w:r>
              <w:rPr>
                <w:rFonts w:ascii="Calibri" w:hAnsi="Calibri"/>
                <w:w w:val="105"/>
                <w:sz w:val="13"/>
              </w:rPr>
              <w:t>± </w:t>
            </w:r>
            <w:r>
              <w:rPr>
                <w:w w:val="105"/>
                <w:sz w:val="13"/>
              </w:rPr>
              <w:t>0.8</w:t>
            </w:r>
          </w:p>
          <w:p>
            <w:pPr>
              <w:pStyle w:val="TableParagraph"/>
              <w:spacing w:before="33"/>
              <w:ind w:left="3" w:right="20"/>
              <w:rPr>
                <w:b/>
                <w:sz w:val="13"/>
              </w:rPr>
            </w:pPr>
            <w:r>
              <w:rPr>
                <w:w w:val="105"/>
                <w:sz w:val="13"/>
              </w:rPr>
              <w:t>0.9</w:t>
            </w:r>
            <w:r>
              <w:rPr>
                <w:b/>
                <w:w w:val="105"/>
                <w:sz w:val="13"/>
              </w:rPr>
              <w:t>*</w:t>
            </w:r>
          </w:p>
          <w:p>
            <w:pPr>
              <w:pStyle w:val="TableParagraph"/>
              <w:spacing w:before="35"/>
              <w:ind w:left="5" w:right="20"/>
              <w:rPr>
                <w:sz w:val="13"/>
              </w:rPr>
            </w:pPr>
            <w:r>
              <w:rPr>
                <w:w w:val="105"/>
                <w:sz w:val="13"/>
              </w:rPr>
              <w:t>0.4 </w:t>
            </w:r>
            <w:r>
              <w:rPr>
                <w:rFonts w:ascii="Calibri" w:hAnsi="Calibri"/>
                <w:w w:val="105"/>
                <w:sz w:val="13"/>
              </w:rPr>
              <w:t>± </w:t>
            </w:r>
            <w:r>
              <w:rPr>
                <w:w w:val="105"/>
                <w:sz w:val="13"/>
              </w:rPr>
              <w:t>0.7</w:t>
            </w:r>
          </w:p>
        </w:tc>
        <w:tc>
          <w:tcPr>
            <w:tcW w:w="848" w:type="dxa"/>
            <w:tcBorders>
              <w:left w:val="dotted" w:sz="4" w:space="0" w:color="30859C"/>
              <w:right w:val="dotted" w:sz="4" w:space="0" w:color="30859C"/>
            </w:tcBorders>
            <w:shd w:val="clear" w:color="auto" w:fill="B4EDEC"/>
          </w:tcPr>
          <w:p>
            <w:pPr>
              <w:pStyle w:val="TableParagraph"/>
              <w:spacing w:before="17"/>
              <w:ind w:left="138" w:right="142"/>
              <w:rPr>
                <w:sz w:val="13"/>
              </w:rPr>
            </w:pPr>
            <w:r>
              <w:rPr>
                <w:w w:val="105"/>
                <w:sz w:val="13"/>
              </w:rPr>
              <w:t>2.1 </w:t>
            </w:r>
            <w:r>
              <w:rPr>
                <w:rFonts w:ascii="Calibri" w:hAnsi="Calibri"/>
                <w:w w:val="105"/>
                <w:sz w:val="13"/>
              </w:rPr>
              <w:t>± </w:t>
            </w:r>
            <w:r>
              <w:rPr>
                <w:w w:val="105"/>
                <w:sz w:val="13"/>
              </w:rPr>
              <w:t>1.8</w:t>
            </w:r>
          </w:p>
          <w:p>
            <w:pPr>
              <w:pStyle w:val="TableParagraph"/>
              <w:spacing w:before="33"/>
              <w:ind w:left="136" w:right="142"/>
              <w:rPr>
                <w:b/>
                <w:sz w:val="13"/>
              </w:rPr>
            </w:pPr>
            <w:r>
              <w:rPr>
                <w:w w:val="105"/>
                <w:sz w:val="13"/>
              </w:rPr>
              <w:t>0.1</w:t>
            </w:r>
            <w:r>
              <w:rPr>
                <w:b/>
                <w:w w:val="105"/>
                <w:sz w:val="13"/>
              </w:rPr>
              <w:t>*</w:t>
            </w:r>
          </w:p>
          <w:p>
            <w:pPr>
              <w:pStyle w:val="TableParagraph"/>
              <w:spacing w:before="35"/>
              <w:ind w:left="138" w:right="142"/>
              <w:rPr>
                <w:sz w:val="13"/>
              </w:rPr>
            </w:pPr>
            <w:r>
              <w:rPr>
                <w:w w:val="105"/>
                <w:sz w:val="13"/>
              </w:rPr>
              <w:t>1.5 </w:t>
            </w:r>
            <w:r>
              <w:rPr>
                <w:rFonts w:ascii="Calibri" w:hAnsi="Calibri"/>
                <w:w w:val="105"/>
                <w:sz w:val="13"/>
              </w:rPr>
              <w:t>± </w:t>
            </w:r>
            <w:r>
              <w:rPr>
                <w:w w:val="105"/>
                <w:sz w:val="13"/>
              </w:rPr>
              <w:t>1.8</w:t>
            </w:r>
          </w:p>
        </w:tc>
        <w:tc>
          <w:tcPr>
            <w:tcW w:w="775" w:type="dxa"/>
            <w:tcBorders>
              <w:left w:val="dotted" w:sz="4" w:space="0" w:color="30859C"/>
              <w:right w:val="dotted" w:sz="4" w:space="0" w:color="30859C"/>
            </w:tcBorders>
            <w:shd w:val="clear" w:color="auto" w:fill="B4EDEC"/>
          </w:tcPr>
          <w:p>
            <w:pPr>
              <w:pStyle w:val="TableParagraph"/>
              <w:spacing w:before="17"/>
              <w:ind w:left="18" w:right="20"/>
              <w:rPr>
                <w:sz w:val="13"/>
              </w:rPr>
            </w:pPr>
            <w:r>
              <w:rPr>
                <w:w w:val="105"/>
                <w:sz w:val="13"/>
              </w:rPr>
              <w:t>13.5 </w:t>
            </w:r>
            <w:r>
              <w:rPr>
                <w:rFonts w:ascii="Calibri" w:hAnsi="Calibri"/>
                <w:w w:val="105"/>
                <w:sz w:val="13"/>
              </w:rPr>
              <w:t>± </w:t>
            </w:r>
            <w:r>
              <w:rPr>
                <w:w w:val="105"/>
                <w:sz w:val="13"/>
              </w:rPr>
              <w:t>7.9</w:t>
            </w:r>
          </w:p>
          <w:p>
            <w:pPr>
              <w:pStyle w:val="TableParagraph"/>
              <w:spacing w:before="33"/>
              <w:ind w:left="24" w:right="20"/>
              <w:rPr>
                <w:b/>
                <w:sz w:val="13"/>
              </w:rPr>
            </w:pPr>
            <w:r>
              <w:rPr>
                <w:w w:val="105"/>
                <w:sz w:val="13"/>
              </w:rPr>
              <w:t>0.06</w:t>
            </w:r>
            <w:r>
              <w:rPr>
                <w:b/>
                <w:w w:val="105"/>
                <w:sz w:val="13"/>
              </w:rPr>
              <w:t>*</w:t>
            </w:r>
          </w:p>
          <w:p>
            <w:pPr>
              <w:pStyle w:val="TableParagraph"/>
              <w:spacing w:before="35"/>
              <w:ind w:left="18" w:right="20"/>
              <w:rPr>
                <w:sz w:val="13"/>
              </w:rPr>
            </w:pPr>
            <w:r>
              <w:rPr>
                <w:w w:val="105"/>
                <w:sz w:val="13"/>
              </w:rPr>
              <w:t>18.2 </w:t>
            </w:r>
            <w:r>
              <w:rPr>
                <w:rFonts w:ascii="Calibri" w:hAnsi="Calibri"/>
                <w:w w:val="105"/>
                <w:sz w:val="13"/>
              </w:rPr>
              <w:t>± </w:t>
            </w:r>
            <w:r>
              <w:rPr>
                <w:w w:val="105"/>
                <w:sz w:val="13"/>
              </w:rPr>
              <w:t>9.7</w:t>
            </w:r>
          </w:p>
        </w:tc>
        <w:tc>
          <w:tcPr>
            <w:tcW w:w="775" w:type="dxa"/>
            <w:tcBorders>
              <w:left w:val="dotted" w:sz="4" w:space="0" w:color="30859C"/>
              <w:right w:val="dotted" w:sz="4" w:space="0" w:color="30859C"/>
            </w:tcBorders>
            <w:shd w:val="clear" w:color="auto" w:fill="B4EDEC"/>
          </w:tcPr>
          <w:p>
            <w:pPr>
              <w:pStyle w:val="TableParagraph"/>
              <w:spacing w:before="17"/>
              <w:ind w:left="20" w:right="20"/>
              <w:rPr>
                <w:sz w:val="13"/>
              </w:rPr>
            </w:pPr>
            <w:r>
              <w:rPr>
                <w:w w:val="105"/>
                <w:sz w:val="13"/>
              </w:rPr>
              <w:t>9.1 </w:t>
            </w:r>
            <w:r>
              <w:rPr>
                <w:rFonts w:ascii="Calibri" w:hAnsi="Calibri"/>
                <w:w w:val="105"/>
                <w:sz w:val="13"/>
              </w:rPr>
              <w:t>± </w:t>
            </w:r>
            <w:r>
              <w:rPr>
                <w:w w:val="105"/>
                <w:sz w:val="13"/>
              </w:rPr>
              <w:t>5.6</w:t>
            </w:r>
          </w:p>
          <w:p>
            <w:pPr>
              <w:pStyle w:val="TableParagraph"/>
              <w:spacing w:before="33"/>
              <w:ind w:left="19" w:right="20"/>
              <w:rPr>
                <w:b/>
                <w:sz w:val="13"/>
              </w:rPr>
            </w:pPr>
            <w:r>
              <w:rPr>
                <w:w w:val="105"/>
                <w:sz w:val="13"/>
              </w:rPr>
              <w:t>0.6</w:t>
            </w:r>
            <w:r>
              <w:rPr>
                <w:b/>
                <w:w w:val="105"/>
                <w:sz w:val="13"/>
              </w:rPr>
              <w:t>*</w:t>
            </w:r>
          </w:p>
          <w:p>
            <w:pPr>
              <w:pStyle w:val="TableParagraph"/>
              <w:spacing w:before="35"/>
              <w:ind w:left="20" w:right="20"/>
              <w:rPr>
                <w:sz w:val="13"/>
              </w:rPr>
            </w:pPr>
            <w:r>
              <w:rPr>
                <w:w w:val="105"/>
                <w:sz w:val="13"/>
              </w:rPr>
              <w:t>9.2 </w:t>
            </w:r>
            <w:r>
              <w:rPr>
                <w:rFonts w:ascii="Calibri" w:hAnsi="Calibri"/>
                <w:w w:val="105"/>
                <w:sz w:val="13"/>
              </w:rPr>
              <w:t>± </w:t>
            </w:r>
            <w:r>
              <w:rPr>
                <w:w w:val="105"/>
                <w:sz w:val="13"/>
              </w:rPr>
              <w:t>6.5</w:t>
            </w:r>
          </w:p>
        </w:tc>
        <w:tc>
          <w:tcPr>
            <w:tcW w:w="775" w:type="dxa"/>
            <w:tcBorders>
              <w:left w:val="dotted" w:sz="4" w:space="0" w:color="30859C"/>
              <w:right w:val="dotted" w:sz="4" w:space="0" w:color="30859C"/>
            </w:tcBorders>
            <w:shd w:val="clear" w:color="auto" w:fill="B4EDEC"/>
          </w:tcPr>
          <w:p>
            <w:pPr>
              <w:pStyle w:val="TableParagraph"/>
              <w:spacing w:before="17"/>
              <w:ind w:left="20" w:right="20"/>
              <w:rPr>
                <w:sz w:val="13"/>
              </w:rPr>
            </w:pPr>
            <w:r>
              <w:rPr>
                <w:w w:val="105"/>
                <w:sz w:val="13"/>
              </w:rPr>
              <w:t>6.3 </w:t>
            </w:r>
            <w:r>
              <w:rPr>
                <w:rFonts w:ascii="Calibri" w:hAnsi="Calibri"/>
                <w:w w:val="105"/>
                <w:sz w:val="13"/>
              </w:rPr>
              <w:t>± </w:t>
            </w:r>
            <w:r>
              <w:rPr>
                <w:w w:val="105"/>
                <w:sz w:val="13"/>
              </w:rPr>
              <w:t>6.0</w:t>
            </w:r>
          </w:p>
          <w:p>
            <w:pPr>
              <w:pStyle w:val="TableParagraph"/>
              <w:spacing w:before="33"/>
              <w:ind w:left="28" w:right="20"/>
              <w:rPr>
                <w:b/>
                <w:sz w:val="13"/>
              </w:rPr>
            </w:pPr>
            <w:r>
              <w:rPr>
                <w:w w:val="105"/>
                <w:sz w:val="13"/>
              </w:rPr>
              <w:t>0.09</w:t>
            </w:r>
            <w:r>
              <w:rPr>
                <w:b/>
                <w:w w:val="105"/>
                <w:sz w:val="13"/>
              </w:rPr>
              <w:t>*</w:t>
            </w:r>
          </w:p>
          <w:p>
            <w:pPr>
              <w:pStyle w:val="TableParagraph"/>
              <w:spacing w:before="35"/>
              <w:ind w:left="20" w:right="20"/>
              <w:rPr>
                <w:sz w:val="13"/>
              </w:rPr>
            </w:pPr>
            <w:r>
              <w:rPr>
                <w:w w:val="105"/>
                <w:sz w:val="13"/>
              </w:rPr>
              <w:t>4.6 </w:t>
            </w:r>
            <w:r>
              <w:rPr>
                <w:rFonts w:ascii="Calibri" w:hAnsi="Calibri"/>
                <w:w w:val="105"/>
                <w:sz w:val="13"/>
              </w:rPr>
              <w:t>± </w:t>
            </w:r>
            <w:r>
              <w:rPr>
                <w:w w:val="105"/>
                <w:sz w:val="13"/>
              </w:rPr>
              <w:t>6.3</w:t>
            </w:r>
          </w:p>
        </w:tc>
        <w:tc>
          <w:tcPr>
            <w:tcW w:w="775" w:type="dxa"/>
            <w:tcBorders>
              <w:left w:val="dotted" w:sz="4" w:space="0" w:color="30859C"/>
              <w:right w:val="dotted" w:sz="4" w:space="0" w:color="30859C"/>
            </w:tcBorders>
            <w:shd w:val="clear" w:color="auto" w:fill="B4EDEC"/>
          </w:tcPr>
          <w:p>
            <w:pPr>
              <w:pStyle w:val="TableParagraph"/>
              <w:spacing w:before="17"/>
              <w:ind w:left="21" w:right="20"/>
              <w:rPr>
                <w:sz w:val="13"/>
              </w:rPr>
            </w:pPr>
            <w:r>
              <w:rPr>
                <w:w w:val="105"/>
                <w:sz w:val="13"/>
              </w:rPr>
              <w:t>2.4 </w:t>
            </w:r>
            <w:r>
              <w:rPr>
                <w:rFonts w:ascii="Calibri" w:hAnsi="Calibri"/>
                <w:w w:val="105"/>
                <w:sz w:val="13"/>
              </w:rPr>
              <w:t>± </w:t>
            </w:r>
            <w:r>
              <w:rPr>
                <w:w w:val="105"/>
                <w:sz w:val="13"/>
              </w:rPr>
              <w:t>3.0</w:t>
            </w:r>
          </w:p>
          <w:p>
            <w:pPr>
              <w:pStyle w:val="TableParagraph"/>
              <w:spacing w:before="33"/>
              <w:ind w:left="30" w:right="18"/>
              <w:rPr>
                <w:sz w:val="13"/>
              </w:rPr>
            </w:pPr>
            <w:r>
              <w:rPr>
                <w:w w:val="105"/>
                <w:sz w:val="13"/>
              </w:rPr>
              <w:t>0.8</w:t>
            </w:r>
          </w:p>
          <w:p>
            <w:pPr>
              <w:pStyle w:val="TableParagraph"/>
              <w:spacing w:before="35"/>
              <w:ind w:left="21" w:right="20"/>
              <w:rPr>
                <w:sz w:val="13"/>
              </w:rPr>
            </w:pPr>
            <w:r>
              <w:rPr>
                <w:w w:val="105"/>
                <w:sz w:val="13"/>
              </w:rPr>
              <w:t>2.1 </w:t>
            </w:r>
            <w:r>
              <w:rPr>
                <w:rFonts w:ascii="Calibri" w:hAnsi="Calibri"/>
                <w:w w:val="105"/>
                <w:sz w:val="13"/>
              </w:rPr>
              <w:t>± </w:t>
            </w:r>
            <w:r>
              <w:rPr>
                <w:w w:val="105"/>
                <w:sz w:val="13"/>
              </w:rPr>
              <w:t>2.4</w:t>
            </w:r>
          </w:p>
        </w:tc>
        <w:tc>
          <w:tcPr>
            <w:tcW w:w="775" w:type="dxa"/>
            <w:tcBorders>
              <w:left w:val="dotted" w:sz="4" w:space="0" w:color="30859C"/>
              <w:right w:val="dotted" w:sz="4" w:space="0" w:color="30859C"/>
            </w:tcBorders>
            <w:shd w:val="clear" w:color="auto" w:fill="B4EDEC"/>
          </w:tcPr>
          <w:p>
            <w:pPr>
              <w:pStyle w:val="TableParagraph"/>
              <w:spacing w:before="17"/>
              <w:ind w:left="24" w:right="20"/>
              <w:rPr>
                <w:sz w:val="13"/>
              </w:rPr>
            </w:pPr>
            <w:r>
              <w:rPr>
                <w:w w:val="105"/>
                <w:sz w:val="13"/>
              </w:rPr>
              <w:t>8.6 </w:t>
            </w:r>
            <w:r>
              <w:rPr>
                <w:rFonts w:ascii="Calibri" w:hAnsi="Calibri"/>
                <w:w w:val="105"/>
                <w:sz w:val="13"/>
              </w:rPr>
              <w:t>± </w:t>
            </w:r>
            <w:r>
              <w:rPr>
                <w:w w:val="105"/>
                <w:sz w:val="13"/>
              </w:rPr>
              <w:t>8.0</w:t>
            </w:r>
          </w:p>
          <w:p>
            <w:pPr>
              <w:pStyle w:val="TableParagraph"/>
              <w:spacing w:before="33"/>
              <w:ind w:left="30" w:right="18"/>
              <w:rPr>
                <w:b/>
                <w:sz w:val="13"/>
              </w:rPr>
            </w:pPr>
            <w:r>
              <w:rPr>
                <w:w w:val="105"/>
                <w:sz w:val="13"/>
              </w:rPr>
              <w:t>0.05</w:t>
            </w:r>
            <w:r>
              <w:rPr>
                <w:b/>
                <w:w w:val="105"/>
                <w:sz w:val="13"/>
              </w:rPr>
              <w:t>*</w:t>
            </w:r>
          </w:p>
          <w:p>
            <w:pPr>
              <w:pStyle w:val="TableParagraph"/>
              <w:spacing w:before="35"/>
              <w:ind w:left="30" w:right="15"/>
              <w:rPr>
                <w:sz w:val="13"/>
              </w:rPr>
            </w:pPr>
            <w:r>
              <w:rPr>
                <w:w w:val="105"/>
                <w:sz w:val="13"/>
              </w:rPr>
              <w:t>14.5 </w:t>
            </w:r>
            <w:r>
              <w:rPr>
                <w:rFonts w:ascii="Calibri" w:hAnsi="Calibri"/>
                <w:w w:val="105"/>
                <w:sz w:val="13"/>
              </w:rPr>
              <w:t>± </w:t>
            </w:r>
            <w:r>
              <w:rPr>
                <w:w w:val="105"/>
                <w:sz w:val="13"/>
              </w:rPr>
              <w:t>13.1</w:t>
            </w:r>
          </w:p>
        </w:tc>
        <w:tc>
          <w:tcPr>
            <w:tcW w:w="770" w:type="dxa"/>
            <w:tcBorders>
              <w:left w:val="dotted" w:sz="4" w:space="0" w:color="30859C"/>
            </w:tcBorders>
            <w:shd w:val="clear" w:color="auto" w:fill="B4EDEC"/>
          </w:tcPr>
          <w:p>
            <w:pPr>
              <w:pStyle w:val="TableParagraph"/>
              <w:spacing w:before="17"/>
              <w:ind w:left="35" w:right="20"/>
              <w:rPr>
                <w:sz w:val="13"/>
              </w:rPr>
            </w:pPr>
            <w:r>
              <w:rPr>
                <w:w w:val="105"/>
                <w:sz w:val="13"/>
              </w:rPr>
              <w:t>42.5 </w:t>
            </w:r>
            <w:r>
              <w:rPr>
                <w:rFonts w:ascii="Calibri" w:hAnsi="Calibri"/>
                <w:w w:val="105"/>
                <w:sz w:val="13"/>
              </w:rPr>
              <w:t>± </w:t>
            </w:r>
            <w:r>
              <w:rPr>
                <w:w w:val="105"/>
                <w:sz w:val="13"/>
              </w:rPr>
              <w:t>18.7</w:t>
            </w:r>
          </w:p>
          <w:p>
            <w:pPr>
              <w:pStyle w:val="TableParagraph"/>
              <w:spacing w:before="33"/>
              <w:ind w:left="24" w:right="20"/>
              <w:rPr>
                <w:b/>
                <w:sz w:val="13"/>
              </w:rPr>
            </w:pPr>
            <w:r>
              <w:rPr>
                <w:w w:val="105"/>
                <w:sz w:val="13"/>
              </w:rPr>
              <w:t>0.2</w:t>
            </w:r>
            <w:r>
              <w:rPr>
                <w:b/>
                <w:w w:val="105"/>
                <w:sz w:val="13"/>
              </w:rPr>
              <w:t>*</w:t>
            </w:r>
          </w:p>
          <w:p>
            <w:pPr>
              <w:pStyle w:val="TableParagraph"/>
              <w:spacing w:before="35"/>
              <w:ind w:left="35" w:right="20"/>
              <w:rPr>
                <w:sz w:val="13"/>
              </w:rPr>
            </w:pPr>
            <w:r>
              <w:rPr>
                <w:w w:val="105"/>
                <w:sz w:val="13"/>
              </w:rPr>
              <w:t>50.3 </w:t>
            </w:r>
            <w:r>
              <w:rPr>
                <w:rFonts w:ascii="Calibri" w:hAnsi="Calibri"/>
                <w:w w:val="105"/>
                <w:sz w:val="13"/>
              </w:rPr>
              <w:t>± </w:t>
            </w:r>
            <w:r>
              <w:rPr>
                <w:w w:val="105"/>
                <w:sz w:val="13"/>
              </w:rPr>
              <w:t>21.8</w:t>
            </w:r>
          </w:p>
        </w:tc>
      </w:tr>
      <w:tr>
        <w:trPr>
          <w:trHeight w:val="567" w:hRule="exact"/>
        </w:trPr>
        <w:tc>
          <w:tcPr>
            <w:tcW w:w="1075" w:type="dxa"/>
            <w:gridSpan w:val="2"/>
            <w:shd w:val="clear" w:color="auto" w:fill="77DFDD"/>
          </w:tcPr>
          <w:p>
            <w:pPr>
              <w:pStyle w:val="TableParagraph"/>
              <w:spacing w:line="300" w:lineRule="auto" w:before="25"/>
              <w:ind w:left="109" w:right="117"/>
              <w:rPr>
                <w:b/>
                <w:sz w:val="13"/>
              </w:rPr>
            </w:pPr>
            <w:r>
              <w:rPr>
                <w:b/>
                <w:w w:val="105"/>
                <w:sz w:val="13"/>
              </w:rPr>
              <w:t>Alcohol en</w:t>
            </w:r>
            <w:r>
              <w:rPr>
                <w:b/>
                <w:w w:val="103"/>
                <w:sz w:val="13"/>
              </w:rPr>
              <w:t> </w:t>
            </w:r>
            <w:r>
              <w:rPr>
                <w:b/>
                <w:w w:val="105"/>
                <w:sz w:val="13"/>
              </w:rPr>
              <w:t>enjuague bucal</w:t>
            </w:r>
          </w:p>
        </w:tc>
        <w:tc>
          <w:tcPr>
            <w:tcW w:w="475" w:type="dxa"/>
            <w:shd w:val="clear" w:color="auto" w:fill="77DFDD"/>
          </w:tcPr>
          <w:p>
            <w:pPr>
              <w:pStyle w:val="TableParagraph"/>
              <w:spacing w:before="25"/>
              <w:ind w:left="18"/>
              <w:jc w:val="left"/>
              <w:rPr>
                <w:sz w:val="13"/>
              </w:rPr>
            </w:pPr>
            <w:r>
              <w:rPr>
                <w:w w:val="105"/>
                <w:sz w:val="13"/>
              </w:rPr>
              <w:t>Si</w:t>
            </w:r>
          </w:p>
          <w:p>
            <w:pPr>
              <w:pStyle w:val="TableParagraph"/>
              <w:spacing w:before="0"/>
              <w:jc w:val="left"/>
              <w:rPr>
                <w:b/>
                <w:sz w:val="12"/>
              </w:rPr>
            </w:pPr>
          </w:p>
          <w:p>
            <w:pPr>
              <w:pStyle w:val="TableParagraph"/>
              <w:spacing w:before="95"/>
              <w:ind w:left="18"/>
              <w:jc w:val="left"/>
              <w:rPr>
                <w:sz w:val="13"/>
              </w:rPr>
            </w:pPr>
            <w:r>
              <w:rPr>
                <w:w w:val="105"/>
                <w:sz w:val="13"/>
              </w:rPr>
              <w:t>No</w:t>
            </w:r>
          </w:p>
        </w:tc>
        <w:tc>
          <w:tcPr>
            <w:tcW w:w="388" w:type="dxa"/>
            <w:tcBorders>
              <w:right w:val="dotted" w:sz="4" w:space="0" w:color="30859C"/>
            </w:tcBorders>
            <w:shd w:val="clear" w:color="auto" w:fill="77DFDD"/>
          </w:tcPr>
          <w:p>
            <w:pPr>
              <w:pStyle w:val="TableParagraph"/>
              <w:spacing w:before="0"/>
              <w:jc w:val="left"/>
              <w:rPr>
                <w:b/>
                <w:sz w:val="12"/>
              </w:rPr>
            </w:pPr>
          </w:p>
          <w:p>
            <w:pPr>
              <w:pStyle w:val="TableParagraph"/>
              <w:spacing w:before="83"/>
              <w:ind w:right="10"/>
              <w:jc w:val="right"/>
              <w:rPr>
                <w:b/>
                <w:sz w:val="13"/>
              </w:rPr>
            </w:pPr>
            <w:r>
              <w:rPr>
                <w:b/>
                <w:w w:val="103"/>
                <w:sz w:val="13"/>
              </w:rPr>
              <w:t>p</w:t>
            </w:r>
          </w:p>
        </w:tc>
        <w:tc>
          <w:tcPr>
            <w:tcW w:w="775" w:type="dxa"/>
            <w:tcBorders>
              <w:left w:val="dotted" w:sz="4" w:space="0" w:color="30859C"/>
              <w:right w:val="dotted" w:sz="4" w:space="0" w:color="30859C"/>
            </w:tcBorders>
            <w:shd w:val="clear" w:color="auto" w:fill="77DFDD"/>
          </w:tcPr>
          <w:p>
            <w:pPr>
              <w:pStyle w:val="TableParagraph"/>
              <w:spacing w:before="23"/>
              <w:ind w:left="5" w:right="20"/>
              <w:rPr>
                <w:sz w:val="13"/>
              </w:rPr>
            </w:pPr>
            <w:r>
              <w:rPr>
                <w:w w:val="105"/>
                <w:sz w:val="13"/>
              </w:rPr>
              <w:t>0.0 </w:t>
            </w:r>
            <w:r>
              <w:rPr>
                <w:rFonts w:ascii="Calibri" w:hAnsi="Calibri"/>
                <w:w w:val="105"/>
                <w:sz w:val="13"/>
              </w:rPr>
              <w:t>± </w:t>
            </w:r>
            <w:r>
              <w:rPr>
                <w:w w:val="105"/>
                <w:sz w:val="13"/>
              </w:rPr>
              <w:t>0.0</w:t>
            </w:r>
          </w:p>
          <w:p>
            <w:pPr>
              <w:pStyle w:val="TableParagraph"/>
              <w:spacing w:before="39"/>
              <w:ind w:left="3" w:right="20"/>
              <w:rPr>
                <w:b/>
                <w:sz w:val="13"/>
              </w:rPr>
            </w:pPr>
            <w:r>
              <w:rPr>
                <w:w w:val="105"/>
                <w:sz w:val="13"/>
              </w:rPr>
              <w:t>0.2</w:t>
            </w:r>
            <w:r>
              <w:rPr>
                <w:b/>
                <w:w w:val="105"/>
                <w:sz w:val="13"/>
              </w:rPr>
              <w:t>*</w:t>
            </w:r>
          </w:p>
          <w:p>
            <w:pPr>
              <w:pStyle w:val="TableParagraph"/>
              <w:spacing w:before="35"/>
              <w:ind w:left="5" w:right="20"/>
              <w:rPr>
                <w:sz w:val="13"/>
              </w:rPr>
            </w:pPr>
            <w:r>
              <w:rPr>
                <w:w w:val="105"/>
                <w:sz w:val="13"/>
              </w:rPr>
              <w:t>0.4 </w:t>
            </w:r>
            <w:r>
              <w:rPr>
                <w:rFonts w:ascii="Calibri" w:hAnsi="Calibri"/>
                <w:w w:val="105"/>
                <w:sz w:val="13"/>
              </w:rPr>
              <w:t>± </w:t>
            </w:r>
            <w:r>
              <w:rPr>
                <w:w w:val="105"/>
                <w:sz w:val="13"/>
              </w:rPr>
              <w:t>0.7</w:t>
            </w:r>
          </w:p>
        </w:tc>
        <w:tc>
          <w:tcPr>
            <w:tcW w:w="848" w:type="dxa"/>
            <w:tcBorders>
              <w:left w:val="dotted" w:sz="4" w:space="0" w:color="30859C"/>
              <w:right w:val="dotted" w:sz="4" w:space="0" w:color="30859C"/>
            </w:tcBorders>
            <w:shd w:val="clear" w:color="auto" w:fill="77DFDD"/>
          </w:tcPr>
          <w:p>
            <w:pPr>
              <w:pStyle w:val="TableParagraph"/>
              <w:spacing w:before="23"/>
              <w:ind w:left="138" w:right="142"/>
              <w:rPr>
                <w:sz w:val="13"/>
              </w:rPr>
            </w:pPr>
            <w:r>
              <w:rPr>
                <w:w w:val="105"/>
                <w:sz w:val="13"/>
              </w:rPr>
              <w:t>0.5 </w:t>
            </w:r>
            <w:r>
              <w:rPr>
                <w:rFonts w:ascii="Calibri" w:hAnsi="Calibri"/>
                <w:w w:val="105"/>
                <w:sz w:val="13"/>
              </w:rPr>
              <w:t>± </w:t>
            </w:r>
            <w:r>
              <w:rPr>
                <w:w w:val="105"/>
                <w:sz w:val="13"/>
              </w:rPr>
              <w:t>0.7</w:t>
            </w:r>
          </w:p>
          <w:p>
            <w:pPr>
              <w:pStyle w:val="TableParagraph"/>
              <w:spacing w:before="39"/>
              <w:ind w:left="136" w:right="142"/>
              <w:rPr>
                <w:b/>
                <w:sz w:val="13"/>
              </w:rPr>
            </w:pPr>
            <w:r>
              <w:rPr>
                <w:w w:val="105"/>
                <w:sz w:val="13"/>
              </w:rPr>
              <w:t>0.2</w:t>
            </w:r>
            <w:r>
              <w:rPr>
                <w:b/>
                <w:w w:val="105"/>
                <w:sz w:val="13"/>
              </w:rPr>
              <w:t>*</w:t>
            </w:r>
          </w:p>
          <w:p>
            <w:pPr>
              <w:pStyle w:val="TableParagraph"/>
              <w:spacing w:before="35"/>
              <w:ind w:left="138" w:right="142"/>
              <w:rPr>
                <w:sz w:val="13"/>
              </w:rPr>
            </w:pPr>
            <w:r>
              <w:rPr>
                <w:w w:val="105"/>
                <w:sz w:val="13"/>
              </w:rPr>
              <w:t>1.7 </w:t>
            </w:r>
            <w:r>
              <w:rPr>
                <w:rFonts w:ascii="Calibri" w:hAnsi="Calibri"/>
                <w:w w:val="105"/>
                <w:sz w:val="13"/>
              </w:rPr>
              <w:t>± </w:t>
            </w:r>
            <w:r>
              <w:rPr>
                <w:w w:val="105"/>
                <w:sz w:val="13"/>
              </w:rPr>
              <w:t>1.8</w:t>
            </w:r>
          </w:p>
        </w:tc>
        <w:tc>
          <w:tcPr>
            <w:tcW w:w="775" w:type="dxa"/>
            <w:tcBorders>
              <w:left w:val="dotted" w:sz="4" w:space="0" w:color="30859C"/>
              <w:right w:val="dotted" w:sz="4" w:space="0" w:color="30859C"/>
            </w:tcBorders>
            <w:shd w:val="clear" w:color="auto" w:fill="77DFDD"/>
          </w:tcPr>
          <w:p>
            <w:pPr>
              <w:pStyle w:val="TableParagraph"/>
              <w:spacing w:before="23"/>
              <w:ind w:left="25" w:right="20"/>
              <w:rPr>
                <w:sz w:val="13"/>
              </w:rPr>
            </w:pPr>
            <w:r>
              <w:rPr>
                <w:w w:val="105"/>
                <w:sz w:val="13"/>
              </w:rPr>
              <w:t>10.5 </w:t>
            </w:r>
            <w:r>
              <w:rPr>
                <w:rFonts w:ascii="Calibri" w:hAnsi="Calibri"/>
                <w:w w:val="105"/>
                <w:sz w:val="13"/>
              </w:rPr>
              <w:t>± </w:t>
            </w:r>
            <w:r>
              <w:rPr>
                <w:w w:val="105"/>
                <w:sz w:val="13"/>
              </w:rPr>
              <w:t>12.0</w:t>
            </w:r>
          </w:p>
          <w:p>
            <w:pPr>
              <w:pStyle w:val="TableParagraph"/>
              <w:spacing w:before="39"/>
              <w:ind w:left="17" w:right="20"/>
              <w:rPr>
                <w:b/>
                <w:sz w:val="13"/>
              </w:rPr>
            </w:pPr>
            <w:r>
              <w:rPr>
                <w:w w:val="105"/>
                <w:sz w:val="13"/>
              </w:rPr>
              <w:t>0.3</w:t>
            </w:r>
            <w:r>
              <w:rPr>
                <w:b/>
                <w:w w:val="105"/>
                <w:sz w:val="13"/>
              </w:rPr>
              <w:t>*</w:t>
            </w:r>
          </w:p>
          <w:p>
            <w:pPr>
              <w:pStyle w:val="TableParagraph"/>
              <w:spacing w:before="35"/>
              <w:ind w:left="18" w:right="20"/>
              <w:rPr>
                <w:sz w:val="13"/>
              </w:rPr>
            </w:pPr>
            <w:r>
              <w:rPr>
                <w:w w:val="105"/>
                <w:sz w:val="13"/>
              </w:rPr>
              <w:t>16.8 </w:t>
            </w:r>
            <w:r>
              <w:rPr>
                <w:rFonts w:ascii="Calibri" w:hAnsi="Calibri"/>
                <w:w w:val="105"/>
                <w:sz w:val="13"/>
              </w:rPr>
              <w:t>± </w:t>
            </w:r>
            <w:r>
              <w:rPr>
                <w:w w:val="105"/>
                <w:sz w:val="13"/>
              </w:rPr>
              <w:t>9.3</w:t>
            </w:r>
          </w:p>
        </w:tc>
        <w:tc>
          <w:tcPr>
            <w:tcW w:w="775" w:type="dxa"/>
            <w:tcBorders>
              <w:left w:val="dotted" w:sz="4" w:space="0" w:color="30859C"/>
              <w:right w:val="dotted" w:sz="4" w:space="0" w:color="30859C"/>
            </w:tcBorders>
            <w:shd w:val="clear" w:color="auto" w:fill="77DFDD"/>
          </w:tcPr>
          <w:p>
            <w:pPr>
              <w:pStyle w:val="TableParagraph"/>
              <w:spacing w:before="23"/>
              <w:ind w:left="20" w:right="20"/>
              <w:rPr>
                <w:sz w:val="13"/>
              </w:rPr>
            </w:pPr>
            <w:r>
              <w:rPr>
                <w:w w:val="105"/>
                <w:sz w:val="13"/>
              </w:rPr>
              <w:t>4.5 </w:t>
            </w:r>
            <w:r>
              <w:rPr>
                <w:rFonts w:ascii="Calibri" w:hAnsi="Calibri"/>
                <w:w w:val="105"/>
                <w:sz w:val="13"/>
              </w:rPr>
              <w:t>± </w:t>
            </w:r>
            <w:r>
              <w:rPr>
                <w:w w:val="105"/>
                <w:sz w:val="13"/>
              </w:rPr>
              <w:t>6.3</w:t>
            </w:r>
          </w:p>
          <w:p>
            <w:pPr>
              <w:pStyle w:val="TableParagraph"/>
              <w:spacing w:before="39"/>
              <w:ind w:left="19" w:right="20"/>
              <w:rPr>
                <w:b/>
                <w:sz w:val="13"/>
              </w:rPr>
            </w:pPr>
            <w:r>
              <w:rPr>
                <w:w w:val="105"/>
                <w:sz w:val="13"/>
              </w:rPr>
              <w:t>0.3</w:t>
            </w:r>
            <w:r>
              <w:rPr>
                <w:b/>
                <w:w w:val="105"/>
                <w:sz w:val="13"/>
              </w:rPr>
              <w:t>*</w:t>
            </w:r>
          </w:p>
          <w:p>
            <w:pPr>
              <w:pStyle w:val="TableParagraph"/>
              <w:spacing w:before="35"/>
              <w:ind w:left="19" w:right="20"/>
              <w:rPr>
                <w:sz w:val="13"/>
              </w:rPr>
            </w:pPr>
            <w:r>
              <w:rPr>
                <w:w w:val="105"/>
                <w:sz w:val="13"/>
              </w:rPr>
              <w:t>9.3 </w:t>
            </w:r>
            <w:r>
              <w:rPr>
                <w:rFonts w:ascii="Calibri" w:hAnsi="Calibri"/>
                <w:w w:val="105"/>
                <w:sz w:val="13"/>
              </w:rPr>
              <w:t>± </w:t>
            </w:r>
            <w:r>
              <w:rPr>
                <w:w w:val="105"/>
                <w:sz w:val="13"/>
              </w:rPr>
              <w:t>6.1</w:t>
            </w:r>
          </w:p>
        </w:tc>
        <w:tc>
          <w:tcPr>
            <w:tcW w:w="775" w:type="dxa"/>
            <w:tcBorders>
              <w:left w:val="dotted" w:sz="4" w:space="0" w:color="30859C"/>
              <w:right w:val="dotted" w:sz="4" w:space="0" w:color="30859C"/>
            </w:tcBorders>
            <w:shd w:val="clear" w:color="auto" w:fill="77DFDD"/>
          </w:tcPr>
          <w:p>
            <w:pPr>
              <w:pStyle w:val="TableParagraph"/>
              <w:spacing w:before="23"/>
              <w:ind w:left="20" w:right="20"/>
              <w:rPr>
                <w:sz w:val="13"/>
              </w:rPr>
            </w:pPr>
            <w:r>
              <w:rPr>
                <w:w w:val="105"/>
                <w:sz w:val="13"/>
              </w:rPr>
              <w:t>7.0 </w:t>
            </w:r>
            <w:r>
              <w:rPr>
                <w:rFonts w:ascii="Calibri" w:hAnsi="Calibri"/>
                <w:w w:val="105"/>
                <w:sz w:val="13"/>
              </w:rPr>
              <w:t>± </w:t>
            </w:r>
            <w:r>
              <w:rPr>
                <w:w w:val="105"/>
                <w:sz w:val="13"/>
              </w:rPr>
              <w:t>9.8</w:t>
            </w:r>
          </w:p>
          <w:p>
            <w:pPr>
              <w:pStyle w:val="TableParagraph"/>
              <w:spacing w:before="39"/>
              <w:ind w:left="19" w:right="20"/>
              <w:rPr>
                <w:b/>
                <w:sz w:val="13"/>
              </w:rPr>
            </w:pPr>
            <w:r>
              <w:rPr>
                <w:w w:val="105"/>
                <w:sz w:val="13"/>
              </w:rPr>
              <w:t>0.9</w:t>
            </w:r>
            <w:r>
              <w:rPr>
                <w:b/>
                <w:w w:val="105"/>
                <w:sz w:val="13"/>
              </w:rPr>
              <w:t>*</w:t>
            </w:r>
          </w:p>
          <w:p>
            <w:pPr>
              <w:pStyle w:val="TableParagraph"/>
              <w:spacing w:before="35"/>
              <w:ind w:left="20" w:right="20"/>
              <w:rPr>
                <w:sz w:val="13"/>
              </w:rPr>
            </w:pPr>
            <w:r>
              <w:rPr>
                <w:w w:val="105"/>
                <w:sz w:val="13"/>
              </w:rPr>
              <w:t>5.1 </w:t>
            </w:r>
            <w:r>
              <w:rPr>
                <w:rFonts w:ascii="Calibri" w:hAnsi="Calibri"/>
                <w:w w:val="105"/>
                <w:sz w:val="13"/>
              </w:rPr>
              <w:t>± </w:t>
            </w:r>
            <w:r>
              <w:rPr>
                <w:w w:val="105"/>
                <w:sz w:val="13"/>
              </w:rPr>
              <w:t>6.2</w:t>
            </w:r>
          </w:p>
        </w:tc>
        <w:tc>
          <w:tcPr>
            <w:tcW w:w="775" w:type="dxa"/>
            <w:tcBorders>
              <w:left w:val="dotted" w:sz="4" w:space="0" w:color="30859C"/>
              <w:right w:val="dotted" w:sz="4" w:space="0" w:color="30859C"/>
            </w:tcBorders>
            <w:shd w:val="clear" w:color="auto" w:fill="77DFDD"/>
          </w:tcPr>
          <w:p>
            <w:pPr>
              <w:pStyle w:val="TableParagraph"/>
              <w:spacing w:before="23"/>
              <w:ind w:left="21" w:right="20"/>
              <w:rPr>
                <w:sz w:val="13"/>
              </w:rPr>
            </w:pPr>
            <w:r>
              <w:rPr>
                <w:w w:val="105"/>
                <w:sz w:val="13"/>
              </w:rPr>
              <w:t>2.0 </w:t>
            </w:r>
            <w:r>
              <w:rPr>
                <w:rFonts w:ascii="Calibri" w:hAnsi="Calibri"/>
                <w:w w:val="105"/>
                <w:sz w:val="13"/>
              </w:rPr>
              <w:t>± </w:t>
            </w:r>
            <w:r>
              <w:rPr>
                <w:w w:val="105"/>
                <w:sz w:val="13"/>
              </w:rPr>
              <w:t>1.4</w:t>
            </w:r>
          </w:p>
          <w:p>
            <w:pPr>
              <w:pStyle w:val="TableParagraph"/>
              <w:spacing w:before="39"/>
              <w:ind w:left="20" w:right="20"/>
              <w:rPr>
                <w:b/>
                <w:sz w:val="13"/>
              </w:rPr>
            </w:pPr>
            <w:r>
              <w:rPr>
                <w:w w:val="105"/>
                <w:sz w:val="13"/>
              </w:rPr>
              <w:t>0.6</w:t>
            </w:r>
            <w:r>
              <w:rPr>
                <w:b/>
                <w:w w:val="105"/>
                <w:sz w:val="13"/>
              </w:rPr>
              <w:t>*</w:t>
            </w:r>
          </w:p>
          <w:p>
            <w:pPr>
              <w:pStyle w:val="TableParagraph"/>
              <w:spacing w:before="35"/>
              <w:ind w:left="21" w:right="20"/>
              <w:rPr>
                <w:sz w:val="13"/>
              </w:rPr>
            </w:pPr>
            <w:r>
              <w:rPr>
                <w:w w:val="105"/>
                <w:sz w:val="13"/>
              </w:rPr>
              <w:t>2.2 </w:t>
            </w:r>
            <w:r>
              <w:rPr>
                <w:rFonts w:ascii="Calibri" w:hAnsi="Calibri"/>
                <w:w w:val="105"/>
                <w:sz w:val="13"/>
              </w:rPr>
              <w:t>± </w:t>
            </w:r>
            <w:r>
              <w:rPr>
                <w:w w:val="105"/>
                <w:sz w:val="13"/>
              </w:rPr>
              <w:t>2.7</w:t>
            </w:r>
          </w:p>
        </w:tc>
        <w:tc>
          <w:tcPr>
            <w:tcW w:w="775" w:type="dxa"/>
            <w:tcBorders>
              <w:left w:val="dotted" w:sz="4" w:space="0" w:color="30859C"/>
              <w:right w:val="dotted" w:sz="4" w:space="0" w:color="30859C"/>
            </w:tcBorders>
            <w:shd w:val="clear" w:color="auto" w:fill="77DFDD"/>
          </w:tcPr>
          <w:p>
            <w:pPr>
              <w:pStyle w:val="TableParagraph"/>
              <w:spacing w:before="23"/>
              <w:ind w:left="24" w:right="20"/>
              <w:rPr>
                <w:sz w:val="13"/>
              </w:rPr>
            </w:pPr>
            <w:r>
              <w:rPr>
                <w:w w:val="105"/>
                <w:sz w:val="13"/>
              </w:rPr>
              <w:t>4.5 </w:t>
            </w:r>
            <w:r>
              <w:rPr>
                <w:rFonts w:ascii="Calibri" w:hAnsi="Calibri"/>
                <w:w w:val="105"/>
                <w:sz w:val="13"/>
              </w:rPr>
              <w:t>± </w:t>
            </w:r>
            <w:r>
              <w:rPr>
                <w:w w:val="105"/>
                <w:sz w:val="13"/>
              </w:rPr>
              <w:t>2.1</w:t>
            </w:r>
          </w:p>
          <w:p>
            <w:pPr>
              <w:pStyle w:val="TableParagraph"/>
              <w:spacing w:before="39"/>
              <w:ind w:left="21" w:right="20"/>
              <w:rPr>
                <w:b/>
                <w:sz w:val="13"/>
              </w:rPr>
            </w:pPr>
            <w:r>
              <w:rPr>
                <w:w w:val="105"/>
                <w:sz w:val="13"/>
              </w:rPr>
              <w:t>0.2</w:t>
            </w:r>
            <w:r>
              <w:rPr>
                <w:b/>
                <w:w w:val="105"/>
                <w:sz w:val="13"/>
              </w:rPr>
              <w:t>*</w:t>
            </w:r>
          </w:p>
          <w:p>
            <w:pPr>
              <w:pStyle w:val="TableParagraph"/>
              <w:spacing w:before="35"/>
              <w:ind w:left="30" w:right="15"/>
              <w:rPr>
                <w:sz w:val="13"/>
              </w:rPr>
            </w:pPr>
            <w:r>
              <w:rPr>
                <w:w w:val="105"/>
                <w:sz w:val="13"/>
              </w:rPr>
              <w:t>12.7 </w:t>
            </w:r>
            <w:r>
              <w:rPr>
                <w:rFonts w:ascii="Calibri" w:hAnsi="Calibri"/>
                <w:w w:val="105"/>
                <w:sz w:val="13"/>
              </w:rPr>
              <w:t>± </w:t>
            </w:r>
            <w:r>
              <w:rPr>
                <w:w w:val="105"/>
                <w:sz w:val="13"/>
              </w:rPr>
              <w:t>12.0</w:t>
            </w:r>
          </w:p>
        </w:tc>
        <w:tc>
          <w:tcPr>
            <w:tcW w:w="770" w:type="dxa"/>
            <w:tcBorders>
              <w:left w:val="dotted" w:sz="4" w:space="0" w:color="30859C"/>
            </w:tcBorders>
            <w:shd w:val="clear" w:color="auto" w:fill="77DFDD"/>
          </w:tcPr>
          <w:p>
            <w:pPr>
              <w:pStyle w:val="TableParagraph"/>
              <w:spacing w:before="23"/>
              <w:ind w:left="35" w:right="20"/>
              <w:rPr>
                <w:sz w:val="13"/>
              </w:rPr>
            </w:pPr>
            <w:r>
              <w:rPr>
                <w:w w:val="105"/>
                <w:sz w:val="13"/>
              </w:rPr>
              <w:t>29.0 </w:t>
            </w:r>
            <w:r>
              <w:rPr>
                <w:rFonts w:ascii="Calibri" w:hAnsi="Calibri"/>
                <w:w w:val="105"/>
                <w:sz w:val="13"/>
              </w:rPr>
              <w:t>± </w:t>
            </w:r>
            <w:r>
              <w:rPr>
                <w:w w:val="105"/>
                <w:sz w:val="13"/>
              </w:rPr>
              <w:t>31.1</w:t>
            </w:r>
          </w:p>
          <w:p>
            <w:pPr>
              <w:pStyle w:val="TableParagraph"/>
              <w:spacing w:before="39"/>
              <w:ind w:left="24" w:right="20"/>
              <w:rPr>
                <w:b/>
                <w:sz w:val="13"/>
              </w:rPr>
            </w:pPr>
            <w:r>
              <w:rPr>
                <w:w w:val="105"/>
                <w:sz w:val="13"/>
              </w:rPr>
              <w:t>0.3</w:t>
            </w:r>
            <w:r>
              <w:rPr>
                <w:b/>
                <w:w w:val="105"/>
                <w:sz w:val="13"/>
              </w:rPr>
              <w:t>*</w:t>
            </w:r>
          </w:p>
          <w:p>
            <w:pPr>
              <w:pStyle w:val="TableParagraph"/>
              <w:spacing w:before="35"/>
              <w:ind w:left="35" w:right="20"/>
              <w:rPr>
                <w:sz w:val="13"/>
              </w:rPr>
            </w:pPr>
            <w:r>
              <w:rPr>
                <w:w w:val="105"/>
                <w:sz w:val="13"/>
              </w:rPr>
              <w:t>48.2 </w:t>
            </w:r>
            <w:r>
              <w:rPr>
                <w:rFonts w:ascii="Calibri" w:hAnsi="Calibri"/>
                <w:w w:val="105"/>
                <w:sz w:val="13"/>
              </w:rPr>
              <w:t>± </w:t>
            </w:r>
            <w:r>
              <w:rPr>
                <w:w w:val="105"/>
                <w:sz w:val="13"/>
              </w:rPr>
              <w:t>20.7</w:t>
            </w:r>
          </w:p>
        </w:tc>
      </w:tr>
      <w:tr>
        <w:trPr>
          <w:trHeight w:val="192" w:hRule="exact"/>
        </w:trPr>
        <w:tc>
          <w:tcPr>
            <w:tcW w:w="1075" w:type="dxa"/>
            <w:gridSpan w:val="2"/>
            <w:vMerge w:val="restart"/>
            <w:shd w:val="clear" w:color="auto" w:fill="B4EDEC"/>
          </w:tcPr>
          <w:p>
            <w:pPr>
              <w:pStyle w:val="TableParagraph"/>
              <w:spacing w:line="292" w:lineRule="auto" w:before="27"/>
              <w:ind w:left="335" w:right="246" w:hanging="83"/>
              <w:jc w:val="left"/>
              <w:rPr>
                <w:b/>
                <w:sz w:val="13"/>
              </w:rPr>
            </w:pPr>
            <w:r>
              <w:rPr>
                <w:b/>
                <w:sz w:val="13"/>
              </w:rPr>
              <w:t>Consulta </w:t>
            </w:r>
            <w:r>
              <w:rPr>
                <w:b/>
                <w:w w:val="105"/>
                <w:sz w:val="13"/>
              </w:rPr>
              <w:t>dental</w:t>
            </w:r>
          </w:p>
        </w:tc>
        <w:tc>
          <w:tcPr>
            <w:tcW w:w="475" w:type="dxa"/>
            <w:vMerge w:val="restart"/>
            <w:shd w:val="clear" w:color="auto" w:fill="B4EDEC"/>
          </w:tcPr>
          <w:p>
            <w:pPr>
              <w:pStyle w:val="TableParagraph"/>
              <w:spacing w:before="27"/>
              <w:ind w:left="18"/>
              <w:jc w:val="left"/>
              <w:rPr>
                <w:sz w:val="13"/>
              </w:rPr>
            </w:pPr>
            <w:r>
              <w:rPr>
                <w:w w:val="105"/>
                <w:sz w:val="13"/>
              </w:rPr>
              <w:t>Si</w:t>
            </w:r>
          </w:p>
          <w:p>
            <w:pPr>
              <w:pStyle w:val="TableParagraph"/>
              <w:spacing w:before="0"/>
              <w:jc w:val="left"/>
              <w:rPr>
                <w:b/>
                <w:sz w:val="12"/>
              </w:rPr>
            </w:pPr>
          </w:p>
          <w:p>
            <w:pPr>
              <w:pStyle w:val="TableParagraph"/>
              <w:spacing w:before="85"/>
              <w:ind w:left="18"/>
              <w:jc w:val="left"/>
              <w:rPr>
                <w:sz w:val="13"/>
              </w:rPr>
            </w:pPr>
            <w:r>
              <w:rPr>
                <w:w w:val="105"/>
                <w:sz w:val="13"/>
              </w:rPr>
              <w:t>No</w:t>
            </w:r>
          </w:p>
        </w:tc>
        <w:tc>
          <w:tcPr>
            <w:tcW w:w="388" w:type="dxa"/>
            <w:vMerge w:val="restart"/>
            <w:tcBorders>
              <w:right w:val="dotted" w:sz="4" w:space="0" w:color="30859C"/>
            </w:tcBorders>
            <w:shd w:val="clear" w:color="auto" w:fill="B4EDEC"/>
          </w:tcPr>
          <w:p>
            <w:pPr>
              <w:pStyle w:val="TableParagraph"/>
              <w:spacing w:before="0"/>
              <w:jc w:val="left"/>
              <w:rPr>
                <w:b/>
                <w:sz w:val="12"/>
              </w:rPr>
            </w:pPr>
          </w:p>
          <w:p>
            <w:pPr>
              <w:pStyle w:val="TableParagraph"/>
              <w:spacing w:before="75"/>
              <w:ind w:right="10"/>
              <w:jc w:val="right"/>
              <w:rPr>
                <w:b/>
                <w:sz w:val="13"/>
              </w:rPr>
            </w:pPr>
            <w:r>
              <w:rPr>
                <w:b/>
                <w:w w:val="103"/>
                <w:sz w:val="13"/>
              </w:rPr>
              <w:t>p</w:t>
            </w:r>
          </w:p>
        </w:tc>
        <w:tc>
          <w:tcPr>
            <w:tcW w:w="775" w:type="dxa"/>
            <w:vMerge w:val="restart"/>
            <w:tcBorders>
              <w:left w:val="dotted" w:sz="4" w:space="0" w:color="30859C"/>
              <w:right w:val="dotted" w:sz="4" w:space="0" w:color="30859C"/>
            </w:tcBorders>
            <w:shd w:val="clear" w:color="auto" w:fill="B4EDEC"/>
          </w:tcPr>
          <w:p>
            <w:pPr>
              <w:pStyle w:val="TableParagraph"/>
              <w:spacing w:before="25"/>
              <w:ind w:left="149"/>
              <w:jc w:val="left"/>
              <w:rPr>
                <w:sz w:val="13"/>
              </w:rPr>
            </w:pPr>
            <w:r>
              <w:rPr>
                <w:w w:val="105"/>
                <w:sz w:val="13"/>
              </w:rPr>
              <w:t>0.7</w:t>
            </w:r>
            <w:r>
              <w:rPr>
                <w:rFonts w:ascii="Calibri" w:hAnsi="Calibri"/>
                <w:w w:val="105"/>
                <w:sz w:val="13"/>
              </w:rPr>
              <w:t>±</w:t>
            </w:r>
            <w:r>
              <w:rPr>
                <w:w w:val="105"/>
                <w:sz w:val="13"/>
              </w:rPr>
              <w:t>0.5</w:t>
            </w:r>
          </w:p>
          <w:p>
            <w:pPr>
              <w:pStyle w:val="TableParagraph"/>
              <w:spacing w:before="30"/>
              <w:ind w:left="242"/>
              <w:jc w:val="left"/>
              <w:rPr>
                <w:sz w:val="13"/>
              </w:rPr>
            </w:pPr>
            <w:r>
              <w:rPr>
                <w:w w:val="105"/>
                <w:sz w:val="13"/>
              </w:rPr>
              <w:t>0.17</w:t>
            </w:r>
          </w:p>
          <w:p>
            <w:pPr>
              <w:pStyle w:val="TableParagraph"/>
              <w:spacing w:before="35"/>
              <w:ind w:left="149"/>
              <w:jc w:val="left"/>
              <w:rPr>
                <w:sz w:val="13"/>
              </w:rPr>
            </w:pPr>
            <w:r>
              <w:rPr>
                <w:w w:val="105"/>
                <w:sz w:val="13"/>
              </w:rPr>
              <w:t>0.4</w:t>
            </w:r>
            <w:r>
              <w:rPr>
                <w:rFonts w:ascii="Calibri" w:hAnsi="Calibri"/>
                <w:w w:val="105"/>
                <w:sz w:val="13"/>
              </w:rPr>
              <w:t>±</w:t>
            </w:r>
            <w:r>
              <w:rPr>
                <w:w w:val="105"/>
                <w:sz w:val="13"/>
              </w:rPr>
              <w:t>0.7</w:t>
            </w:r>
          </w:p>
        </w:tc>
        <w:tc>
          <w:tcPr>
            <w:tcW w:w="848" w:type="dxa"/>
            <w:vMerge w:val="restart"/>
            <w:tcBorders>
              <w:left w:val="dotted" w:sz="4" w:space="0" w:color="30859C"/>
              <w:right w:val="dotted" w:sz="4" w:space="0" w:color="30859C"/>
            </w:tcBorders>
            <w:shd w:val="clear" w:color="auto" w:fill="B4EDEC"/>
          </w:tcPr>
          <w:p>
            <w:pPr>
              <w:pStyle w:val="TableParagraph"/>
              <w:spacing w:before="25"/>
              <w:ind w:left="138" w:right="142"/>
              <w:rPr>
                <w:sz w:val="13"/>
              </w:rPr>
            </w:pPr>
            <w:r>
              <w:rPr>
                <w:w w:val="105"/>
                <w:sz w:val="13"/>
              </w:rPr>
              <w:t>3.0</w:t>
            </w:r>
            <w:r>
              <w:rPr>
                <w:rFonts w:ascii="Calibri" w:hAnsi="Calibri"/>
                <w:w w:val="105"/>
                <w:sz w:val="13"/>
              </w:rPr>
              <w:t>±</w:t>
            </w:r>
            <w:r>
              <w:rPr>
                <w:w w:val="105"/>
                <w:sz w:val="13"/>
              </w:rPr>
              <w:t>1.6</w:t>
            </w:r>
          </w:p>
          <w:p>
            <w:pPr>
              <w:pStyle w:val="TableParagraph"/>
              <w:spacing w:before="30"/>
              <w:ind w:left="138" w:right="142"/>
              <w:rPr>
                <w:sz w:val="13"/>
              </w:rPr>
            </w:pPr>
            <w:r>
              <w:rPr>
                <w:w w:val="105"/>
                <w:sz w:val="13"/>
              </w:rPr>
              <w:t>0.09</w:t>
            </w:r>
          </w:p>
          <w:p>
            <w:pPr>
              <w:pStyle w:val="TableParagraph"/>
              <w:spacing w:before="35"/>
              <w:ind w:left="138" w:right="142"/>
              <w:rPr>
                <w:sz w:val="13"/>
              </w:rPr>
            </w:pPr>
            <w:r>
              <w:rPr>
                <w:w w:val="105"/>
                <w:sz w:val="13"/>
              </w:rPr>
              <w:t>1.6</w:t>
            </w:r>
            <w:r>
              <w:rPr>
                <w:rFonts w:ascii="Calibri" w:hAnsi="Calibri"/>
                <w:w w:val="105"/>
                <w:sz w:val="13"/>
              </w:rPr>
              <w:t>±</w:t>
            </w:r>
            <w:r>
              <w:rPr>
                <w:w w:val="105"/>
                <w:sz w:val="13"/>
              </w:rPr>
              <w:t>1.8</w:t>
            </w:r>
          </w:p>
        </w:tc>
        <w:tc>
          <w:tcPr>
            <w:tcW w:w="775" w:type="dxa"/>
            <w:tcBorders>
              <w:left w:val="dotted" w:sz="4" w:space="0" w:color="30859C"/>
              <w:right w:val="dotted" w:sz="4" w:space="0" w:color="30859C"/>
            </w:tcBorders>
            <w:shd w:val="clear" w:color="auto" w:fill="B4EDEC"/>
          </w:tcPr>
          <w:p>
            <w:pPr>
              <w:pStyle w:val="TableParagraph"/>
              <w:spacing w:before="25"/>
              <w:ind w:left="19" w:right="20"/>
              <w:rPr>
                <w:sz w:val="13"/>
              </w:rPr>
            </w:pPr>
            <w:r>
              <w:rPr>
                <w:w w:val="105"/>
                <w:sz w:val="13"/>
              </w:rPr>
              <w:t>5.5</w:t>
            </w:r>
            <w:r>
              <w:rPr>
                <w:rFonts w:ascii="Calibri" w:hAnsi="Calibri"/>
                <w:w w:val="105"/>
                <w:sz w:val="13"/>
              </w:rPr>
              <w:t>±</w:t>
            </w:r>
            <w:r>
              <w:rPr>
                <w:w w:val="105"/>
                <w:sz w:val="13"/>
              </w:rPr>
              <w:t>3.6</w:t>
            </w:r>
          </w:p>
        </w:tc>
        <w:tc>
          <w:tcPr>
            <w:tcW w:w="775" w:type="dxa"/>
            <w:vMerge w:val="restart"/>
            <w:tcBorders>
              <w:left w:val="dotted" w:sz="4" w:space="0" w:color="30859C"/>
              <w:right w:val="dotted" w:sz="4" w:space="0" w:color="30859C"/>
            </w:tcBorders>
            <w:shd w:val="clear" w:color="auto" w:fill="B4EDEC"/>
          </w:tcPr>
          <w:p>
            <w:pPr>
              <w:pStyle w:val="TableParagraph"/>
              <w:spacing w:before="25"/>
              <w:ind w:left="158"/>
              <w:jc w:val="left"/>
              <w:rPr>
                <w:sz w:val="13"/>
              </w:rPr>
            </w:pPr>
            <w:r>
              <w:rPr>
                <w:w w:val="105"/>
                <w:sz w:val="13"/>
              </w:rPr>
              <w:t>5.7</w:t>
            </w:r>
            <w:r>
              <w:rPr>
                <w:rFonts w:ascii="Calibri" w:hAnsi="Calibri"/>
                <w:w w:val="105"/>
                <w:sz w:val="13"/>
              </w:rPr>
              <w:t>±</w:t>
            </w:r>
            <w:r>
              <w:rPr>
                <w:w w:val="105"/>
                <w:sz w:val="13"/>
              </w:rPr>
              <w:t>6.7</w:t>
            </w:r>
          </w:p>
          <w:p>
            <w:pPr>
              <w:pStyle w:val="TableParagraph"/>
              <w:spacing w:before="30"/>
              <w:ind w:left="251"/>
              <w:jc w:val="left"/>
              <w:rPr>
                <w:sz w:val="13"/>
              </w:rPr>
            </w:pPr>
            <w:r>
              <w:rPr>
                <w:w w:val="105"/>
                <w:sz w:val="13"/>
              </w:rPr>
              <w:t>0.30</w:t>
            </w:r>
          </w:p>
          <w:p>
            <w:pPr>
              <w:pStyle w:val="TableParagraph"/>
              <w:spacing w:before="35"/>
              <w:ind w:left="158"/>
              <w:jc w:val="left"/>
              <w:rPr>
                <w:sz w:val="13"/>
              </w:rPr>
            </w:pPr>
            <w:r>
              <w:rPr>
                <w:w w:val="105"/>
                <w:sz w:val="13"/>
              </w:rPr>
              <w:t>9.4</w:t>
            </w:r>
            <w:r>
              <w:rPr>
                <w:rFonts w:ascii="Calibri" w:hAnsi="Calibri"/>
                <w:w w:val="105"/>
                <w:sz w:val="13"/>
              </w:rPr>
              <w:t>±</w:t>
            </w:r>
            <w:r>
              <w:rPr>
                <w:w w:val="105"/>
                <w:sz w:val="13"/>
              </w:rPr>
              <w:t>6.1</w:t>
            </w:r>
          </w:p>
        </w:tc>
        <w:tc>
          <w:tcPr>
            <w:tcW w:w="775" w:type="dxa"/>
            <w:vMerge w:val="restart"/>
            <w:tcBorders>
              <w:left w:val="dotted" w:sz="4" w:space="0" w:color="30859C"/>
              <w:right w:val="dotted" w:sz="4" w:space="0" w:color="30859C"/>
            </w:tcBorders>
            <w:shd w:val="clear" w:color="auto" w:fill="B4EDEC"/>
          </w:tcPr>
          <w:p>
            <w:pPr>
              <w:pStyle w:val="TableParagraph"/>
              <w:spacing w:before="25"/>
              <w:ind w:left="158"/>
              <w:jc w:val="left"/>
              <w:rPr>
                <w:sz w:val="13"/>
              </w:rPr>
            </w:pPr>
            <w:r>
              <w:rPr>
                <w:w w:val="105"/>
                <w:sz w:val="13"/>
              </w:rPr>
              <w:t>4.2</w:t>
            </w:r>
            <w:r>
              <w:rPr>
                <w:rFonts w:ascii="Calibri" w:hAnsi="Calibri"/>
                <w:w w:val="105"/>
                <w:sz w:val="13"/>
              </w:rPr>
              <w:t>±</w:t>
            </w:r>
            <w:r>
              <w:rPr>
                <w:w w:val="105"/>
                <w:sz w:val="13"/>
              </w:rPr>
              <w:t>7.8</w:t>
            </w:r>
          </w:p>
          <w:p>
            <w:pPr>
              <w:pStyle w:val="TableParagraph"/>
              <w:spacing w:before="30"/>
              <w:ind w:left="252"/>
              <w:jc w:val="left"/>
              <w:rPr>
                <w:sz w:val="13"/>
              </w:rPr>
            </w:pPr>
            <w:r>
              <w:rPr>
                <w:w w:val="105"/>
                <w:sz w:val="13"/>
              </w:rPr>
              <w:t>0.26</w:t>
            </w:r>
          </w:p>
          <w:p>
            <w:pPr>
              <w:pStyle w:val="TableParagraph"/>
              <w:spacing w:before="35"/>
              <w:ind w:left="158"/>
              <w:jc w:val="left"/>
              <w:rPr>
                <w:sz w:val="13"/>
              </w:rPr>
            </w:pPr>
            <w:r>
              <w:rPr>
                <w:w w:val="105"/>
                <w:sz w:val="13"/>
              </w:rPr>
              <w:t>5.2</w:t>
            </w:r>
            <w:r>
              <w:rPr>
                <w:rFonts w:ascii="Calibri" w:hAnsi="Calibri"/>
                <w:w w:val="105"/>
                <w:sz w:val="13"/>
              </w:rPr>
              <w:t>±</w:t>
            </w:r>
            <w:r>
              <w:rPr>
                <w:w w:val="105"/>
                <w:sz w:val="13"/>
              </w:rPr>
              <w:t>6.2</w:t>
            </w:r>
          </w:p>
        </w:tc>
        <w:tc>
          <w:tcPr>
            <w:tcW w:w="775" w:type="dxa"/>
            <w:vMerge w:val="restart"/>
            <w:tcBorders>
              <w:left w:val="dotted" w:sz="4" w:space="0" w:color="30859C"/>
              <w:right w:val="dotted" w:sz="4" w:space="0" w:color="30859C"/>
            </w:tcBorders>
            <w:shd w:val="clear" w:color="auto" w:fill="B4EDEC"/>
          </w:tcPr>
          <w:p>
            <w:pPr>
              <w:pStyle w:val="TableParagraph"/>
              <w:spacing w:before="25"/>
              <w:ind w:left="159"/>
              <w:jc w:val="left"/>
              <w:rPr>
                <w:sz w:val="13"/>
              </w:rPr>
            </w:pPr>
            <w:r>
              <w:rPr>
                <w:w w:val="105"/>
                <w:sz w:val="13"/>
              </w:rPr>
              <w:t>1.7</w:t>
            </w:r>
            <w:r>
              <w:rPr>
                <w:rFonts w:ascii="Calibri" w:hAnsi="Calibri"/>
                <w:w w:val="105"/>
                <w:sz w:val="13"/>
              </w:rPr>
              <w:t>±</w:t>
            </w:r>
            <w:r>
              <w:rPr>
                <w:w w:val="105"/>
                <w:sz w:val="13"/>
              </w:rPr>
              <w:t>2.8</w:t>
            </w:r>
          </w:p>
          <w:p>
            <w:pPr>
              <w:pStyle w:val="TableParagraph"/>
              <w:spacing w:before="30"/>
              <w:ind w:left="252"/>
              <w:jc w:val="left"/>
              <w:rPr>
                <w:sz w:val="13"/>
              </w:rPr>
            </w:pPr>
            <w:r>
              <w:rPr>
                <w:w w:val="105"/>
                <w:sz w:val="13"/>
              </w:rPr>
              <w:t>0.53</w:t>
            </w:r>
          </w:p>
          <w:p>
            <w:pPr>
              <w:pStyle w:val="TableParagraph"/>
              <w:spacing w:before="35"/>
              <w:ind w:left="159"/>
              <w:jc w:val="left"/>
              <w:rPr>
                <w:sz w:val="13"/>
              </w:rPr>
            </w:pPr>
            <w:r>
              <w:rPr>
                <w:w w:val="105"/>
                <w:sz w:val="13"/>
              </w:rPr>
              <w:t>2.2</w:t>
            </w:r>
            <w:r>
              <w:rPr>
                <w:rFonts w:ascii="Calibri" w:hAnsi="Calibri"/>
                <w:w w:val="105"/>
                <w:sz w:val="13"/>
              </w:rPr>
              <w:t>±</w:t>
            </w:r>
            <w:r>
              <w:rPr>
                <w:w w:val="105"/>
                <w:sz w:val="13"/>
              </w:rPr>
              <w:t>2.6</w:t>
            </w:r>
          </w:p>
        </w:tc>
        <w:tc>
          <w:tcPr>
            <w:tcW w:w="775" w:type="dxa"/>
            <w:vMerge w:val="restart"/>
            <w:tcBorders>
              <w:left w:val="dotted" w:sz="4" w:space="0" w:color="30859C"/>
              <w:right w:val="dotted" w:sz="4" w:space="0" w:color="30859C"/>
            </w:tcBorders>
            <w:shd w:val="clear" w:color="auto" w:fill="B4EDEC"/>
          </w:tcPr>
          <w:p>
            <w:pPr>
              <w:pStyle w:val="TableParagraph"/>
              <w:spacing w:before="25"/>
              <w:ind w:left="160"/>
              <w:jc w:val="left"/>
              <w:rPr>
                <w:sz w:val="13"/>
              </w:rPr>
            </w:pPr>
            <w:r>
              <w:rPr>
                <w:w w:val="105"/>
                <w:sz w:val="13"/>
              </w:rPr>
              <w:t>6.0</w:t>
            </w:r>
            <w:r>
              <w:rPr>
                <w:rFonts w:ascii="Calibri" w:hAnsi="Calibri"/>
                <w:w w:val="105"/>
                <w:sz w:val="13"/>
              </w:rPr>
              <w:t>±</w:t>
            </w:r>
            <w:r>
              <w:rPr>
                <w:w w:val="105"/>
                <w:sz w:val="13"/>
              </w:rPr>
              <w:t>5.7</w:t>
            </w:r>
          </w:p>
          <w:p>
            <w:pPr>
              <w:pStyle w:val="TableParagraph"/>
              <w:spacing w:before="30"/>
              <w:ind w:left="24" w:right="20"/>
              <w:rPr>
                <w:sz w:val="13"/>
              </w:rPr>
            </w:pPr>
            <w:r>
              <w:rPr>
                <w:w w:val="105"/>
                <w:sz w:val="13"/>
              </w:rPr>
              <w:t>0.17</w:t>
            </w:r>
          </w:p>
          <w:p>
            <w:pPr>
              <w:pStyle w:val="TableParagraph"/>
              <w:spacing w:before="35"/>
              <w:ind w:left="24" w:right="20"/>
              <w:rPr>
                <w:sz w:val="13"/>
              </w:rPr>
            </w:pPr>
            <w:r>
              <w:rPr>
                <w:w w:val="105"/>
                <w:sz w:val="13"/>
              </w:rPr>
              <w:t>12.9</w:t>
            </w:r>
            <w:r>
              <w:rPr>
                <w:rFonts w:ascii="Calibri" w:hAnsi="Calibri"/>
                <w:w w:val="105"/>
                <w:sz w:val="13"/>
              </w:rPr>
              <w:t>±</w:t>
            </w:r>
            <w:r>
              <w:rPr>
                <w:w w:val="105"/>
                <w:sz w:val="13"/>
              </w:rPr>
              <w:t>12.1</w:t>
            </w:r>
          </w:p>
        </w:tc>
        <w:tc>
          <w:tcPr>
            <w:tcW w:w="770" w:type="dxa"/>
            <w:tcBorders>
              <w:left w:val="dotted" w:sz="4" w:space="0" w:color="30859C"/>
            </w:tcBorders>
            <w:shd w:val="clear" w:color="auto" w:fill="B4EDEC"/>
          </w:tcPr>
          <w:p>
            <w:pPr>
              <w:pStyle w:val="TableParagraph"/>
              <w:spacing w:before="25"/>
              <w:ind w:left="25" w:right="20"/>
              <w:rPr>
                <w:sz w:val="13"/>
              </w:rPr>
            </w:pPr>
            <w:r>
              <w:rPr>
                <w:w w:val="105"/>
                <w:sz w:val="13"/>
              </w:rPr>
              <w:t>26.2</w:t>
            </w:r>
            <w:r>
              <w:rPr>
                <w:rFonts w:ascii="Calibri" w:hAnsi="Calibri"/>
                <w:w w:val="105"/>
                <w:sz w:val="13"/>
              </w:rPr>
              <w:t>±</w:t>
            </w:r>
            <w:r>
              <w:rPr>
                <w:w w:val="105"/>
                <w:sz w:val="13"/>
              </w:rPr>
              <w:t>23.4</w:t>
            </w:r>
          </w:p>
        </w:tc>
      </w:tr>
      <w:tr>
        <w:trPr>
          <w:trHeight w:val="182" w:hRule="exact"/>
        </w:trPr>
        <w:tc>
          <w:tcPr>
            <w:tcW w:w="1075" w:type="dxa"/>
            <w:gridSpan w:val="2"/>
            <w:vMerge/>
            <w:shd w:val="clear" w:color="auto" w:fill="B4EDEC"/>
          </w:tcPr>
          <w:p>
            <w:pPr/>
          </w:p>
        </w:tc>
        <w:tc>
          <w:tcPr>
            <w:tcW w:w="475" w:type="dxa"/>
            <w:vMerge/>
            <w:shd w:val="clear" w:color="auto" w:fill="B4EDEC"/>
          </w:tcPr>
          <w:p>
            <w:pPr/>
          </w:p>
        </w:tc>
        <w:tc>
          <w:tcPr>
            <w:tcW w:w="388" w:type="dxa"/>
            <w:vMerge/>
            <w:tcBorders>
              <w:right w:val="dotted" w:sz="4" w:space="0" w:color="30859C"/>
            </w:tcBorders>
            <w:shd w:val="clear" w:color="auto" w:fill="B4EDEC"/>
          </w:tcPr>
          <w:p>
            <w:pPr/>
          </w:p>
        </w:tc>
        <w:tc>
          <w:tcPr>
            <w:tcW w:w="775" w:type="dxa"/>
            <w:vMerge/>
            <w:tcBorders>
              <w:left w:val="dotted" w:sz="4" w:space="0" w:color="30859C"/>
              <w:right w:val="dotted" w:sz="4" w:space="0" w:color="30859C"/>
            </w:tcBorders>
            <w:shd w:val="clear" w:color="auto" w:fill="B4EDEC"/>
          </w:tcPr>
          <w:p>
            <w:pPr/>
          </w:p>
        </w:tc>
        <w:tc>
          <w:tcPr>
            <w:tcW w:w="848" w:type="dxa"/>
            <w:vMerge/>
            <w:tcBorders>
              <w:left w:val="dotted" w:sz="4" w:space="0" w:color="30859C"/>
              <w:right w:val="dotted" w:sz="4" w:space="0" w:color="30859C"/>
            </w:tcBorders>
            <w:shd w:val="clear" w:color="auto" w:fill="B4EDEC"/>
          </w:tcPr>
          <w:p>
            <w:pPr/>
          </w:p>
        </w:tc>
        <w:tc>
          <w:tcPr>
            <w:tcW w:w="775" w:type="dxa"/>
            <w:tcBorders>
              <w:left w:val="dotted" w:sz="4" w:space="0" w:color="30859C"/>
              <w:right w:val="dotted" w:sz="4" w:space="0" w:color="30859C"/>
            </w:tcBorders>
            <w:shd w:val="clear" w:color="auto" w:fill="BEBEBE"/>
          </w:tcPr>
          <w:p>
            <w:pPr>
              <w:pStyle w:val="TableParagraph"/>
              <w:spacing w:before="21"/>
              <w:ind w:left="25" w:right="20"/>
              <w:rPr>
                <w:b/>
                <w:sz w:val="13"/>
              </w:rPr>
            </w:pPr>
            <w:r>
              <w:rPr>
                <w:b/>
                <w:w w:val="105"/>
                <w:sz w:val="13"/>
              </w:rPr>
              <w:t>0.01*</w:t>
            </w:r>
          </w:p>
        </w:tc>
        <w:tc>
          <w:tcPr>
            <w:tcW w:w="775" w:type="dxa"/>
            <w:vMerge/>
            <w:tcBorders>
              <w:left w:val="dotted" w:sz="4" w:space="0" w:color="30859C"/>
              <w:right w:val="dotted" w:sz="4" w:space="0" w:color="30859C"/>
            </w:tcBorders>
            <w:shd w:val="clear" w:color="auto" w:fill="B4EDEC"/>
          </w:tcPr>
          <w:p>
            <w:pPr/>
          </w:p>
        </w:tc>
        <w:tc>
          <w:tcPr>
            <w:tcW w:w="775" w:type="dxa"/>
            <w:vMerge/>
            <w:tcBorders>
              <w:left w:val="dotted" w:sz="4" w:space="0" w:color="30859C"/>
              <w:right w:val="dotted" w:sz="4" w:space="0" w:color="30859C"/>
            </w:tcBorders>
            <w:shd w:val="clear" w:color="auto" w:fill="B4EDEC"/>
          </w:tcPr>
          <w:p>
            <w:pPr/>
          </w:p>
        </w:tc>
        <w:tc>
          <w:tcPr>
            <w:tcW w:w="775" w:type="dxa"/>
            <w:vMerge/>
            <w:tcBorders>
              <w:left w:val="dotted" w:sz="4" w:space="0" w:color="30859C"/>
              <w:right w:val="dotted" w:sz="4" w:space="0" w:color="30859C"/>
            </w:tcBorders>
            <w:shd w:val="clear" w:color="auto" w:fill="B4EDEC"/>
          </w:tcPr>
          <w:p>
            <w:pPr/>
          </w:p>
        </w:tc>
        <w:tc>
          <w:tcPr>
            <w:tcW w:w="775" w:type="dxa"/>
            <w:vMerge/>
            <w:tcBorders>
              <w:left w:val="dotted" w:sz="4" w:space="0" w:color="30859C"/>
              <w:right w:val="dotted" w:sz="4" w:space="0" w:color="30859C"/>
            </w:tcBorders>
            <w:shd w:val="clear" w:color="auto" w:fill="B4EDEC"/>
          </w:tcPr>
          <w:p>
            <w:pPr/>
          </w:p>
        </w:tc>
        <w:tc>
          <w:tcPr>
            <w:tcW w:w="770" w:type="dxa"/>
            <w:tcBorders>
              <w:left w:val="dotted" w:sz="4" w:space="0" w:color="30859C"/>
            </w:tcBorders>
            <w:shd w:val="clear" w:color="auto" w:fill="BEBEBE"/>
          </w:tcPr>
          <w:p>
            <w:pPr>
              <w:pStyle w:val="TableParagraph"/>
              <w:spacing w:before="21"/>
              <w:ind w:left="35" w:right="20"/>
              <w:rPr>
                <w:b/>
                <w:sz w:val="13"/>
              </w:rPr>
            </w:pPr>
            <w:r>
              <w:rPr>
                <w:b/>
                <w:w w:val="105"/>
                <w:sz w:val="13"/>
              </w:rPr>
              <w:t>0.05*</w:t>
            </w:r>
          </w:p>
        </w:tc>
      </w:tr>
      <w:tr>
        <w:trPr>
          <w:trHeight w:val="192" w:hRule="exact"/>
        </w:trPr>
        <w:tc>
          <w:tcPr>
            <w:tcW w:w="1075" w:type="dxa"/>
            <w:gridSpan w:val="2"/>
            <w:vMerge/>
            <w:shd w:val="clear" w:color="auto" w:fill="B4EDEC"/>
          </w:tcPr>
          <w:p>
            <w:pPr/>
          </w:p>
        </w:tc>
        <w:tc>
          <w:tcPr>
            <w:tcW w:w="475" w:type="dxa"/>
            <w:vMerge/>
            <w:shd w:val="clear" w:color="auto" w:fill="B4EDEC"/>
          </w:tcPr>
          <w:p>
            <w:pPr/>
          </w:p>
        </w:tc>
        <w:tc>
          <w:tcPr>
            <w:tcW w:w="388" w:type="dxa"/>
            <w:vMerge/>
            <w:tcBorders>
              <w:right w:val="dotted" w:sz="4" w:space="0" w:color="30859C"/>
            </w:tcBorders>
            <w:shd w:val="clear" w:color="auto" w:fill="B4EDEC"/>
          </w:tcPr>
          <w:p>
            <w:pPr/>
          </w:p>
        </w:tc>
        <w:tc>
          <w:tcPr>
            <w:tcW w:w="775" w:type="dxa"/>
            <w:vMerge/>
            <w:tcBorders>
              <w:left w:val="dotted" w:sz="4" w:space="0" w:color="30859C"/>
              <w:right w:val="dotted" w:sz="4" w:space="0" w:color="30859C"/>
            </w:tcBorders>
            <w:shd w:val="clear" w:color="auto" w:fill="B4EDEC"/>
          </w:tcPr>
          <w:p>
            <w:pPr/>
          </w:p>
        </w:tc>
        <w:tc>
          <w:tcPr>
            <w:tcW w:w="848" w:type="dxa"/>
            <w:vMerge/>
            <w:tcBorders>
              <w:left w:val="dotted" w:sz="4" w:space="0" w:color="30859C"/>
              <w:right w:val="dotted" w:sz="4" w:space="0" w:color="30859C"/>
            </w:tcBorders>
            <w:shd w:val="clear" w:color="auto" w:fill="B4EDEC"/>
          </w:tcPr>
          <w:p>
            <w:pPr/>
          </w:p>
        </w:tc>
        <w:tc>
          <w:tcPr>
            <w:tcW w:w="775" w:type="dxa"/>
            <w:tcBorders>
              <w:left w:val="dotted" w:sz="4" w:space="0" w:color="30859C"/>
              <w:right w:val="dotted" w:sz="4" w:space="0" w:color="30859C"/>
            </w:tcBorders>
            <w:shd w:val="clear" w:color="auto" w:fill="B4EDEC"/>
          </w:tcPr>
          <w:p>
            <w:pPr>
              <w:pStyle w:val="TableParagraph"/>
              <w:spacing w:before="23"/>
              <w:ind w:left="26" w:right="20"/>
              <w:rPr>
                <w:sz w:val="13"/>
              </w:rPr>
            </w:pPr>
            <w:r>
              <w:rPr>
                <w:w w:val="105"/>
                <w:sz w:val="13"/>
              </w:rPr>
              <w:t>17.3</w:t>
            </w:r>
            <w:r>
              <w:rPr>
                <w:rFonts w:ascii="Calibri" w:hAnsi="Calibri"/>
                <w:w w:val="105"/>
                <w:sz w:val="13"/>
              </w:rPr>
              <w:t>±</w:t>
            </w:r>
            <w:r>
              <w:rPr>
                <w:w w:val="105"/>
                <w:sz w:val="13"/>
              </w:rPr>
              <w:t>9.1</w:t>
            </w:r>
          </w:p>
        </w:tc>
        <w:tc>
          <w:tcPr>
            <w:tcW w:w="775" w:type="dxa"/>
            <w:vMerge/>
            <w:tcBorders>
              <w:left w:val="dotted" w:sz="4" w:space="0" w:color="30859C"/>
              <w:right w:val="dotted" w:sz="4" w:space="0" w:color="30859C"/>
            </w:tcBorders>
            <w:shd w:val="clear" w:color="auto" w:fill="B4EDEC"/>
          </w:tcPr>
          <w:p>
            <w:pPr/>
          </w:p>
        </w:tc>
        <w:tc>
          <w:tcPr>
            <w:tcW w:w="775" w:type="dxa"/>
            <w:vMerge/>
            <w:tcBorders>
              <w:left w:val="dotted" w:sz="4" w:space="0" w:color="30859C"/>
              <w:right w:val="dotted" w:sz="4" w:space="0" w:color="30859C"/>
            </w:tcBorders>
            <w:shd w:val="clear" w:color="auto" w:fill="B4EDEC"/>
          </w:tcPr>
          <w:p>
            <w:pPr/>
          </w:p>
        </w:tc>
        <w:tc>
          <w:tcPr>
            <w:tcW w:w="775" w:type="dxa"/>
            <w:vMerge/>
            <w:tcBorders>
              <w:left w:val="dotted" w:sz="4" w:space="0" w:color="30859C"/>
              <w:right w:val="dotted" w:sz="4" w:space="0" w:color="30859C"/>
            </w:tcBorders>
            <w:shd w:val="clear" w:color="auto" w:fill="B4EDEC"/>
          </w:tcPr>
          <w:p>
            <w:pPr/>
          </w:p>
        </w:tc>
        <w:tc>
          <w:tcPr>
            <w:tcW w:w="775" w:type="dxa"/>
            <w:vMerge/>
            <w:tcBorders>
              <w:left w:val="dotted" w:sz="4" w:space="0" w:color="30859C"/>
              <w:right w:val="dotted" w:sz="4" w:space="0" w:color="30859C"/>
            </w:tcBorders>
            <w:shd w:val="clear" w:color="auto" w:fill="B4EDEC"/>
          </w:tcPr>
          <w:p>
            <w:pPr/>
          </w:p>
        </w:tc>
        <w:tc>
          <w:tcPr>
            <w:tcW w:w="770" w:type="dxa"/>
            <w:tcBorders>
              <w:left w:val="dotted" w:sz="4" w:space="0" w:color="30859C"/>
            </w:tcBorders>
            <w:shd w:val="clear" w:color="auto" w:fill="B4EDEC"/>
          </w:tcPr>
          <w:p>
            <w:pPr>
              <w:pStyle w:val="TableParagraph"/>
              <w:spacing w:before="23"/>
              <w:ind w:left="25" w:right="20"/>
              <w:rPr>
                <w:sz w:val="13"/>
              </w:rPr>
            </w:pPr>
            <w:r>
              <w:rPr>
                <w:w w:val="105"/>
                <w:sz w:val="13"/>
              </w:rPr>
              <w:t>49.0</w:t>
            </w:r>
            <w:r>
              <w:rPr>
                <w:rFonts w:ascii="Calibri" w:hAnsi="Calibri"/>
                <w:w w:val="105"/>
                <w:sz w:val="13"/>
              </w:rPr>
              <w:t>±</w:t>
            </w:r>
            <w:r>
              <w:rPr>
                <w:w w:val="105"/>
                <w:sz w:val="13"/>
              </w:rPr>
              <w:t>20.2</w:t>
            </w:r>
          </w:p>
        </w:tc>
      </w:tr>
      <w:tr>
        <w:trPr>
          <w:trHeight w:val="557" w:hRule="exact"/>
        </w:trPr>
        <w:tc>
          <w:tcPr>
            <w:tcW w:w="1075" w:type="dxa"/>
            <w:gridSpan w:val="2"/>
            <w:shd w:val="clear" w:color="auto" w:fill="77DFDD"/>
          </w:tcPr>
          <w:p>
            <w:pPr>
              <w:pStyle w:val="TableParagraph"/>
              <w:spacing w:before="19"/>
              <w:ind w:left="110" w:right="117"/>
              <w:rPr>
                <w:b/>
                <w:sz w:val="13"/>
              </w:rPr>
            </w:pPr>
            <w:r>
              <w:rPr>
                <w:b/>
                <w:w w:val="105"/>
                <w:sz w:val="13"/>
              </w:rPr>
              <w:t>Tratamiento</w:t>
            </w:r>
          </w:p>
          <w:p>
            <w:pPr>
              <w:pStyle w:val="TableParagraph"/>
              <w:spacing w:before="33"/>
              <w:ind w:left="106" w:right="117"/>
              <w:rPr>
                <w:b/>
                <w:sz w:val="13"/>
              </w:rPr>
            </w:pPr>
            <w:r>
              <w:rPr>
                <w:b/>
                <w:w w:val="105"/>
                <w:sz w:val="13"/>
              </w:rPr>
              <w:t>dental</w:t>
            </w:r>
          </w:p>
        </w:tc>
        <w:tc>
          <w:tcPr>
            <w:tcW w:w="475" w:type="dxa"/>
            <w:shd w:val="clear" w:color="auto" w:fill="77DFDD"/>
          </w:tcPr>
          <w:p>
            <w:pPr>
              <w:pStyle w:val="TableParagraph"/>
              <w:spacing w:before="19"/>
              <w:ind w:left="18"/>
              <w:jc w:val="left"/>
              <w:rPr>
                <w:sz w:val="13"/>
              </w:rPr>
            </w:pPr>
            <w:r>
              <w:rPr>
                <w:w w:val="105"/>
                <w:sz w:val="13"/>
              </w:rPr>
              <w:t>Si</w:t>
            </w:r>
          </w:p>
          <w:p>
            <w:pPr>
              <w:pStyle w:val="TableParagraph"/>
              <w:spacing w:before="0"/>
              <w:jc w:val="left"/>
              <w:rPr>
                <w:b/>
                <w:sz w:val="12"/>
              </w:rPr>
            </w:pPr>
          </w:p>
          <w:p>
            <w:pPr>
              <w:pStyle w:val="TableParagraph"/>
              <w:spacing w:before="85"/>
              <w:ind w:left="18"/>
              <w:jc w:val="left"/>
              <w:rPr>
                <w:sz w:val="13"/>
              </w:rPr>
            </w:pPr>
            <w:r>
              <w:rPr>
                <w:w w:val="105"/>
                <w:sz w:val="13"/>
              </w:rPr>
              <w:t>No</w:t>
            </w:r>
          </w:p>
        </w:tc>
        <w:tc>
          <w:tcPr>
            <w:tcW w:w="388" w:type="dxa"/>
            <w:tcBorders>
              <w:right w:val="dotted" w:sz="4" w:space="0" w:color="30859C"/>
            </w:tcBorders>
            <w:shd w:val="clear" w:color="auto" w:fill="77DFDD"/>
          </w:tcPr>
          <w:p>
            <w:pPr>
              <w:pStyle w:val="TableParagraph"/>
              <w:spacing w:before="10"/>
              <w:jc w:val="left"/>
              <w:rPr>
                <w:b/>
                <w:sz w:val="17"/>
              </w:rPr>
            </w:pPr>
          </w:p>
          <w:p>
            <w:pPr>
              <w:pStyle w:val="TableParagraph"/>
              <w:spacing w:before="0"/>
              <w:ind w:right="9"/>
              <w:jc w:val="right"/>
              <w:rPr>
                <w:b/>
                <w:sz w:val="13"/>
              </w:rPr>
            </w:pPr>
            <w:r>
              <w:rPr>
                <w:b/>
                <w:w w:val="103"/>
                <w:sz w:val="13"/>
              </w:rPr>
              <w:t>p</w:t>
            </w:r>
          </w:p>
        </w:tc>
        <w:tc>
          <w:tcPr>
            <w:tcW w:w="775" w:type="dxa"/>
            <w:tcBorders>
              <w:left w:val="dotted" w:sz="4" w:space="0" w:color="30859C"/>
              <w:right w:val="dotted" w:sz="4" w:space="0" w:color="30859C"/>
            </w:tcBorders>
            <w:shd w:val="clear" w:color="auto" w:fill="77DFDD"/>
          </w:tcPr>
          <w:p>
            <w:pPr>
              <w:pStyle w:val="TableParagraph"/>
              <w:spacing w:before="17"/>
              <w:ind w:left="149"/>
              <w:jc w:val="left"/>
              <w:rPr>
                <w:sz w:val="13"/>
              </w:rPr>
            </w:pPr>
            <w:r>
              <w:rPr>
                <w:w w:val="105"/>
                <w:sz w:val="13"/>
              </w:rPr>
              <w:t>1.0</w:t>
            </w:r>
            <w:r>
              <w:rPr>
                <w:rFonts w:ascii="Calibri" w:hAnsi="Calibri"/>
                <w:w w:val="105"/>
                <w:sz w:val="13"/>
              </w:rPr>
              <w:t>±</w:t>
            </w:r>
            <w:r>
              <w:rPr>
                <w:w w:val="105"/>
                <w:sz w:val="13"/>
              </w:rPr>
              <w:t>0.0</w:t>
            </w:r>
          </w:p>
          <w:p>
            <w:pPr>
              <w:pStyle w:val="TableParagraph"/>
              <w:spacing w:before="30"/>
              <w:ind w:left="242"/>
              <w:jc w:val="left"/>
              <w:rPr>
                <w:sz w:val="13"/>
              </w:rPr>
            </w:pPr>
            <w:r>
              <w:rPr>
                <w:w w:val="105"/>
                <w:sz w:val="13"/>
              </w:rPr>
              <w:t>0.25</w:t>
            </w:r>
          </w:p>
          <w:p>
            <w:pPr>
              <w:pStyle w:val="TableParagraph"/>
              <w:spacing w:before="35"/>
              <w:ind w:left="149"/>
              <w:jc w:val="left"/>
              <w:rPr>
                <w:sz w:val="13"/>
              </w:rPr>
            </w:pPr>
            <w:r>
              <w:rPr>
                <w:w w:val="105"/>
                <w:sz w:val="13"/>
              </w:rPr>
              <w:t>0.4</w:t>
            </w:r>
            <w:r>
              <w:rPr>
                <w:rFonts w:ascii="Calibri" w:hAnsi="Calibri"/>
                <w:w w:val="105"/>
                <w:sz w:val="13"/>
              </w:rPr>
              <w:t>±</w:t>
            </w:r>
            <w:r>
              <w:rPr>
                <w:w w:val="105"/>
                <w:sz w:val="13"/>
              </w:rPr>
              <w:t>0.7</w:t>
            </w:r>
          </w:p>
        </w:tc>
        <w:tc>
          <w:tcPr>
            <w:tcW w:w="848" w:type="dxa"/>
            <w:tcBorders>
              <w:left w:val="dotted" w:sz="4" w:space="0" w:color="30859C"/>
              <w:right w:val="dotted" w:sz="4" w:space="0" w:color="30859C"/>
            </w:tcBorders>
            <w:shd w:val="clear" w:color="auto" w:fill="77DFDD"/>
          </w:tcPr>
          <w:p>
            <w:pPr>
              <w:pStyle w:val="TableParagraph"/>
              <w:spacing w:before="17"/>
              <w:ind w:left="138" w:right="142"/>
              <w:rPr>
                <w:sz w:val="13"/>
              </w:rPr>
            </w:pPr>
            <w:r>
              <w:rPr>
                <w:w w:val="105"/>
                <w:sz w:val="13"/>
              </w:rPr>
              <w:t>3.0</w:t>
            </w:r>
            <w:r>
              <w:rPr>
                <w:rFonts w:ascii="Calibri" w:hAnsi="Calibri"/>
                <w:w w:val="105"/>
                <w:sz w:val="13"/>
              </w:rPr>
              <w:t>±</w:t>
            </w:r>
            <w:r>
              <w:rPr>
                <w:w w:val="105"/>
                <w:sz w:val="13"/>
              </w:rPr>
              <w:t>0.0</w:t>
            </w:r>
          </w:p>
          <w:p>
            <w:pPr>
              <w:pStyle w:val="TableParagraph"/>
              <w:spacing w:before="30"/>
              <w:ind w:left="138" w:right="142"/>
              <w:rPr>
                <w:sz w:val="13"/>
              </w:rPr>
            </w:pPr>
            <w:r>
              <w:rPr>
                <w:w w:val="105"/>
                <w:sz w:val="13"/>
              </w:rPr>
              <w:t>0.31</w:t>
            </w:r>
          </w:p>
          <w:p>
            <w:pPr>
              <w:pStyle w:val="TableParagraph"/>
              <w:spacing w:before="35"/>
              <w:ind w:left="138" w:right="142"/>
              <w:rPr>
                <w:sz w:val="13"/>
              </w:rPr>
            </w:pPr>
            <w:r>
              <w:rPr>
                <w:w w:val="105"/>
                <w:sz w:val="13"/>
              </w:rPr>
              <w:t>1.7</w:t>
            </w:r>
            <w:r>
              <w:rPr>
                <w:rFonts w:ascii="Calibri" w:hAnsi="Calibri"/>
                <w:w w:val="105"/>
                <w:sz w:val="13"/>
              </w:rPr>
              <w:t>±</w:t>
            </w:r>
            <w:r>
              <w:rPr>
                <w:w w:val="105"/>
                <w:sz w:val="13"/>
              </w:rPr>
              <w:t>1.8</w:t>
            </w:r>
          </w:p>
        </w:tc>
        <w:tc>
          <w:tcPr>
            <w:tcW w:w="775" w:type="dxa"/>
            <w:tcBorders>
              <w:left w:val="dotted" w:sz="4" w:space="0" w:color="30859C"/>
              <w:right w:val="dotted" w:sz="4" w:space="0" w:color="30859C"/>
            </w:tcBorders>
            <w:shd w:val="clear" w:color="auto" w:fill="77DFDD"/>
          </w:tcPr>
          <w:p>
            <w:pPr>
              <w:pStyle w:val="TableParagraph"/>
              <w:spacing w:before="17"/>
              <w:ind w:left="157"/>
              <w:jc w:val="left"/>
              <w:rPr>
                <w:sz w:val="13"/>
              </w:rPr>
            </w:pPr>
            <w:r>
              <w:rPr>
                <w:w w:val="105"/>
                <w:sz w:val="13"/>
              </w:rPr>
              <w:t>3.0</w:t>
            </w:r>
            <w:r>
              <w:rPr>
                <w:rFonts w:ascii="Calibri" w:hAnsi="Calibri"/>
                <w:w w:val="105"/>
                <w:sz w:val="13"/>
              </w:rPr>
              <w:t>±</w:t>
            </w:r>
            <w:r>
              <w:rPr>
                <w:w w:val="105"/>
                <w:sz w:val="13"/>
              </w:rPr>
              <w:t>0.0</w:t>
            </w:r>
          </w:p>
          <w:p>
            <w:pPr>
              <w:pStyle w:val="TableParagraph"/>
              <w:spacing w:before="30"/>
              <w:ind w:left="19" w:right="20"/>
              <w:rPr>
                <w:sz w:val="13"/>
              </w:rPr>
            </w:pPr>
            <w:r>
              <w:rPr>
                <w:w w:val="105"/>
                <w:sz w:val="13"/>
              </w:rPr>
              <w:t>0.13</w:t>
            </w:r>
          </w:p>
          <w:p>
            <w:pPr>
              <w:pStyle w:val="TableParagraph"/>
              <w:spacing w:before="35"/>
              <w:ind w:left="26" w:right="20"/>
              <w:rPr>
                <w:sz w:val="13"/>
              </w:rPr>
            </w:pPr>
            <w:r>
              <w:rPr>
                <w:w w:val="105"/>
                <w:sz w:val="13"/>
              </w:rPr>
              <w:t>16.8</w:t>
            </w:r>
            <w:r>
              <w:rPr>
                <w:rFonts w:ascii="Calibri" w:hAnsi="Calibri"/>
                <w:w w:val="105"/>
                <w:sz w:val="13"/>
              </w:rPr>
              <w:t>±</w:t>
            </w:r>
            <w:r>
              <w:rPr>
                <w:w w:val="105"/>
                <w:sz w:val="13"/>
              </w:rPr>
              <w:t>9.3</w:t>
            </w:r>
          </w:p>
        </w:tc>
        <w:tc>
          <w:tcPr>
            <w:tcW w:w="775" w:type="dxa"/>
            <w:tcBorders>
              <w:left w:val="dotted" w:sz="4" w:space="0" w:color="30859C"/>
              <w:right w:val="dotted" w:sz="4" w:space="0" w:color="30859C"/>
            </w:tcBorders>
            <w:shd w:val="clear" w:color="auto" w:fill="77DFDD"/>
          </w:tcPr>
          <w:p>
            <w:pPr>
              <w:pStyle w:val="TableParagraph"/>
              <w:spacing w:before="17"/>
              <w:ind w:left="158"/>
              <w:jc w:val="left"/>
              <w:rPr>
                <w:sz w:val="13"/>
              </w:rPr>
            </w:pPr>
            <w:r>
              <w:rPr>
                <w:w w:val="105"/>
                <w:sz w:val="13"/>
              </w:rPr>
              <w:t>0.0</w:t>
            </w:r>
            <w:r>
              <w:rPr>
                <w:rFonts w:ascii="Calibri" w:hAnsi="Calibri"/>
                <w:w w:val="105"/>
                <w:sz w:val="13"/>
              </w:rPr>
              <w:t>±</w:t>
            </w:r>
            <w:r>
              <w:rPr>
                <w:w w:val="105"/>
                <w:sz w:val="13"/>
              </w:rPr>
              <w:t>0.0</w:t>
            </w:r>
          </w:p>
          <w:p>
            <w:pPr>
              <w:pStyle w:val="TableParagraph"/>
              <w:spacing w:before="30"/>
              <w:ind w:left="251"/>
              <w:jc w:val="left"/>
              <w:rPr>
                <w:sz w:val="13"/>
              </w:rPr>
            </w:pPr>
            <w:r>
              <w:rPr>
                <w:w w:val="105"/>
                <w:sz w:val="13"/>
              </w:rPr>
              <w:t>0.09</w:t>
            </w:r>
          </w:p>
          <w:p>
            <w:pPr>
              <w:pStyle w:val="TableParagraph"/>
              <w:spacing w:before="35"/>
              <w:ind w:left="158"/>
              <w:jc w:val="left"/>
              <w:rPr>
                <w:sz w:val="13"/>
              </w:rPr>
            </w:pPr>
            <w:r>
              <w:rPr>
                <w:w w:val="105"/>
                <w:sz w:val="13"/>
              </w:rPr>
              <w:t>9.3</w:t>
            </w:r>
            <w:r>
              <w:rPr>
                <w:rFonts w:ascii="Calibri" w:hAnsi="Calibri"/>
                <w:w w:val="105"/>
                <w:sz w:val="13"/>
              </w:rPr>
              <w:t>±</w:t>
            </w:r>
            <w:r>
              <w:rPr>
                <w:w w:val="105"/>
                <w:sz w:val="13"/>
              </w:rPr>
              <w:t>6.1</w:t>
            </w:r>
          </w:p>
        </w:tc>
        <w:tc>
          <w:tcPr>
            <w:tcW w:w="775" w:type="dxa"/>
            <w:tcBorders>
              <w:left w:val="dotted" w:sz="4" w:space="0" w:color="30859C"/>
              <w:right w:val="dotted" w:sz="4" w:space="0" w:color="30859C"/>
            </w:tcBorders>
            <w:shd w:val="clear" w:color="auto" w:fill="77DFDD"/>
          </w:tcPr>
          <w:p>
            <w:pPr>
              <w:pStyle w:val="TableParagraph"/>
              <w:spacing w:before="17"/>
              <w:ind w:left="158"/>
              <w:jc w:val="left"/>
              <w:rPr>
                <w:sz w:val="13"/>
              </w:rPr>
            </w:pPr>
            <w:r>
              <w:rPr>
                <w:w w:val="105"/>
                <w:sz w:val="13"/>
              </w:rPr>
              <w:t>1.0</w:t>
            </w:r>
            <w:r>
              <w:rPr>
                <w:rFonts w:ascii="Calibri" w:hAnsi="Calibri"/>
                <w:w w:val="105"/>
                <w:sz w:val="13"/>
              </w:rPr>
              <w:t>±</w:t>
            </w:r>
            <w:r>
              <w:rPr>
                <w:w w:val="105"/>
                <w:sz w:val="13"/>
              </w:rPr>
              <w:t>0.0</w:t>
            </w:r>
          </w:p>
          <w:p>
            <w:pPr>
              <w:pStyle w:val="TableParagraph"/>
              <w:spacing w:before="30"/>
              <w:ind w:left="252"/>
              <w:jc w:val="left"/>
              <w:rPr>
                <w:sz w:val="13"/>
              </w:rPr>
            </w:pPr>
            <w:r>
              <w:rPr>
                <w:w w:val="105"/>
                <w:sz w:val="13"/>
              </w:rPr>
              <w:t>0.43</w:t>
            </w:r>
          </w:p>
          <w:p>
            <w:pPr>
              <w:pStyle w:val="TableParagraph"/>
              <w:spacing w:before="35"/>
              <w:ind w:left="158"/>
              <w:jc w:val="left"/>
              <w:rPr>
                <w:sz w:val="13"/>
              </w:rPr>
            </w:pPr>
            <w:r>
              <w:rPr>
                <w:w w:val="105"/>
                <w:sz w:val="13"/>
              </w:rPr>
              <w:t>5.2</w:t>
            </w:r>
            <w:r>
              <w:rPr>
                <w:rFonts w:ascii="Calibri" w:hAnsi="Calibri"/>
                <w:w w:val="105"/>
                <w:sz w:val="13"/>
              </w:rPr>
              <w:t>±</w:t>
            </w:r>
            <w:r>
              <w:rPr>
                <w:w w:val="105"/>
                <w:sz w:val="13"/>
              </w:rPr>
              <w:t>6.3</w:t>
            </w:r>
          </w:p>
        </w:tc>
        <w:tc>
          <w:tcPr>
            <w:tcW w:w="775" w:type="dxa"/>
            <w:tcBorders>
              <w:left w:val="dotted" w:sz="4" w:space="0" w:color="30859C"/>
              <w:right w:val="dotted" w:sz="4" w:space="0" w:color="30859C"/>
            </w:tcBorders>
            <w:shd w:val="clear" w:color="auto" w:fill="77DFDD"/>
          </w:tcPr>
          <w:p>
            <w:pPr>
              <w:pStyle w:val="TableParagraph"/>
              <w:spacing w:before="17"/>
              <w:ind w:left="159"/>
              <w:jc w:val="left"/>
              <w:rPr>
                <w:sz w:val="13"/>
              </w:rPr>
            </w:pPr>
            <w:r>
              <w:rPr>
                <w:w w:val="105"/>
                <w:sz w:val="13"/>
              </w:rPr>
              <w:t>0.0</w:t>
            </w:r>
            <w:r>
              <w:rPr>
                <w:rFonts w:ascii="Calibri" w:hAnsi="Calibri"/>
                <w:w w:val="105"/>
                <w:sz w:val="13"/>
              </w:rPr>
              <w:t>±</w:t>
            </w:r>
            <w:r>
              <w:rPr>
                <w:w w:val="105"/>
                <w:sz w:val="13"/>
              </w:rPr>
              <w:t>0.0</w:t>
            </w:r>
          </w:p>
          <w:p>
            <w:pPr>
              <w:pStyle w:val="TableParagraph"/>
              <w:spacing w:before="30"/>
              <w:ind w:left="252"/>
              <w:jc w:val="left"/>
              <w:rPr>
                <w:sz w:val="13"/>
              </w:rPr>
            </w:pPr>
            <w:r>
              <w:rPr>
                <w:w w:val="105"/>
                <w:sz w:val="13"/>
              </w:rPr>
              <w:t>0.22</w:t>
            </w:r>
          </w:p>
          <w:p>
            <w:pPr>
              <w:pStyle w:val="TableParagraph"/>
              <w:spacing w:before="35"/>
              <w:ind w:left="159"/>
              <w:jc w:val="left"/>
              <w:rPr>
                <w:sz w:val="13"/>
              </w:rPr>
            </w:pPr>
            <w:r>
              <w:rPr>
                <w:w w:val="105"/>
                <w:sz w:val="13"/>
              </w:rPr>
              <w:t>2.2</w:t>
            </w:r>
            <w:r>
              <w:rPr>
                <w:rFonts w:ascii="Calibri" w:hAnsi="Calibri"/>
                <w:w w:val="105"/>
                <w:sz w:val="13"/>
              </w:rPr>
              <w:t>±</w:t>
            </w:r>
            <w:r>
              <w:rPr>
                <w:w w:val="105"/>
                <w:sz w:val="13"/>
              </w:rPr>
              <w:t>2.6</w:t>
            </w:r>
          </w:p>
        </w:tc>
        <w:tc>
          <w:tcPr>
            <w:tcW w:w="775" w:type="dxa"/>
            <w:tcBorders>
              <w:left w:val="dotted" w:sz="4" w:space="0" w:color="30859C"/>
              <w:right w:val="dotted" w:sz="4" w:space="0" w:color="30859C"/>
            </w:tcBorders>
            <w:shd w:val="clear" w:color="auto" w:fill="77DFDD"/>
          </w:tcPr>
          <w:p>
            <w:pPr>
              <w:pStyle w:val="TableParagraph"/>
              <w:spacing w:before="17"/>
              <w:ind w:left="160"/>
              <w:jc w:val="left"/>
              <w:rPr>
                <w:sz w:val="13"/>
              </w:rPr>
            </w:pPr>
            <w:r>
              <w:rPr>
                <w:w w:val="105"/>
                <w:sz w:val="13"/>
              </w:rPr>
              <w:t>1.0</w:t>
            </w:r>
            <w:r>
              <w:rPr>
                <w:rFonts w:ascii="Calibri" w:hAnsi="Calibri"/>
                <w:w w:val="105"/>
                <w:sz w:val="13"/>
              </w:rPr>
              <w:t>±</w:t>
            </w:r>
            <w:r>
              <w:rPr>
                <w:w w:val="105"/>
                <w:sz w:val="13"/>
              </w:rPr>
              <w:t>0.0</w:t>
            </w:r>
          </w:p>
          <w:p>
            <w:pPr>
              <w:pStyle w:val="TableParagraph"/>
              <w:spacing w:before="30"/>
              <w:ind w:left="24" w:right="20"/>
              <w:rPr>
                <w:sz w:val="13"/>
              </w:rPr>
            </w:pPr>
            <w:r>
              <w:rPr>
                <w:w w:val="105"/>
                <w:sz w:val="13"/>
              </w:rPr>
              <w:t>0.11</w:t>
            </w:r>
          </w:p>
          <w:p>
            <w:pPr>
              <w:pStyle w:val="TableParagraph"/>
              <w:spacing w:before="35"/>
              <w:ind w:left="24" w:right="20"/>
              <w:rPr>
                <w:sz w:val="13"/>
              </w:rPr>
            </w:pPr>
            <w:r>
              <w:rPr>
                <w:w w:val="105"/>
                <w:sz w:val="13"/>
              </w:rPr>
              <w:t>12.6</w:t>
            </w:r>
            <w:r>
              <w:rPr>
                <w:rFonts w:ascii="Calibri" w:hAnsi="Calibri"/>
                <w:w w:val="105"/>
                <w:sz w:val="13"/>
              </w:rPr>
              <w:t>±</w:t>
            </w:r>
            <w:r>
              <w:rPr>
                <w:w w:val="105"/>
                <w:sz w:val="13"/>
              </w:rPr>
              <w:t>11.9</w:t>
            </w:r>
          </w:p>
        </w:tc>
        <w:tc>
          <w:tcPr>
            <w:tcW w:w="770" w:type="dxa"/>
            <w:tcBorders>
              <w:left w:val="dotted" w:sz="4" w:space="0" w:color="30859C"/>
            </w:tcBorders>
            <w:shd w:val="clear" w:color="auto" w:fill="77DFDD"/>
          </w:tcPr>
          <w:p>
            <w:pPr>
              <w:pStyle w:val="TableParagraph"/>
              <w:spacing w:before="17"/>
              <w:ind w:left="161"/>
              <w:jc w:val="left"/>
              <w:rPr>
                <w:sz w:val="13"/>
              </w:rPr>
            </w:pPr>
            <w:r>
              <w:rPr>
                <w:w w:val="105"/>
                <w:sz w:val="13"/>
              </w:rPr>
              <w:t>8.0</w:t>
            </w:r>
            <w:r>
              <w:rPr>
                <w:rFonts w:ascii="Calibri" w:hAnsi="Calibri"/>
                <w:w w:val="105"/>
                <w:sz w:val="13"/>
              </w:rPr>
              <w:t>±</w:t>
            </w:r>
            <w:r>
              <w:rPr>
                <w:w w:val="105"/>
                <w:sz w:val="13"/>
              </w:rPr>
              <w:t>0.0</w:t>
            </w:r>
          </w:p>
          <w:p>
            <w:pPr>
              <w:pStyle w:val="TableParagraph"/>
              <w:spacing w:before="30"/>
              <w:ind w:left="25" w:right="20"/>
              <w:rPr>
                <w:sz w:val="13"/>
              </w:rPr>
            </w:pPr>
            <w:r>
              <w:rPr>
                <w:w w:val="105"/>
                <w:sz w:val="13"/>
              </w:rPr>
              <w:t>0.09</w:t>
            </w:r>
          </w:p>
          <w:p>
            <w:pPr>
              <w:pStyle w:val="TableParagraph"/>
              <w:spacing w:before="35"/>
              <w:ind w:left="25" w:right="20"/>
              <w:rPr>
                <w:sz w:val="13"/>
              </w:rPr>
            </w:pPr>
            <w:r>
              <w:rPr>
                <w:w w:val="105"/>
                <w:sz w:val="13"/>
              </w:rPr>
              <w:t>48.2</w:t>
            </w:r>
            <w:r>
              <w:rPr>
                <w:rFonts w:ascii="Calibri" w:hAnsi="Calibri"/>
                <w:w w:val="105"/>
                <w:sz w:val="13"/>
              </w:rPr>
              <w:t>±</w:t>
            </w:r>
            <w:r>
              <w:rPr>
                <w:w w:val="105"/>
                <w:sz w:val="13"/>
              </w:rPr>
              <w:t>20.5</w:t>
            </w:r>
          </w:p>
        </w:tc>
      </w:tr>
      <w:tr>
        <w:trPr>
          <w:trHeight w:val="557" w:hRule="exact"/>
        </w:trPr>
        <w:tc>
          <w:tcPr>
            <w:tcW w:w="300" w:type="dxa"/>
            <w:vMerge w:val="restart"/>
            <w:shd w:val="clear" w:color="auto" w:fill="B4EDEC"/>
            <w:textDirection w:val="btLr"/>
          </w:tcPr>
          <w:p>
            <w:pPr>
              <w:pStyle w:val="TableParagraph"/>
              <w:spacing w:before="38"/>
              <w:ind w:left="2097" w:right="2096"/>
              <w:rPr>
                <w:b/>
                <w:sz w:val="13"/>
              </w:rPr>
            </w:pPr>
            <w:r>
              <w:rPr>
                <w:b/>
                <w:spacing w:val="-4"/>
                <w:w w:val="101"/>
                <w:sz w:val="13"/>
              </w:rPr>
              <w:t>C</w:t>
            </w:r>
            <w:r>
              <w:rPr>
                <w:b/>
                <w:w w:val="101"/>
                <w:sz w:val="13"/>
              </w:rPr>
              <w:t>on</w:t>
            </w:r>
            <w:r>
              <w:rPr>
                <w:b/>
                <w:spacing w:val="-3"/>
                <w:w w:val="101"/>
                <w:sz w:val="13"/>
              </w:rPr>
              <w:t>s</w:t>
            </w:r>
            <w:r>
              <w:rPr>
                <w:b/>
                <w:w w:val="101"/>
                <w:sz w:val="13"/>
              </w:rPr>
              <w:t>u</w:t>
            </w:r>
            <w:r>
              <w:rPr>
                <w:b/>
                <w:spacing w:val="4"/>
                <w:w w:val="101"/>
                <w:sz w:val="13"/>
              </w:rPr>
              <w:t>m</w:t>
            </w:r>
            <w:r>
              <w:rPr>
                <w:b/>
                <w:w w:val="101"/>
                <w:sz w:val="13"/>
              </w:rPr>
              <w:t>o</w:t>
            </w:r>
            <w:r>
              <w:rPr>
                <w:b/>
                <w:spacing w:val="4"/>
                <w:sz w:val="13"/>
              </w:rPr>
              <w:t> </w:t>
            </w:r>
            <w:r>
              <w:rPr>
                <w:b/>
                <w:w w:val="101"/>
                <w:sz w:val="13"/>
              </w:rPr>
              <w:t>d</w:t>
            </w:r>
            <w:r>
              <w:rPr>
                <w:b/>
                <w:w w:val="101"/>
                <w:sz w:val="13"/>
              </w:rPr>
              <w:t>e</w:t>
            </w:r>
          </w:p>
        </w:tc>
        <w:tc>
          <w:tcPr>
            <w:tcW w:w="775" w:type="dxa"/>
            <w:shd w:val="clear" w:color="auto" w:fill="B4EDEC"/>
          </w:tcPr>
          <w:p>
            <w:pPr>
              <w:pStyle w:val="TableParagraph"/>
              <w:spacing w:before="8"/>
              <w:jc w:val="left"/>
              <w:rPr>
                <w:b/>
                <w:sz w:val="17"/>
              </w:rPr>
            </w:pPr>
          </w:p>
          <w:p>
            <w:pPr>
              <w:pStyle w:val="TableParagraph"/>
              <w:spacing w:before="0"/>
              <w:ind w:left="17"/>
              <w:jc w:val="left"/>
              <w:rPr>
                <w:b/>
                <w:sz w:val="13"/>
              </w:rPr>
            </w:pPr>
            <w:r>
              <w:rPr>
                <w:b/>
                <w:w w:val="105"/>
                <w:sz w:val="13"/>
              </w:rPr>
              <w:t>Enlatados</w:t>
            </w:r>
          </w:p>
        </w:tc>
        <w:tc>
          <w:tcPr>
            <w:tcW w:w="475" w:type="dxa"/>
            <w:shd w:val="clear" w:color="auto" w:fill="B4EDEC"/>
          </w:tcPr>
          <w:p>
            <w:pPr>
              <w:pStyle w:val="TableParagraph"/>
              <w:spacing w:before="22"/>
              <w:ind w:left="18"/>
              <w:jc w:val="left"/>
              <w:rPr>
                <w:sz w:val="13"/>
              </w:rPr>
            </w:pPr>
            <w:r>
              <w:rPr>
                <w:w w:val="105"/>
                <w:sz w:val="13"/>
              </w:rPr>
              <w:t>Si</w:t>
            </w:r>
          </w:p>
          <w:p>
            <w:pPr>
              <w:pStyle w:val="TableParagraph"/>
              <w:spacing w:before="0"/>
              <w:jc w:val="left"/>
              <w:rPr>
                <w:b/>
                <w:sz w:val="12"/>
              </w:rPr>
            </w:pPr>
          </w:p>
          <w:p>
            <w:pPr>
              <w:pStyle w:val="TableParagraph"/>
              <w:spacing w:before="85"/>
              <w:ind w:left="18"/>
              <w:jc w:val="left"/>
              <w:rPr>
                <w:sz w:val="13"/>
              </w:rPr>
            </w:pPr>
            <w:r>
              <w:rPr>
                <w:w w:val="105"/>
                <w:sz w:val="13"/>
              </w:rPr>
              <w:t>No</w:t>
            </w:r>
          </w:p>
        </w:tc>
        <w:tc>
          <w:tcPr>
            <w:tcW w:w="388" w:type="dxa"/>
            <w:tcBorders>
              <w:right w:val="dotted" w:sz="4" w:space="0" w:color="30859C"/>
            </w:tcBorders>
            <w:shd w:val="clear" w:color="auto" w:fill="B4EDEC"/>
          </w:tcPr>
          <w:p>
            <w:pPr>
              <w:pStyle w:val="TableParagraph"/>
              <w:spacing w:before="0"/>
              <w:jc w:val="left"/>
              <w:rPr>
                <w:b/>
                <w:sz w:val="12"/>
              </w:rPr>
            </w:pPr>
          </w:p>
          <w:p>
            <w:pPr>
              <w:pStyle w:val="TableParagraph"/>
              <w:spacing w:before="70"/>
              <w:ind w:right="10"/>
              <w:jc w:val="right"/>
              <w:rPr>
                <w:b/>
                <w:sz w:val="13"/>
              </w:rPr>
            </w:pPr>
            <w:r>
              <w:rPr>
                <w:b/>
                <w:w w:val="103"/>
                <w:sz w:val="13"/>
              </w:rPr>
              <w:t>p</w:t>
            </w:r>
          </w:p>
        </w:tc>
        <w:tc>
          <w:tcPr>
            <w:tcW w:w="775" w:type="dxa"/>
            <w:tcBorders>
              <w:left w:val="dotted" w:sz="4" w:space="0" w:color="30859C"/>
              <w:right w:val="dotted" w:sz="4" w:space="0" w:color="30859C"/>
            </w:tcBorders>
            <w:shd w:val="clear" w:color="auto" w:fill="B4EDEC"/>
          </w:tcPr>
          <w:p>
            <w:pPr>
              <w:pStyle w:val="TableParagraph"/>
              <w:spacing w:before="20"/>
              <w:ind w:left="149"/>
              <w:jc w:val="left"/>
              <w:rPr>
                <w:sz w:val="13"/>
              </w:rPr>
            </w:pPr>
            <w:r>
              <w:rPr>
                <w:w w:val="105"/>
                <w:sz w:val="13"/>
              </w:rPr>
              <w:t>0.0</w:t>
            </w:r>
            <w:r>
              <w:rPr>
                <w:rFonts w:ascii="Calibri" w:hAnsi="Calibri"/>
                <w:w w:val="105"/>
                <w:sz w:val="13"/>
              </w:rPr>
              <w:t>±</w:t>
            </w:r>
            <w:r>
              <w:rPr>
                <w:w w:val="105"/>
                <w:sz w:val="13"/>
              </w:rPr>
              <w:t>0.0</w:t>
            </w:r>
          </w:p>
          <w:p>
            <w:pPr>
              <w:pStyle w:val="TableParagraph"/>
              <w:spacing w:before="29"/>
              <w:ind w:left="242"/>
              <w:jc w:val="left"/>
              <w:rPr>
                <w:sz w:val="13"/>
              </w:rPr>
            </w:pPr>
            <w:r>
              <w:rPr>
                <w:w w:val="105"/>
                <w:sz w:val="13"/>
              </w:rPr>
              <w:t>0.19</w:t>
            </w:r>
          </w:p>
          <w:p>
            <w:pPr>
              <w:pStyle w:val="TableParagraph"/>
              <w:spacing w:before="35"/>
              <w:ind w:left="149"/>
              <w:jc w:val="left"/>
              <w:rPr>
                <w:sz w:val="13"/>
              </w:rPr>
            </w:pPr>
            <w:r>
              <w:rPr>
                <w:w w:val="105"/>
                <w:sz w:val="13"/>
              </w:rPr>
              <w:t>0.5</w:t>
            </w:r>
            <w:r>
              <w:rPr>
                <w:rFonts w:ascii="Calibri" w:hAnsi="Calibri"/>
                <w:w w:val="105"/>
                <w:sz w:val="13"/>
              </w:rPr>
              <w:t>±</w:t>
            </w:r>
            <w:r>
              <w:rPr>
                <w:w w:val="105"/>
                <w:sz w:val="13"/>
              </w:rPr>
              <w:t>0.7</w:t>
            </w:r>
          </w:p>
        </w:tc>
        <w:tc>
          <w:tcPr>
            <w:tcW w:w="848" w:type="dxa"/>
            <w:tcBorders>
              <w:left w:val="dotted" w:sz="4" w:space="0" w:color="30859C"/>
              <w:right w:val="dotted" w:sz="4" w:space="0" w:color="30859C"/>
            </w:tcBorders>
            <w:shd w:val="clear" w:color="auto" w:fill="B4EDEC"/>
          </w:tcPr>
          <w:p>
            <w:pPr>
              <w:pStyle w:val="TableParagraph"/>
              <w:spacing w:before="20"/>
              <w:ind w:left="138" w:right="142"/>
              <w:rPr>
                <w:sz w:val="13"/>
              </w:rPr>
            </w:pPr>
            <w:r>
              <w:rPr>
                <w:w w:val="105"/>
                <w:sz w:val="13"/>
              </w:rPr>
              <w:t>0.3</w:t>
            </w:r>
            <w:r>
              <w:rPr>
                <w:rFonts w:ascii="Calibri" w:hAnsi="Calibri"/>
                <w:w w:val="105"/>
                <w:sz w:val="13"/>
              </w:rPr>
              <w:t>±</w:t>
            </w:r>
            <w:r>
              <w:rPr>
                <w:w w:val="105"/>
                <w:sz w:val="13"/>
              </w:rPr>
              <w:t>0.5</w:t>
            </w:r>
          </w:p>
          <w:p>
            <w:pPr>
              <w:pStyle w:val="TableParagraph"/>
              <w:spacing w:before="29"/>
              <w:ind w:left="138" w:right="142"/>
              <w:rPr>
                <w:sz w:val="13"/>
              </w:rPr>
            </w:pPr>
            <w:r>
              <w:rPr>
                <w:w w:val="105"/>
                <w:sz w:val="13"/>
              </w:rPr>
              <w:t>0.10</w:t>
            </w:r>
          </w:p>
          <w:p>
            <w:pPr>
              <w:pStyle w:val="TableParagraph"/>
              <w:spacing w:before="35"/>
              <w:ind w:left="138" w:right="142"/>
              <w:rPr>
                <w:sz w:val="13"/>
              </w:rPr>
            </w:pPr>
            <w:r>
              <w:rPr>
                <w:w w:val="105"/>
                <w:sz w:val="13"/>
              </w:rPr>
              <w:t>1.8</w:t>
            </w:r>
            <w:r>
              <w:rPr>
                <w:rFonts w:ascii="Calibri" w:hAnsi="Calibri"/>
                <w:w w:val="105"/>
                <w:sz w:val="13"/>
              </w:rPr>
              <w:t>±</w:t>
            </w:r>
            <w:r>
              <w:rPr>
                <w:w w:val="105"/>
                <w:sz w:val="13"/>
              </w:rPr>
              <w:t>1.8</w:t>
            </w:r>
          </w:p>
        </w:tc>
        <w:tc>
          <w:tcPr>
            <w:tcW w:w="775" w:type="dxa"/>
            <w:tcBorders>
              <w:left w:val="dotted" w:sz="4" w:space="0" w:color="30859C"/>
              <w:right w:val="dotted" w:sz="4" w:space="0" w:color="30859C"/>
            </w:tcBorders>
            <w:shd w:val="clear" w:color="auto" w:fill="B4EDEC"/>
          </w:tcPr>
          <w:p>
            <w:pPr>
              <w:pStyle w:val="TableParagraph"/>
              <w:spacing w:before="20"/>
              <w:ind w:left="18" w:right="20"/>
              <w:rPr>
                <w:sz w:val="13"/>
              </w:rPr>
            </w:pPr>
            <w:r>
              <w:rPr>
                <w:w w:val="105"/>
                <w:sz w:val="13"/>
              </w:rPr>
              <w:t>11.0</w:t>
            </w:r>
            <w:r>
              <w:rPr>
                <w:rFonts w:ascii="Calibri" w:hAnsi="Calibri"/>
                <w:w w:val="105"/>
                <w:sz w:val="13"/>
              </w:rPr>
              <w:t>±</w:t>
            </w:r>
            <w:r>
              <w:rPr>
                <w:w w:val="105"/>
                <w:sz w:val="13"/>
              </w:rPr>
              <w:t>10.8</w:t>
            </w:r>
          </w:p>
          <w:p>
            <w:pPr>
              <w:pStyle w:val="TableParagraph"/>
              <w:spacing w:before="29"/>
              <w:ind w:left="18" w:right="20"/>
              <w:rPr>
                <w:sz w:val="13"/>
              </w:rPr>
            </w:pPr>
            <w:r>
              <w:rPr>
                <w:w w:val="105"/>
                <w:sz w:val="13"/>
              </w:rPr>
              <w:t>0.31</w:t>
            </w:r>
          </w:p>
          <w:p>
            <w:pPr>
              <w:pStyle w:val="TableParagraph"/>
              <w:spacing w:before="35"/>
              <w:ind w:left="26" w:right="20"/>
              <w:rPr>
                <w:sz w:val="13"/>
              </w:rPr>
            </w:pPr>
            <w:r>
              <w:rPr>
                <w:w w:val="105"/>
                <w:sz w:val="13"/>
              </w:rPr>
              <w:t>16.8</w:t>
            </w:r>
            <w:r>
              <w:rPr>
                <w:rFonts w:ascii="Calibri" w:hAnsi="Calibri"/>
                <w:w w:val="105"/>
                <w:sz w:val="13"/>
              </w:rPr>
              <w:t>±</w:t>
            </w:r>
            <w:r>
              <w:rPr>
                <w:w w:val="105"/>
                <w:sz w:val="13"/>
              </w:rPr>
              <w:t>9.3</w:t>
            </w:r>
          </w:p>
        </w:tc>
        <w:tc>
          <w:tcPr>
            <w:tcW w:w="775" w:type="dxa"/>
            <w:tcBorders>
              <w:left w:val="dotted" w:sz="4" w:space="0" w:color="30859C"/>
              <w:right w:val="dotted" w:sz="4" w:space="0" w:color="30859C"/>
            </w:tcBorders>
            <w:shd w:val="clear" w:color="auto" w:fill="B4EDEC"/>
          </w:tcPr>
          <w:p>
            <w:pPr>
              <w:pStyle w:val="TableParagraph"/>
              <w:spacing w:before="20"/>
              <w:ind w:left="158"/>
              <w:jc w:val="left"/>
              <w:rPr>
                <w:sz w:val="13"/>
              </w:rPr>
            </w:pPr>
            <w:r>
              <w:rPr>
                <w:w w:val="105"/>
                <w:sz w:val="13"/>
              </w:rPr>
              <w:t>6.6</w:t>
            </w:r>
            <w:r>
              <w:rPr>
                <w:rFonts w:ascii="Calibri" w:hAnsi="Calibri"/>
                <w:w w:val="105"/>
                <w:sz w:val="13"/>
              </w:rPr>
              <w:t>±</w:t>
            </w:r>
            <w:r>
              <w:rPr>
                <w:w w:val="105"/>
                <w:sz w:val="13"/>
              </w:rPr>
              <w:t>6.1</w:t>
            </w:r>
          </w:p>
          <w:p>
            <w:pPr>
              <w:pStyle w:val="TableParagraph"/>
              <w:spacing w:before="29"/>
              <w:ind w:left="251"/>
              <w:jc w:val="left"/>
              <w:rPr>
                <w:sz w:val="13"/>
              </w:rPr>
            </w:pPr>
            <w:r>
              <w:rPr>
                <w:w w:val="105"/>
                <w:sz w:val="13"/>
              </w:rPr>
              <w:t>0.60</w:t>
            </w:r>
          </w:p>
          <w:p>
            <w:pPr>
              <w:pStyle w:val="TableParagraph"/>
              <w:spacing w:before="35"/>
              <w:ind w:left="158"/>
              <w:jc w:val="left"/>
              <w:rPr>
                <w:sz w:val="13"/>
              </w:rPr>
            </w:pPr>
            <w:r>
              <w:rPr>
                <w:w w:val="105"/>
                <w:sz w:val="13"/>
              </w:rPr>
              <w:t>9.3</w:t>
            </w:r>
            <w:r>
              <w:rPr>
                <w:rFonts w:ascii="Calibri" w:hAnsi="Calibri"/>
                <w:w w:val="105"/>
                <w:sz w:val="13"/>
              </w:rPr>
              <w:t>±</w:t>
            </w:r>
            <w:r>
              <w:rPr>
                <w:w w:val="105"/>
                <w:sz w:val="13"/>
              </w:rPr>
              <w:t>6.2</w:t>
            </w:r>
          </w:p>
        </w:tc>
        <w:tc>
          <w:tcPr>
            <w:tcW w:w="775" w:type="dxa"/>
            <w:tcBorders>
              <w:left w:val="dotted" w:sz="4" w:space="0" w:color="30859C"/>
              <w:right w:val="dotted" w:sz="4" w:space="0" w:color="30859C"/>
            </w:tcBorders>
            <w:shd w:val="clear" w:color="auto" w:fill="B4EDEC"/>
          </w:tcPr>
          <w:p>
            <w:pPr>
              <w:pStyle w:val="TableParagraph"/>
              <w:spacing w:before="20"/>
              <w:ind w:left="158"/>
              <w:jc w:val="left"/>
              <w:rPr>
                <w:sz w:val="13"/>
              </w:rPr>
            </w:pPr>
            <w:r>
              <w:rPr>
                <w:w w:val="105"/>
                <w:sz w:val="13"/>
              </w:rPr>
              <w:t>5.0</w:t>
            </w:r>
            <w:r>
              <w:rPr>
                <w:rFonts w:ascii="Calibri" w:hAnsi="Calibri"/>
                <w:w w:val="105"/>
                <w:sz w:val="13"/>
              </w:rPr>
              <w:t>±</w:t>
            </w:r>
            <w:r>
              <w:rPr>
                <w:w w:val="105"/>
                <w:sz w:val="13"/>
              </w:rPr>
              <w:t>8.6</w:t>
            </w:r>
          </w:p>
          <w:p>
            <w:pPr>
              <w:pStyle w:val="TableParagraph"/>
              <w:spacing w:before="29"/>
              <w:ind w:left="252"/>
              <w:jc w:val="left"/>
              <w:rPr>
                <w:sz w:val="13"/>
              </w:rPr>
            </w:pPr>
            <w:r>
              <w:rPr>
                <w:w w:val="105"/>
                <w:sz w:val="13"/>
              </w:rPr>
              <w:t>0.38</w:t>
            </w:r>
          </w:p>
          <w:p>
            <w:pPr>
              <w:pStyle w:val="TableParagraph"/>
              <w:spacing w:before="35"/>
              <w:ind w:left="158"/>
              <w:jc w:val="left"/>
              <w:rPr>
                <w:sz w:val="13"/>
              </w:rPr>
            </w:pPr>
            <w:r>
              <w:rPr>
                <w:w w:val="105"/>
                <w:sz w:val="13"/>
              </w:rPr>
              <w:t>5.2</w:t>
            </w:r>
            <w:r>
              <w:rPr>
                <w:rFonts w:ascii="Calibri" w:hAnsi="Calibri"/>
                <w:w w:val="105"/>
                <w:sz w:val="13"/>
              </w:rPr>
              <w:t>±</w:t>
            </w:r>
            <w:r>
              <w:rPr>
                <w:w w:val="105"/>
                <w:sz w:val="13"/>
              </w:rPr>
              <w:t>6.2</w:t>
            </w:r>
          </w:p>
        </w:tc>
        <w:tc>
          <w:tcPr>
            <w:tcW w:w="775" w:type="dxa"/>
            <w:tcBorders>
              <w:left w:val="dotted" w:sz="4" w:space="0" w:color="30859C"/>
              <w:right w:val="dotted" w:sz="4" w:space="0" w:color="30859C"/>
            </w:tcBorders>
            <w:shd w:val="clear" w:color="auto" w:fill="B4EDEC"/>
          </w:tcPr>
          <w:p>
            <w:pPr>
              <w:pStyle w:val="TableParagraph"/>
              <w:spacing w:before="20"/>
              <w:ind w:left="159"/>
              <w:jc w:val="left"/>
              <w:rPr>
                <w:sz w:val="13"/>
              </w:rPr>
            </w:pPr>
            <w:r>
              <w:rPr>
                <w:w w:val="105"/>
                <w:sz w:val="13"/>
              </w:rPr>
              <w:t>2.3</w:t>
            </w:r>
            <w:r>
              <w:rPr>
                <w:rFonts w:ascii="Calibri" w:hAnsi="Calibri"/>
                <w:w w:val="105"/>
                <w:sz w:val="13"/>
              </w:rPr>
              <w:t>±</w:t>
            </w:r>
            <w:r>
              <w:rPr>
                <w:w w:val="105"/>
                <w:sz w:val="13"/>
              </w:rPr>
              <w:t>2.3</w:t>
            </w:r>
          </w:p>
          <w:p>
            <w:pPr>
              <w:pStyle w:val="TableParagraph"/>
              <w:spacing w:before="29"/>
              <w:ind w:left="252"/>
              <w:jc w:val="left"/>
              <w:rPr>
                <w:sz w:val="13"/>
              </w:rPr>
            </w:pPr>
            <w:r>
              <w:rPr>
                <w:w w:val="105"/>
                <w:sz w:val="13"/>
              </w:rPr>
              <w:t>0.66</w:t>
            </w:r>
          </w:p>
          <w:p>
            <w:pPr>
              <w:pStyle w:val="TableParagraph"/>
              <w:spacing w:before="35"/>
              <w:ind w:left="159"/>
              <w:jc w:val="left"/>
              <w:rPr>
                <w:sz w:val="13"/>
              </w:rPr>
            </w:pPr>
            <w:r>
              <w:rPr>
                <w:w w:val="105"/>
                <w:sz w:val="13"/>
              </w:rPr>
              <w:t>2.2</w:t>
            </w:r>
            <w:r>
              <w:rPr>
                <w:rFonts w:ascii="Calibri" w:hAnsi="Calibri"/>
                <w:w w:val="105"/>
                <w:sz w:val="13"/>
              </w:rPr>
              <w:t>±</w:t>
            </w:r>
            <w:r>
              <w:rPr>
                <w:w w:val="105"/>
                <w:sz w:val="13"/>
              </w:rPr>
              <w:t>2.7</w:t>
            </w:r>
          </w:p>
        </w:tc>
        <w:tc>
          <w:tcPr>
            <w:tcW w:w="775" w:type="dxa"/>
            <w:tcBorders>
              <w:left w:val="dotted" w:sz="4" w:space="0" w:color="30859C"/>
              <w:right w:val="dotted" w:sz="4" w:space="0" w:color="30859C"/>
            </w:tcBorders>
            <w:shd w:val="clear" w:color="auto" w:fill="B4EDEC"/>
          </w:tcPr>
          <w:p>
            <w:pPr>
              <w:pStyle w:val="TableParagraph"/>
              <w:spacing w:before="20"/>
              <w:ind w:left="160"/>
              <w:jc w:val="left"/>
              <w:rPr>
                <w:sz w:val="13"/>
              </w:rPr>
            </w:pPr>
            <w:r>
              <w:rPr>
                <w:w w:val="105"/>
                <w:sz w:val="13"/>
              </w:rPr>
              <w:t>5.3</w:t>
            </w:r>
            <w:r>
              <w:rPr>
                <w:rFonts w:ascii="Calibri" w:hAnsi="Calibri"/>
                <w:w w:val="105"/>
                <w:sz w:val="13"/>
              </w:rPr>
              <w:t>±</w:t>
            </w:r>
            <w:r>
              <w:rPr>
                <w:w w:val="105"/>
                <w:sz w:val="13"/>
              </w:rPr>
              <w:t>4.9</w:t>
            </w:r>
          </w:p>
          <w:p>
            <w:pPr>
              <w:pStyle w:val="TableParagraph"/>
              <w:spacing w:before="29"/>
              <w:ind w:left="24" w:right="20"/>
              <w:rPr>
                <w:sz w:val="13"/>
              </w:rPr>
            </w:pPr>
            <w:r>
              <w:rPr>
                <w:w w:val="105"/>
                <w:sz w:val="13"/>
              </w:rPr>
              <w:t>0.19</w:t>
            </w:r>
          </w:p>
          <w:p>
            <w:pPr>
              <w:pStyle w:val="TableParagraph"/>
              <w:spacing w:before="35"/>
              <w:ind w:left="24" w:right="20"/>
              <w:rPr>
                <w:sz w:val="13"/>
              </w:rPr>
            </w:pPr>
            <w:r>
              <w:rPr>
                <w:w w:val="105"/>
                <w:sz w:val="13"/>
              </w:rPr>
              <w:t>12.8</w:t>
            </w:r>
            <w:r>
              <w:rPr>
                <w:rFonts w:ascii="Calibri" w:hAnsi="Calibri"/>
                <w:w w:val="105"/>
                <w:sz w:val="13"/>
              </w:rPr>
              <w:t>±</w:t>
            </w:r>
            <w:r>
              <w:rPr>
                <w:w w:val="105"/>
                <w:sz w:val="13"/>
              </w:rPr>
              <w:t>12.0</w:t>
            </w:r>
          </w:p>
        </w:tc>
        <w:tc>
          <w:tcPr>
            <w:tcW w:w="770" w:type="dxa"/>
            <w:tcBorders>
              <w:left w:val="dotted" w:sz="4" w:space="0" w:color="30859C"/>
            </w:tcBorders>
            <w:shd w:val="clear" w:color="auto" w:fill="B4EDEC"/>
          </w:tcPr>
          <w:p>
            <w:pPr>
              <w:pStyle w:val="TableParagraph"/>
              <w:spacing w:before="20"/>
              <w:ind w:left="25" w:right="20"/>
              <w:rPr>
                <w:sz w:val="13"/>
              </w:rPr>
            </w:pPr>
            <w:r>
              <w:rPr>
                <w:w w:val="105"/>
                <w:sz w:val="13"/>
              </w:rPr>
              <w:t>30.6</w:t>
            </w:r>
            <w:r>
              <w:rPr>
                <w:rFonts w:ascii="Calibri" w:hAnsi="Calibri"/>
                <w:w w:val="105"/>
                <w:sz w:val="13"/>
              </w:rPr>
              <w:t>±</w:t>
            </w:r>
            <w:r>
              <w:rPr>
                <w:w w:val="105"/>
                <w:sz w:val="13"/>
              </w:rPr>
              <w:t>31.1</w:t>
            </w:r>
          </w:p>
          <w:p>
            <w:pPr>
              <w:pStyle w:val="TableParagraph"/>
              <w:spacing w:before="29"/>
              <w:ind w:left="25" w:right="20"/>
              <w:rPr>
                <w:sz w:val="13"/>
              </w:rPr>
            </w:pPr>
            <w:r>
              <w:rPr>
                <w:w w:val="105"/>
                <w:sz w:val="13"/>
              </w:rPr>
              <w:t>0.18</w:t>
            </w:r>
          </w:p>
          <w:p>
            <w:pPr>
              <w:pStyle w:val="TableParagraph"/>
              <w:spacing w:before="35"/>
              <w:ind w:left="25" w:right="20"/>
              <w:rPr>
                <w:sz w:val="13"/>
              </w:rPr>
            </w:pPr>
            <w:r>
              <w:rPr>
                <w:w w:val="105"/>
                <w:sz w:val="13"/>
              </w:rPr>
              <w:t>48.4</w:t>
            </w:r>
            <w:r>
              <w:rPr>
                <w:rFonts w:ascii="Calibri" w:hAnsi="Calibri"/>
                <w:w w:val="105"/>
                <w:sz w:val="13"/>
              </w:rPr>
              <w:t>±</w:t>
            </w:r>
            <w:r>
              <w:rPr>
                <w:w w:val="105"/>
                <w:sz w:val="13"/>
              </w:rPr>
              <w:t>20.4</w:t>
            </w:r>
          </w:p>
        </w:tc>
      </w:tr>
      <w:tr>
        <w:trPr>
          <w:trHeight w:val="557" w:hRule="exact"/>
        </w:trPr>
        <w:tc>
          <w:tcPr>
            <w:tcW w:w="300" w:type="dxa"/>
            <w:vMerge/>
            <w:shd w:val="clear" w:color="auto" w:fill="B4EDEC"/>
            <w:textDirection w:val="btLr"/>
          </w:tcPr>
          <w:p>
            <w:pPr/>
          </w:p>
        </w:tc>
        <w:tc>
          <w:tcPr>
            <w:tcW w:w="775" w:type="dxa"/>
            <w:shd w:val="clear" w:color="auto" w:fill="77DFDD"/>
          </w:tcPr>
          <w:p>
            <w:pPr>
              <w:pStyle w:val="TableParagraph"/>
              <w:spacing w:before="11"/>
              <w:jc w:val="left"/>
              <w:rPr>
                <w:b/>
                <w:sz w:val="17"/>
              </w:rPr>
            </w:pPr>
          </w:p>
          <w:p>
            <w:pPr>
              <w:pStyle w:val="TableParagraph"/>
              <w:spacing w:before="0"/>
              <w:ind w:left="17"/>
              <w:jc w:val="left"/>
              <w:rPr>
                <w:b/>
                <w:sz w:val="13"/>
              </w:rPr>
            </w:pPr>
            <w:r>
              <w:rPr>
                <w:b/>
                <w:w w:val="105"/>
                <w:sz w:val="13"/>
              </w:rPr>
              <w:t>Embutidos</w:t>
            </w:r>
          </w:p>
        </w:tc>
        <w:tc>
          <w:tcPr>
            <w:tcW w:w="475" w:type="dxa"/>
            <w:shd w:val="clear" w:color="auto" w:fill="77DFDD"/>
          </w:tcPr>
          <w:p>
            <w:pPr>
              <w:pStyle w:val="TableParagraph"/>
              <w:spacing w:before="24"/>
              <w:ind w:left="18"/>
              <w:jc w:val="left"/>
              <w:rPr>
                <w:sz w:val="13"/>
              </w:rPr>
            </w:pPr>
            <w:r>
              <w:rPr>
                <w:w w:val="105"/>
                <w:sz w:val="13"/>
              </w:rPr>
              <w:t>Si</w:t>
            </w:r>
          </w:p>
          <w:p>
            <w:pPr>
              <w:pStyle w:val="TableParagraph"/>
              <w:spacing w:before="0"/>
              <w:jc w:val="left"/>
              <w:rPr>
                <w:b/>
                <w:sz w:val="12"/>
              </w:rPr>
            </w:pPr>
          </w:p>
          <w:p>
            <w:pPr>
              <w:pStyle w:val="TableParagraph"/>
              <w:spacing w:before="85"/>
              <w:ind w:left="18"/>
              <w:jc w:val="left"/>
              <w:rPr>
                <w:sz w:val="13"/>
              </w:rPr>
            </w:pPr>
            <w:r>
              <w:rPr>
                <w:w w:val="105"/>
                <w:sz w:val="13"/>
              </w:rPr>
              <w:t>No</w:t>
            </w:r>
          </w:p>
        </w:tc>
        <w:tc>
          <w:tcPr>
            <w:tcW w:w="388" w:type="dxa"/>
            <w:tcBorders>
              <w:right w:val="dotted" w:sz="4" w:space="0" w:color="30859C"/>
            </w:tcBorders>
            <w:shd w:val="clear" w:color="auto" w:fill="77DFDD"/>
          </w:tcPr>
          <w:p>
            <w:pPr>
              <w:pStyle w:val="TableParagraph"/>
              <w:spacing w:before="0"/>
              <w:jc w:val="left"/>
              <w:rPr>
                <w:b/>
                <w:sz w:val="12"/>
              </w:rPr>
            </w:pPr>
          </w:p>
          <w:p>
            <w:pPr>
              <w:pStyle w:val="TableParagraph"/>
              <w:spacing w:before="72"/>
              <w:ind w:right="10"/>
              <w:jc w:val="right"/>
              <w:rPr>
                <w:b/>
                <w:sz w:val="13"/>
              </w:rPr>
            </w:pPr>
            <w:r>
              <w:rPr>
                <w:b/>
                <w:w w:val="103"/>
                <w:sz w:val="13"/>
              </w:rPr>
              <w:t>p</w:t>
            </w:r>
          </w:p>
        </w:tc>
        <w:tc>
          <w:tcPr>
            <w:tcW w:w="775" w:type="dxa"/>
            <w:tcBorders>
              <w:left w:val="dotted" w:sz="4" w:space="0" w:color="30859C"/>
              <w:right w:val="dotted" w:sz="4" w:space="0" w:color="30859C"/>
            </w:tcBorders>
            <w:shd w:val="clear" w:color="auto" w:fill="77DFDD"/>
          </w:tcPr>
          <w:p>
            <w:pPr>
              <w:pStyle w:val="TableParagraph"/>
              <w:spacing w:before="22"/>
              <w:ind w:left="149"/>
              <w:jc w:val="left"/>
              <w:rPr>
                <w:sz w:val="13"/>
              </w:rPr>
            </w:pPr>
            <w:r>
              <w:rPr>
                <w:w w:val="105"/>
                <w:sz w:val="13"/>
              </w:rPr>
              <w:t>0.7</w:t>
            </w:r>
            <w:r>
              <w:rPr>
                <w:rFonts w:ascii="Calibri" w:hAnsi="Calibri"/>
                <w:w w:val="105"/>
                <w:sz w:val="13"/>
              </w:rPr>
              <w:t>±</w:t>
            </w:r>
            <w:r>
              <w:rPr>
                <w:w w:val="105"/>
                <w:sz w:val="13"/>
              </w:rPr>
              <w:t>1.0</w:t>
            </w:r>
          </w:p>
          <w:p>
            <w:pPr>
              <w:pStyle w:val="TableParagraph"/>
              <w:spacing w:before="29"/>
              <w:ind w:left="242"/>
              <w:jc w:val="left"/>
              <w:rPr>
                <w:sz w:val="13"/>
              </w:rPr>
            </w:pPr>
            <w:r>
              <w:rPr>
                <w:w w:val="105"/>
                <w:sz w:val="13"/>
              </w:rPr>
              <w:t>0.28</w:t>
            </w:r>
          </w:p>
          <w:p>
            <w:pPr>
              <w:pStyle w:val="TableParagraph"/>
              <w:spacing w:before="35"/>
              <w:ind w:left="149"/>
              <w:jc w:val="left"/>
              <w:rPr>
                <w:sz w:val="13"/>
              </w:rPr>
            </w:pPr>
            <w:r>
              <w:rPr>
                <w:w w:val="105"/>
                <w:sz w:val="13"/>
              </w:rPr>
              <w:t>0.3</w:t>
            </w:r>
            <w:r>
              <w:rPr>
                <w:rFonts w:ascii="Calibri" w:hAnsi="Calibri"/>
                <w:w w:val="105"/>
                <w:sz w:val="13"/>
              </w:rPr>
              <w:t>±</w:t>
            </w:r>
            <w:r>
              <w:rPr>
                <w:w w:val="105"/>
                <w:sz w:val="13"/>
              </w:rPr>
              <w:t>0.5</w:t>
            </w:r>
          </w:p>
        </w:tc>
        <w:tc>
          <w:tcPr>
            <w:tcW w:w="848" w:type="dxa"/>
            <w:tcBorders>
              <w:left w:val="dotted" w:sz="4" w:space="0" w:color="30859C"/>
              <w:right w:val="dotted" w:sz="4" w:space="0" w:color="30859C"/>
            </w:tcBorders>
            <w:shd w:val="clear" w:color="auto" w:fill="77DFDD"/>
          </w:tcPr>
          <w:p>
            <w:pPr>
              <w:pStyle w:val="TableParagraph"/>
              <w:spacing w:before="22"/>
              <w:ind w:left="138" w:right="142"/>
              <w:rPr>
                <w:sz w:val="13"/>
              </w:rPr>
            </w:pPr>
            <w:r>
              <w:rPr>
                <w:w w:val="105"/>
                <w:sz w:val="13"/>
              </w:rPr>
              <w:t>1.6</w:t>
            </w:r>
            <w:r>
              <w:rPr>
                <w:rFonts w:ascii="Calibri" w:hAnsi="Calibri"/>
                <w:w w:val="105"/>
                <w:sz w:val="13"/>
              </w:rPr>
              <w:t>±</w:t>
            </w:r>
            <w:r>
              <w:rPr>
                <w:w w:val="105"/>
                <w:sz w:val="13"/>
              </w:rPr>
              <w:t>1.8</w:t>
            </w:r>
          </w:p>
          <w:p>
            <w:pPr>
              <w:pStyle w:val="TableParagraph"/>
              <w:spacing w:before="29"/>
              <w:ind w:left="138" w:right="142"/>
              <w:rPr>
                <w:sz w:val="13"/>
              </w:rPr>
            </w:pPr>
            <w:r>
              <w:rPr>
                <w:w w:val="105"/>
                <w:sz w:val="13"/>
              </w:rPr>
              <w:t>0.64</w:t>
            </w:r>
          </w:p>
          <w:p>
            <w:pPr>
              <w:pStyle w:val="TableParagraph"/>
              <w:spacing w:before="35"/>
              <w:ind w:left="138" w:right="142"/>
              <w:rPr>
                <w:sz w:val="13"/>
              </w:rPr>
            </w:pPr>
            <w:r>
              <w:rPr>
                <w:w w:val="105"/>
                <w:sz w:val="13"/>
              </w:rPr>
              <w:t>1.8</w:t>
            </w:r>
            <w:r>
              <w:rPr>
                <w:rFonts w:ascii="Calibri" w:hAnsi="Calibri"/>
                <w:w w:val="105"/>
                <w:sz w:val="13"/>
              </w:rPr>
              <w:t>±</w:t>
            </w:r>
            <w:r>
              <w:rPr>
                <w:w w:val="105"/>
                <w:sz w:val="13"/>
              </w:rPr>
              <w:t>1.8</w:t>
            </w:r>
          </w:p>
        </w:tc>
        <w:tc>
          <w:tcPr>
            <w:tcW w:w="775" w:type="dxa"/>
            <w:tcBorders>
              <w:left w:val="dotted" w:sz="4" w:space="0" w:color="30859C"/>
              <w:right w:val="dotted" w:sz="4" w:space="0" w:color="30859C"/>
            </w:tcBorders>
            <w:shd w:val="clear" w:color="auto" w:fill="77DFDD"/>
          </w:tcPr>
          <w:p>
            <w:pPr>
              <w:pStyle w:val="TableParagraph"/>
              <w:spacing w:before="22"/>
              <w:ind w:left="18" w:right="20"/>
              <w:rPr>
                <w:sz w:val="13"/>
              </w:rPr>
            </w:pPr>
            <w:r>
              <w:rPr>
                <w:w w:val="105"/>
                <w:sz w:val="13"/>
              </w:rPr>
              <w:t>16.4</w:t>
            </w:r>
            <w:r>
              <w:rPr>
                <w:rFonts w:ascii="Calibri" w:hAnsi="Calibri"/>
                <w:w w:val="105"/>
                <w:sz w:val="13"/>
              </w:rPr>
              <w:t>±</w:t>
            </w:r>
            <w:r>
              <w:rPr>
                <w:w w:val="105"/>
                <w:sz w:val="13"/>
              </w:rPr>
              <w:t>10.1</w:t>
            </w:r>
          </w:p>
          <w:p>
            <w:pPr>
              <w:pStyle w:val="TableParagraph"/>
              <w:spacing w:before="29"/>
              <w:ind w:left="18" w:right="20"/>
              <w:rPr>
                <w:sz w:val="13"/>
              </w:rPr>
            </w:pPr>
            <w:r>
              <w:rPr>
                <w:w w:val="105"/>
                <w:sz w:val="13"/>
              </w:rPr>
              <w:t>0.88</w:t>
            </w:r>
          </w:p>
          <w:p>
            <w:pPr>
              <w:pStyle w:val="TableParagraph"/>
              <w:spacing w:before="35"/>
              <w:ind w:left="26" w:right="20"/>
              <w:rPr>
                <w:sz w:val="13"/>
              </w:rPr>
            </w:pPr>
            <w:r>
              <w:rPr>
                <w:w w:val="105"/>
                <w:sz w:val="13"/>
              </w:rPr>
              <w:t>16.6</w:t>
            </w:r>
            <w:r>
              <w:rPr>
                <w:rFonts w:ascii="Calibri" w:hAnsi="Calibri"/>
                <w:w w:val="105"/>
                <w:sz w:val="13"/>
              </w:rPr>
              <w:t>±</w:t>
            </w:r>
            <w:r>
              <w:rPr>
                <w:w w:val="105"/>
                <w:sz w:val="13"/>
              </w:rPr>
              <w:t>9.1</w:t>
            </w:r>
          </w:p>
        </w:tc>
        <w:tc>
          <w:tcPr>
            <w:tcW w:w="775" w:type="dxa"/>
            <w:tcBorders>
              <w:left w:val="dotted" w:sz="4" w:space="0" w:color="30859C"/>
              <w:right w:val="dotted" w:sz="4" w:space="0" w:color="30859C"/>
            </w:tcBorders>
            <w:shd w:val="clear" w:color="auto" w:fill="77DFDD"/>
          </w:tcPr>
          <w:p>
            <w:pPr>
              <w:pStyle w:val="TableParagraph"/>
              <w:spacing w:before="22"/>
              <w:ind w:left="158"/>
              <w:jc w:val="left"/>
              <w:rPr>
                <w:sz w:val="13"/>
              </w:rPr>
            </w:pPr>
            <w:r>
              <w:rPr>
                <w:w w:val="105"/>
                <w:sz w:val="13"/>
              </w:rPr>
              <w:t>8.5</w:t>
            </w:r>
            <w:r>
              <w:rPr>
                <w:rFonts w:ascii="Calibri" w:hAnsi="Calibri"/>
                <w:w w:val="105"/>
                <w:sz w:val="13"/>
              </w:rPr>
              <w:t>±</w:t>
            </w:r>
            <w:r>
              <w:rPr>
                <w:w w:val="105"/>
                <w:sz w:val="13"/>
              </w:rPr>
              <w:t>5.9</w:t>
            </w:r>
          </w:p>
          <w:p>
            <w:pPr>
              <w:pStyle w:val="TableParagraph"/>
              <w:spacing w:before="29"/>
              <w:ind w:left="251"/>
              <w:jc w:val="left"/>
              <w:rPr>
                <w:sz w:val="13"/>
              </w:rPr>
            </w:pPr>
            <w:r>
              <w:rPr>
                <w:w w:val="105"/>
                <w:sz w:val="13"/>
              </w:rPr>
              <w:t>0.58</w:t>
            </w:r>
          </w:p>
          <w:p>
            <w:pPr>
              <w:pStyle w:val="TableParagraph"/>
              <w:spacing w:before="35"/>
              <w:ind w:left="158"/>
              <w:jc w:val="left"/>
              <w:rPr>
                <w:sz w:val="13"/>
              </w:rPr>
            </w:pPr>
            <w:r>
              <w:rPr>
                <w:w w:val="105"/>
                <w:sz w:val="13"/>
              </w:rPr>
              <w:t>9.5</w:t>
            </w:r>
            <w:r>
              <w:rPr>
                <w:rFonts w:ascii="Calibri" w:hAnsi="Calibri"/>
                <w:w w:val="105"/>
                <w:sz w:val="13"/>
              </w:rPr>
              <w:t>±</w:t>
            </w:r>
            <w:r>
              <w:rPr>
                <w:w w:val="105"/>
                <w:sz w:val="13"/>
              </w:rPr>
              <w:t>6.3</w:t>
            </w:r>
          </w:p>
        </w:tc>
        <w:tc>
          <w:tcPr>
            <w:tcW w:w="775" w:type="dxa"/>
            <w:tcBorders>
              <w:left w:val="dotted" w:sz="4" w:space="0" w:color="30859C"/>
              <w:right w:val="dotted" w:sz="4" w:space="0" w:color="30859C"/>
            </w:tcBorders>
            <w:shd w:val="clear" w:color="auto" w:fill="77DFDD"/>
          </w:tcPr>
          <w:p>
            <w:pPr>
              <w:pStyle w:val="TableParagraph"/>
              <w:spacing w:before="22"/>
              <w:ind w:left="158"/>
              <w:jc w:val="left"/>
              <w:rPr>
                <w:sz w:val="13"/>
              </w:rPr>
            </w:pPr>
            <w:r>
              <w:rPr>
                <w:w w:val="105"/>
                <w:sz w:val="13"/>
              </w:rPr>
              <w:t>3.5</w:t>
            </w:r>
            <w:r>
              <w:rPr>
                <w:rFonts w:ascii="Calibri" w:hAnsi="Calibri"/>
                <w:w w:val="105"/>
                <w:sz w:val="13"/>
              </w:rPr>
              <w:t>±</w:t>
            </w:r>
            <w:r>
              <w:rPr>
                <w:w w:val="105"/>
                <w:sz w:val="13"/>
              </w:rPr>
              <w:t>3.9</w:t>
            </w:r>
          </w:p>
          <w:p>
            <w:pPr>
              <w:pStyle w:val="TableParagraph"/>
              <w:spacing w:before="29"/>
              <w:ind w:left="252"/>
              <w:jc w:val="left"/>
              <w:rPr>
                <w:sz w:val="13"/>
              </w:rPr>
            </w:pPr>
            <w:r>
              <w:rPr>
                <w:w w:val="105"/>
                <w:sz w:val="13"/>
              </w:rPr>
              <w:t>0.35</w:t>
            </w:r>
          </w:p>
          <w:p>
            <w:pPr>
              <w:pStyle w:val="TableParagraph"/>
              <w:spacing w:before="35"/>
              <w:ind w:left="158"/>
              <w:jc w:val="left"/>
              <w:rPr>
                <w:sz w:val="13"/>
              </w:rPr>
            </w:pPr>
            <w:r>
              <w:rPr>
                <w:w w:val="105"/>
                <w:sz w:val="13"/>
              </w:rPr>
              <w:t>5.9</w:t>
            </w:r>
            <w:r>
              <w:rPr>
                <w:rFonts w:ascii="Calibri" w:hAnsi="Calibri"/>
                <w:w w:val="105"/>
                <w:sz w:val="13"/>
              </w:rPr>
              <w:t>±</w:t>
            </w:r>
            <w:r>
              <w:rPr>
                <w:w w:val="105"/>
                <w:sz w:val="13"/>
              </w:rPr>
              <w:t>6.9</w:t>
            </w:r>
          </w:p>
        </w:tc>
        <w:tc>
          <w:tcPr>
            <w:tcW w:w="775" w:type="dxa"/>
            <w:tcBorders>
              <w:left w:val="dotted" w:sz="4" w:space="0" w:color="30859C"/>
              <w:right w:val="dotted" w:sz="4" w:space="0" w:color="30859C"/>
            </w:tcBorders>
            <w:shd w:val="clear" w:color="auto" w:fill="77DFDD"/>
          </w:tcPr>
          <w:p>
            <w:pPr>
              <w:pStyle w:val="TableParagraph"/>
              <w:spacing w:before="22"/>
              <w:ind w:left="159"/>
              <w:jc w:val="left"/>
              <w:rPr>
                <w:sz w:val="13"/>
              </w:rPr>
            </w:pPr>
            <w:r>
              <w:rPr>
                <w:w w:val="105"/>
                <w:sz w:val="13"/>
              </w:rPr>
              <w:t>2.8</w:t>
            </w:r>
            <w:r>
              <w:rPr>
                <w:rFonts w:ascii="Calibri" w:hAnsi="Calibri"/>
                <w:w w:val="105"/>
                <w:sz w:val="13"/>
              </w:rPr>
              <w:t>±</w:t>
            </w:r>
            <w:r>
              <w:rPr>
                <w:w w:val="105"/>
                <w:sz w:val="13"/>
              </w:rPr>
              <w:t>3.1</w:t>
            </w:r>
          </w:p>
          <w:p>
            <w:pPr>
              <w:pStyle w:val="TableParagraph"/>
              <w:spacing w:before="29"/>
              <w:ind w:left="252"/>
              <w:jc w:val="left"/>
              <w:rPr>
                <w:sz w:val="13"/>
              </w:rPr>
            </w:pPr>
            <w:r>
              <w:rPr>
                <w:w w:val="105"/>
                <w:sz w:val="13"/>
              </w:rPr>
              <w:t>0.22</w:t>
            </w:r>
          </w:p>
          <w:p>
            <w:pPr>
              <w:pStyle w:val="TableParagraph"/>
              <w:spacing w:before="35"/>
              <w:ind w:left="159"/>
              <w:jc w:val="left"/>
              <w:rPr>
                <w:sz w:val="13"/>
              </w:rPr>
            </w:pPr>
            <w:r>
              <w:rPr>
                <w:w w:val="105"/>
                <w:sz w:val="13"/>
              </w:rPr>
              <w:t>1.9</w:t>
            </w:r>
            <w:r>
              <w:rPr>
                <w:rFonts w:ascii="Calibri" w:hAnsi="Calibri"/>
                <w:w w:val="105"/>
                <w:sz w:val="13"/>
              </w:rPr>
              <w:t>±</w:t>
            </w:r>
            <w:r>
              <w:rPr>
                <w:w w:val="105"/>
                <w:sz w:val="13"/>
              </w:rPr>
              <w:t>2.4</w:t>
            </w:r>
          </w:p>
        </w:tc>
        <w:tc>
          <w:tcPr>
            <w:tcW w:w="775" w:type="dxa"/>
            <w:tcBorders>
              <w:left w:val="dotted" w:sz="4" w:space="0" w:color="30859C"/>
              <w:right w:val="dotted" w:sz="4" w:space="0" w:color="30859C"/>
            </w:tcBorders>
            <w:shd w:val="clear" w:color="auto" w:fill="77DFDD"/>
          </w:tcPr>
          <w:p>
            <w:pPr>
              <w:pStyle w:val="TableParagraph"/>
              <w:spacing w:before="22"/>
              <w:ind w:left="24" w:right="20"/>
              <w:rPr>
                <w:sz w:val="13"/>
              </w:rPr>
            </w:pPr>
            <w:r>
              <w:rPr>
                <w:w w:val="105"/>
                <w:sz w:val="13"/>
              </w:rPr>
              <w:t>12.3</w:t>
            </w:r>
            <w:r>
              <w:rPr>
                <w:rFonts w:ascii="Calibri" w:hAnsi="Calibri"/>
                <w:w w:val="105"/>
                <w:sz w:val="13"/>
              </w:rPr>
              <w:t>±</w:t>
            </w:r>
            <w:r>
              <w:rPr>
                <w:w w:val="105"/>
                <w:sz w:val="13"/>
              </w:rPr>
              <w:t>15.4</w:t>
            </w:r>
          </w:p>
          <w:p>
            <w:pPr>
              <w:pStyle w:val="TableParagraph"/>
              <w:spacing w:before="29"/>
              <w:ind w:left="24" w:right="20"/>
              <w:rPr>
                <w:sz w:val="13"/>
              </w:rPr>
            </w:pPr>
            <w:r>
              <w:rPr>
                <w:w w:val="105"/>
                <w:sz w:val="13"/>
              </w:rPr>
              <w:t>0.20</w:t>
            </w:r>
          </w:p>
          <w:p>
            <w:pPr>
              <w:pStyle w:val="TableParagraph"/>
              <w:spacing w:before="35"/>
              <w:ind w:left="24" w:right="20"/>
              <w:rPr>
                <w:sz w:val="13"/>
              </w:rPr>
            </w:pPr>
            <w:r>
              <w:rPr>
                <w:w w:val="105"/>
                <w:sz w:val="13"/>
              </w:rPr>
              <w:t>12.5</w:t>
            </w:r>
            <w:r>
              <w:rPr>
                <w:rFonts w:ascii="Calibri" w:hAnsi="Calibri"/>
                <w:w w:val="105"/>
                <w:sz w:val="13"/>
              </w:rPr>
              <w:t>±</w:t>
            </w:r>
            <w:r>
              <w:rPr>
                <w:w w:val="105"/>
                <w:sz w:val="13"/>
              </w:rPr>
              <w:t>10.2</w:t>
            </w:r>
          </w:p>
        </w:tc>
        <w:tc>
          <w:tcPr>
            <w:tcW w:w="770" w:type="dxa"/>
            <w:tcBorders>
              <w:left w:val="dotted" w:sz="4" w:space="0" w:color="30859C"/>
            </w:tcBorders>
            <w:shd w:val="clear" w:color="auto" w:fill="77DFDD"/>
          </w:tcPr>
          <w:p>
            <w:pPr>
              <w:pStyle w:val="TableParagraph"/>
              <w:spacing w:before="22"/>
              <w:ind w:left="25" w:right="20"/>
              <w:rPr>
                <w:sz w:val="13"/>
              </w:rPr>
            </w:pPr>
            <w:r>
              <w:rPr>
                <w:w w:val="105"/>
                <w:sz w:val="13"/>
              </w:rPr>
              <w:t>45.6</w:t>
            </w:r>
            <w:r>
              <w:rPr>
                <w:rFonts w:ascii="Calibri" w:hAnsi="Calibri"/>
                <w:w w:val="105"/>
                <w:sz w:val="13"/>
              </w:rPr>
              <w:t>±</w:t>
            </w:r>
            <w:r>
              <w:rPr>
                <w:w w:val="105"/>
                <w:sz w:val="13"/>
              </w:rPr>
              <w:t>20.3</w:t>
            </w:r>
          </w:p>
          <w:p>
            <w:pPr>
              <w:pStyle w:val="TableParagraph"/>
              <w:spacing w:before="29"/>
              <w:ind w:left="25" w:right="20"/>
              <w:rPr>
                <w:sz w:val="13"/>
              </w:rPr>
            </w:pPr>
            <w:r>
              <w:rPr>
                <w:w w:val="105"/>
                <w:sz w:val="13"/>
              </w:rPr>
              <w:t>0.70</w:t>
            </w:r>
          </w:p>
          <w:p>
            <w:pPr>
              <w:pStyle w:val="TableParagraph"/>
              <w:spacing w:before="35"/>
              <w:ind w:left="25" w:right="20"/>
              <w:rPr>
                <w:sz w:val="13"/>
              </w:rPr>
            </w:pPr>
            <w:r>
              <w:rPr>
                <w:w w:val="105"/>
                <w:sz w:val="13"/>
              </w:rPr>
              <w:t>48.4</w:t>
            </w:r>
            <w:r>
              <w:rPr>
                <w:rFonts w:ascii="Calibri" w:hAnsi="Calibri"/>
                <w:w w:val="105"/>
                <w:sz w:val="13"/>
              </w:rPr>
              <w:t>±</w:t>
            </w:r>
            <w:r>
              <w:rPr>
                <w:w w:val="105"/>
                <w:sz w:val="13"/>
              </w:rPr>
              <w:t>21.4</w:t>
            </w:r>
          </w:p>
        </w:tc>
      </w:tr>
      <w:tr>
        <w:trPr>
          <w:trHeight w:val="192" w:hRule="exact"/>
        </w:trPr>
        <w:tc>
          <w:tcPr>
            <w:tcW w:w="300" w:type="dxa"/>
            <w:vMerge/>
            <w:shd w:val="clear" w:color="auto" w:fill="B4EDEC"/>
            <w:textDirection w:val="btLr"/>
          </w:tcPr>
          <w:p>
            <w:pPr/>
          </w:p>
        </w:tc>
        <w:tc>
          <w:tcPr>
            <w:tcW w:w="775" w:type="dxa"/>
            <w:vMerge w:val="restart"/>
            <w:shd w:val="clear" w:color="auto" w:fill="B4EDEC"/>
          </w:tcPr>
          <w:p>
            <w:pPr>
              <w:pStyle w:val="TableParagraph"/>
              <w:spacing w:line="292" w:lineRule="auto" w:before="26"/>
              <w:ind w:left="193" w:right="340" w:hanging="176"/>
              <w:jc w:val="left"/>
              <w:rPr>
                <w:b/>
                <w:sz w:val="13"/>
              </w:rPr>
            </w:pPr>
            <w:r>
              <w:rPr>
                <w:b/>
                <w:sz w:val="13"/>
              </w:rPr>
              <w:t>Frutas </w:t>
            </w:r>
            <w:r>
              <w:rPr>
                <w:b/>
                <w:w w:val="105"/>
                <w:sz w:val="13"/>
              </w:rPr>
              <w:t>y</w:t>
            </w:r>
          </w:p>
          <w:p>
            <w:pPr>
              <w:pStyle w:val="TableParagraph"/>
              <w:spacing w:before="11"/>
              <w:ind w:left="17"/>
              <w:jc w:val="left"/>
              <w:rPr>
                <w:b/>
                <w:sz w:val="13"/>
              </w:rPr>
            </w:pPr>
            <w:r>
              <w:rPr>
                <w:b/>
                <w:w w:val="105"/>
                <w:sz w:val="13"/>
              </w:rPr>
              <w:t>verduras</w:t>
            </w:r>
          </w:p>
        </w:tc>
        <w:tc>
          <w:tcPr>
            <w:tcW w:w="863" w:type="dxa"/>
            <w:gridSpan w:val="2"/>
            <w:tcBorders>
              <w:right w:val="dotted" w:sz="4" w:space="0" w:color="30859C"/>
            </w:tcBorders>
            <w:shd w:val="clear" w:color="auto" w:fill="B4EDEC"/>
          </w:tcPr>
          <w:p>
            <w:pPr>
              <w:pStyle w:val="TableParagraph"/>
              <w:spacing w:before="26"/>
              <w:ind w:left="18"/>
              <w:jc w:val="left"/>
              <w:rPr>
                <w:sz w:val="13"/>
              </w:rPr>
            </w:pPr>
            <w:r>
              <w:rPr>
                <w:w w:val="105"/>
                <w:sz w:val="13"/>
              </w:rPr>
              <w:t>Si</w:t>
            </w:r>
          </w:p>
        </w:tc>
        <w:tc>
          <w:tcPr>
            <w:tcW w:w="775" w:type="dxa"/>
            <w:tcBorders>
              <w:left w:val="dotted" w:sz="4" w:space="0" w:color="30859C"/>
              <w:right w:val="dotted" w:sz="4" w:space="0" w:color="30859C"/>
            </w:tcBorders>
            <w:shd w:val="clear" w:color="auto" w:fill="B4EDEC"/>
          </w:tcPr>
          <w:p>
            <w:pPr>
              <w:pStyle w:val="TableParagraph"/>
              <w:spacing w:before="24"/>
              <w:ind w:left="5" w:right="20"/>
              <w:rPr>
                <w:sz w:val="13"/>
              </w:rPr>
            </w:pPr>
            <w:r>
              <w:rPr>
                <w:w w:val="105"/>
                <w:sz w:val="13"/>
              </w:rPr>
              <w:t>0.5</w:t>
            </w:r>
            <w:r>
              <w:rPr>
                <w:rFonts w:ascii="Calibri" w:hAnsi="Calibri"/>
                <w:w w:val="105"/>
                <w:sz w:val="13"/>
              </w:rPr>
              <w:t>±</w:t>
            </w:r>
            <w:r>
              <w:rPr>
                <w:w w:val="105"/>
                <w:sz w:val="13"/>
              </w:rPr>
              <w:t>0.7</w:t>
            </w:r>
          </w:p>
        </w:tc>
        <w:tc>
          <w:tcPr>
            <w:tcW w:w="848" w:type="dxa"/>
            <w:tcBorders>
              <w:left w:val="dotted" w:sz="4" w:space="0" w:color="30859C"/>
              <w:right w:val="dotted" w:sz="4" w:space="0" w:color="30859C"/>
            </w:tcBorders>
            <w:shd w:val="clear" w:color="auto" w:fill="B4EDEC"/>
          </w:tcPr>
          <w:p>
            <w:pPr>
              <w:pStyle w:val="TableParagraph"/>
              <w:spacing w:before="24"/>
              <w:ind w:left="138" w:right="142"/>
              <w:rPr>
                <w:sz w:val="13"/>
              </w:rPr>
            </w:pPr>
            <w:r>
              <w:rPr>
                <w:w w:val="105"/>
                <w:sz w:val="13"/>
              </w:rPr>
              <w:t>1.7</w:t>
            </w:r>
            <w:r>
              <w:rPr>
                <w:rFonts w:ascii="Calibri" w:hAnsi="Calibri"/>
                <w:w w:val="105"/>
                <w:sz w:val="13"/>
              </w:rPr>
              <w:t>±</w:t>
            </w:r>
            <w:r>
              <w:rPr>
                <w:w w:val="105"/>
                <w:sz w:val="13"/>
              </w:rPr>
              <w:t>1.7</w:t>
            </w:r>
          </w:p>
        </w:tc>
        <w:tc>
          <w:tcPr>
            <w:tcW w:w="775" w:type="dxa"/>
            <w:tcBorders>
              <w:left w:val="dotted" w:sz="4" w:space="0" w:color="30859C"/>
              <w:right w:val="dotted" w:sz="4" w:space="0" w:color="30859C"/>
            </w:tcBorders>
            <w:shd w:val="clear" w:color="auto" w:fill="B4EDEC"/>
          </w:tcPr>
          <w:p>
            <w:pPr>
              <w:pStyle w:val="TableParagraph"/>
              <w:spacing w:before="24"/>
              <w:ind w:left="26" w:right="20"/>
              <w:rPr>
                <w:sz w:val="13"/>
              </w:rPr>
            </w:pPr>
            <w:r>
              <w:rPr>
                <w:w w:val="105"/>
                <w:sz w:val="13"/>
              </w:rPr>
              <w:t>17.0</w:t>
            </w:r>
            <w:r>
              <w:rPr>
                <w:rFonts w:ascii="Calibri" w:hAnsi="Calibri"/>
                <w:w w:val="105"/>
                <w:sz w:val="13"/>
              </w:rPr>
              <w:t>±</w:t>
            </w:r>
            <w:r>
              <w:rPr>
                <w:w w:val="105"/>
                <w:sz w:val="13"/>
              </w:rPr>
              <w:t>9.3</w:t>
            </w:r>
          </w:p>
        </w:tc>
        <w:tc>
          <w:tcPr>
            <w:tcW w:w="775" w:type="dxa"/>
            <w:tcBorders>
              <w:left w:val="dotted" w:sz="4" w:space="0" w:color="30859C"/>
              <w:right w:val="dotted" w:sz="4" w:space="0" w:color="30859C"/>
            </w:tcBorders>
            <w:shd w:val="clear" w:color="auto" w:fill="B4EDEC"/>
          </w:tcPr>
          <w:p>
            <w:pPr>
              <w:pStyle w:val="TableParagraph"/>
              <w:spacing w:before="24"/>
              <w:ind w:right="158"/>
              <w:jc w:val="right"/>
              <w:rPr>
                <w:sz w:val="13"/>
              </w:rPr>
            </w:pPr>
            <w:r>
              <w:rPr>
                <w:sz w:val="13"/>
              </w:rPr>
              <w:t>9.6</w:t>
            </w:r>
            <w:r>
              <w:rPr>
                <w:rFonts w:ascii="Calibri" w:hAnsi="Calibri"/>
                <w:sz w:val="13"/>
              </w:rPr>
              <w:t>±</w:t>
            </w:r>
            <w:r>
              <w:rPr>
                <w:sz w:val="13"/>
              </w:rPr>
              <w:t>6.1</w:t>
            </w:r>
          </w:p>
        </w:tc>
        <w:tc>
          <w:tcPr>
            <w:tcW w:w="775" w:type="dxa"/>
            <w:tcBorders>
              <w:left w:val="dotted" w:sz="4" w:space="0" w:color="30859C"/>
              <w:right w:val="dotted" w:sz="4" w:space="0" w:color="30859C"/>
            </w:tcBorders>
            <w:shd w:val="clear" w:color="auto" w:fill="B4EDEC"/>
          </w:tcPr>
          <w:p>
            <w:pPr>
              <w:pStyle w:val="TableParagraph"/>
              <w:spacing w:before="24"/>
              <w:ind w:left="20" w:right="20"/>
              <w:rPr>
                <w:sz w:val="13"/>
              </w:rPr>
            </w:pPr>
            <w:r>
              <w:rPr>
                <w:w w:val="105"/>
                <w:sz w:val="13"/>
              </w:rPr>
              <w:t>5.4</w:t>
            </w:r>
            <w:r>
              <w:rPr>
                <w:rFonts w:ascii="Calibri" w:hAnsi="Calibri"/>
                <w:w w:val="105"/>
                <w:sz w:val="13"/>
              </w:rPr>
              <w:t>±</w:t>
            </w:r>
            <w:r>
              <w:rPr>
                <w:w w:val="105"/>
                <w:sz w:val="13"/>
              </w:rPr>
              <w:t>6.4</w:t>
            </w:r>
          </w:p>
        </w:tc>
        <w:tc>
          <w:tcPr>
            <w:tcW w:w="775" w:type="dxa"/>
            <w:tcBorders>
              <w:left w:val="dotted" w:sz="4" w:space="0" w:color="30859C"/>
              <w:right w:val="dotted" w:sz="4" w:space="0" w:color="30859C"/>
            </w:tcBorders>
            <w:shd w:val="clear" w:color="auto" w:fill="B4EDEC"/>
          </w:tcPr>
          <w:p>
            <w:pPr>
              <w:pStyle w:val="TableParagraph"/>
              <w:spacing w:before="24"/>
              <w:ind w:left="21" w:right="20"/>
              <w:rPr>
                <w:sz w:val="13"/>
              </w:rPr>
            </w:pPr>
            <w:r>
              <w:rPr>
                <w:w w:val="105"/>
                <w:sz w:val="13"/>
              </w:rPr>
              <w:t>2.3</w:t>
            </w:r>
            <w:r>
              <w:rPr>
                <w:rFonts w:ascii="Calibri" w:hAnsi="Calibri"/>
                <w:w w:val="105"/>
                <w:sz w:val="13"/>
              </w:rPr>
              <w:t>±</w:t>
            </w:r>
            <w:r>
              <w:rPr>
                <w:w w:val="105"/>
                <w:sz w:val="13"/>
              </w:rPr>
              <w:t>2.7</w:t>
            </w:r>
          </w:p>
        </w:tc>
        <w:tc>
          <w:tcPr>
            <w:tcW w:w="775" w:type="dxa"/>
            <w:tcBorders>
              <w:left w:val="dotted" w:sz="4" w:space="0" w:color="30859C"/>
              <w:right w:val="dotted" w:sz="4" w:space="0" w:color="30859C"/>
            </w:tcBorders>
            <w:shd w:val="clear" w:color="auto" w:fill="B4EDEC"/>
          </w:tcPr>
          <w:p>
            <w:pPr>
              <w:pStyle w:val="TableParagraph"/>
              <w:spacing w:before="24"/>
              <w:ind w:left="24" w:right="20"/>
              <w:rPr>
                <w:sz w:val="13"/>
              </w:rPr>
            </w:pPr>
            <w:r>
              <w:rPr>
                <w:w w:val="105"/>
                <w:sz w:val="13"/>
              </w:rPr>
              <w:t>13.1</w:t>
            </w:r>
            <w:r>
              <w:rPr>
                <w:rFonts w:ascii="Calibri" w:hAnsi="Calibri"/>
                <w:w w:val="105"/>
                <w:sz w:val="13"/>
              </w:rPr>
              <w:t>±</w:t>
            </w:r>
            <w:r>
              <w:rPr>
                <w:w w:val="105"/>
                <w:sz w:val="13"/>
              </w:rPr>
              <w:t>12.1</w:t>
            </w:r>
          </w:p>
        </w:tc>
        <w:tc>
          <w:tcPr>
            <w:tcW w:w="770" w:type="dxa"/>
            <w:tcBorders>
              <w:left w:val="dotted" w:sz="4" w:space="0" w:color="30859C"/>
            </w:tcBorders>
            <w:shd w:val="clear" w:color="auto" w:fill="B4EDEC"/>
          </w:tcPr>
          <w:p>
            <w:pPr>
              <w:pStyle w:val="TableParagraph"/>
              <w:spacing w:before="24"/>
              <w:ind w:left="25" w:right="20"/>
              <w:rPr>
                <w:sz w:val="13"/>
              </w:rPr>
            </w:pPr>
            <w:r>
              <w:rPr>
                <w:w w:val="105"/>
                <w:sz w:val="13"/>
              </w:rPr>
              <w:t>49.3</w:t>
            </w:r>
            <w:r>
              <w:rPr>
                <w:rFonts w:ascii="Calibri" w:hAnsi="Calibri"/>
                <w:w w:val="105"/>
                <w:sz w:val="13"/>
              </w:rPr>
              <w:t>±</w:t>
            </w:r>
            <w:r>
              <w:rPr>
                <w:w w:val="105"/>
                <w:sz w:val="13"/>
              </w:rPr>
              <w:t>20.4</w:t>
            </w:r>
          </w:p>
        </w:tc>
      </w:tr>
      <w:tr>
        <w:trPr>
          <w:trHeight w:val="182" w:hRule="exact"/>
        </w:trPr>
        <w:tc>
          <w:tcPr>
            <w:tcW w:w="300" w:type="dxa"/>
            <w:vMerge/>
            <w:shd w:val="clear" w:color="auto" w:fill="B4EDEC"/>
            <w:textDirection w:val="btLr"/>
          </w:tcPr>
          <w:p>
            <w:pPr/>
          </w:p>
        </w:tc>
        <w:tc>
          <w:tcPr>
            <w:tcW w:w="775" w:type="dxa"/>
            <w:vMerge/>
            <w:shd w:val="clear" w:color="auto" w:fill="B4EDEC"/>
          </w:tcPr>
          <w:p>
            <w:pPr/>
          </w:p>
        </w:tc>
        <w:tc>
          <w:tcPr>
            <w:tcW w:w="475" w:type="dxa"/>
            <w:vMerge w:val="restart"/>
            <w:shd w:val="clear" w:color="auto" w:fill="B4EDEC"/>
          </w:tcPr>
          <w:p>
            <w:pPr>
              <w:pStyle w:val="TableParagraph"/>
              <w:spacing w:before="0"/>
              <w:jc w:val="left"/>
              <w:rPr>
                <w:b/>
                <w:sz w:val="12"/>
              </w:rPr>
            </w:pPr>
          </w:p>
          <w:p>
            <w:pPr>
              <w:pStyle w:val="TableParagraph"/>
              <w:spacing w:before="69"/>
              <w:ind w:left="18"/>
              <w:jc w:val="left"/>
              <w:rPr>
                <w:sz w:val="13"/>
              </w:rPr>
            </w:pPr>
            <w:r>
              <w:rPr>
                <w:w w:val="105"/>
                <w:sz w:val="13"/>
              </w:rPr>
              <w:t>No</w:t>
            </w:r>
          </w:p>
        </w:tc>
        <w:tc>
          <w:tcPr>
            <w:tcW w:w="388" w:type="dxa"/>
            <w:vMerge w:val="restart"/>
            <w:tcBorders>
              <w:right w:val="dotted" w:sz="4" w:space="0" w:color="30859C"/>
            </w:tcBorders>
            <w:shd w:val="clear" w:color="auto" w:fill="B4EDEC"/>
          </w:tcPr>
          <w:p>
            <w:pPr>
              <w:pStyle w:val="TableParagraph"/>
              <w:spacing w:before="21"/>
              <w:ind w:right="10"/>
              <w:jc w:val="right"/>
              <w:rPr>
                <w:b/>
                <w:sz w:val="13"/>
              </w:rPr>
            </w:pPr>
            <w:r>
              <w:rPr>
                <w:b/>
                <w:w w:val="103"/>
                <w:sz w:val="13"/>
              </w:rPr>
              <w:t>p</w:t>
            </w:r>
          </w:p>
        </w:tc>
        <w:tc>
          <w:tcPr>
            <w:tcW w:w="775" w:type="dxa"/>
            <w:vMerge w:val="restart"/>
            <w:tcBorders>
              <w:left w:val="dotted" w:sz="4" w:space="0" w:color="30859C"/>
              <w:right w:val="dotted" w:sz="4" w:space="0" w:color="30859C"/>
            </w:tcBorders>
            <w:shd w:val="clear" w:color="auto" w:fill="B4EDEC"/>
          </w:tcPr>
          <w:p>
            <w:pPr>
              <w:pStyle w:val="TableParagraph"/>
              <w:spacing w:before="21"/>
              <w:ind w:left="242"/>
              <w:jc w:val="left"/>
              <w:rPr>
                <w:sz w:val="13"/>
              </w:rPr>
            </w:pPr>
            <w:r>
              <w:rPr>
                <w:w w:val="105"/>
                <w:sz w:val="13"/>
              </w:rPr>
              <w:t>0.39</w:t>
            </w:r>
          </w:p>
          <w:p>
            <w:pPr>
              <w:pStyle w:val="TableParagraph"/>
              <w:spacing w:before="35"/>
              <w:ind w:left="149"/>
              <w:jc w:val="left"/>
              <w:rPr>
                <w:sz w:val="13"/>
              </w:rPr>
            </w:pPr>
            <w:r>
              <w:rPr>
                <w:w w:val="105"/>
                <w:sz w:val="13"/>
              </w:rPr>
              <w:t>0.2</w:t>
            </w:r>
            <w:r>
              <w:rPr>
                <w:rFonts w:ascii="Calibri" w:hAnsi="Calibri"/>
                <w:w w:val="105"/>
                <w:sz w:val="13"/>
              </w:rPr>
              <w:t>±</w:t>
            </w:r>
            <w:r>
              <w:rPr>
                <w:w w:val="105"/>
                <w:sz w:val="13"/>
              </w:rPr>
              <w:t>0.4</w:t>
            </w:r>
          </w:p>
        </w:tc>
        <w:tc>
          <w:tcPr>
            <w:tcW w:w="848" w:type="dxa"/>
            <w:vMerge w:val="restart"/>
            <w:tcBorders>
              <w:left w:val="dotted" w:sz="4" w:space="0" w:color="30859C"/>
              <w:right w:val="dotted" w:sz="4" w:space="0" w:color="30859C"/>
            </w:tcBorders>
            <w:shd w:val="clear" w:color="auto" w:fill="B4EDEC"/>
          </w:tcPr>
          <w:p>
            <w:pPr>
              <w:pStyle w:val="TableParagraph"/>
              <w:spacing w:before="21"/>
              <w:ind w:left="138" w:right="142"/>
              <w:rPr>
                <w:sz w:val="13"/>
              </w:rPr>
            </w:pPr>
            <w:r>
              <w:rPr>
                <w:w w:val="105"/>
                <w:sz w:val="13"/>
              </w:rPr>
              <w:t>0.66</w:t>
            </w:r>
          </w:p>
          <w:p>
            <w:pPr>
              <w:pStyle w:val="TableParagraph"/>
              <w:spacing w:before="35"/>
              <w:ind w:left="138" w:right="142"/>
              <w:rPr>
                <w:sz w:val="13"/>
              </w:rPr>
            </w:pPr>
            <w:r>
              <w:rPr>
                <w:w w:val="105"/>
                <w:sz w:val="13"/>
              </w:rPr>
              <w:t>2.2</w:t>
            </w:r>
            <w:r>
              <w:rPr>
                <w:rFonts w:ascii="Calibri" w:hAnsi="Calibri"/>
                <w:w w:val="105"/>
                <w:sz w:val="13"/>
              </w:rPr>
              <w:t>±</w:t>
            </w:r>
            <w:r>
              <w:rPr>
                <w:w w:val="105"/>
                <w:sz w:val="13"/>
              </w:rPr>
              <w:t>2.3</w:t>
            </w:r>
          </w:p>
        </w:tc>
        <w:tc>
          <w:tcPr>
            <w:tcW w:w="775" w:type="dxa"/>
            <w:vMerge w:val="restart"/>
            <w:tcBorders>
              <w:left w:val="dotted" w:sz="4" w:space="0" w:color="30859C"/>
              <w:right w:val="dotted" w:sz="4" w:space="0" w:color="30859C"/>
            </w:tcBorders>
            <w:shd w:val="clear" w:color="auto" w:fill="B4EDEC"/>
          </w:tcPr>
          <w:p>
            <w:pPr>
              <w:pStyle w:val="TableParagraph"/>
              <w:spacing w:before="21"/>
              <w:ind w:left="18" w:right="20"/>
              <w:rPr>
                <w:sz w:val="13"/>
              </w:rPr>
            </w:pPr>
            <w:r>
              <w:rPr>
                <w:w w:val="105"/>
                <w:sz w:val="13"/>
              </w:rPr>
              <w:t>0.16</w:t>
            </w:r>
          </w:p>
          <w:p>
            <w:pPr>
              <w:pStyle w:val="TableParagraph"/>
              <w:spacing w:before="35"/>
              <w:ind w:left="26" w:right="20"/>
              <w:rPr>
                <w:sz w:val="13"/>
              </w:rPr>
            </w:pPr>
            <w:r>
              <w:rPr>
                <w:w w:val="105"/>
                <w:sz w:val="13"/>
              </w:rPr>
              <w:t>11.4</w:t>
            </w:r>
            <w:r>
              <w:rPr>
                <w:rFonts w:ascii="Calibri" w:hAnsi="Calibri"/>
                <w:w w:val="105"/>
                <w:sz w:val="13"/>
              </w:rPr>
              <w:t>±</w:t>
            </w:r>
            <w:r>
              <w:rPr>
                <w:w w:val="105"/>
                <w:sz w:val="13"/>
              </w:rPr>
              <w:t>8.6</w:t>
            </w:r>
          </w:p>
        </w:tc>
        <w:tc>
          <w:tcPr>
            <w:tcW w:w="775" w:type="dxa"/>
            <w:tcBorders>
              <w:left w:val="dotted" w:sz="4" w:space="0" w:color="30859C"/>
              <w:right w:val="dotted" w:sz="4" w:space="0" w:color="30859C"/>
            </w:tcBorders>
            <w:shd w:val="clear" w:color="auto" w:fill="BEBEBE"/>
          </w:tcPr>
          <w:p>
            <w:pPr>
              <w:pStyle w:val="TableParagraph"/>
              <w:spacing w:before="21"/>
              <w:ind w:right="222"/>
              <w:jc w:val="right"/>
              <w:rPr>
                <w:b/>
                <w:sz w:val="13"/>
              </w:rPr>
            </w:pPr>
            <w:r>
              <w:rPr>
                <w:b/>
                <w:sz w:val="13"/>
              </w:rPr>
              <w:t>0.05*</w:t>
            </w:r>
          </w:p>
        </w:tc>
        <w:tc>
          <w:tcPr>
            <w:tcW w:w="775" w:type="dxa"/>
            <w:vMerge w:val="restart"/>
            <w:tcBorders>
              <w:left w:val="dotted" w:sz="4" w:space="0" w:color="30859C"/>
              <w:right w:val="dotted" w:sz="4" w:space="0" w:color="30859C"/>
            </w:tcBorders>
            <w:shd w:val="clear" w:color="auto" w:fill="B4EDEC"/>
          </w:tcPr>
          <w:p>
            <w:pPr>
              <w:pStyle w:val="TableParagraph"/>
              <w:spacing w:before="21"/>
              <w:ind w:left="252"/>
              <w:jc w:val="left"/>
              <w:rPr>
                <w:sz w:val="13"/>
              </w:rPr>
            </w:pPr>
            <w:r>
              <w:rPr>
                <w:w w:val="105"/>
                <w:sz w:val="13"/>
              </w:rPr>
              <w:t>0.43</w:t>
            </w:r>
          </w:p>
          <w:p>
            <w:pPr>
              <w:pStyle w:val="TableParagraph"/>
              <w:spacing w:before="35"/>
              <w:ind w:left="158"/>
              <w:jc w:val="left"/>
              <w:rPr>
                <w:sz w:val="13"/>
              </w:rPr>
            </w:pPr>
            <w:r>
              <w:rPr>
                <w:w w:val="105"/>
                <w:sz w:val="13"/>
              </w:rPr>
              <w:t>2.6</w:t>
            </w:r>
            <w:r>
              <w:rPr>
                <w:rFonts w:ascii="Calibri" w:hAnsi="Calibri"/>
                <w:w w:val="105"/>
                <w:sz w:val="13"/>
              </w:rPr>
              <w:t>±</w:t>
            </w:r>
            <w:r>
              <w:rPr>
                <w:w w:val="105"/>
                <w:sz w:val="13"/>
              </w:rPr>
              <w:t>2.7</w:t>
            </w:r>
          </w:p>
        </w:tc>
        <w:tc>
          <w:tcPr>
            <w:tcW w:w="775" w:type="dxa"/>
            <w:tcBorders>
              <w:left w:val="dotted" w:sz="4" w:space="0" w:color="30859C"/>
              <w:right w:val="dotted" w:sz="4" w:space="0" w:color="30859C"/>
            </w:tcBorders>
            <w:shd w:val="clear" w:color="auto" w:fill="BEBEBE"/>
          </w:tcPr>
          <w:p>
            <w:pPr>
              <w:pStyle w:val="TableParagraph"/>
              <w:spacing w:before="21"/>
              <w:ind w:left="29" w:right="20"/>
              <w:rPr>
                <w:b/>
                <w:sz w:val="13"/>
              </w:rPr>
            </w:pPr>
            <w:r>
              <w:rPr>
                <w:b/>
                <w:w w:val="105"/>
                <w:sz w:val="13"/>
              </w:rPr>
              <w:t>0.05*</w:t>
            </w:r>
          </w:p>
        </w:tc>
        <w:tc>
          <w:tcPr>
            <w:tcW w:w="775" w:type="dxa"/>
            <w:vMerge w:val="restart"/>
            <w:tcBorders>
              <w:left w:val="dotted" w:sz="4" w:space="0" w:color="30859C"/>
              <w:right w:val="dotted" w:sz="4" w:space="0" w:color="30859C"/>
            </w:tcBorders>
            <w:shd w:val="clear" w:color="auto" w:fill="B4EDEC"/>
          </w:tcPr>
          <w:p>
            <w:pPr>
              <w:pStyle w:val="TableParagraph"/>
              <w:spacing w:before="21"/>
              <w:ind w:left="253"/>
              <w:jc w:val="left"/>
              <w:rPr>
                <w:sz w:val="13"/>
              </w:rPr>
            </w:pPr>
            <w:r>
              <w:rPr>
                <w:w w:val="105"/>
                <w:sz w:val="13"/>
              </w:rPr>
              <w:t>0.07</w:t>
            </w:r>
          </w:p>
          <w:p>
            <w:pPr>
              <w:pStyle w:val="TableParagraph"/>
              <w:spacing w:before="35"/>
              <w:ind w:left="160"/>
              <w:jc w:val="left"/>
              <w:rPr>
                <w:sz w:val="13"/>
              </w:rPr>
            </w:pPr>
            <w:r>
              <w:rPr>
                <w:w w:val="105"/>
                <w:sz w:val="13"/>
              </w:rPr>
              <w:t>5.6</w:t>
            </w:r>
            <w:r>
              <w:rPr>
                <w:rFonts w:ascii="Calibri" w:hAnsi="Calibri"/>
                <w:w w:val="105"/>
                <w:sz w:val="13"/>
              </w:rPr>
              <w:t>±</w:t>
            </w:r>
            <w:r>
              <w:rPr>
                <w:w w:val="105"/>
                <w:sz w:val="13"/>
              </w:rPr>
              <w:t>5.9</w:t>
            </w:r>
          </w:p>
        </w:tc>
        <w:tc>
          <w:tcPr>
            <w:tcW w:w="770" w:type="dxa"/>
            <w:tcBorders>
              <w:left w:val="dotted" w:sz="4" w:space="0" w:color="30859C"/>
            </w:tcBorders>
            <w:shd w:val="clear" w:color="auto" w:fill="BEBEBE"/>
          </w:tcPr>
          <w:p>
            <w:pPr>
              <w:pStyle w:val="TableParagraph"/>
              <w:spacing w:before="21"/>
              <w:ind w:left="35" w:right="20"/>
              <w:rPr>
                <w:b/>
                <w:sz w:val="13"/>
              </w:rPr>
            </w:pPr>
            <w:r>
              <w:rPr>
                <w:b/>
                <w:w w:val="105"/>
                <w:sz w:val="13"/>
              </w:rPr>
              <w:t>0.05*</w:t>
            </w:r>
          </w:p>
        </w:tc>
      </w:tr>
      <w:tr>
        <w:trPr>
          <w:trHeight w:val="182" w:hRule="exact"/>
        </w:trPr>
        <w:tc>
          <w:tcPr>
            <w:tcW w:w="300" w:type="dxa"/>
            <w:vMerge/>
            <w:shd w:val="clear" w:color="auto" w:fill="B4EDEC"/>
            <w:textDirection w:val="btLr"/>
          </w:tcPr>
          <w:p>
            <w:pPr/>
          </w:p>
        </w:tc>
        <w:tc>
          <w:tcPr>
            <w:tcW w:w="775" w:type="dxa"/>
            <w:vMerge/>
            <w:shd w:val="clear" w:color="auto" w:fill="B4EDEC"/>
          </w:tcPr>
          <w:p>
            <w:pPr/>
          </w:p>
        </w:tc>
        <w:tc>
          <w:tcPr>
            <w:tcW w:w="475" w:type="dxa"/>
            <w:vMerge/>
            <w:shd w:val="clear" w:color="auto" w:fill="B4EDEC"/>
          </w:tcPr>
          <w:p>
            <w:pPr/>
          </w:p>
        </w:tc>
        <w:tc>
          <w:tcPr>
            <w:tcW w:w="388" w:type="dxa"/>
            <w:vMerge/>
            <w:tcBorders>
              <w:right w:val="dotted" w:sz="4" w:space="0" w:color="30859C"/>
            </w:tcBorders>
            <w:shd w:val="clear" w:color="auto" w:fill="B4EDEC"/>
          </w:tcPr>
          <w:p>
            <w:pPr/>
          </w:p>
        </w:tc>
        <w:tc>
          <w:tcPr>
            <w:tcW w:w="775" w:type="dxa"/>
            <w:vMerge/>
            <w:tcBorders>
              <w:left w:val="dotted" w:sz="4" w:space="0" w:color="30859C"/>
              <w:right w:val="dotted" w:sz="4" w:space="0" w:color="30859C"/>
            </w:tcBorders>
            <w:shd w:val="clear" w:color="auto" w:fill="B4EDEC"/>
          </w:tcPr>
          <w:p>
            <w:pPr/>
          </w:p>
        </w:tc>
        <w:tc>
          <w:tcPr>
            <w:tcW w:w="848" w:type="dxa"/>
            <w:vMerge/>
            <w:tcBorders>
              <w:left w:val="dotted" w:sz="4" w:space="0" w:color="30859C"/>
              <w:right w:val="dotted" w:sz="4" w:space="0" w:color="30859C"/>
            </w:tcBorders>
            <w:shd w:val="clear" w:color="auto" w:fill="B4EDEC"/>
          </w:tcPr>
          <w:p>
            <w:pPr/>
          </w:p>
        </w:tc>
        <w:tc>
          <w:tcPr>
            <w:tcW w:w="775" w:type="dxa"/>
            <w:vMerge/>
            <w:tcBorders>
              <w:left w:val="dotted" w:sz="4" w:space="0" w:color="30859C"/>
              <w:right w:val="dotted" w:sz="4" w:space="0" w:color="30859C"/>
            </w:tcBorders>
            <w:shd w:val="clear" w:color="auto" w:fill="B4EDEC"/>
          </w:tcPr>
          <w:p>
            <w:pPr/>
          </w:p>
        </w:tc>
        <w:tc>
          <w:tcPr>
            <w:tcW w:w="775" w:type="dxa"/>
            <w:tcBorders>
              <w:left w:val="dotted" w:sz="4" w:space="0" w:color="30859C"/>
              <w:right w:val="dotted" w:sz="4" w:space="0" w:color="30859C"/>
            </w:tcBorders>
            <w:shd w:val="clear" w:color="auto" w:fill="B4EDEC"/>
          </w:tcPr>
          <w:p>
            <w:pPr>
              <w:pStyle w:val="TableParagraph"/>
              <w:spacing w:before="23"/>
              <w:ind w:right="158"/>
              <w:jc w:val="right"/>
              <w:rPr>
                <w:sz w:val="13"/>
              </w:rPr>
            </w:pPr>
            <w:r>
              <w:rPr>
                <w:sz w:val="13"/>
              </w:rPr>
              <w:t>4.2</w:t>
            </w:r>
            <w:r>
              <w:rPr>
                <w:rFonts w:ascii="Calibri" w:hAnsi="Calibri"/>
                <w:sz w:val="13"/>
              </w:rPr>
              <w:t>±</w:t>
            </w:r>
            <w:r>
              <w:rPr>
                <w:sz w:val="13"/>
              </w:rPr>
              <w:t>4.2</w:t>
            </w:r>
          </w:p>
        </w:tc>
        <w:tc>
          <w:tcPr>
            <w:tcW w:w="775" w:type="dxa"/>
            <w:vMerge/>
            <w:tcBorders>
              <w:left w:val="dotted" w:sz="4" w:space="0" w:color="30859C"/>
              <w:right w:val="dotted" w:sz="4" w:space="0" w:color="30859C"/>
            </w:tcBorders>
            <w:shd w:val="clear" w:color="auto" w:fill="B4EDEC"/>
          </w:tcPr>
          <w:p>
            <w:pPr/>
          </w:p>
        </w:tc>
        <w:tc>
          <w:tcPr>
            <w:tcW w:w="775" w:type="dxa"/>
            <w:tcBorders>
              <w:left w:val="dotted" w:sz="4" w:space="0" w:color="30859C"/>
              <w:right w:val="dotted" w:sz="4" w:space="0" w:color="30859C"/>
            </w:tcBorders>
            <w:shd w:val="clear" w:color="auto" w:fill="B4EDEC"/>
          </w:tcPr>
          <w:p>
            <w:pPr>
              <w:pStyle w:val="TableParagraph"/>
              <w:spacing w:before="23"/>
              <w:ind w:left="21" w:right="20"/>
              <w:rPr>
                <w:sz w:val="13"/>
              </w:rPr>
            </w:pPr>
            <w:r>
              <w:rPr>
                <w:w w:val="105"/>
                <w:sz w:val="13"/>
              </w:rPr>
              <w:t>0.4</w:t>
            </w:r>
            <w:r>
              <w:rPr>
                <w:rFonts w:ascii="Calibri" w:hAnsi="Calibri"/>
                <w:w w:val="105"/>
                <w:sz w:val="13"/>
              </w:rPr>
              <w:t>±</w:t>
            </w:r>
            <w:r>
              <w:rPr>
                <w:w w:val="105"/>
                <w:sz w:val="13"/>
              </w:rPr>
              <w:t>0.5</w:t>
            </w:r>
          </w:p>
        </w:tc>
        <w:tc>
          <w:tcPr>
            <w:tcW w:w="775" w:type="dxa"/>
            <w:vMerge/>
            <w:tcBorders>
              <w:left w:val="dotted" w:sz="4" w:space="0" w:color="30859C"/>
              <w:right w:val="dotted" w:sz="4" w:space="0" w:color="30859C"/>
            </w:tcBorders>
            <w:shd w:val="clear" w:color="auto" w:fill="B4EDEC"/>
          </w:tcPr>
          <w:p>
            <w:pPr/>
          </w:p>
        </w:tc>
        <w:tc>
          <w:tcPr>
            <w:tcW w:w="770" w:type="dxa"/>
            <w:tcBorders>
              <w:left w:val="dotted" w:sz="4" w:space="0" w:color="30859C"/>
            </w:tcBorders>
            <w:shd w:val="clear" w:color="auto" w:fill="B4EDEC"/>
          </w:tcPr>
          <w:p>
            <w:pPr>
              <w:pStyle w:val="TableParagraph"/>
              <w:spacing w:before="23"/>
              <w:ind w:left="25" w:right="20"/>
              <w:rPr>
                <w:sz w:val="13"/>
              </w:rPr>
            </w:pPr>
            <w:r>
              <w:rPr>
                <w:w w:val="105"/>
                <w:sz w:val="13"/>
              </w:rPr>
              <w:t>27.6</w:t>
            </w:r>
            <w:r>
              <w:rPr>
                <w:rFonts w:ascii="Calibri" w:hAnsi="Calibri"/>
                <w:w w:val="105"/>
                <w:sz w:val="13"/>
              </w:rPr>
              <w:t>±</w:t>
            </w:r>
            <w:r>
              <w:rPr>
                <w:w w:val="105"/>
                <w:sz w:val="13"/>
              </w:rPr>
              <w:t>18.8</w:t>
            </w:r>
          </w:p>
        </w:tc>
      </w:tr>
      <w:tr>
        <w:trPr>
          <w:trHeight w:val="567" w:hRule="exact"/>
        </w:trPr>
        <w:tc>
          <w:tcPr>
            <w:tcW w:w="300" w:type="dxa"/>
            <w:vMerge/>
            <w:shd w:val="clear" w:color="auto" w:fill="B4EDEC"/>
            <w:textDirection w:val="btLr"/>
          </w:tcPr>
          <w:p>
            <w:pPr/>
          </w:p>
        </w:tc>
        <w:tc>
          <w:tcPr>
            <w:tcW w:w="775" w:type="dxa"/>
            <w:shd w:val="clear" w:color="auto" w:fill="77DFDD"/>
          </w:tcPr>
          <w:p>
            <w:pPr>
              <w:pStyle w:val="TableParagraph"/>
              <w:spacing w:before="0"/>
              <w:jc w:val="left"/>
              <w:rPr>
                <w:b/>
                <w:sz w:val="12"/>
              </w:rPr>
            </w:pPr>
          </w:p>
          <w:p>
            <w:pPr>
              <w:pStyle w:val="TableParagraph"/>
              <w:spacing w:before="73"/>
              <w:ind w:left="17"/>
              <w:jc w:val="left"/>
              <w:rPr>
                <w:b/>
                <w:sz w:val="13"/>
              </w:rPr>
            </w:pPr>
            <w:r>
              <w:rPr>
                <w:b/>
                <w:w w:val="105"/>
                <w:sz w:val="13"/>
              </w:rPr>
              <w:t>Pescado</w:t>
            </w:r>
          </w:p>
        </w:tc>
        <w:tc>
          <w:tcPr>
            <w:tcW w:w="475" w:type="dxa"/>
            <w:shd w:val="clear" w:color="auto" w:fill="77DFDD"/>
          </w:tcPr>
          <w:p>
            <w:pPr>
              <w:pStyle w:val="TableParagraph"/>
              <w:spacing w:before="29"/>
              <w:ind w:left="18"/>
              <w:jc w:val="left"/>
              <w:rPr>
                <w:sz w:val="13"/>
              </w:rPr>
            </w:pPr>
            <w:r>
              <w:rPr>
                <w:w w:val="105"/>
                <w:sz w:val="13"/>
              </w:rPr>
              <w:t>Si</w:t>
            </w:r>
          </w:p>
          <w:p>
            <w:pPr>
              <w:pStyle w:val="TableParagraph"/>
              <w:spacing w:before="0"/>
              <w:jc w:val="left"/>
              <w:rPr>
                <w:b/>
                <w:sz w:val="12"/>
              </w:rPr>
            </w:pPr>
          </w:p>
          <w:p>
            <w:pPr>
              <w:pStyle w:val="TableParagraph"/>
              <w:spacing w:before="85"/>
              <w:ind w:left="18"/>
              <w:jc w:val="left"/>
              <w:rPr>
                <w:sz w:val="13"/>
              </w:rPr>
            </w:pPr>
            <w:r>
              <w:rPr>
                <w:w w:val="105"/>
                <w:sz w:val="13"/>
              </w:rPr>
              <w:t>No</w:t>
            </w:r>
          </w:p>
        </w:tc>
        <w:tc>
          <w:tcPr>
            <w:tcW w:w="388" w:type="dxa"/>
            <w:tcBorders>
              <w:right w:val="dotted" w:sz="4" w:space="0" w:color="30859C"/>
            </w:tcBorders>
            <w:shd w:val="clear" w:color="auto" w:fill="77DFDD"/>
          </w:tcPr>
          <w:p>
            <w:pPr>
              <w:pStyle w:val="TableParagraph"/>
              <w:spacing w:before="0"/>
              <w:jc w:val="left"/>
              <w:rPr>
                <w:b/>
                <w:sz w:val="12"/>
              </w:rPr>
            </w:pPr>
          </w:p>
          <w:p>
            <w:pPr>
              <w:pStyle w:val="TableParagraph"/>
              <w:spacing w:before="77"/>
              <w:ind w:right="10"/>
              <w:jc w:val="right"/>
              <w:rPr>
                <w:b/>
                <w:sz w:val="13"/>
              </w:rPr>
            </w:pPr>
            <w:r>
              <w:rPr>
                <w:b/>
                <w:w w:val="103"/>
                <w:sz w:val="13"/>
              </w:rPr>
              <w:t>p</w:t>
            </w:r>
          </w:p>
        </w:tc>
        <w:tc>
          <w:tcPr>
            <w:tcW w:w="775" w:type="dxa"/>
            <w:tcBorders>
              <w:left w:val="dotted" w:sz="4" w:space="0" w:color="30859C"/>
              <w:right w:val="dotted" w:sz="4" w:space="0" w:color="30859C"/>
            </w:tcBorders>
            <w:shd w:val="clear" w:color="auto" w:fill="77DFDD"/>
          </w:tcPr>
          <w:p>
            <w:pPr>
              <w:pStyle w:val="TableParagraph"/>
              <w:spacing w:before="27"/>
              <w:ind w:left="149"/>
              <w:jc w:val="left"/>
              <w:rPr>
                <w:sz w:val="13"/>
              </w:rPr>
            </w:pPr>
            <w:r>
              <w:rPr>
                <w:w w:val="105"/>
                <w:sz w:val="13"/>
              </w:rPr>
              <w:t>0.5</w:t>
            </w:r>
            <w:r>
              <w:rPr>
                <w:rFonts w:ascii="Calibri" w:hAnsi="Calibri"/>
                <w:w w:val="105"/>
                <w:sz w:val="13"/>
              </w:rPr>
              <w:t>±</w:t>
            </w:r>
            <w:r>
              <w:rPr>
                <w:w w:val="105"/>
                <w:sz w:val="13"/>
              </w:rPr>
              <w:t>0.8</w:t>
            </w:r>
          </w:p>
          <w:p>
            <w:pPr>
              <w:pStyle w:val="TableParagraph"/>
              <w:spacing w:before="30"/>
              <w:ind w:left="242"/>
              <w:jc w:val="left"/>
              <w:rPr>
                <w:sz w:val="13"/>
              </w:rPr>
            </w:pPr>
            <w:r>
              <w:rPr>
                <w:w w:val="105"/>
                <w:sz w:val="13"/>
              </w:rPr>
              <w:t>0.94</w:t>
            </w:r>
          </w:p>
          <w:p>
            <w:pPr>
              <w:pStyle w:val="TableParagraph"/>
              <w:spacing w:before="35"/>
              <w:ind w:left="149"/>
              <w:jc w:val="left"/>
              <w:rPr>
                <w:sz w:val="13"/>
              </w:rPr>
            </w:pPr>
            <w:r>
              <w:rPr>
                <w:w w:val="105"/>
                <w:sz w:val="13"/>
              </w:rPr>
              <w:t>0.4</w:t>
            </w:r>
            <w:r>
              <w:rPr>
                <w:rFonts w:ascii="Calibri" w:hAnsi="Calibri"/>
                <w:w w:val="105"/>
                <w:sz w:val="13"/>
              </w:rPr>
              <w:t>±</w:t>
            </w:r>
            <w:r>
              <w:rPr>
                <w:w w:val="105"/>
                <w:sz w:val="13"/>
              </w:rPr>
              <w:t>0.6</w:t>
            </w:r>
          </w:p>
        </w:tc>
        <w:tc>
          <w:tcPr>
            <w:tcW w:w="848" w:type="dxa"/>
            <w:tcBorders>
              <w:left w:val="dotted" w:sz="4" w:space="0" w:color="30859C"/>
              <w:right w:val="dotted" w:sz="4" w:space="0" w:color="30859C"/>
            </w:tcBorders>
            <w:shd w:val="clear" w:color="auto" w:fill="77DFDD"/>
          </w:tcPr>
          <w:p>
            <w:pPr>
              <w:pStyle w:val="TableParagraph"/>
              <w:spacing w:before="27"/>
              <w:ind w:left="138" w:right="142"/>
              <w:rPr>
                <w:sz w:val="13"/>
              </w:rPr>
            </w:pPr>
            <w:r>
              <w:rPr>
                <w:w w:val="105"/>
                <w:sz w:val="13"/>
              </w:rPr>
              <w:t>1.7</w:t>
            </w:r>
            <w:r>
              <w:rPr>
                <w:rFonts w:ascii="Calibri" w:hAnsi="Calibri"/>
                <w:w w:val="105"/>
                <w:sz w:val="13"/>
              </w:rPr>
              <w:t>±</w:t>
            </w:r>
            <w:r>
              <w:rPr>
                <w:w w:val="105"/>
                <w:sz w:val="13"/>
              </w:rPr>
              <w:t>2.0</w:t>
            </w:r>
          </w:p>
          <w:p>
            <w:pPr>
              <w:pStyle w:val="TableParagraph"/>
              <w:spacing w:before="30"/>
              <w:ind w:left="138" w:right="142"/>
              <w:rPr>
                <w:sz w:val="13"/>
              </w:rPr>
            </w:pPr>
            <w:r>
              <w:rPr>
                <w:w w:val="105"/>
                <w:sz w:val="13"/>
              </w:rPr>
              <w:t>0.79</w:t>
            </w:r>
          </w:p>
          <w:p>
            <w:pPr>
              <w:pStyle w:val="TableParagraph"/>
              <w:spacing w:before="35"/>
              <w:ind w:left="138" w:right="142"/>
              <w:rPr>
                <w:sz w:val="13"/>
              </w:rPr>
            </w:pPr>
            <w:r>
              <w:rPr>
                <w:w w:val="105"/>
                <w:sz w:val="13"/>
              </w:rPr>
              <w:t>1.7</w:t>
            </w:r>
            <w:r>
              <w:rPr>
                <w:rFonts w:ascii="Calibri" w:hAnsi="Calibri"/>
                <w:w w:val="105"/>
                <w:sz w:val="13"/>
              </w:rPr>
              <w:t>±</w:t>
            </w:r>
            <w:r>
              <w:rPr>
                <w:w w:val="105"/>
                <w:sz w:val="13"/>
              </w:rPr>
              <w:t>1.6</w:t>
            </w:r>
          </w:p>
        </w:tc>
        <w:tc>
          <w:tcPr>
            <w:tcW w:w="775" w:type="dxa"/>
            <w:tcBorders>
              <w:left w:val="dotted" w:sz="4" w:space="0" w:color="30859C"/>
              <w:right w:val="dotted" w:sz="4" w:space="0" w:color="30859C"/>
            </w:tcBorders>
            <w:shd w:val="clear" w:color="auto" w:fill="77DFDD"/>
          </w:tcPr>
          <w:p>
            <w:pPr>
              <w:pStyle w:val="TableParagraph"/>
              <w:spacing w:before="27"/>
              <w:ind w:left="18" w:right="20"/>
              <w:rPr>
                <w:sz w:val="13"/>
              </w:rPr>
            </w:pPr>
            <w:r>
              <w:rPr>
                <w:w w:val="105"/>
                <w:sz w:val="13"/>
              </w:rPr>
              <w:t>18.6</w:t>
            </w:r>
            <w:r>
              <w:rPr>
                <w:rFonts w:ascii="Calibri" w:hAnsi="Calibri"/>
                <w:w w:val="105"/>
                <w:sz w:val="13"/>
              </w:rPr>
              <w:t>±</w:t>
            </w:r>
            <w:r>
              <w:rPr>
                <w:w w:val="105"/>
                <w:sz w:val="13"/>
              </w:rPr>
              <w:t>10.7</w:t>
            </w:r>
          </w:p>
          <w:p>
            <w:pPr>
              <w:pStyle w:val="TableParagraph"/>
              <w:spacing w:before="30"/>
              <w:ind w:left="18" w:right="20"/>
              <w:rPr>
                <w:sz w:val="13"/>
              </w:rPr>
            </w:pPr>
            <w:r>
              <w:rPr>
                <w:w w:val="105"/>
                <w:sz w:val="13"/>
              </w:rPr>
              <w:t>0.21</w:t>
            </w:r>
          </w:p>
          <w:p>
            <w:pPr>
              <w:pStyle w:val="TableParagraph"/>
              <w:spacing w:before="35"/>
              <w:ind w:left="26" w:right="20"/>
              <w:rPr>
                <w:sz w:val="13"/>
              </w:rPr>
            </w:pPr>
            <w:r>
              <w:rPr>
                <w:w w:val="105"/>
                <w:sz w:val="13"/>
              </w:rPr>
              <w:t>15.1</w:t>
            </w:r>
            <w:r>
              <w:rPr>
                <w:rFonts w:ascii="Calibri" w:hAnsi="Calibri"/>
                <w:w w:val="105"/>
                <w:sz w:val="13"/>
              </w:rPr>
              <w:t>±</w:t>
            </w:r>
            <w:r>
              <w:rPr>
                <w:w w:val="105"/>
                <w:sz w:val="13"/>
              </w:rPr>
              <w:t>8.1</w:t>
            </w:r>
          </w:p>
        </w:tc>
        <w:tc>
          <w:tcPr>
            <w:tcW w:w="775" w:type="dxa"/>
            <w:tcBorders>
              <w:left w:val="dotted" w:sz="4" w:space="0" w:color="30859C"/>
              <w:right w:val="dotted" w:sz="4" w:space="0" w:color="30859C"/>
            </w:tcBorders>
            <w:shd w:val="clear" w:color="auto" w:fill="77DFDD"/>
          </w:tcPr>
          <w:p>
            <w:pPr>
              <w:pStyle w:val="TableParagraph"/>
              <w:spacing w:before="27"/>
              <w:ind w:left="158"/>
              <w:jc w:val="left"/>
              <w:rPr>
                <w:sz w:val="13"/>
              </w:rPr>
            </w:pPr>
            <w:r>
              <w:rPr>
                <w:w w:val="105"/>
                <w:sz w:val="13"/>
              </w:rPr>
              <w:t>9.2</w:t>
            </w:r>
            <w:r>
              <w:rPr>
                <w:rFonts w:ascii="Calibri" w:hAnsi="Calibri"/>
                <w:w w:val="105"/>
                <w:sz w:val="13"/>
              </w:rPr>
              <w:t>±</w:t>
            </w:r>
            <w:r>
              <w:rPr>
                <w:w w:val="105"/>
                <w:sz w:val="13"/>
              </w:rPr>
              <w:t>7.2</w:t>
            </w:r>
          </w:p>
          <w:p>
            <w:pPr>
              <w:pStyle w:val="TableParagraph"/>
              <w:spacing w:before="30"/>
              <w:ind w:left="251"/>
              <w:jc w:val="left"/>
              <w:rPr>
                <w:sz w:val="13"/>
              </w:rPr>
            </w:pPr>
            <w:r>
              <w:rPr>
                <w:w w:val="105"/>
                <w:sz w:val="13"/>
              </w:rPr>
              <w:t>0.46</w:t>
            </w:r>
          </w:p>
          <w:p>
            <w:pPr>
              <w:pStyle w:val="TableParagraph"/>
              <w:spacing w:before="35"/>
              <w:ind w:left="158"/>
              <w:jc w:val="left"/>
              <w:rPr>
                <w:sz w:val="13"/>
              </w:rPr>
            </w:pPr>
            <w:r>
              <w:rPr>
                <w:w w:val="105"/>
                <w:sz w:val="13"/>
              </w:rPr>
              <w:t>9.2</w:t>
            </w:r>
            <w:r>
              <w:rPr>
                <w:rFonts w:ascii="Calibri" w:hAnsi="Calibri"/>
                <w:w w:val="105"/>
                <w:sz w:val="13"/>
              </w:rPr>
              <w:t>±</w:t>
            </w:r>
            <w:r>
              <w:rPr>
                <w:w w:val="105"/>
                <w:sz w:val="13"/>
              </w:rPr>
              <w:t>5.4</w:t>
            </w:r>
          </w:p>
        </w:tc>
        <w:tc>
          <w:tcPr>
            <w:tcW w:w="775" w:type="dxa"/>
            <w:tcBorders>
              <w:left w:val="dotted" w:sz="4" w:space="0" w:color="30859C"/>
              <w:right w:val="dotted" w:sz="4" w:space="0" w:color="30859C"/>
            </w:tcBorders>
            <w:shd w:val="clear" w:color="auto" w:fill="77DFDD"/>
          </w:tcPr>
          <w:p>
            <w:pPr>
              <w:pStyle w:val="TableParagraph"/>
              <w:spacing w:before="27"/>
              <w:ind w:left="158"/>
              <w:jc w:val="left"/>
              <w:rPr>
                <w:sz w:val="13"/>
              </w:rPr>
            </w:pPr>
            <w:r>
              <w:rPr>
                <w:w w:val="105"/>
                <w:sz w:val="13"/>
              </w:rPr>
              <w:t>5.5</w:t>
            </w:r>
            <w:r>
              <w:rPr>
                <w:rFonts w:ascii="Calibri" w:hAnsi="Calibri"/>
                <w:w w:val="105"/>
                <w:sz w:val="13"/>
              </w:rPr>
              <w:t>±</w:t>
            </w:r>
            <w:r>
              <w:rPr>
                <w:w w:val="105"/>
                <w:sz w:val="13"/>
              </w:rPr>
              <w:t>6.5</w:t>
            </w:r>
          </w:p>
          <w:p>
            <w:pPr>
              <w:pStyle w:val="TableParagraph"/>
              <w:spacing w:before="30"/>
              <w:ind w:left="252"/>
              <w:jc w:val="left"/>
              <w:rPr>
                <w:sz w:val="13"/>
              </w:rPr>
            </w:pPr>
            <w:r>
              <w:rPr>
                <w:w w:val="105"/>
                <w:sz w:val="13"/>
              </w:rPr>
              <w:t>0.62</w:t>
            </w:r>
          </w:p>
          <w:p>
            <w:pPr>
              <w:pStyle w:val="TableParagraph"/>
              <w:spacing w:before="35"/>
              <w:ind w:left="158"/>
              <w:jc w:val="left"/>
              <w:rPr>
                <w:sz w:val="13"/>
              </w:rPr>
            </w:pPr>
            <w:r>
              <w:rPr>
                <w:w w:val="105"/>
                <w:sz w:val="13"/>
              </w:rPr>
              <w:t>5.0</w:t>
            </w:r>
            <w:r>
              <w:rPr>
                <w:rFonts w:ascii="Calibri" w:hAnsi="Calibri"/>
                <w:w w:val="105"/>
                <w:sz w:val="13"/>
              </w:rPr>
              <w:t>±</w:t>
            </w:r>
            <w:r>
              <w:rPr>
                <w:w w:val="105"/>
                <w:sz w:val="13"/>
              </w:rPr>
              <w:t>6.1</w:t>
            </w:r>
          </w:p>
        </w:tc>
        <w:tc>
          <w:tcPr>
            <w:tcW w:w="775" w:type="dxa"/>
            <w:tcBorders>
              <w:left w:val="dotted" w:sz="4" w:space="0" w:color="30859C"/>
              <w:right w:val="dotted" w:sz="4" w:space="0" w:color="30859C"/>
            </w:tcBorders>
            <w:shd w:val="clear" w:color="auto" w:fill="77DFDD"/>
          </w:tcPr>
          <w:p>
            <w:pPr>
              <w:pStyle w:val="TableParagraph"/>
              <w:spacing w:before="27"/>
              <w:ind w:left="159"/>
              <w:jc w:val="left"/>
              <w:rPr>
                <w:sz w:val="13"/>
              </w:rPr>
            </w:pPr>
            <w:r>
              <w:rPr>
                <w:w w:val="105"/>
                <w:sz w:val="13"/>
              </w:rPr>
              <w:t>2.0</w:t>
            </w:r>
            <w:r>
              <w:rPr>
                <w:rFonts w:ascii="Calibri" w:hAnsi="Calibri"/>
                <w:w w:val="105"/>
                <w:sz w:val="13"/>
              </w:rPr>
              <w:t>±</w:t>
            </w:r>
            <w:r>
              <w:rPr>
                <w:w w:val="105"/>
                <w:sz w:val="13"/>
              </w:rPr>
              <w:t>1.8</w:t>
            </w:r>
          </w:p>
          <w:p>
            <w:pPr>
              <w:pStyle w:val="TableParagraph"/>
              <w:spacing w:before="30"/>
              <w:ind w:left="252"/>
              <w:jc w:val="left"/>
              <w:rPr>
                <w:sz w:val="13"/>
              </w:rPr>
            </w:pPr>
            <w:r>
              <w:rPr>
                <w:w w:val="105"/>
                <w:sz w:val="13"/>
              </w:rPr>
              <w:t>0.49</w:t>
            </w:r>
          </w:p>
          <w:p>
            <w:pPr>
              <w:pStyle w:val="TableParagraph"/>
              <w:spacing w:before="35"/>
              <w:ind w:left="159"/>
              <w:jc w:val="left"/>
              <w:rPr>
                <w:sz w:val="13"/>
              </w:rPr>
            </w:pPr>
            <w:r>
              <w:rPr>
                <w:w w:val="105"/>
                <w:sz w:val="13"/>
              </w:rPr>
              <w:t>2.3</w:t>
            </w:r>
            <w:r>
              <w:rPr>
                <w:rFonts w:ascii="Calibri" w:hAnsi="Calibri"/>
                <w:w w:val="105"/>
                <w:sz w:val="13"/>
              </w:rPr>
              <w:t>±</w:t>
            </w:r>
            <w:r>
              <w:rPr>
                <w:w w:val="105"/>
                <w:sz w:val="13"/>
              </w:rPr>
              <w:t>3.1</w:t>
            </w:r>
          </w:p>
        </w:tc>
        <w:tc>
          <w:tcPr>
            <w:tcW w:w="775" w:type="dxa"/>
            <w:tcBorders>
              <w:left w:val="dotted" w:sz="4" w:space="0" w:color="30859C"/>
              <w:right w:val="dotted" w:sz="4" w:space="0" w:color="30859C"/>
            </w:tcBorders>
            <w:shd w:val="clear" w:color="auto" w:fill="77DFDD"/>
          </w:tcPr>
          <w:p>
            <w:pPr>
              <w:pStyle w:val="TableParagraph"/>
              <w:spacing w:before="27"/>
              <w:ind w:left="24" w:right="20"/>
              <w:rPr>
                <w:sz w:val="13"/>
              </w:rPr>
            </w:pPr>
            <w:r>
              <w:rPr>
                <w:w w:val="105"/>
                <w:sz w:val="13"/>
              </w:rPr>
              <w:t>14.6</w:t>
            </w:r>
            <w:r>
              <w:rPr>
                <w:rFonts w:ascii="Calibri" w:hAnsi="Calibri"/>
                <w:w w:val="105"/>
                <w:sz w:val="13"/>
              </w:rPr>
              <w:t>±</w:t>
            </w:r>
            <w:r>
              <w:rPr>
                <w:w w:val="105"/>
                <w:sz w:val="13"/>
              </w:rPr>
              <w:t>12.7</w:t>
            </w:r>
          </w:p>
          <w:p>
            <w:pPr>
              <w:pStyle w:val="TableParagraph"/>
              <w:spacing w:before="30"/>
              <w:ind w:left="24" w:right="20"/>
              <w:rPr>
                <w:sz w:val="13"/>
              </w:rPr>
            </w:pPr>
            <w:r>
              <w:rPr>
                <w:w w:val="105"/>
                <w:sz w:val="13"/>
              </w:rPr>
              <w:t>0.09</w:t>
            </w:r>
          </w:p>
          <w:p>
            <w:pPr>
              <w:pStyle w:val="TableParagraph"/>
              <w:spacing w:before="35"/>
              <w:ind w:left="24" w:right="20"/>
              <w:rPr>
                <w:sz w:val="13"/>
              </w:rPr>
            </w:pPr>
            <w:r>
              <w:rPr>
                <w:w w:val="105"/>
                <w:sz w:val="13"/>
              </w:rPr>
              <w:t>11.0</w:t>
            </w:r>
            <w:r>
              <w:rPr>
                <w:rFonts w:ascii="Calibri" w:hAnsi="Calibri"/>
                <w:w w:val="105"/>
                <w:sz w:val="13"/>
              </w:rPr>
              <w:t>±</w:t>
            </w:r>
            <w:r>
              <w:rPr>
                <w:w w:val="105"/>
                <w:sz w:val="13"/>
              </w:rPr>
              <w:t>11.2</w:t>
            </w:r>
          </w:p>
        </w:tc>
        <w:tc>
          <w:tcPr>
            <w:tcW w:w="770" w:type="dxa"/>
            <w:tcBorders>
              <w:left w:val="dotted" w:sz="4" w:space="0" w:color="30859C"/>
            </w:tcBorders>
            <w:shd w:val="clear" w:color="auto" w:fill="77DFDD"/>
          </w:tcPr>
          <w:p>
            <w:pPr>
              <w:pStyle w:val="TableParagraph"/>
              <w:spacing w:before="27"/>
              <w:ind w:left="25" w:right="20"/>
              <w:rPr>
                <w:sz w:val="13"/>
              </w:rPr>
            </w:pPr>
            <w:r>
              <w:rPr>
                <w:w w:val="105"/>
                <w:sz w:val="13"/>
              </w:rPr>
              <w:t>51.8</w:t>
            </w:r>
            <w:r>
              <w:rPr>
                <w:rFonts w:ascii="Calibri" w:hAnsi="Calibri"/>
                <w:w w:val="105"/>
                <w:sz w:val="13"/>
              </w:rPr>
              <w:t>±</w:t>
            </w:r>
            <w:r>
              <w:rPr>
                <w:w w:val="105"/>
                <w:sz w:val="13"/>
              </w:rPr>
              <w:t>21.0</w:t>
            </w:r>
          </w:p>
          <w:p>
            <w:pPr>
              <w:pStyle w:val="TableParagraph"/>
              <w:spacing w:before="30"/>
              <w:ind w:left="25" w:right="20"/>
              <w:rPr>
                <w:sz w:val="13"/>
              </w:rPr>
            </w:pPr>
            <w:r>
              <w:rPr>
                <w:w w:val="105"/>
                <w:sz w:val="13"/>
              </w:rPr>
              <w:t>0.13</w:t>
            </w:r>
          </w:p>
          <w:p>
            <w:pPr>
              <w:pStyle w:val="TableParagraph"/>
              <w:spacing w:before="35"/>
              <w:ind w:left="25" w:right="20"/>
              <w:rPr>
                <w:sz w:val="13"/>
              </w:rPr>
            </w:pPr>
            <w:r>
              <w:rPr>
                <w:w w:val="105"/>
                <w:sz w:val="13"/>
              </w:rPr>
              <w:t>44.6</w:t>
            </w:r>
            <w:r>
              <w:rPr>
                <w:rFonts w:ascii="Calibri" w:hAnsi="Calibri"/>
                <w:w w:val="105"/>
                <w:sz w:val="13"/>
              </w:rPr>
              <w:t>±</w:t>
            </w:r>
            <w:r>
              <w:rPr>
                <w:w w:val="105"/>
                <w:sz w:val="13"/>
              </w:rPr>
              <w:t>20.7</w:t>
            </w:r>
          </w:p>
        </w:tc>
      </w:tr>
      <w:tr>
        <w:trPr>
          <w:trHeight w:val="557" w:hRule="exact"/>
        </w:trPr>
        <w:tc>
          <w:tcPr>
            <w:tcW w:w="300" w:type="dxa"/>
            <w:vMerge/>
            <w:shd w:val="clear" w:color="auto" w:fill="B4EDEC"/>
            <w:textDirection w:val="btLr"/>
          </w:tcPr>
          <w:p>
            <w:pPr/>
          </w:p>
        </w:tc>
        <w:tc>
          <w:tcPr>
            <w:tcW w:w="775" w:type="dxa"/>
            <w:shd w:val="clear" w:color="auto" w:fill="B4EDEC"/>
          </w:tcPr>
          <w:p>
            <w:pPr>
              <w:pStyle w:val="TableParagraph"/>
              <w:spacing w:before="8"/>
              <w:jc w:val="left"/>
              <w:rPr>
                <w:b/>
                <w:sz w:val="17"/>
              </w:rPr>
            </w:pPr>
          </w:p>
          <w:p>
            <w:pPr>
              <w:pStyle w:val="TableParagraph"/>
              <w:spacing w:before="0"/>
              <w:ind w:left="17"/>
              <w:jc w:val="left"/>
              <w:rPr>
                <w:b/>
                <w:sz w:val="13"/>
              </w:rPr>
            </w:pPr>
            <w:r>
              <w:rPr>
                <w:b/>
                <w:w w:val="105"/>
                <w:sz w:val="13"/>
              </w:rPr>
              <w:t>Carne</w:t>
            </w:r>
          </w:p>
        </w:tc>
        <w:tc>
          <w:tcPr>
            <w:tcW w:w="475" w:type="dxa"/>
            <w:shd w:val="clear" w:color="auto" w:fill="B4EDEC"/>
          </w:tcPr>
          <w:p>
            <w:pPr>
              <w:pStyle w:val="TableParagraph"/>
              <w:spacing w:before="21"/>
              <w:ind w:left="18"/>
              <w:jc w:val="left"/>
              <w:rPr>
                <w:sz w:val="13"/>
              </w:rPr>
            </w:pPr>
            <w:r>
              <w:rPr>
                <w:w w:val="105"/>
                <w:sz w:val="13"/>
              </w:rPr>
              <w:t>Si</w:t>
            </w:r>
          </w:p>
          <w:p>
            <w:pPr>
              <w:pStyle w:val="TableParagraph"/>
              <w:spacing w:before="0"/>
              <w:jc w:val="left"/>
              <w:rPr>
                <w:b/>
                <w:sz w:val="12"/>
              </w:rPr>
            </w:pPr>
          </w:p>
          <w:p>
            <w:pPr>
              <w:pStyle w:val="TableParagraph"/>
              <w:spacing w:before="85"/>
              <w:ind w:left="18"/>
              <w:jc w:val="left"/>
              <w:rPr>
                <w:sz w:val="13"/>
              </w:rPr>
            </w:pPr>
            <w:r>
              <w:rPr>
                <w:w w:val="105"/>
                <w:sz w:val="13"/>
              </w:rPr>
              <w:t>No</w:t>
            </w:r>
          </w:p>
        </w:tc>
        <w:tc>
          <w:tcPr>
            <w:tcW w:w="388" w:type="dxa"/>
            <w:tcBorders>
              <w:right w:val="dotted" w:sz="4" w:space="0" w:color="30859C"/>
            </w:tcBorders>
            <w:shd w:val="clear" w:color="auto" w:fill="B4EDEC"/>
          </w:tcPr>
          <w:p>
            <w:pPr>
              <w:pStyle w:val="TableParagraph"/>
              <w:spacing w:before="0"/>
              <w:jc w:val="left"/>
              <w:rPr>
                <w:b/>
                <w:sz w:val="12"/>
              </w:rPr>
            </w:pPr>
          </w:p>
          <w:p>
            <w:pPr>
              <w:pStyle w:val="TableParagraph"/>
              <w:spacing w:before="70"/>
              <w:ind w:right="10"/>
              <w:jc w:val="right"/>
              <w:rPr>
                <w:b/>
                <w:sz w:val="13"/>
              </w:rPr>
            </w:pPr>
            <w:r>
              <w:rPr>
                <w:b/>
                <w:w w:val="103"/>
                <w:sz w:val="13"/>
              </w:rPr>
              <w:t>p</w:t>
            </w:r>
          </w:p>
        </w:tc>
        <w:tc>
          <w:tcPr>
            <w:tcW w:w="775" w:type="dxa"/>
            <w:tcBorders>
              <w:left w:val="dotted" w:sz="4" w:space="0" w:color="30859C"/>
              <w:right w:val="dotted" w:sz="4" w:space="0" w:color="30859C"/>
            </w:tcBorders>
            <w:shd w:val="clear" w:color="auto" w:fill="B4EDEC"/>
          </w:tcPr>
          <w:p>
            <w:pPr>
              <w:pStyle w:val="TableParagraph"/>
              <w:spacing w:before="19"/>
              <w:ind w:left="149"/>
              <w:jc w:val="left"/>
              <w:rPr>
                <w:sz w:val="13"/>
              </w:rPr>
            </w:pPr>
            <w:r>
              <w:rPr>
                <w:w w:val="105"/>
                <w:sz w:val="13"/>
              </w:rPr>
              <w:t>0.4</w:t>
            </w:r>
            <w:r>
              <w:rPr>
                <w:rFonts w:ascii="Calibri" w:hAnsi="Calibri"/>
                <w:w w:val="105"/>
                <w:sz w:val="13"/>
              </w:rPr>
              <w:t>±</w:t>
            </w:r>
            <w:r>
              <w:rPr>
                <w:w w:val="105"/>
                <w:sz w:val="13"/>
              </w:rPr>
              <w:t>0.7</w:t>
            </w:r>
          </w:p>
          <w:p>
            <w:pPr>
              <w:pStyle w:val="TableParagraph"/>
              <w:spacing w:before="29"/>
              <w:ind w:left="242"/>
              <w:jc w:val="left"/>
              <w:rPr>
                <w:sz w:val="13"/>
              </w:rPr>
            </w:pPr>
            <w:r>
              <w:rPr>
                <w:w w:val="105"/>
                <w:sz w:val="13"/>
              </w:rPr>
              <w:t>0.25</w:t>
            </w:r>
          </w:p>
          <w:p>
            <w:pPr>
              <w:pStyle w:val="TableParagraph"/>
              <w:spacing w:before="35"/>
              <w:ind w:left="149"/>
              <w:jc w:val="left"/>
              <w:rPr>
                <w:sz w:val="13"/>
              </w:rPr>
            </w:pPr>
            <w:r>
              <w:rPr>
                <w:w w:val="105"/>
                <w:sz w:val="13"/>
              </w:rPr>
              <w:t>1.0</w:t>
            </w:r>
            <w:r>
              <w:rPr>
                <w:rFonts w:ascii="Calibri" w:hAnsi="Calibri"/>
                <w:w w:val="105"/>
                <w:sz w:val="13"/>
              </w:rPr>
              <w:t>±</w:t>
            </w:r>
            <w:r>
              <w:rPr>
                <w:w w:val="105"/>
                <w:sz w:val="13"/>
              </w:rPr>
              <w:t>0.0</w:t>
            </w:r>
          </w:p>
        </w:tc>
        <w:tc>
          <w:tcPr>
            <w:tcW w:w="848" w:type="dxa"/>
            <w:tcBorders>
              <w:left w:val="dotted" w:sz="4" w:space="0" w:color="30859C"/>
              <w:right w:val="dotted" w:sz="4" w:space="0" w:color="30859C"/>
            </w:tcBorders>
            <w:shd w:val="clear" w:color="auto" w:fill="B4EDEC"/>
          </w:tcPr>
          <w:p>
            <w:pPr>
              <w:pStyle w:val="TableParagraph"/>
              <w:spacing w:before="19"/>
              <w:ind w:left="138" w:right="142"/>
              <w:rPr>
                <w:sz w:val="13"/>
              </w:rPr>
            </w:pPr>
            <w:r>
              <w:rPr>
                <w:w w:val="105"/>
                <w:sz w:val="13"/>
              </w:rPr>
              <w:t>1.7</w:t>
            </w:r>
            <w:r>
              <w:rPr>
                <w:rFonts w:ascii="Calibri" w:hAnsi="Calibri"/>
                <w:w w:val="105"/>
                <w:sz w:val="13"/>
              </w:rPr>
              <w:t>±</w:t>
            </w:r>
            <w:r>
              <w:rPr>
                <w:w w:val="105"/>
                <w:sz w:val="13"/>
              </w:rPr>
              <w:t>1.8</w:t>
            </w:r>
          </w:p>
          <w:p>
            <w:pPr>
              <w:pStyle w:val="TableParagraph"/>
              <w:spacing w:before="29"/>
              <w:ind w:left="138" w:right="142"/>
              <w:rPr>
                <w:sz w:val="13"/>
              </w:rPr>
            </w:pPr>
            <w:r>
              <w:rPr>
                <w:w w:val="105"/>
                <w:sz w:val="13"/>
              </w:rPr>
              <w:t>0.31</w:t>
            </w:r>
          </w:p>
          <w:p>
            <w:pPr>
              <w:pStyle w:val="TableParagraph"/>
              <w:spacing w:before="35"/>
              <w:ind w:left="138" w:right="142"/>
              <w:rPr>
                <w:sz w:val="13"/>
              </w:rPr>
            </w:pPr>
            <w:r>
              <w:rPr>
                <w:w w:val="105"/>
                <w:sz w:val="13"/>
              </w:rPr>
              <w:t>3.0</w:t>
            </w:r>
            <w:r>
              <w:rPr>
                <w:rFonts w:ascii="Calibri" w:hAnsi="Calibri"/>
                <w:w w:val="105"/>
                <w:sz w:val="13"/>
              </w:rPr>
              <w:t>±</w:t>
            </w:r>
            <w:r>
              <w:rPr>
                <w:w w:val="105"/>
                <w:sz w:val="13"/>
              </w:rPr>
              <w:t>0.0</w:t>
            </w:r>
          </w:p>
        </w:tc>
        <w:tc>
          <w:tcPr>
            <w:tcW w:w="775" w:type="dxa"/>
            <w:tcBorders>
              <w:left w:val="dotted" w:sz="4" w:space="0" w:color="30859C"/>
              <w:right w:val="dotted" w:sz="4" w:space="0" w:color="30859C"/>
            </w:tcBorders>
            <w:shd w:val="clear" w:color="auto" w:fill="B4EDEC"/>
          </w:tcPr>
          <w:p>
            <w:pPr>
              <w:pStyle w:val="TableParagraph"/>
              <w:spacing w:before="19"/>
              <w:ind w:left="26" w:right="20"/>
              <w:rPr>
                <w:sz w:val="13"/>
              </w:rPr>
            </w:pPr>
            <w:r>
              <w:rPr>
                <w:w w:val="105"/>
                <w:sz w:val="13"/>
              </w:rPr>
              <w:t>16.7</w:t>
            </w:r>
            <w:r>
              <w:rPr>
                <w:rFonts w:ascii="Calibri" w:hAnsi="Calibri"/>
                <w:w w:val="105"/>
                <w:sz w:val="13"/>
              </w:rPr>
              <w:t>±</w:t>
            </w:r>
            <w:r>
              <w:rPr>
                <w:w w:val="105"/>
                <w:sz w:val="13"/>
              </w:rPr>
              <w:t>9.3</w:t>
            </w:r>
          </w:p>
          <w:p>
            <w:pPr>
              <w:pStyle w:val="TableParagraph"/>
              <w:spacing w:before="29"/>
              <w:ind w:left="18" w:right="20"/>
              <w:rPr>
                <w:sz w:val="13"/>
              </w:rPr>
            </w:pPr>
            <w:r>
              <w:rPr>
                <w:w w:val="105"/>
                <w:sz w:val="13"/>
              </w:rPr>
              <w:t>0.25</w:t>
            </w:r>
          </w:p>
          <w:p>
            <w:pPr>
              <w:pStyle w:val="TableParagraph"/>
              <w:spacing w:before="35"/>
              <w:ind w:left="157"/>
              <w:jc w:val="left"/>
              <w:rPr>
                <w:sz w:val="13"/>
              </w:rPr>
            </w:pPr>
            <w:r>
              <w:rPr>
                <w:w w:val="105"/>
                <w:sz w:val="13"/>
              </w:rPr>
              <w:t>7.0</w:t>
            </w:r>
            <w:r>
              <w:rPr>
                <w:rFonts w:ascii="Calibri" w:hAnsi="Calibri"/>
                <w:w w:val="105"/>
                <w:sz w:val="13"/>
              </w:rPr>
              <w:t>±</w:t>
            </w:r>
            <w:r>
              <w:rPr>
                <w:w w:val="105"/>
                <w:sz w:val="13"/>
              </w:rPr>
              <w:t>0.0</w:t>
            </w:r>
          </w:p>
        </w:tc>
        <w:tc>
          <w:tcPr>
            <w:tcW w:w="775" w:type="dxa"/>
            <w:tcBorders>
              <w:left w:val="dotted" w:sz="4" w:space="0" w:color="30859C"/>
              <w:right w:val="dotted" w:sz="4" w:space="0" w:color="30859C"/>
            </w:tcBorders>
            <w:shd w:val="clear" w:color="auto" w:fill="B4EDEC"/>
          </w:tcPr>
          <w:p>
            <w:pPr>
              <w:pStyle w:val="TableParagraph"/>
              <w:spacing w:before="19"/>
              <w:ind w:left="158"/>
              <w:jc w:val="left"/>
              <w:rPr>
                <w:sz w:val="13"/>
              </w:rPr>
            </w:pPr>
            <w:r>
              <w:rPr>
                <w:w w:val="105"/>
                <w:sz w:val="13"/>
              </w:rPr>
              <w:t>9.2</w:t>
            </w:r>
            <w:r>
              <w:rPr>
                <w:rFonts w:ascii="Calibri" w:hAnsi="Calibri"/>
                <w:w w:val="105"/>
                <w:sz w:val="13"/>
              </w:rPr>
              <w:t>±</w:t>
            </w:r>
            <w:r>
              <w:rPr>
                <w:w w:val="105"/>
                <w:sz w:val="13"/>
              </w:rPr>
              <w:t>6.2</w:t>
            </w:r>
          </w:p>
          <w:p>
            <w:pPr>
              <w:pStyle w:val="TableParagraph"/>
              <w:spacing w:before="29"/>
              <w:ind w:left="20" w:right="20"/>
              <w:rPr>
                <w:sz w:val="13"/>
              </w:rPr>
            </w:pPr>
            <w:r>
              <w:rPr>
                <w:w w:val="105"/>
                <w:sz w:val="13"/>
              </w:rPr>
              <w:t>0.63</w:t>
            </w:r>
          </w:p>
          <w:p>
            <w:pPr>
              <w:pStyle w:val="TableParagraph"/>
              <w:spacing w:before="35"/>
              <w:ind w:left="27" w:right="20"/>
              <w:rPr>
                <w:sz w:val="13"/>
              </w:rPr>
            </w:pPr>
            <w:r>
              <w:rPr>
                <w:w w:val="105"/>
                <w:sz w:val="13"/>
              </w:rPr>
              <w:t>10.0</w:t>
            </w:r>
            <w:r>
              <w:rPr>
                <w:rFonts w:ascii="Calibri" w:hAnsi="Calibri"/>
                <w:w w:val="105"/>
                <w:sz w:val="13"/>
              </w:rPr>
              <w:t>±</w:t>
            </w:r>
            <w:r>
              <w:rPr>
                <w:w w:val="105"/>
                <w:sz w:val="13"/>
              </w:rPr>
              <w:t>0.0</w:t>
            </w:r>
          </w:p>
        </w:tc>
        <w:tc>
          <w:tcPr>
            <w:tcW w:w="775" w:type="dxa"/>
            <w:tcBorders>
              <w:left w:val="dotted" w:sz="4" w:space="0" w:color="30859C"/>
              <w:right w:val="dotted" w:sz="4" w:space="0" w:color="30859C"/>
            </w:tcBorders>
            <w:shd w:val="clear" w:color="auto" w:fill="B4EDEC"/>
          </w:tcPr>
          <w:p>
            <w:pPr>
              <w:pStyle w:val="TableParagraph"/>
              <w:spacing w:before="19"/>
              <w:ind w:left="158"/>
              <w:jc w:val="left"/>
              <w:rPr>
                <w:sz w:val="13"/>
              </w:rPr>
            </w:pPr>
            <w:r>
              <w:rPr>
                <w:w w:val="105"/>
                <w:sz w:val="13"/>
              </w:rPr>
              <w:t>5.0</w:t>
            </w:r>
            <w:r>
              <w:rPr>
                <w:rFonts w:ascii="Calibri" w:hAnsi="Calibri"/>
                <w:w w:val="105"/>
                <w:sz w:val="13"/>
              </w:rPr>
              <w:t>±</w:t>
            </w:r>
            <w:r>
              <w:rPr>
                <w:w w:val="105"/>
                <w:sz w:val="13"/>
              </w:rPr>
              <w:t>6.1</w:t>
            </w:r>
          </w:p>
          <w:p>
            <w:pPr>
              <w:pStyle w:val="TableParagraph"/>
              <w:spacing w:before="29"/>
              <w:ind w:left="20" w:right="20"/>
              <w:rPr>
                <w:sz w:val="13"/>
              </w:rPr>
            </w:pPr>
            <w:r>
              <w:rPr>
                <w:w w:val="105"/>
                <w:sz w:val="13"/>
              </w:rPr>
              <w:t>0.13</w:t>
            </w:r>
          </w:p>
          <w:p>
            <w:pPr>
              <w:pStyle w:val="TableParagraph"/>
              <w:spacing w:before="35"/>
              <w:ind w:left="29" w:right="20"/>
              <w:rPr>
                <w:sz w:val="13"/>
              </w:rPr>
            </w:pPr>
            <w:r>
              <w:rPr>
                <w:w w:val="105"/>
                <w:sz w:val="13"/>
              </w:rPr>
              <w:t>16.0</w:t>
            </w:r>
            <w:r>
              <w:rPr>
                <w:rFonts w:ascii="Calibri" w:hAnsi="Calibri"/>
                <w:w w:val="105"/>
                <w:sz w:val="13"/>
              </w:rPr>
              <w:t>±</w:t>
            </w:r>
            <w:r>
              <w:rPr>
                <w:w w:val="105"/>
                <w:sz w:val="13"/>
              </w:rPr>
              <w:t>0.0</w:t>
            </w:r>
          </w:p>
        </w:tc>
        <w:tc>
          <w:tcPr>
            <w:tcW w:w="775" w:type="dxa"/>
            <w:tcBorders>
              <w:left w:val="dotted" w:sz="4" w:space="0" w:color="30859C"/>
              <w:right w:val="dotted" w:sz="4" w:space="0" w:color="30859C"/>
            </w:tcBorders>
            <w:shd w:val="clear" w:color="auto" w:fill="B4EDEC"/>
          </w:tcPr>
          <w:p>
            <w:pPr>
              <w:pStyle w:val="TableParagraph"/>
              <w:spacing w:before="19"/>
              <w:ind w:left="159"/>
              <w:jc w:val="left"/>
              <w:rPr>
                <w:sz w:val="13"/>
              </w:rPr>
            </w:pPr>
            <w:r>
              <w:rPr>
                <w:w w:val="105"/>
                <w:sz w:val="13"/>
              </w:rPr>
              <w:t>2.1</w:t>
            </w:r>
            <w:r>
              <w:rPr>
                <w:rFonts w:ascii="Calibri" w:hAnsi="Calibri"/>
                <w:w w:val="105"/>
                <w:sz w:val="13"/>
              </w:rPr>
              <w:t>±</w:t>
            </w:r>
            <w:r>
              <w:rPr>
                <w:w w:val="105"/>
                <w:sz w:val="13"/>
              </w:rPr>
              <w:t>2.6</w:t>
            </w:r>
          </w:p>
          <w:p>
            <w:pPr>
              <w:pStyle w:val="TableParagraph"/>
              <w:spacing w:before="29"/>
              <w:ind w:left="252"/>
              <w:jc w:val="left"/>
              <w:rPr>
                <w:sz w:val="13"/>
              </w:rPr>
            </w:pPr>
            <w:r>
              <w:rPr>
                <w:w w:val="105"/>
                <w:sz w:val="13"/>
              </w:rPr>
              <w:t>0.13</w:t>
            </w:r>
          </w:p>
          <w:p>
            <w:pPr>
              <w:pStyle w:val="TableParagraph"/>
              <w:spacing w:before="35"/>
              <w:ind w:left="159"/>
              <w:jc w:val="left"/>
              <w:rPr>
                <w:sz w:val="13"/>
              </w:rPr>
            </w:pPr>
            <w:r>
              <w:rPr>
                <w:w w:val="105"/>
                <w:sz w:val="13"/>
              </w:rPr>
              <w:t>6.0</w:t>
            </w:r>
            <w:r>
              <w:rPr>
                <w:rFonts w:ascii="Calibri" w:hAnsi="Calibri"/>
                <w:w w:val="105"/>
                <w:sz w:val="13"/>
              </w:rPr>
              <w:t>±</w:t>
            </w:r>
            <w:r>
              <w:rPr>
                <w:w w:val="105"/>
                <w:sz w:val="13"/>
              </w:rPr>
              <w:t>0.0</w:t>
            </w:r>
          </w:p>
        </w:tc>
        <w:tc>
          <w:tcPr>
            <w:tcW w:w="775" w:type="dxa"/>
            <w:tcBorders>
              <w:left w:val="dotted" w:sz="4" w:space="0" w:color="30859C"/>
              <w:right w:val="dotted" w:sz="4" w:space="0" w:color="30859C"/>
            </w:tcBorders>
            <w:shd w:val="clear" w:color="auto" w:fill="B4EDEC"/>
          </w:tcPr>
          <w:p>
            <w:pPr>
              <w:pStyle w:val="TableParagraph"/>
              <w:spacing w:before="19"/>
              <w:ind w:left="24" w:right="20"/>
              <w:rPr>
                <w:sz w:val="13"/>
              </w:rPr>
            </w:pPr>
            <w:r>
              <w:rPr>
                <w:w w:val="105"/>
                <w:sz w:val="13"/>
              </w:rPr>
              <w:t>12.4</w:t>
            </w:r>
            <w:r>
              <w:rPr>
                <w:rFonts w:ascii="Calibri" w:hAnsi="Calibri"/>
                <w:w w:val="105"/>
                <w:sz w:val="13"/>
              </w:rPr>
              <w:t>±</w:t>
            </w:r>
            <w:r>
              <w:rPr>
                <w:w w:val="105"/>
                <w:sz w:val="13"/>
              </w:rPr>
              <w:t>12.0</w:t>
            </w:r>
          </w:p>
          <w:p>
            <w:pPr>
              <w:pStyle w:val="TableParagraph"/>
              <w:spacing w:before="29"/>
              <w:ind w:left="24" w:right="20"/>
              <w:rPr>
                <w:sz w:val="13"/>
              </w:rPr>
            </w:pPr>
            <w:r>
              <w:rPr>
                <w:w w:val="105"/>
                <w:sz w:val="13"/>
              </w:rPr>
              <w:t>0.49</w:t>
            </w:r>
          </w:p>
          <w:p>
            <w:pPr>
              <w:pStyle w:val="TableParagraph"/>
              <w:spacing w:before="35"/>
              <w:ind w:left="30" w:right="16"/>
              <w:rPr>
                <w:sz w:val="13"/>
              </w:rPr>
            </w:pPr>
            <w:r>
              <w:rPr>
                <w:w w:val="105"/>
                <w:sz w:val="13"/>
              </w:rPr>
              <w:t>14.0</w:t>
            </w:r>
            <w:r>
              <w:rPr>
                <w:rFonts w:ascii="Calibri" w:hAnsi="Calibri"/>
                <w:w w:val="105"/>
                <w:sz w:val="13"/>
              </w:rPr>
              <w:t>±</w:t>
            </w:r>
            <w:r>
              <w:rPr>
                <w:w w:val="105"/>
                <w:sz w:val="13"/>
              </w:rPr>
              <w:t>0.0</w:t>
            </w:r>
          </w:p>
        </w:tc>
        <w:tc>
          <w:tcPr>
            <w:tcW w:w="770" w:type="dxa"/>
            <w:tcBorders>
              <w:left w:val="dotted" w:sz="4" w:space="0" w:color="30859C"/>
            </w:tcBorders>
            <w:shd w:val="clear" w:color="auto" w:fill="B4EDEC"/>
          </w:tcPr>
          <w:p>
            <w:pPr>
              <w:pStyle w:val="TableParagraph"/>
              <w:spacing w:before="19"/>
              <w:ind w:left="25" w:right="20"/>
              <w:rPr>
                <w:sz w:val="13"/>
              </w:rPr>
            </w:pPr>
            <w:r>
              <w:rPr>
                <w:w w:val="105"/>
                <w:sz w:val="13"/>
              </w:rPr>
              <w:t>47.4</w:t>
            </w:r>
            <w:r>
              <w:rPr>
                <w:rFonts w:ascii="Calibri" w:hAnsi="Calibri"/>
                <w:w w:val="105"/>
                <w:sz w:val="13"/>
              </w:rPr>
              <w:t>±</w:t>
            </w:r>
            <w:r>
              <w:rPr>
                <w:w w:val="105"/>
                <w:sz w:val="13"/>
              </w:rPr>
              <w:t>21.1</w:t>
            </w:r>
          </w:p>
          <w:p>
            <w:pPr>
              <w:pStyle w:val="TableParagraph"/>
              <w:spacing w:before="29"/>
              <w:ind w:left="25" w:right="20"/>
              <w:rPr>
                <w:sz w:val="13"/>
              </w:rPr>
            </w:pPr>
            <w:r>
              <w:rPr>
                <w:w w:val="105"/>
                <w:sz w:val="13"/>
              </w:rPr>
              <w:t>0.62</w:t>
            </w:r>
          </w:p>
          <w:p>
            <w:pPr>
              <w:pStyle w:val="TableParagraph"/>
              <w:spacing w:before="35"/>
              <w:ind w:left="35" w:right="19"/>
              <w:rPr>
                <w:sz w:val="13"/>
              </w:rPr>
            </w:pPr>
            <w:r>
              <w:rPr>
                <w:w w:val="105"/>
                <w:sz w:val="13"/>
              </w:rPr>
              <w:t>56.0</w:t>
            </w:r>
            <w:r>
              <w:rPr>
                <w:rFonts w:ascii="Calibri" w:hAnsi="Calibri"/>
                <w:w w:val="105"/>
                <w:sz w:val="13"/>
              </w:rPr>
              <w:t>±</w:t>
            </w:r>
            <w:r>
              <w:rPr>
                <w:w w:val="105"/>
                <w:sz w:val="13"/>
              </w:rPr>
              <w:t>0.0</w:t>
            </w:r>
          </w:p>
        </w:tc>
      </w:tr>
      <w:tr>
        <w:trPr>
          <w:trHeight w:val="182" w:hRule="exact"/>
        </w:trPr>
        <w:tc>
          <w:tcPr>
            <w:tcW w:w="300" w:type="dxa"/>
            <w:vMerge/>
            <w:shd w:val="clear" w:color="auto" w:fill="B4EDEC"/>
            <w:textDirection w:val="btLr"/>
          </w:tcPr>
          <w:p>
            <w:pPr/>
          </w:p>
        </w:tc>
        <w:tc>
          <w:tcPr>
            <w:tcW w:w="775" w:type="dxa"/>
            <w:vMerge w:val="restart"/>
            <w:shd w:val="clear" w:color="auto" w:fill="77DFDD"/>
          </w:tcPr>
          <w:p>
            <w:pPr>
              <w:pStyle w:val="TableParagraph"/>
              <w:spacing w:before="10"/>
              <w:jc w:val="left"/>
              <w:rPr>
                <w:b/>
                <w:sz w:val="17"/>
              </w:rPr>
            </w:pPr>
          </w:p>
          <w:p>
            <w:pPr>
              <w:pStyle w:val="TableParagraph"/>
              <w:spacing w:before="0"/>
              <w:ind w:left="17"/>
              <w:jc w:val="left"/>
              <w:rPr>
                <w:b/>
                <w:sz w:val="13"/>
              </w:rPr>
            </w:pPr>
            <w:r>
              <w:rPr>
                <w:b/>
                <w:w w:val="105"/>
                <w:sz w:val="13"/>
              </w:rPr>
              <w:t>Té</w:t>
            </w:r>
          </w:p>
        </w:tc>
        <w:tc>
          <w:tcPr>
            <w:tcW w:w="475" w:type="dxa"/>
            <w:vMerge w:val="restart"/>
            <w:shd w:val="clear" w:color="auto" w:fill="77DFDD"/>
          </w:tcPr>
          <w:p>
            <w:pPr>
              <w:pStyle w:val="TableParagraph"/>
              <w:spacing w:before="24"/>
              <w:ind w:left="18"/>
              <w:jc w:val="left"/>
              <w:rPr>
                <w:sz w:val="13"/>
              </w:rPr>
            </w:pPr>
            <w:r>
              <w:rPr>
                <w:w w:val="105"/>
                <w:sz w:val="13"/>
              </w:rPr>
              <w:t>Si</w:t>
            </w:r>
          </w:p>
          <w:p>
            <w:pPr>
              <w:pStyle w:val="TableParagraph"/>
              <w:spacing w:before="0"/>
              <w:jc w:val="left"/>
              <w:rPr>
                <w:b/>
                <w:sz w:val="12"/>
              </w:rPr>
            </w:pPr>
          </w:p>
          <w:p>
            <w:pPr>
              <w:pStyle w:val="TableParagraph"/>
              <w:spacing w:before="85"/>
              <w:ind w:left="18"/>
              <w:jc w:val="left"/>
              <w:rPr>
                <w:sz w:val="13"/>
              </w:rPr>
            </w:pPr>
            <w:r>
              <w:rPr>
                <w:w w:val="105"/>
                <w:sz w:val="13"/>
              </w:rPr>
              <w:t>No</w:t>
            </w:r>
          </w:p>
        </w:tc>
        <w:tc>
          <w:tcPr>
            <w:tcW w:w="388" w:type="dxa"/>
            <w:vMerge w:val="restart"/>
            <w:tcBorders>
              <w:right w:val="dotted" w:sz="4" w:space="0" w:color="30859C"/>
            </w:tcBorders>
            <w:shd w:val="clear" w:color="auto" w:fill="77DFDD"/>
          </w:tcPr>
          <w:p>
            <w:pPr>
              <w:pStyle w:val="TableParagraph"/>
              <w:spacing w:before="0"/>
              <w:jc w:val="left"/>
              <w:rPr>
                <w:b/>
                <w:sz w:val="12"/>
              </w:rPr>
            </w:pPr>
          </w:p>
          <w:p>
            <w:pPr>
              <w:pStyle w:val="TableParagraph"/>
              <w:spacing w:before="72"/>
              <w:ind w:right="10"/>
              <w:jc w:val="right"/>
              <w:rPr>
                <w:b/>
                <w:sz w:val="13"/>
              </w:rPr>
            </w:pPr>
            <w:r>
              <w:rPr>
                <w:b/>
                <w:w w:val="103"/>
                <w:sz w:val="13"/>
              </w:rPr>
              <w:t>p</w:t>
            </w:r>
          </w:p>
        </w:tc>
        <w:tc>
          <w:tcPr>
            <w:tcW w:w="775" w:type="dxa"/>
            <w:vMerge w:val="restart"/>
            <w:tcBorders>
              <w:left w:val="dotted" w:sz="4" w:space="0" w:color="30859C"/>
              <w:right w:val="dotted" w:sz="4" w:space="0" w:color="30859C"/>
            </w:tcBorders>
            <w:shd w:val="clear" w:color="auto" w:fill="77DFDD"/>
          </w:tcPr>
          <w:p>
            <w:pPr>
              <w:pStyle w:val="TableParagraph"/>
              <w:spacing w:before="22"/>
              <w:ind w:left="149"/>
              <w:jc w:val="left"/>
              <w:rPr>
                <w:sz w:val="13"/>
              </w:rPr>
            </w:pPr>
            <w:r>
              <w:rPr>
                <w:w w:val="105"/>
                <w:sz w:val="13"/>
              </w:rPr>
              <w:t>0.5</w:t>
            </w:r>
            <w:r>
              <w:rPr>
                <w:rFonts w:ascii="Calibri" w:hAnsi="Calibri"/>
                <w:w w:val="105"/>
                <w:sz w:val="13"/>
              </w:rPr>
              <w:t>±</w:t>
            </w:r>
            <w:r>
              <w:rPr>
                <w:w w:val="105"/>
                <w:sz w:val="13"/>
              </w:rPr>
              <w:t>0.8</w:t>
            </w:r>
          </w:p>
          <w:p>
            <w:pPr>
              <w:pStyle w:val="TableParagraph"/>
              <w:spacing w:before="29"/>
              <w:ind w:left="242"/>
              <w:jc w:val="left"/>
              <w:rPr>
                <w:sz w:val="13"/>
              </w:rPr>
            </w:pPr>
            <w:r>
              <w:rPr>
                <w:w w:val="105"/>
                <w:sz w:val="13"/>
              </w:rPr>
              <w:t>0.17</w:t>
            </w:r>
          </w:p>
          <w:p>
            <w:pPr>
              <w:pStyle w:val="TableParagraph"/>
              <w:spacing w:before="35"/>
              <w:ind w:left="149"/>
              <w:jc w:val="left"/>
              <w:rPr>
                <w:sz w:val="13"/>
              </w:rPr>
            </w:pPr>
            <w:r>
              <w:rPr>
                <w:w w:val="105"/>
                <w:sz w:val="13"/>
              </w:rPr>
              <w:t>0.3</w:t>
            </w:r>
            <w:r>
              <w:rPr>
                <w:rFonts w:ascii="Calibri" w:hAnsi="Calibri"/>
                <w:w w:val="105"/>
                <w:sz w:val="13"/>
              </w:rPr>
              <w:t>±</w:t>
            </w:r>
            <w:r>
              <w:rPr>
                <w:w w:val="105"/>
                <w:sz w:val="13"/>
              </w:rPr>
              <w:t>0.5</w:t>
            </w:r>
          </w:p>
        </w:tc>
        <w:tc>
          <w:tcPr>
            <w:tcW w:w="848" w:type="dxa"/>
            <w:vMerge w:val="restart"/>
            <w:tcBorders>
              <w:left w:val="dotted" w:sz="4" w:space="0" w:color="30859C"/>
              <w:right w:val="dotted" w:sz="4" w:space="0" w:color="30859C"/>
            </w:tcBorders>
            <w:shd w:val="clear" w:color="auto" w:fill="77DFDD"/>
          </w:tcPr>
          <w:p>
            <w:pPr>
              <w:pStyle w:val="TableParagraph"/>
              <w:spacing w:before="22"/>
              <w:ind w:left="138" w:right="142"/>
              <w:rPr>
                <w:sz w:val="13"/>
              </w:rPr>
            </w:pPr>
            <w:r>
              <w:rPr>
                <w:w w:val="105"/>
                <w:sz w:val="13"/>
              </w:rPr>
              <w:t>1.6</w:t>
            </w:r>
            <w:r>
              <w:rPr>
                <w:rFonts w:ascii="Calibri" w:hAnsi="Calibri"/>
                <w:w w:val="105"/>
                <w:sz w:val="13"/>
              </w:rPr>
              <w:t>±</w:t>
            </w:r>
            <w:r>
              <w:rPr>
                <w:w w:val="105"/>
                <w:sz w:val="13"/>
              </w:rPr>
              <w:t>1.9</w:t>
            </w:r>
          </w:p>
          <w:p>
            <w:pPr>
              <w:pStyle w:val="TableParagraph"/>
              <w:spacing w:before="29"/>
              <w:ind w:left="138" w:right="142"/>
              <w:rPr>
                <w:sz w:val="13"/>
              </w:rPr>
            </w:pPr>
            <w:r>
              <w:rPr>
                <w:w w:val="105"/>
                <w:sz w:val="13"/>
              </w:rPr>
              <w:t>0.32</w:t>
            </w:r>
          </w:p>
          <w:p>
            <w:pPr>
              <w:pStyle w:val="TableParagraph"/>
              <w:spacing w:before="35"/>
              <w:ind w:left="138" w:right="142"/>
              <w:rPr>
                <w:sz w:val="13"/>
              </w:rPr>
            </w:pPr>
            <w:r>
              <w:rPr>
                <w:w w:val="105"/>
                <w:sz w:val="13"/>
              </w:rPr>
              <w:t>1.9</w:t>
            </w:r>
            <w:r>
              <w:rPr>
                <w:rFonts w:ascii="Calibri" w:hAnsi="Calibri"/>
                <w:w w:val="105"/>
                <w:sz w:val="13"/>
              </w:rPr>
              <w:t>±</w:t>
            </w:r>
            <w:r>
              <w:rPr>
                <w:w w:val="105"/>
                <w:sz w:val="13"/>
              </w:rPr>
              <w:t>1.6</w:t>
            </w:r>
          </w:p>
        </w:tc>
        <w:tc>
          <w:tcPr>
            <w:tcW w:w="775" w:type="dxa"/>
            <w:tcBorders>
              <w:left w:val="dotted" w:sz="4" w:space="0" w:color="30859C"/>
              <w:right w:val="dotted" w:sz="4" w:space="0" w:color="30859C"/>
            </w:tcBorders>
            <w:shd w:val="clear" w:color="auto" w:fill="77DFDD"/>
          </w:tcPr>
          <w:p>
            <w:pPr>
              <w:pStyle w:val="TableParagraph"/>
              <w:spacing w:before="22"/>
              <w:ind w:left="26" w:right="20"/>
              <w:rPr>
                <w:sz w:val="13"/>
              </w:rPr>
            </w:pPr>
            <w:r>
              <w:rPr>
                <w:w w:val="105"/>
                <w:sz w:val="13"/>
              </w:rPr>
              <w:t>18.3</w:t>
            </w:r>
            <w:r>
              <w:rPr>
                <w:rFonts w:ascii="Calibri" w:hAnsi="Calibri"/>
                <w:w w:val="105"/>
                <w:sz w:val="13"/>
              </w:rPr>
              <w:t>±</w:t>
            </w:r>
            <w:r>
              <w:rPr>
                <w:w w:val="105"/>
                <w:sz w:val="13"/>
              </w:rPr>
              <w:t>9.6</w:t>
            </w:r>
          </w:p>
        </w:tc>
        <w:tc>
          <w:tcPr>
            <w:tcW w:w="775" w:type="dxa"/>
            <w:vMerge w:val="restart"/>
            <w:tcBorders>
              <w:left w:val="dotted" w:sz="4" w:space="0" w:color="30859C"/>
              <w:right w:val="dotted" w:sz="4" w:space="0" w:color="30859C"/>
            </w:tcBorders>
            <w:shd w:val="clear" w:color="auto" w:fill="77DFDD"/>
          </w:tcPr>
          <w:p>
            <w:pPr>
              <w:pStyle w:val="TableParagraph"/>
              <w:spacing w:before="22"/>
              <w:ind w:left="158"/>
              <w:jc w:val="left"/>
              <w:rPr>
                <w:sz w:val="13"/>
              </w:rPr>
            </w:pPr>
            <w:r>
              <w:rPr>
                <w:w w:val="105"/>
                <w:sz w:val="13"/>
              </w:rPr>
              <w:t>9.4</w:t>
            </w:r>
            <w:r>
              <w:rPr>
                <w:rFonts w:ascii="Calibri" w:hAnsi="Calibri"/>
                <w:w w:val="105"/>
                <w:sz w:val="13"/>
              </w:rPr>
              <w:t>±</w:t>
            </w:r>
            <w:r>
              <w:rPr>
                <w:w w:val="105"/>
                <w:sz w:val="13"/>
              </w:rPr>
              <w:t>7.2</w:t>
            </w:r>
          </w:p>
          <w:p>
            <w:pPr>
              <w:pStyle w:val="TableParagraph"/>
              <w:spacing w:before="29"/>
              <w:ind w:left="251"/>
              <w:jc w:val="left"/>
              <w:rPr>
                <w:sz w:val="13"/>
              </w:rPr>
            </w:pPr>
            <w:r>
              <w:rPr>
                <w:w w:val="105"/>
                <w:sz w:val="13"/>
              </w:rPr>
              <w:t>0.53</w:t>
            </w:r>
          </w:p>
          <w:p>
            <w:pPr>
              <w:pStyle w:val="TableParagraph"/>
              <w:spacing w:before="35"/>
              <w:ind w:left="158"/>
              <w:jc w:val="left"/>
              <w:rPr>
                <w:sz w:val="13"/>
              </w:rPr>
            </w:pPr>
            <w:r>
              <w:rPr>
                <w:w w:val="105"/>
                <w:sz w:val="13"/>
              </w:rPr>
              <w:t>8.9</w:t>
            </w:r>
            <w:r>
              <w:rPr>
                <w:rFonts w:ascii="Calibri" w:hAnsi="Calibri"/>
                <w:w w:val="105"/>
                <w:sz w:val="13"/>
              </w:rPr>
              <w:t>±</w:t>
            </w:r>
            <w:r>
              <w:rPr>
                <w:w w:val="105"/>
                <w:sz w:val="13"/>
              </w:rPr>
              <w:t>3.8</w:t>
            </w:r>
          </w:p>
        </w:tc>
        <w:tc>
          <w:tcPr>
            <w:tcW w:w="775" w:type="dxa"/>
            <w:vMerge w:val="restart"/>
            <w:tcBorders>
              <w:left w:val="dotted" w:sz="4" w:space="0" w:color="30859C"/>
              <w:right w:val="dotted" w:sz="4" w:space="0" w:color="30859C"/>
            </w:tcBorders>
            <w:shd w:val="clear" w:color="auto" w:fill="77DFDD"/>
          </w:tcPr>
          <w:p>
            <w:pPr>
              <w:pStyle w:val="TableParagraph"/>
              <w:spacing w:before="22"/>
              <w:ind w:left="158"/>
              <w:jc w:val="left"/>
              <w:rPr>
                <w:sz w:val="13"/>
              </w:rPr>
            </w:pPr>
            <w:r>
              <w:rPr>
                <w:w w:val="105"/>
                <w:sz w:val="13"/>
              </w:rPr>
              <w:t>5.2</w:t>
            </w:r>
            <w:r>
              <w:rPr>
                <w:rFonts w:ascii="Calibri" w:hAnsi="Calibri"/>
                <w:w w:val="105"/>
                <w:sz w:val="13"/>
              </w:rPr>
              <w:t>±</w:t>
            </w:r>
            <w:r>
              <w:rPr>
                <w:w w:val="105"/>
                <w:sz w:val="13"/>
              </w:rPr>
              <w:t>6.3</w:t>
            </w:r>
          </w:p>
          <w:p>
            <w:pPr>
              <w:pStyle w:val="TableParagraph"/>
              <w:spacing w:before="29"/>
              <w:ind w:left="252"/>
              <w:jc w:val="left"/>
              <w:rPr>
                <w:sz w:val="13"/>
              </w:rPr>
            </w:pPr>
            <w:r>
              <w:rPr>
                <w:w w:val="105"/>
                <w:sz w:val="13"/>
              </w:rPr>
              <w:t>0.65</w:t>
            </w:r>
          </w:p>
          <w:p>
            <w:pPr>
              <w:pStyle w:val="TableParagraph"/>
              <w:spacing w:before="35"/>
              <w:ind w:left="158"/>
              <w:jc w:val="left"/>
              <w:rPr>
                <w:sz w:val="13"/>
              </w:rPr>
            </w:pPr>
            <w:r>
              <w:rPr>
                <w:w w:val="105"/>
                <w:sz w:val="13"/>
              </w:rPr>
              <w:t>5.1</w:t>
            </w:r>
            <w:r>
              <w:rPr>
                <w:rFonts w:ascii="Calibri" w:hAnsi="Calibri"/>
                <w:w w:val="105"/>
                <w:sz w:val="13"/>
              </w:rPr>
              <w:t>±</w:t>
            </w:r>
            <w:r>
              <w:rPr>
                <w:w w:val="105"/>
                <w:sz w:val="13"/>
              </w:rPr>
              <w:t>6.2</w:t>
            </w:r>
          </w:p>
        </w:tc>
        <w:tc>
          <w:tcPr>
            <w:tcW w:w="775" w:type="dxa"/>
            <w:vMerge w:val="restart"/>
            <w:tcBorders>
              <w:left w:val="dotted" w:sz="4" w:space="0" w:color="30859C"/>
              <w:right w:val="dotted" w:sz="4" w:space="0" w:color="30859C"/>
            </w:tcBorders>
            <w:shd w:val="clear" w:color="auto" w:fill="77DFDD"/>
          </w:tcPr>
          <w:p>
            <w:pPr>
              <w:pStyle w:val="TableParagraph"/>
              <w:spacing w:before="22"/>
              <w:ind w:left="159"/>
              <w:jc w:val="left"/>
              <w:rPr>
                <w:sz w:val="13"/>
              </w:rPr>
            </w:pPr>
            <w:r>
              <w:rPr>
                <w:w w:val="105"/>
                <w:sz w:val="13"/>
              </w:rPr>
              <w:t>2.4</w:t>
            </w:r>
            <w:r>
              <w:rPr>
                <w:rFonts w:ascii="Calibri" w:hAnsi="Calibri"/>
                <w:w w:val="105"/>
                <w:sz w:val="13"/>
              </w:rPr>
              <w:t>±</w:t>
            </w:r>
            <w:r>
              <w:rPr>
                <w:w w:val="105"/>
                <w:sz w:val="13"/>
              </w:rPr>
              <w:t>2.9</w:t>
            </w:r>
          </w:p>
          <w:p>
            <w:pPr>
              <w:pStyle w:val="TableParagraph"/>
              <w:spacing w:before="29"/>
              <w:ind w:left="252"/>
              <w:jc w:val="left"/>
              <w:rPr>
                <w:sz w:val="13"/>
              </w:rPr>
            </w:pPr>
            <w:r>
              <w:rPr>
                <w:w w:val="105"/>
                <w:sz w:val="13"/>
              </w:rPr>
              <w:t>0.68</w:t>
            </w:r>
          </w:p>
          <w:p>
            <w:pPr>
              <w:pStyle w:val="TableParagraph"/>
              <w:spacing w:before="35"/>
              <w:ind w:left="159"/>
              <w:jc w:val="left"/>
              <w:rPr>
                <w:sz w:val="13"/>
              </w:rPr>
            </w:pPr>
            <w:r>
              <w:rPr>
                <w:w w:val="105"/>
                <w:sz w:val="13"/>
              </w:rPr>
              <w:t>1.7</w:t>
            </w:r>
            <w:r>
              <w:rPr>
                <w:rFonts w:ascii="Calibri" w:hAnsi="Calibri"/>
                <w:w w:val="105"/>
                <w:sz w:val="13"/>
              </w:rPr>
              <w:t>±</w:t>
            </w:r>
            <w:r>
              <w:rPr>
                <w:w w:val="105"/>
                <w:sz w:val="13"/>
              </w:rPr>
              <w:t>2.0</w:t>
            </w:r>
          </w:p>
        </w:tc>
        <w:tc>
          <w:tcPr>
            <w:tcW w:w="775" w:type="dxa"/>
            <w:vMerge w:val="restart"/>
            <w:tcBorders>
              <w:left w:val="dotted" w:sz="4" w:space="0" w:color="30859C"/>
              <w:right w:val="dotted" w:sz="4" w:space="0" w:color="30859C"/>
            </w:tcBorders>
            <w:shd w:val="clear" w:color="auto" w:fill="77DFDD"/>
          </w:tcPr>
          <w:p>
            <w:pPr>
              <w:pStyle w:val="TableParagraph"/>
              <w:spacing w:before="22"/>
              <w:ind w:left="24" w:right="20"/>
              <w:rPr>
                <w:sz w:val="13"/>
              </w:rPr>
            </w:pPr>
            <w:r>
              <w:rPr>
                <w:w w:val="105"/>
                <w:sz w:val="13"/>
              </w:rPr>
              <w:t>14.2</w:t>
            </w:r>
            <w:r>
              <w:rPr>
                <w:rFonts w:ascii="Calibri" w:hAnsi="Calibri"/>
                <w:w w:val="105"/>
                <w:sz w:val="13"/>
              </w:rPr>
              <w:t>±</w:t>
            </w:r>
            <w:r>
              <w:rPr>
                <w:w w:val="105"/>
                <w:sz w:val="13"/>
              </w:rPr>
              <w:t>13.0</w:t>
            </w:r>
          </w:p>
          <w:p>
            <w:pPr>
              <w:pStyle w:val="TableParagraph"/>
              <w:spacing w:before="29"/>
              <w:ind w:left="24" w:right="20"/>
              <w:rPr>
                <w:sz w:val="13"/>
              </w:rPr>
            </w:pPr>
            <w:r>
              <w:rPr>
                <w:w w:val="105"/>
                <w:sz w:val="13"/>
              </w:rPr>
              <w:t>0.09</w:t>
            </w:r>
          </w:p>
          <w:p>
            <w:pPr>
              <w:pStyle w:val="TableParagraph"/>
              <w:spacing w:before="35"/>
              <w:ind w:left="160"/>
              <w:jc w:val="left"/>
              <w:rPr>
                <w:sz w:val="13"/>
              </w:rPr>
            </w:pPr>
            <w:r>
              <w:rPr>
                <w:w w:val="105"/>
                <w:sz w:val="13"/>
              </w:rPr>
              <w:t>9.4</w:t>
            </w:r>
            <w:r>
              <w:rPr>
                <w:rFonts w:ascii="Calibri" w:hAnsi="Calibri"/>
                <w:w w:val="105"/>
                <w:sz w:val="13"/>
              </w:rPr>
              <w:t>±</w:t>
            </w:r>
            <w:r>
              <w:rPr>
                <w:w w:val="105"/>
                <w:sz w:val="13"/>
              </w:rPr>
              <w:t>9.1</w:t>
            </w:r>
          </w:p>
        </w:tc>
        <w:tc>
          <w:tcPr>
            <w:tcW w:w="770" w:type="dxa"/>
            <w:tcBorders>
              <w:left w:val="dotted" w:sz="4" w:space="0" w:color="30859C"/>
            </w:tcBorders>
            <w:shd w:val="clear" w:color="auto" w:fill="77DFDD"/>
          </w:tcPr>
          <w:p>
            <w:pPr>
              <w:pStyle w:val="TableParagraph"/>
              <w:spacing w:before="22"/>
              <w:ind w:left="25" w:right="20"/>
              <w:rPr>
                <w:sz w:val="13"/>
              </w:rPr>
            </w:pPr>
            <w:r>
              <w:rPr>
                <w:w w:val="105"/>
                <w:sz w:val="13"/>
              </w:rPr>
              <w:t>51.4</w:t>
            </w:r>
            <w:r>
              <w:rPr>
                <w:rFonts w:ascii="Calibri" w:hAnsi="Calibri"/>
                <w:w w:val="105"/>
                <w:sz w:val="13"/>
              </w:rPr>
              <w:t>±</w:t>
            </w:r>
            <w:r>
              <w:rPr>
                <w:w w:val="105"/>
                <w:sz w:val="13"/>
              </w:rPr>
              <w:t>22.1</w:t>
            </w:r>
          </w:p>
        </w:tc>
      </w:tr>
      <w:tr>
        <w:trPr>
          <w:trHeight w:val="192" w:hRule="exact"/>
        </w:trPr>
        <w:tc>
          <w:tcPr>
            <w:tcW w:w="300" w:type="dxa"/>
            <w:vMerge/>
            <w:shd w:val="clear" w:color="auto" w:fill="B4EDEC"/>
            <w:textDirection w:val="btLr"/>
          </w:tcPr>
          <w:p>
            <w:pPr/>
          </w:p>
        </w:tc>
        <w:tc>
          <w:tcPr>
            <w:tcW w:w="775" w:type="dxa"/>
            <w:vMerge/>
            <w:shd w:val="clear" w:color="auto" w:fill="77DFDD"/>
          </w:tcPr>
          <w:p>
            <w:pPr/>
          </w:p>
        </w:tc>
        <w:tc>
          <w:tcPr>
            <w:tcW w:w="475" w:type="dxa"/>
            <w:vMerge/>
            <w:shd w:val="clear" w:color="auto" w:fill="77DFDD"/>
          </w:tcPr>
          <w:p>
            <w:pPr/>
          </w:p>
        </w:tc>
        <w:tc>
          <w:tcPr>
            <w:tcW w:w="388" w:type="dxa"/>
            <w:vMerge/>
            <w:tcBorders>
              <w:right w:val="dotted" w:sz="4" w:space="0" w:color="30859C"/>
            </w:tcBorders>
            <w:shd w:val="clear" w:color="auto" w:fill="77DFDD"/>
          </w:tcPr>
          <w:p>
            <w:pPr/>
          </w:p>
        </w:tc>
        <w:tc>
          <w:tcPr>
            <w:tcW w:w="775" w:type="dxa"/>
            <w:vMerge/>
            <w:tcBorders>
              <w:left w:val="dotted" w:sz="4" w:space="0" w:color="30859C"/>
              <w:right w:val="dotted" w:sz="4" w:space="0" w:color="30859C"/>
            </w:tcBorders>
            <w:shd w:val="clear" w:color="auto" w:fill="77DFDD"/>
          </w:tcPr>
          <w:p>
            <w:pPr/>
          </w:p>
        </w:tc>
        <w:tc>
          <w:tcPr>
            <w:tcW w:w="848" w:type="dxa"/>
            <w:vMerge/>
            <w:tcBorders>
              <w:left w:val="dotted" w:sz="4" w:space="0" w:color="30859C"/>
              <w:right w:val="dotted" w:sz="4" w:space="0" w:color="30859C"/>
            </w:tcBorders>
            <w:shd w:val="clear" w:color="auto" w:fill="77DFDD"/>
          </w:tcPr>
          <w:p>
            <w:pPr/>
          </w:p>
        </w:tc>
        <w:tc>
          <w:tcPr>
            <w:tcW w:w="775" w:type="dxa"/>
            <w:tcBorders>
              <w:left w:val="dotted" w:sz="4" w:space="0" w:color="30859C"/>
              <w:right w:val="dotted" w:sz="4" w:space="0" w:color="30859C"/>
            </w:tcBorders>
            <w:shd w:val="clear" w:color="auto" w:fill="BEBEBE"/>
          </w:tcPr>
          <w:p>
            <w:pPr>
              <w:pStyle w:val="TableParagraph"/>
              <w:spacing w:before="28"/>
              <w:ind w:left="25" w:right="20"/>
              <w:rPr>
                <w:b/>
                <w:sz w:val="13"/>
              </w:rPr>
            </w:pPr>
            <w:r>
              <w:rPr>
                <w:b/>
                <w:w w:val="105"/>
                <w:sz w:val="13"/>
              </w:rPr>
              <w:t>0.04*</w:t>
            </w:r>
          </w:p>
        </w:tc>
        <w:tc>
          <w:tcPr>
            <w:tcW w:w="775" w:type="dxa"/>
            <w:vMerge/>
            <w:tcBorders>
              <w:left w:val="dotted" w:sz="4" w:space="0" w:color="30859C"/>
              <w:right w:val="dotted" w:sz="4" w:space="0" w:color="30859C"/>
            </w:tcBorders>
            <w:shd w:val="clear" w:color="auto" w:fill="77DFDD"/>
          </w:tcPr>
          <w:p>
            <w:pPr/>
          </w:p>
        </w:tc>
        <w:tc>
          <w:tcPr>
            <w:tcW w:w="775" w:type="dxa"/>
            <w:vMerge/>
            <w:tcBorders>
              <w:left w:val="dotted" w:sz="4" w:space="0" w:color="30859C"/>
              <w:right w:val="dotted" w:sz="4" w:space="0" w:color="30859C"/>
            </w:tcBorders>
            <w:shd w:val="clear" w:color="auto" w:fill="77DFDD"/>
          </w:tcPr>
          <w:p>
            <w:pPr/>
          </w:p>
        </w:tc>
        <w:tc>
          <w:tcPr>
            <w:tcW w:w="775" w:type="dxa"/>
            <w:vMerge/>
            <w:tcBorders>
              <w:left w:val="dotted" w:sz="4" w:space="0" w:color="30859C"/>
              <w:right w:val="dotted" w:sz="4" w:space="0" w:color="30859C"/>
            </w:tcBorders>
            <w:shd w:val="clear" w:color="auto" w:fill="77DFDD"/>
          </w:tcPr>
          <w:p>
            <w:pPr/>
          </w:p>
        </w:tc>
        <w:tc>
          <w:tcPr>
            <w:tcW w:w="775" w:type="dxa"/>
            <w:vMerge/>
            <w:tcBorders>
              <w:left w:val="dotted" w:sz="4" w:space="0" w:color="30859C"/>
              <w:right w:val="dotted" w:sz="4" w:space="0" w:color="30859C"/>
            </w:tcBorders>
            <w:shd w:val="clear" w:color="auto" w:fill="77DFDD"/>
          </w:tcPr>
          <w:p>
            <w:pPr/>
          </w:p>
        </w:tc>
        <w:tc>
          <w:tcPr>
            <w:tcW w:w="770" w:type="dxa"/>
            <w:tcBorders>
              <w:left w:val="dotted" w:sz="4" w:space="0" w:color="30859C"/>
            </w:tcBorders>
            <w:shd w:val="clear" w:color="auto" w:fill="BEBEBE"/>
          </w:tcPr>
          <w:p>
            <w:pPr>
              <w:pStyle w:val="TableParagraph"/>
              <w:spacing w:before="28"/>
              <w:ind w:left="35" w:right="20"/>
              <w:rPr>
                <w:b/>
                <w:sz w:val="13"/>
              </w:rPr>
            </w:pPr>
            <w:r>
              <w:rPr>
                <w:b/>
                <w:w w:val="105"/>
                <w:sz w:val="13"/>
              </w:rPr>
              <w:t>0.03*</w:t>
            </w:r>
          </w:p>
        </w:tc>
      </w:tr>
      <w:tr>
        <w:trPr>
          <w:trHeight w:val="182" w:hRule="exact"/>
        </w:trPr>
        <w:tc>
          <w:tcPr>
            <w:tcW w:w="300" w:type="dxa"/>
            <w:vMerge/>
            <w:shd w:val="clear" w:color="auto" w:fill="B4EDEC"/>
            <w:textDirection w:val="btLr"/>
          </w:tcPr>
          <w:p>
            <w:pPr/>
          </w:p>
        </w:tc>
        <w:tc>
          <w:tcPr>
            <w:tcW w:w="775" w:type="dxa"/>
            <w:vMerge/>
            <w:shd w:val="clear" w:color="auto" w:fill="77DFDD"/>
          </w:tcPr>
          <w:p>
            <w:pPr/>
          </w:p>
        </w:tc>
        <w:tc>
          <w:tcPr>
            <w:tcW w:w="475" w:type="dxa"/>
            <w:vMerge/>
            <w:shd w:val="clear" w:color="auto" w:fill="77DFDD"/>
          </w:tcPr>
          <w:p>
            <w:pPr/>
          </w:p>
        </w:tc>
        <w:tc>
          <w:tcPr>
            <w:tcW w:w="388" w:type="dxa"/>
            <w:vMerge/>
            <w:tcBorders>
              <w:right w:val="dotted" w:sz="4" w:space="0" w:color="30859C"/>
            </w:tcBorders>
            <w:shd w:val="clear" w:color="auto" w:fill="77DFDD"/>
          </w:tcPr>
          <w:p>
            <w:pPr/>
          </w:p>
        </w:tc>
        <w:tc>
          <w:tcPr>
            <w:tcW w:w="775" w:type="dxa"/>
            <w:vMerge/>
            <w:tcBorders>
              <w:left w:val="dotted" w:sz="4" w:space="0" w:color="30859C"/>
              <w:right w:val="dotted" w:sz="4" w:space="0" w:color="30859C"/>
            </w:tcBorders>
            <w:shd w:val="clear" w:color="auto" w:fill="77DFDD"/>
          </w:tcPr>
          <w:p>
            <w:pPr/>
          </w:p>
        </w:tc>
        <w:tc>
          <w:tcPr>
            <w:tcW w:w="848" w:type="dxa"/>
            <w:vMerge/>
            <w:tcBorders>
              <w:left w:val="dotted" w:sz="4" w:space="0" w:color="30859C"/>
              <w:right w:val="dotted" w:sz="4" w:space="0" w:color="30859C"/>
            </w:tcBorders>
            <w:shd w:val="clear" w:color="auto" w:fill="77DFDD"/>
          </w:tcPr>
          <w:p>
            <w:pPr/>
          </w:p>
        </w:tc>
        <w:tc>
          <w:tcPr>
            <w:tcW w:w="775" w:type="dxa"/>
            <w:tcBorders>
              <w:left w:val="dotted" w:sz="4" w:space="0" w:color="30859C"/>
              <w:right w:val="dotted" w:sz="4" w:space="0" w:color="30859C"/>
            </w:tcBorders>
            <w:shd w:val="clear" w:color="auto" w:fill="77DFDD"/>
          </w:tcPr>
          <w:p>
            <w:pPr>
              <w:pStyle w:val="TableParagraph"/>
              <w:spacing w:before="20"/>
              <w:ind w:left="26" w:right="20"/>
              <w:rPr>
                <w:sz w:val="13"/>
              </w:rPr>
            </w:pPr>
            <w:r>
              <w:rPr>
                <w:w w:val="105"/>
                <w:sz w:val="13"/>
              </w:rPr>
              <w:t>13.5</w:t>
            </w:r>
            <w:r>
              <w:rPr>
                <w:rFonts w:ascii="Calibri" w:hAnsi="Calibri"/>
                <w:w w:val="105"/>
                <w:sz w:val="13"/>
              </w:rPr>
              <w:t>±</w:t>
            </w:r>
            <w:r>
              <w:rPr>
                <w:w w:val="105"/>
                <w:sz w:val="13"/>
              </w:rPr>
              <w:t>8.2</w:t>
            </w:r>
          </w:p>
        </w:tc>
        <w:tc>
          <w:tcPr>
            <w:tcW w:w="775" w:type="dxa"/>
            <w:vMerge/>
            <w:tcBorders>
              <w:left w:val="dotted" w:sz="4" w:space="0" w:color="30859C"/>
              <w:right w:val="dotted" w:sz="4" w:space="0" w:color="30859C"/>
            </w:tcBorders>
            <w:shd w:val="clear" w:color="auto" w:fill="77DFDD"/>
          </w:tcPr>
          <w:p>
            <w:pPr/>
          </w:p>
        </w:tc>
        <w:tc>
          <w:tcPr>
            <w:tcW w:w="775" w:type="dxa"/>
            <w:vMerge/>
            <w:tcBorders>
              <w:left w:val="dotted" w:sz="4" w:space="0" w:color="30859C"/>
              <w:right w:val="dotted" w:sz="4" w:space="0" w:color="30859C"/>
            </w:tcBorders>
            <w:shd w:val="clear" w:color="auto" w:fill="77DFDD"/>
          </w:tcPr>
          <w:p>
            <w:pPr/>
          </w:p>
        </w:tc>
        <w:tc>
          <w:tcPr>
            <w:tcW w:w="775" w:type="dxa"/>
            <w:vMerge/>
            <w:tcBorders>
              <w:left w:val="dotted" w:sz="4" w:space="0" w:color="30859C"/>
              <w:right w:val="dotted" w:sz="4" w:space="0" w:color="30859C"/>
            </w:tcBorders>
            <w:shd w:val="clear" w:color="auto" w:fill="77DFDD"/>
          </w:tcPr>
          <w:p>
            <w:pPr/>
          </w:p>
        </w:tc>
        <w:tc>
          <w:tcPr>
            <w:tcW w:w="775" w:type="dxa"/>
            <w:vMerge/>
            <w:tcBorders>
              <w:left w:val="dotted" w:sz="4" w:space="0" w:color="30859C"/>
              <w:right w:val="dotted" w:sz="4" w:space="0" w:color="30859C"/>
            </w:tcBorders>
            <w:shd w:val="clear" w:color="auto" w:fill="77DFDD"/>
          </w:tcPr>
          <w:p>
            <w:pPr/>
          </w:p>
        </w:tc>
        <w:tc>
          <w:tcPr>
            <w:tcW w:w="770" w:type="dxa"/>
            <w:tcBorders>
              <w:left w:val="dotted" w:sz="4" w:space="0" w:color="30859C"/>
            </w:tcBorders>
            <w:shd w:val="clear" w:color="auto" w:fill="77DFDD"/>
          </w:tcPr>
          <w:p>
            <w:pPr>
              <w:pStyle w:val="TableParagraph"/>
              <w:spacing w:before="20"/>
              <w:ind w:left="25" w:right="20"/>
              <w:rPr>
                <w:sz w:val="13"/>
              </w:rPr>
            </w:pPr>
            <w:r>
              <w:rPr>
                <w:w w:val="105"/>
                <w:sz w:val="13"/>
              </w:rPr>
              <w:t>41.0</w:t>
            </w:r>
            <w:r>
              <w:rPr>
                <w:rFonts w:ascii="Calibri" w:hAnsi="Calibri"/>
                <w:w w:val="105"/>
                <w:sz w:val="13"/>
              </w:rPr>
              <w:t>±</w:t>
            </w:r>
            <w:r>
              <w:rPr>
                <w:w w:val="105"/>
                <w:sz w:val="13"/>
              </w:rPr>
              <w:t>17.4</w:t>
            </w:r>
          </w:p>
        </w:tc>
      </w:tr>
      <w:tr>
        <w:trPr>
          <w:trHeight w:val="557" w:hRule="exact"/>
        </w:trPr>
        <w:tc>
          <w:tcPr>
            <w:tcW w:w="300" w:type="dxa"/>
            <w:vMerge/>
            <w:shd w:val="clear" w:color="auto" w:fill="B4EDEC"/>
            <w:textDirection w:val="btLr"/>
          </w:tcPr>
          <w:p>
            <w:pPr/>
          </w:p>
        </w:tc>
        <w:tc>
          <w:tcPr>
            <w:tcW w:w="775" w:type="dxa"/>
            <w:shd w:val="clear" w:color="auto" w:fill="B4EDEC"/>
          </w:tcPr>
          <w:p>
            <w:pPr>
              <w:pStyle w:val="TableParagraph"/>
              <w:spacing w:before="0"/>
              <w:jc w:val="left"/>
              <w:rPr>
                <w:b/>
                <w:sz w:val="12"/>
              </w:rPr>
            </w:pPr>
          </w:p>
          <w:p>
            <w:pPr>
              <w:pStyle w:val="TableParagraph"/>
              <w:spacing w:before="71"/>
              <w:ind w:left="17"/>
              <w:jc w:val="left"/>
              <w:rPr>
                <w:b/>
                <w:sz w:val="13"/>
              </w:rPr>
            </w:pPr>
            <w:r>
              <w:rPr>
                <w:b/>
                <w:w w:val="105"/>
                <w:sz w:val="13"/>
              </w:rPr>
              <w:t>Café</w:t>
            </w:r>
          </w:p>
        </w:tc>
        <w:tc>
          <w:tcPr>
            <w:tcW w:w="475" w:type="dxa"/>
            <w:shd w:val="clear" w:color="auto" w:fill="B4EDEC"/>
          </w:tcPr>
          <w:p>
            <w:pPr>
              <w:pStyle w:val="TableParagraph"/>
              <w:spacing w:before="26"/>
              <w:ind w:left="18"/>
              <w:jc w:val="left"/>
              <w:rPr>
                <w:sz w:val="13"/>
              </w:rPr>
            </w:pPr>
            <w:r>
              <w:rPr>
                <w:w w:val="105"/>
                <w:sz w:val="13"/>
              </w:rPr>
              <w:t>Si</w:t>
            </w:r>
          </w:p>
          <w:p>
            <w:pPr>
              <w:pStyle w:val="TableParagraph"/>
              <w:spacing w:before="0"/>
              <w:jc w:val="left"/>
              <w:rPr>
                <w:b/>
                <w:sz w:val="12"/>
              </w:rPr>
            </w:pPr>
          </w:p>
          <w:p>
            <w:pPr>
              <w:pStyle w:val="TableParagraph"/>
              <w:spacing w:before="85"/>
              <w:ind w:left="18"/>
              <w:jc w:val="left"/>
              <w:rPr>
                <w:sz w:val="13"/>
              </w:rPr>
            </w:pPr>
            <w:r>
              <w:rPr>
                <w:w w:val="105"/>
                <w:sz w:val="13"/>
              </w:rPr>
              <w:t>No</w:t>
            </w:r>
          </w:p>
        </w:tc>
        <w:tc>
          <w:tcPr>
            <w:tcW w:w="388" w:type="dxa"/>
            <w:tcBorders>
              <w:right w:val="dotted" w:sz="4" w:space="0" w:color="30859C"/>
            </w:tcBorders>
            <w:shd w:val="clear" w:color="auto" w:fill="B4EDEC"/>
          </w:tcPr>
          <w:p>
            <w:pPr>
              <w:pStyle w:val="TableParagraph"/>
              <w:spacing w:before="0"/>
              <w:jc w:val="left"/>
              <w:rPr>
                <w:b/>
                <w:sz w:val="12"/>
              </w:rPr>
            </w:pPr>
          </w:p>
          <w:p>
            <w:pPr>
              <w:pStyle w:val="TableParagraph"/>
              <w:spacing w:before="75"/>
              <w:ind w:right="9"/>
              <w:jc w:val="right"/>
              <w:rPr>
                <w:b/>
                <w:sz w:val="13"/>
              </w:rPr>
            </w:pPr>
            <w:r>
              <w:rPr>
                <w:b/>
                <w:w w:val="103"/>
                <w:sz w:val="13"/>
              </w:rPr>
              <w:t>p</w:t>
            </w:r>
          </w:p>
        </w:tc>
        <w:tc>
          <w:tcPr>
            <w:tcW w:w="775" w:type="dxa"/>
            <w:tcBorders>
              <w:left w:val="dotted" w:sz="4" w:space="0" w:color="30859C"/>
              <w:right w:val="dotted" w:sz="4" w:space="0" w:color="30859C"/>
            </w:tcBorders>
            <w:shd w:val="clear" w:color="auto" w:fill="B4EDEC"/>
          </w:tcPr>
          <w:p>
            <w:pPr>
              <w:pStyle w:val="TableParagraph"/>
              <w:spacing w:before="24"/>
              <w:ind w:left="149"/>
              <w:jc w:val="left"/>
              <w:rPr>
                <w:sz w:val="13"/>
              </w:rPr>
            </w:pPr>
            <w:r>
              <w:rPr>
                <w:w w:val="105"/>
                <w:sz w:val="13"/>
              </w:rPr>
              <w:t>0.5</w:t>
            </w:r>
            <w:r>
              <w:rPr>
                <w:rFonts w:ascii="Calibri" w:hAnsi="Calibri"/>
                <w:w w:val="105"/>
                <w:sz w:val="13"/>
              </w:rPr>
              <w:t>±</w:t>
            </w:r>
            <w:r>
              <w:rPr>
                <w:w w:val="105"/>
                <w:sz w:val="13"/>
              </w:rPr>
              <w:t>0.7</w:t>
            </w:r>
          </w:p>
          <w:p>
            <w:pPr>
              <w:pStyle w:val="TableParagraph"/>
              <w:spacing w:before="30"/>
              <w:ind w:left="242"/>
              <w:jc w:val="left"/>
              <w:rPr>
                <w:sz w:val="13"/>
              </w:rPr>
            </w:pPr>
            <w:r>
              <w:rPr>
                <w:w w:val="105"/>
                <w:sz w:val="13"/>
              </w:rPr>
              <w:t>0.32</w:t>
            </w:r>
          </w:p>
          <w:p>
            <w:pPr>
              <w:pStyle w:val="TableParagraph"/>
              <w:spacing w:before="35"/>
              <w:ind w:left="149"/>
              <w:jc w:val="left"/>
              <w:rPr>
                <w:sz w:val="13"/>
              </w:rPr>
            </w:pPr>
            <w:r>
              <w:rPr>
                <w:w w:val="105"/>
                <w:sz w:val="13"/>
              </w:rPr>
              <w:t>0.4</w:t>
            </w:r>
            <w:r>
              <w:rPr>
                <w:rFonts w:ascii="Calibri" w:hAnsi="Calibri"/>
                <w:w w:val="105"/>
                <w:sz w:val="13"/>
              </w:rPr>
              <w:t>±</w:t>
            </w:r>
            <w:r>
              <w:rPr>
                <w:w w:val="105"/>
                <w:sz w:val="13"/>
              </w:rPr>
              <w:t>0.7</w:t>
            </w:r>
          </w:p>
        </w:tc>
        <w:tc>
          <w:tcPr>
            <w:tcW w:w="848" w:type="dxa"/>
            <w:tcBorders>
              <w:left w:val="dotted" w:sz="4" w:space="0" w:color="30859C"/>
              <w:right w:val="dotted" w:sz="4" w:space="0" w:color="30859C"/>
            </w:tcBorders>
            <w:shd w:val="clear" w:color="auto" w:fill="B4EDEC"/>
          </w:tcPr>
          <w:p>
            <w:pPr>
              <w:pStyle w:val="TableParagraph"/>
              <w:spacing w:before="24"/>
              <w:ind w:left="138" w:right="142"/>
              <w:rPr>
                <w:sz w:val="13"/>
              </w:rPr>
            </w:pPr>
            <w:r>
              <w:rPr>
                <w:w w:val="105"/>
                <w:sz w:val="13"/>
              </w:rPr>
              <w:t>1.4</w:t>
            </w:r>
            <w:r>
              <w:rPr>
                <w:rFonts w:ascii="Calibri" w:hAnsi="Calibri"/>
                <w:w w:val="105"/>
                <w:sz w:val="13"/>
              </w:rPr>
              <w:t>±</w:t>
            </w:r>
            <w:r>
              <w:rPr>
                <w:w w:val="105"/>
                <w:sz w:val="13"/>
              </w:rPr>
              <w:t>1.7</w:t>
            </w:r>
          </w:p>
          <w:p>
            <w:pPr>
              <w:pStyle w:val="TableParagraph"/>
              <w:spacing w:before="30"/>
              <w:ind w:left="138" w:right="142"/>
              <w:rPr>
                <w:sz w:val="13"/>
              </w:rPr>
            </w:pPr>
            <w:r>
              <w:rPr>
                <w:w w:val="105"/>
                <w:sz w:val="13"/>
              </w:rPr>
              <w:t>0.11</w:t>
            </w:r>
          </w:p>
          <w:p>
            <w:pPr>
              <w:pStyle w:val="TableParagraph"/>
              <w:spacing w:before="35"/>
              <w:ind w:left="138" w:right="142"/>
              <w:rPr>
                <w:sz w:val="13"/>
              </w:rPr>
            </w:pPr>
            <w:r>
              <w:rPr>
                <w:w w:val="105"/>
                <w:sz w:val="13"/>
              </w:rPr>
              <w:t>2.0</w:t>
            </w:r>
            <w:r>
              <w:rPr>
                <w:rFonts w:ascii="Calibri" w:hAnsi="Calibri"/>
                <w:w w:val="105"/>
                <w:sz w:val="13"/>
              </w:rPr>
              <w:t>±</w:t>
            </w:r>
            <w:r>
              <w:rPr>
                <w:w w:val="105"/>
                <w:sz w:val="13"/>
              </w:rPr>
              <w:t>1.8</w:t>
            </w:r>
          </w:p>
        </w:tc>
        <w:tc>
          <w:tcPr>
            <w:tcW w:w="775" w:type="dxa"/>
            <w:tcBorders>
              <w:left w:val="dotted" w:sz="4" w:space="0" w:color="30859C"/>
              <w:right w:val="dotted" w:sz="4" w:space="0" w:color="30859C"/>
            </w:tcBorders>
            <w:shd w:val="clear" w:color="auto" w:fill="B4EDEC"/>
          </w:tcPr>
          <w:p>
            <w:pPr>
              <w:pStyle w:val="TableParagraph"/>
              <w:spacing w:before="24"/>
              <w:ind w:left="26" w:right="20"/>
              <w:rPr>
                <w:sz w:val="13"/>
              </w:rPr>
            </w:pPr>
            <w:r>
              <w:rPr>
                <w:w w:val="105"/>
                <w:sz w:val="13"/>
              </w:rPr>
              <w:t>18.3</w:t>
            </w:r>
            <w:r>
              <w:rPr>
                <w:rFonts w:ascii="Calibri" w:hAnsi="Calibri"/>
                <w:w w:val="105"/>
                <w:sz w:val="13"/>
              </w:rPr>
              <w:t>±</w:t>
            </w:r>
            <w:r>
              <w:rPr>
                <w:w w:val="105"/>
                <w:sz w:val="13"/>
              </w:rPr>
              <w:t>9.8</w:t>
            </w:r>
          </w:p>
          <w:p>
            <w:pPr>
              <w:pStyle w:val="TableParagraph"/>
              <w:spacing w:before="30"/>
              <w:ind w:left="19" w:right="20"/>
              <w:rPr>
                <w:sz w:val="13"/>
              </w:rPr>
            </w:pPr>
            <w:r>
              <w:rPr>
                <w:w w:val="105"/>
                <w:sz w:val="13"/>
              </w:rPr>
              <w:t>0.15</w:t>
            </w:r>
          </w:p>
          <w:p>
            <w:pPr>
              <w:pStyle w:val="TableParagraph"/>
              <w:spacing w:before="35"/>
              <w:ind w:left="26" w:right="20"/>
              <w:rPr>
                <w:sz w:val="13"/>
              </w:rPr>
            </w:pPr>
            <w:r>
              <w:rPr>
                <w:w w:val="105"/>
                <w:sz w:val="13"/>
              </w:rPr>
              <w:t>14.6</w:t>
            </w:r>
            <w:r>
              <w:rPr>
                <w:rFonts w:ascii="Calibri" w:hAnsi="Calibri"/>
                <w:w w:val="105"/>
                <w:sz w:val="13"/>
              </w:rPr>
              <w:t>±</w:t>
            </w:r>
            <w:r>
              <w:rPr>
                <w:w w:val="105"/>
                <w:sz w:val="13"/>
              </w:rPr>
              <w:t>8.5</w:t>
            </w:r>
          </w:p>
        </w:tc>
        <w:tc>
          <w:tcPr>
            <w:tcW w:w="775" w:type="dxa"/>
            <w:tcBorders>
              <w:left w:val="dotted" w:sz="4" w:space="0" w:color="30859C"/>
              <w:right w:val="dotted" w:sz="4" w:space="0" w:color="30859C"/>
            </w:tcBorders>
            <w:shd w:val="clear" w:color="auto" w:fill="B4EDEC"/>
          </w:tcPr>
          <w:p>
            <w:pPr>
              <w:pStyle w:val="TableParagraph"/>
              <w:spacing w:before="24"/>
              <w:ind w:left="158"/>
              <w:jc w:val="left"/>
              <w:rPr>
                <w:sz w:val="13"/>
              </w:rPr>
            </w:pPr>
            <w:r>
              <w:rPr>
                <w:w w:val="105"/>
                <w:sz w:val="13"/>
              </w:rPr>
              <w:t>9.4</w:t>
            </w:r>
            <w:r>
              <w:rPr>
                <w:rFonts w:ascii="Calibri" w:hAnsi="Calibri"/>
                <w:w w:val="105"/>
                <w:sz w:val="13"/>
              </w:rPr>
              <w:t>±</w:t>
            </w:r>
            <w:r>
              <w:rPr>
                <w:w w:val="105"/>
                <w:sz w:val="13"/>
              </w:rPr>
              <w:t>6.8</w:t>
            </w:r>
          </w:p>
          <w:p>
            <w:pPr>
              <w:pStyle w:val="TableParagraph"/>
              <w:spacing w:before="30"/>
              <w:ind w:left="251"/>
              <w:jc w:val="left"/>
              <w:rPr>
                <w:sz w:val="13"/>
              </w:rPr>
            </w:pPr>
            <w:r>
              <w:rPr>
                <w:w w:val="105"/>
                <w:sz w:val="13"/>
              </w:rPr>
              <w:t>0.87</w:t>
            </w:r>
          </w:p>
          <w:p>
            <w:pPr>
              <w:pStyle w:val="TableParagraph"/>
              <w:spacing w:before="35"/>
              <w:ind w:left="158"/>
              <w:jc w:val="left"/>
              <w:rPr>
                <w:sz w:val="13"/>
              </w:rPr>
            </w:pPr>
            <w:r>
              <w:rPr>
                <w:w w:val="105"/>
                <w:sz w:val="13"/>
              </w:rPr>
              <w:t>9.0</w:t>
            </w:r>
            <w:r>
              <w:rPr>
                <w:rFonts w:ascii="Calibri" w:hAnsi="Calibri"/>
                <w:w w:val="105"/>
                <w:sz w:val="13"/>
              </w:rPr>
              <w:t>±</w:t>
            </w:r>
            <w:r>
              <w:rPr>
                <w:w w:val="105"/>
                <w:sz w:val="13"/>
              </w:rPr>
              <w:t>5.5</w:t>
            </w:r>
          </w:p>
        </w:tc>
        <w:tc>
          <w:tcPr>
            <w:tcW w:w="775" w:type="dxa"/>
            <w:tcBorders>
              <w:left w:val="dotted" w:sz="4" w:space="0" w:color="30859C"/>
              <w:right w:val="dotted" w:sz="4" w:space="0" w:color="30859C"/>
            </w:tcBorders>
            <w:shd w:val="clear" w:color="auto" w:fill="B4EDEC"/>
          </w:tcPr>
          <w:p>
            <w:pPr>
              <w:pStyle w:val="TableParagraph"/>
              <w:spacing w:before="24"/>
              <w:ind w:left="158"/>
              <w:jc w:val="left"/>
              <w:rPr>
                <w:sz w:val="13"/>
              </w:rPr>
            </w:pPr>
            <w:r>
              <w:rPr>
                <w:w w:val="105"/>
                <w:sz w:val="13"/>
              </w:rPr>
              <w:t>5.1</w:t>
            </w:r>
            <w:r>
              <w:rPr>
                <w:rFonts w:ascii="Calibri" w:hAnsi="Calibri"/>
                <w:w w:val="105"/>
                <w:sz w:val="13"/>
              </w:rPr>
              <w:t>±</w:t>
            </w:r>
            <w:r>
              <w:rPr>
                <w:w w:val="105"/>
                <w:sz w:val="13"/>
              </w:rPr>
              <w:t>6.3</w:t>
            </w:r>
          </w:p>
          <w:p>
            <w:pPr>
              <w:pStyle w:val="TableParagraph"/>
              <w:spacing w:before="30"/>
              <w:ind w:left="252"/>
              <w:jc w:val="left"/>
              <w:rPr>
                <w:sz w:val="13"/>
              </w:rPr>
            </w:pPr>
            <w:r>
              <w:rPr>
                <w:w w:val="105"/>
                <w:sz w:val="13"/>
              </w:rPr>
              <w:t>0.94</w:t>
            </w:r>
          </w:p>
          <w:p>
            <w:pPr>
              <w:pStyle w:val="TableParagraph"/>
              <w:spacing w:before="35"/>
              <w:ind w:left="158"/>
              <w:jc w:val="left"/>
              <w:rPr>
                <w:sz w:val="13"/>
              </w:rPr>
            </w:pPr>
            <w:r>
              <w:rPr>
                <w:w w:val="105"/>
                <w:sz w:val="13"/>
              </w:rPr>
              <w:t>5.3</w:t>
            </w:r>
            <w:r>
              <w:rPr>
                <w:rFonts w:ascii="Calibri" w:hAnsi="Calibri"/>
                <w:w w:val="105"/>
                <w:sz w:val="13"/>
              </w:rPr>
              <w:t>±</w:t>
            </w:r>
            <w:r>
              <w:rPr>
                <w:w w:val="105"/>
                <w:sz w:val="13"/>
              </w:rPr>
              <w:t>6.3</w:t>
            </w:r>
          </w:p>
        </w:tc>
        <w:tc>
          <w:tcPr>
            <w:tcW w:w="775" w:type="dxa"/>
            <w:tcBorders>
              <w:left w:val="dotted" w:sz="4" w:space="0" w:color="30859C"/>
              <w:right w:val="dotted" w:sz="4" w:space="0" w:color="30859C"/>
            </w:tcBorders>
            <w:shd w:val="clear" w:color="auto" w:fill="B4EDEC"/>
          </w:tcPr>
          <w:p>
            <w:pPr>
              <w:pStyle w:val="TableParagraph"/>
              <w:spacing w:before="24"/>
              <w:ind w:left="159"/>
              <w:jc w:val="left"/>
              <w:rPr>
                <w:sz w:val="13"/>
              </w:rPr>
            </w:pPr>
            <w:r>
              <w:rPr>
                <w:w w:val="105"/>
                <w:sz w:val="13"/>
              </w:rPr>
              <w:t>2.0</w:t>
            </w:r>
            <w:r>
              <w:rPr>
                <w:rFonts w:ascii="Calibri" w:hAnsi="Calibri"/>
                <w:w w:val="105"/>
                <w:sz w:val="13"/>
              </w:rPr>
              <w:t>±</w:t>
            </w:r>
            <w:r>
              <w:rPr>
                <w:w w:val="105"/>
                <w:sz w:val="13"/>
              </w:rPr>
              <w:t>2.4</w:t>
            </w:r>
          </w:p>
          <w:p>
            <w:pPr>
              <w:pStyle w:val="TableParagraph"/>
              <w:spacing w:before="30"/>
              <w:ind w:left="252"/>
              <w:jc w:val="left"/>
              <w:rPr>
                <w:sz w:val="13"/>
              </w:rPr>
            </w:pPr>
            <w:r>
              <w:rPr>
                <w:w w:val="105"/>
                <w:sz w:val="13"/>
              </w:rPr>
              <w:t>0.64</w:t>
            </w:r>
          </w:p>
          <w:p>
            <w:pPr>
              <w:pStyle w:val="TableParagraph"/>
              <w:spacing w:before="35"/>
              <w:ind w:left="159"/>
              <w:jc w:val="left"/>
              <w:rPr>
                <w:sz w:val="13"/>
              </w:rPr>
            </w:pPr>
            <w:r>
              <w:rPr>
                <w:w w:val="105"/>
                <w:sz w:val="13"/>
              </w:rPr>
              <w:t>2.4</w:t>
            </w:r>
            <w:r>
              <w:rPr>
                <w:rFonts w:ascii="Calibri" w:hAnsi="Calibri"/>
                <w:w w:val="105"/>
                <w:sz w:val="13"/>
              </w:rPr>
              <w:t>±</w:t>
            </w:r>
            <w:r>
              <w:rPr>
                <w:w w:val="105"/>
                <w:sz w:val="13"/>
              </w:rPr>
              <w:t>2.9</w:t>
            </w:r>
          </w:p>
        </w:tc>
        <w:tc>
          <w:tcPr>
            <w:tcW w:w="775" w:type="dxa"/>
            <w:tcBorders>
              <w:left w:val="dotted" w:sz="4" w:space="0" w:color="30859C"/>
              <w:right w:val="dotted" w:sz="4" w:space="0" w:color="30859C"/>
            </w:tcBorders>
            <w:shd w:val="clear" w:color="auto" w:fill="B4EDEC"/>
          </w:tcPr>
          <w:p>
            <w:pPr>
              <w:pStyle w:val="TableParagraph"/>
              <w:spacing w:before="24"/>
              <w:ind w:left="24" w:right="20"/>
              <w:rPr>
                <w:sz w:val="13"/>
              </w:rPr>
            </w:pPr>
            <w:r>
              <w:rPr>
                <w:w w:val="105"/>
                <w:sz w:val="13"/>
              </w:rPr>
              <w:t>14.5</w:t>
            </w:r>
            <w:r>
              <w:rPr>
                <w:rFonts w:ascii="Calibri" w:hAnsi="Calibri"/>
                <w:w w:val="105"/>
                <w:sz w:val="13"/>
              </w:rPr>
              <w:t>±</w:t>
            </w:r>
            <w:r>
              <w:rPr>
                <w:w w:val="105"/>
                <w:sz w:val="13"/>
              </w:rPr>
              <w:t>12.6</w:t>
            </w:r>
          </w:p>
          <w:p>
            <w:pPr>
              <w:pStyle w:val="TableParagraph"/>
              <w:spacing w:before="30"/>
              <w:ind w:left="24" w:right="20"/>
              <w:rPr>
                <w:sz w:val="13"/>
              </w:rPr>
            </w:pPr>
            <w:r>
              <w:rPr>
                <w:w w:val="105"/>
                <w:sz w:val="13"/>
              </w:rPr>
              <w:t>0.07</w:t>
            </w:r>
          </w:p>
          <w:p>
            <w:pPr>
              <w:pStyle w:val="TableParagraph"/>
              <w:spacing w:before="35"/>
              <w:ind w:left="24" w:right="20"/>
              <w:rPr>
                <w:sz w:val="13"/>
              </w:rPr>
            </w:pPr>
            <w:r>
              <w:rPr>
                <w:w w:val="105"/>
                <w:sz w:val="13"/>
              </w:rPr>
              <w:t>10.2</w:t>
            </w:r>
            <w:r>
              <w:rPr>
                <w:rFonts w:ascii="Calibri" w:hAnsi="Calibri"/>
                <w:w w:val="105"/>
                <w:sz w:val="13"/>
              </w:rPr>
              <w:t>±</w:t>
            </w:r>
            <w:r>
              <w:rPr>
                <w:w w:val="105"/>
                <w:sz w:val="13"/>
              </w:rPr>
              <w:t>10.7</w:t>
            </w:r>
          </w:p>
        </w:tc>
        <w:tc>
          <w:tcPr>
            <w:tcW w:w="770" w:type="dxa"/>
            <w:tcBorders>
              <w:left w:val="dotted" w:sz="4" w:space="0" w:color="30859C"/>
            </w:tcBorders>
            <w:shd w:val="clear" w:color="auto" w:fill="B4EDEC"/>
          </w:tcPr>
          <w:p>
            <w:pPr>
              <w:pStyle w:val="TableParagraph"/>
              <w:spacing w:before="24"/>
              <w:ind w:left="25" w:right="20"/>
              <w:rPr>
                <w:sz w:val="13"/>
              </w:rPr>
            </w:pPr>
            <w:r>
              <w:rPr>
                <w:w w:val="105"/>
                <w:sz w:val="13"/>
              </w:rPr>
              <w:t>50.9</w:t>
            </w:r>
            <w:r>
              <w:rPr>
                <w:rFonts w:ascii="Calibri" w:hAnsi="Calibri"/>
                <w:w w:val="105"/>
                <w:sz w:val="13"/>
              </w:rPr>
              <w:t>±</w:t>
            </w:r>
            <w:r>
              <w:rPr>
                <w:w w:val="105"/>
                <w:sz w:val="13"/>
              </w:rPr>
              <w:t>18.9</w:t>
            </w:r>
          </w:p>
          <w:p>
            <w:pPr>
              <w:pStyle w:val="TableParagraph"/>
              <w:spacing w:before="30"/>
              <w:ind w:left="25" w:right="20"/>
              <w:rPr>
                <w:sz w:val="13"/>
              </w:rPr>
            </w:pPr>
            <w:r>
              <w:rPr>
                <w:w w:val="105"/>
                <w:sz w:val="13"/>
              </w:rPr>
              <w:t>0.09</w:t>
            </w:r>
          </w:p>
          <w:p>
            <w:pPr>
              <w:pStyle w:val="TableParagraph"/>
              <w:spacing w:before="35"/>
              <w:ind w:left="25" w:right="20"/>
              <w:rPr>
                <w:sz w:val="13"/>
              </w:rPr>
            </w:pPr>
            <w:r>
              <w:rPr>
                <w:w w:val="105"/>
                <w:sz w:val="13"/>
              </w:rPr>
              <w:t>43.9</w:t>
            </w:r>
            <w:r>
              <w:rPr>
                <w:rFonts w:ascii="Calibri" w:hAnsi="Calibri"/>
                <w:w w:val="105"/>
                <w:sz w:val="13"/>
              </w:rPr>
              <w:t>±</w:t>
            </w:r>
            <w:r>
              <w:rPr>
                <w:w w:val="105"/>
                <w:sz w:val="13"/>
              </w:rPr>
              <w:t>22.8</w:t>
            </w:r>
          </w:p>
        </w:tc>
      </w:tr>
      <w:tr>
        <w:trPr>
          <w:trHeight w:val="557" w:hRule="exact"/>
        </w:trPr>
        <w:tc>
          <w:tcPr>
            <w:tcW w:w="300" w:type="dxa"/>
            <w:vMerge/>
            <w:shd w:val="clear" w:color="auto" w:fill="B4EDEC"/>
            <w:textDirection w:val="btLr"/>
          </w:tcPr>
          <w:p>
            <w:pPr/>
          </w:p>
        </w:tc>
        <w:tc>
          <w:tcPr>
            <w:tcW w:w="775" w:type="dxa"/>
            <w:shd w:val="clear" w:color="auto" w:fill="77DFDD"/>
          </w:tcPr>
          <w:p>
            <w:pPr>
              <w:pStyle w:val="TableParagraph"/>
              <w:spacing w:line="300" w:lineRule="auto" w:before="28"/>
              <w:ind w:left="17" w:right="405"/>
              <w:jc w:val="left"/>
              <w:rPr>
                <w:b/>
                <w:sz w:val="13"/>
              </w:rPr>
            </w:pPr>
            <w:r>
              <w:rPr>
                <w:b/>
                <w:w w:val="105"/>
                <w:sz w:val="13"/>
              </w:rPr>
              <w:t>Café con </w:t>
            </w:r>
            <w:r>
              <w:rPr>
                <w:b/>
                <w:sz w:val="13"/>
              </w:rPr>
              <w:t>leche</w:t>
            </w:r>
          </w:p>
        </w:tc>
        <w:tc>
          <w:tcPr>
            <w:tcW w:w="475" w:type="dxa"/>
            <w:shd w:val="clear" w:color="auto" w:fill="77DFDD"/>
          </w:tcPr>
          <w:p>
            <w:pPr>
              <w:pStyle w:val="TableParagraph"/>
              <w:spacing w:before="28"/>
              <w:ind w:left="18"/>
              <w:jc w:val="left"/>
              <w:rPr>
                <w:sz w:val="13"/>
              </w:rPr>
            </w:pPr>
            <w:r>
              <w:rPr>
                <w:w w:val="105"/>
                <w:sz w:val="13"/>
              </w:rPr>
              <w:t>Si</w:t>
            </w:r>
          </w:p>
          <w:p>
            <w:pPr>
              <w:pStyle w:val="TableParagraph"/>
              <w:spacing w:before="0"/>
              <w:jc w:val="left"/>
              <w:rPr>
                <w:b/>
                <w:sz w:val="12"/>
              </w:rPr>
            </w:pPr>
          </w:p>
          <w:p>
            <w:pPr>
              <w:pStyle w:val="TableParagraph"/>
              <w:spacing w:before="85"/>
              <w:ind w:left="18"/>
              <w:jc w:val="left"/>
              <w:rPr>
                <w:sz w:val="13"/>
              </w:rPr>
            </w:pPr>
            <w:r>
              <w:rPr>
                <w:w w:val="105"/>
                <w:sz w:val="13"/>
              </w:rPr>
              <w:t>No</w:t>
            </w:r>
          </w:p>
        </w:tc>
        <w:tc>
          <w:tcPr>
            <w:tcW w:w="388" w:type="dxa"/>
            <w:tcBorders>
              <w:right w:val="dotted" w:sz="4" w:space="0" w:color="30859C"/>
            </w:tcBorders>
            <w:shd w:val="clear" w:color="auto" w:fill="77DFDD"/>
          </w:tcPr>
          <w:p>
            <w:pPr>
              <w:pStyle w:val="TableParagraph"/>
              <w:spacing w:before="0"/>
              <w:jc w:val="left"/>
              <w:rPr>
                <w:b/>
                <w:sz w:val="12"/>
              </w:rPr>
            </w:pPr>
          </w:p>
          <w:p>
            <w:pPr>
              <w:pStyle w:val="TableParagraph"/>
              <w:spacing w:before="77"/>
              <w:ind w:right="10"/>
              <w:jc w:val="right"/>
              <w:rPr>
                <w:b/>
                <w:sz w:val="13"/>
              </w:rPr>
            </w:pPr>
            <w:r>
              <w:rPr>
                <w:b/>
                <w:w w:val="103"/>
                <w:sz w:val="13"/>
              </w:rPr>
              <w:t>p</w:t>
            </w:r>
          </w:p>
        </w:tc>
        <w:tc>
          <w:tcPr>
            <w:tcW w:w="775" w:type="dxa"/>
            <w:tcBorders>
              <w:left w:val="dotted" w:sz="4" w:space="0" w:color="30859C"/>
              <w:right w:val="dotted" w:sz="4" w:space="0" w:color="30859C"/>
            </w:tcBorders>
            <w:shd w:val="clear" w:color="auto" w:fill="77DFDD"/>
          </w:tcPr>
          <w:p>
            <w:pPr>
              <w:pStyle w:val="TableParagraph"/>
              <w:spacing w:before="27"/>
              <w:ind w:left="149"/>
              <w:jc w:val="left"/>
              <w:rPr>
                <w:sz w:val="13"/>
              </w:rPr>
            </w:pPr>
            <w:r>
              <w:rPr>
                <w:w w:val="105"/>
                <w:sz w:val="13"/>
              </w:rPr>
              <w:t>0.5</w:t>
            </w:r>
            <w:r>
              <w:rPr>
                <w:rFonts w:ascii="Calibri" w:hAnsi="Calibri"/>
                <w:w w:val="105"/>
                <w:sz w:val="13"/>
              </w:rPr>
              <w:t>±</w:t>
            </w:r>
            <w:r>
              <w:rPr>
                <w:w w:val="105"/>
                <w:sz w:val="13"/>
              </w:rPr>
              <w:t>0.8</w:t>
            </w:r>
          </w:p>
          <w:p>
            <w:pPr>
              <w:pStyle w:val="TableParagraph"/>
              <w:spacing w:before="30"/>
              <w:ind w:left="242"/>
              <w:jc w:val="left"/>
              <w:rPr>
                <w:sz w:val="13"/>
              </w:rPr>
            </w:pPr>
            <w:r>
              <w:rPr>
                <w:w w:val="105"/>
                <w:sz w:val="13"/>
              </w:rPr>
              <w:t>0.91</w:t>
            </w:r>
          </w:p>
          <w:p>
            <w:pPr>
              <w:pStyle w:val="TableParagraph"/>
              <w:spacing w:before="35"/>
              <w:ind w:left="149"/>
              <w:jc w:val="left"/>
              <w:rPr>
                <w:sz w:val="13"/>
              </w:rPr>
            </w:pPr>
            <w:r>
              <w:rPr>
                <w:w w:val="105"/>
                <w:sz w:val="13"/>
              </w:rPr>
              <w:t>0.4</w:t>
            </w:r>
            <w:r>
              <w:rPr>
                <w:rFonts w:ascii="Calibri" w:hAnsi="Calibri"/>
                <w:w w:val="105"/>
                <w:sz w:val="13"/>
              </w:rPr>
              <w:t>±</w:t>
            </w:r>
            <w:r>
              <w:rPr>
                <w:w w:val="105"/>
                <w:sz w:val="13"/>
              </w:rPr>
              <w:t>0.6</w:t>
            </w:r>
          </w:p>
        </w:tc>
        <w:tc>
          <w:tcPr>
            <w:tcW w:w="848" w:type="dxa"/>
            <w:tcBorders>
              <w:left w:val="dotted" w:sz="4" w:space="0" w:color="30859C"/>
              <w:right w:val="dotted" w:sz="4" w:space="0" w:color="30859C"/>
            </w:tcBorders>
            <w:shd w:val="clear" w:color="auto" w:fill="77DFDD"/>
          </w:tcPr>
          <w:p>
            <w:pPr>
              <w:pStyle w:val="TableParagraph"/>
              <w:spacing w:before="27"/>
              <w:ind w:left="138" w:right="142"/>
              <w:rPr>
                <w:sz w:val="13"/>
              </w:rPr>
            </w:pPr>
            <w:r>
              <w:rPr>
                <w:w w:val="105"/>
                <w:sz w:val="13"/>
              </w:rPr>
              <w:t>1.9</w:t>
            </w:r>
            <w:r>
              <w:rPr>
                <w:rFonts w:ascii="Calibri" w:hAnsi="Calibri"/>
                <w:w w:val="105"/>
                <w:sz w:val="13"/>
              </w:rPr>
              <w:t>±</w:t>
            </w:r>
            <w:r>
              <w:rPr>
                <w:w w:val="105"/>
                <w:sz w:val="13"/>
              </w:rPr>
              <w:t>2.3</w:t>
            </w:r>
          </w:p>
          <w:p>
            <w:pPr>
              <w:pStyle w:val="TableParagraph"/>
              <w:spacing w:before="30"/>
              <w:ind w:left="138" w:right="142"/>
              <w:rPr>
                <w:sz w:val="13"/>
              </w:rPr>
            </w:pPr>
            <w:r>
              <w:rPr>
                <w:w w:val="105"/>
                <w:sz w:val="13"/>
              </w:rPr>
              <w:t>0.61</w:t>
            </w:r>
          </w:p>
          <w:p>
            <w:pPr>
              <w:pStyle w:val="TableParagraph"/>
              <w:spacing w:before="35"/>
              <w:ind w:left="138" w:right="142"/>
              <w:rPr>
                <w:sz w:val="13"/>
              </w:rPr>
            </w:pPr>
            <w:r>
              <w:rPr>
                <w:w w:val="105"/>
                <w:sz w:val="13"/>
              </w:rPr>
              <w:t>1.5</w:t>
            </w:r>
            <w:r>
              <w:rPr>
                <w:rFonts w:ascii="Calibri" w:hAnsi="Calibri"/>
                <w:w w:val="105"/>
                <w:sz w:val="13"/>
              </w:rPr>
              <w:t>±</w:t>
            </w:r>
            <w:r>
              <w:rPr>
                <w:w w:val="105"/>
                <w:sz w:val="13"/>
              </w:rPr>
              <w:t>1.1</w:t>
            </w:r>
          </w:p>
        </w:tc>
        <w:tc>
          <w:tcPr>
            <w:tcW w:w="775" w:type="dxa"/>
            <w:tcBorders>
              <w:left w:val="dotted" w:sz="4" w:space="0" w:color="30859C"/>
              <w:right w:val="dotted" w:sz="4" w:space="0" w:color="30859C"/>
            </w:tcBorders>
            <w:shd w:val="clear" w:color="auto" w:fill="77DFDD"/>
          </w:tcPr>
          <w:p>
            <w:pPr>
              <w:pStyle w:val="TableParagraph"/>
              <w:spacing w:before="27"/>
              <w:ind w:left="26" w:right="20"/>
              <w:rPr>
                <w:sz w:val="13"/>
              </w:rPr>
            </w:pPr>
            <w:r>
              <w:rPr>
                <w:w w:val="105"/>
                <w:sz w:val="13"/>
              </w:rPr>
              <w:t>18.2</w:t>
            </w:r>
            <w:r>
              <w:rPr>
                <w:rFonts w:ascii="Calibri" w:hAnsi="Calibri"/>
                <w:w w:val="105"/>
                <w:sz w:val="13"/>
              </w:rPr>
              <w:t>±</w:t>
            </w:r>
            <w:r>
              <w:rPr>
                <w:w w:val="105"/>
                <w:sz w:val="13"/>
              </w:rPr>
              <w:t>9.9</w:t>
            </w:r>
          </w:p>
          <w:p>
            <w:pPr>
              <w:pStyle w:val="TableParagraph"/>
              <w:spacing w:before="30"/>
              <w:ind w:left="18" w:right="20"/>
              <w:rPr>
                <w:sz w:val="13"/>
              </w:rPr>
            </w:pPr>
            <w:r>
              <w:rPr>
                <w:w w:val="105"/>
                <w:sz w:val="13"/>
              </w:rPr>
              <w:t>0.26</w:t>
            </w:r>
          </w:p>
          <w:p>
            <w:pPr>
              <w:pStyle w:val="TableParagraph"/>
              <w:spacing w:before="35"/>
              <w:ind w:left="26" w:right="20"/>
              <w:rPr>
                <w:sz w:val="13"/>
              </w:rPr>
            </w:pPr>
            <w:r>
              <w:rPr>
                <w:w w:val="105"/>
                <w:sz w:val="13"/>
              </w:rPr>
              <w:t>14.9</w:t>
            </w:r>
            <w:r>
              <w:rPr>
                <w:rFonts w:ascii="Calibri" w:hAnsi="Calibri"/>
                <w:w w:val="105"/>
                <w:sz w:val="13"/>
              </w:rPr>
              <w:t>±</w:t>
            </w:r>
            <w:r>
              <w:rPr>
                <w:w w:val="105"/>
                <w:sz w:val="13"/>
              </w:rPr>
              <w:t>8.6</w:t>
            </w:r>
          </w:p>
        </w:tc>
        <w:tc>
          <w:tcPr>
            <w:tcW w:w="775" w:type="dxa"/>
            <w:tcBorders>
              <w:left w:val="dotted" w:sz="4" w:space="0" w:color="30859C"/>
              <w:right w:val="dotted" w:sz="4" w:space="0" w:color="30859C"/>
            </w:tcBorders>
            <w:shd w:val="clear" w:color="auto" w:fill="77DFDD"/>
          </w:tcPr>
          <w:p>
            <w:pPr>
              <w:pStyle w:val="TableParagraph"/>
              <w:spacing w:before="27"/>
              <w:ind w:left="158"/>
              <w:jc w:val="left"/>
              <w:rPr>
                <w:sz w:val="13"/>
              </w:rPr>
            </w:pPr>
            <w:r>
              <w:rPr>
                <w:w w:val="105"/>
                <w:sz w:val="13"/>
              </w:rPr>
              <w:t>9.2</w:t>
            </w:r>
            <w:r>
              <w:rPr>
                <w:rFonts w:ascii="Calibri" w:hAnsi="Calibri"/>
                <w:w w:val="105"/>
                <w:sz w:val="13"/>
              </w:rPr>
              <w:t>±</w:t>
            </w:r>
            <w:r>
              <w:rPr>
                <w:w w:val="105"/>
                <w:sz w:val="13"/>
              </w:rPr>
              <w:t>7.0</w:t>
            </w:r>
          </w:p>
          <w:p>
            <w:pPr>
              <w:pStyle w:val="TableParagraph"/>
              <w:spacing w:before="30"/>
              <w:ind w:left="251"/>
              <w:jc w:val="left"/>
              <w:rPr>
                <w:sz w:val="13"/>
              </w:rPr>
            </w:pPr>
            <w:r>
              <w:rPr>
                <w:w w:val="105"/>
                <w:sz w:val="13"/>
              </w:rPr>
              <w:t>0.59</w:t>
            </w:r>
          </w:p>
          <w:p>
            <w:pPr>
              <w:pStyle w:val="TableParagraph"/>
              <w:spacing w:before="35"/>
              <w:ind w:left="158"/>
              <w:jc w:val="left"/>
              <w:rPr>
                <w:sz w:val="13"/>
              </w:rPr>
            </w:pPr>
            <w:r>
              <w:rPr>
                <w:w w:val="105"/>
                <w:sz w:val="13"/>
              </w:rPr>
              <w:t>9.1</w:t>
            </w:r>
            <w:r>
              <w:rPr>
                <w:rFonts w:ascii="Calibri" w:hAnsi="Calibri"/>
                <w:w w:val="105"/>
                <w:sz w:val="13"/>
              </w:rPr>
              <w:t>±</w:t>
            </w:r>
            <w:r>
              <w:rPr>
                <w:w w:val="105"/>
                <w:sz w:val="13"/>
              </w:rPr>
              <w:t>5.3</w:t>
            </w:r>
          </w:p>
        </w:tc>
        <w:tc>
          <w:tcPr>
            <w:tcW w:w="775" w:type="dxa"/>
            <w:tcBorders>
              <w:left w:val="dotted" w:sz="4" w:space="0" w:color="30859C"/>
              <w:right w:val="dotted" w:sz="4" w:space="0" w:color="30859C"/>
            </w:tcBorders>
            <w:shd w:val="clear" w:color="auto" w:fill="77DFDD"/>
          </w:tcPr>
          <w:p>
            <w:pPr>
              <w:pStyle w:val="TableParagraph"/>
              <w:spacing w:before="27"/>
              <w:ind w:left="158"/>
              <w:jc w:val="left"/>
              <w:rPr>
                <w:sz w:val="13"/>
              </w:rPr>
            </w:pPr>
            <w:r>
              <w:rPr>
                <w:w w:val="105"/>
                <w:sz w:val="13"/>
              </w:rPr>
              <w:t>5.6</w:t>
            </w:r>
            <w:r>
              <w:rPr>
                <w:rFonts w:ascii="Calibri" w:hAnsi="Calibri"/>
                <w:w w:val="105"/>
                <w:sz w:val="13"/>
              </w:rPr>
              <w:t>±</w:t>
            </w:r>
            <w:r>
              <w:rPr>
                <w:w w:val="105"/>
                <w:sz w:val="13"/>
              </w:rPr>
              <w:t>6.8</w:t>
            </w:r>
          </w:p>
          <w:p>
            <w:pPr>
              <w:pStyle w:val="TableParagraph"/>
              <w:spacing w:before="30"/>
              <w:ind w:left="252"/>
              <w:jc w:val="left"/>
              <w:rPr>
                <w:sz w:val="13"/>
              </w:rPr>
            </w:pPr>
            <w:r>
              <w:rPr>
                <w:w w:val="105"/>
                <w:sz w:val="13"/>
              </w:rPr>
              <w:t>0.61</w:t>
            </w:r>
          </w:p>
          <w:p>
            <w:pPr>
              <w:pStyle w:val="TableParagraph"/>
              <w:spacing w:before="35"/>
              <w:ind w:left="158"/>
              <w:jc w:val="left"/>
              <w:rPr>
                <w:sz w:val="13"/>
              </w:rPr>
            </w:pPr>
            <w:r>
              <w:rPr>
                <w:w w:val="105"/>
                <w:sz w:val="13"/>
              </w:rPr>
              <w:t>4.7</w:t>
            </w:r>
            <w:r>
              <w:rPr>
                <w:rFonts w:ascii="Calibri" w:hAnsi="Calibri"/>
                <w:w w:val="105"/>
                <w:sz w:val="13"/>
              </w:rPr>
              <w:t>±</w:t>
            </w:r>
            <w:r>
              <w:rPr>
                <w:w w:val="105"/>
                <w:sz w:val="13"/>
              </w:rPr>
              <w:t>5.7</w:t>
            </w:r>
          </w:p>
        </w:tc>
        <w:tc>
          <w:tcPr>
            <w:tcW w:w="775" w:type="dxa"/>
            <w:tcBorders>
              <w:left w:val="dotted" w:sz="4" w:space="0" w:color="30859C"/>
              <w:right w:val="dotted" w:sz="4" w:space="0" w:color="30859C"/>
            </w:tcBorders>
            <w:shd w:val="clear" w:color="auto" w:fill="77DFDD"/>
          </w:tcPr>
          <w:p>
            <w:pPr>
              <w:pStyle w:val="TableParagraph"/>
              <w:spacing w:before="27"/>
              <w:ind w:left="159"/>
              <w:jc w:val="left"/>
              <w:rPr>
                <w:sz w:val="13"/>
              </w:rPr>
            </w:pPr>
            <w:r>
              <w:rPr>
                <w:w w:val="105"/>
                <w:sz w:val="13"/>
              </w:rPr>
              <w:t>1.9</w:t>
            </w:r>
            <w:r>
              <w:rPr>
                <w:rFonts w:ascii="Calibri" w:hAnsi="Calibri"/>
                <w:w w:val="105"/>
                <w:sz w:val="13"/>
              </w:rPr>
              <w:t>±</w:t>
            </w:r>
            <w:r>
              <w:rPr>
                <w:w w:val="105"/>
                <w:sz w:val="13"/>
              </w:rPr>
              <w:t>2.4</w:t>
            </w:r>
          </w:p>
          <w:p>
            <w:pPr>
              <w:pStyle w:val="TableParagraph"/>
              <w:spacing w:before="30"/>
              <w:ind w:left="252"/>
              <w:jc w:val="left"/>
              <w:rPr>
                <w:sz w:val="13"/>
              </w:rPr>
            </w:pPr>
            <w:r>
              <w:rPr>
                <w:w w:val="105"/>
                <w:sz w:val="13"/>
              </w:rPr>
              <w:t>0.58</w:t>
            </w:r>
          </w:p>
          <w:p>
            <w:pPr>
              <w:pStyle w:val="TableParagraph"/>
              <w:spacing w:before="35"/>
              <w:ind w:left="159"/>
              <w:jc w:val="left"/>
              <w:rPr>
                <w:sz w:val="13"/>
              </w:rPr>
            </w:pPr>
            <w:r>
              <w:rPr>
                <w:w w:val="105"/>
                <w:sz w:val="13"/>
              </w:rPr>
              <w:t>2.4</w:t>
            </w:r>
            <w:r>
              <w:rPr>
                <w:rFonts w:ascii="Calibri" w:hAnsi="Calibri"/>
                <w:w w:val="105"/>
                <w:sz w:val="13"/>
              </w:rPr>
              <w:t>±</w:t>
            </w:r>
            <w:r>
              <w:rPr>
                <w:w w:val="105"/>
                <w:sz w:val="13"/>
              </w:rPr>
              <w:t>2.9</w:t>
            </w:r>
          </w:p>
        </w:tc>
        <w:tc>
          <w:tcPr>
            <w:tcW w:w="775" w:type="dxa"/>
            <w:tcBorders>
              <w:left w:val="dotted" w:sz="4" w:space="0" w:color="30859C"/>
              <w:right w:val="dotted" w:sz="4" w:space="0" w:color="30859C"/>
            </w:tcBorders>
            <w:shd w:val="clear" w:color="auto" w:fill="77DFDD"/>
          </w:tcPr>
          <w:p>
            <w:pPr>
              <w:pStyle w:val="TableParagraph"/>
              <w:spacing w:before="27"/>
              <w:ind w:left="24" w:right="20"/>
              <w:rPr>
                <w:sz w:val="13"/>
              </w:rPr>
            </w:pPr>
            <w:r>
              <w:rPr>
                <w:w w:val="105"/>
                <w:sz w:val="13"/>
              </w:rPr>
              <w:t>13.2</w:t>
            </w:r>
            <w:r>
              <w:rPr>
                <w:rFonts w:ascii="Calibri" w:hAnsi="Calibri"/>
                <w:w w:val="105"/>
                <w:sz w:val="13"/>
              </w:rPr>
              <w:t>±</w:t>
            </w:r>
            <w:r>
              <w:rPr>
                <w:w w:val="105"/>
                <w:sz w:val="13"/>
              </w:rPr>
              <w:t>12.9</w:t>
            </w:r>
          </w:p>
          <w:p>
            <w:pPr>
              <w:pStyle w:val="TableParagraph"/>
              <w:spacing w:before="30"/>
              <w:ind w:left="24" w:right="20"/>
              <w:rPr>
                <w:sz w:val="13"/>
              </w:rPr>
            </w:pPr>
            <w:r>
              <w:rPr>
                <w:w w:val="105"/>
                <w:sz w:val="13"/>
              </w:rPr>
              <w:t>0.71</w:t>
            </w:r>
          </w:p>
          <w:p>
            <w:pPr>
              <w:pStyle w:val="TableParagraph"/>
              <w:spacing w:before="35"/>
              <w:ind w:left="24" w:right="20"/>
              <w:rPr>
                <w:sz w:val="13"/>
              </w:rPr>
            </w:pPr>
            <w:r>
              <w:rPr>
                <w:w w:val="105"/>
                <w:sz w:val="13"/>
              </w:rPr>
              <w:t>11.7</w:t>
            </w:r>
            <w:r>
              <w:rPr>
                <w:rFonts w:ascii="Calibri" w:hAnsi="Calibri"/>
                <w:w w:val="105"/>
                <w:sz w:val="13"/>
              </w:rPr>
              <w:t>±</w:t>
            </w:r>
            <w:r>
              <w:rPr>
                <w:w w:val="105"/>
                <w:sz w:val="13"/>
              </w:rPr>
              <w:t>11.0</w:t>
            </w:r>
          </w:p>
        </w:tc>
        <w:tc>
          <w:tcPr>
            <w:tcW w:w="770" w:type="dxa"/>
            <w:tcBorders>
              <w:left w:val="dotted" w:sz="4" w:space="0" w:color="30859C"/>
            </w:tcBorders>
            <w:shd w:val="clear" w:color="auto" w:fill="77DFDD"/>
          </w:tcPr>
          <w:p>
            <w:pPr>
              <w:pStyle w:val="TableParagraph"/>
              <w:spacing w:before="27"/>
              <w:ind w:left="25" w:right="20"/>
              <w:rPr>
                <w:sz w:val="13"/>
              </w:rPr>
            </w:pPr>
            <w:r>
              <w:rPr>
                <w:w w:val="105"/>
                <w:sz w:val="13"/>
              </w:rPr>
              <w:t>50.6</w:t>
            </w:r>
            <w:r>
              <w:rPr>
                <w:rFonts w:ascii="Calibri" w:hAnsi="Calibri"/>
                <w:w w:val="105"/>
                <w:sz w:val="13"/>
              </w:rPr>
              <w:t>±</w:t>
            </w:r>
            <w:r>
              <w:rPr>
                <w:w w:val="105"/>
                <w:sz w:val="13"/>
              </w:rPr>
              <w:t>20.3</w:t>
            </w:r>
          </w:p>
          <w:p>
            <w:pPr>
              <w:pStyle w:val="TableParagraph"/>
              <w:spacing w:before="30"/>
              <w:ind w:left="25" w:right="20"/>
              <w:rPr>
                <w:sz w:val="13"/>
              </w:rPr>
            </w:pPr>
            <w:r>
              <w:rPr>
                <w:w w:val="105"/>
                <w:sz w:val="13"/>
              </w:rPr>
              <w:t>0.12</w:t>
            </w:r>
          </w:p>
          <w:p>
            <w:pPr>
              <w:pStyle w:val="TableParagraph"/>
              <w:spacing w:before="35"/>
              <w:ind w:left="25" w:right="20"/>
              <w:rPr>
                <w:sz w:val="13"/>
              </w:rPr>
            </w:pPr>
            <w:r>
              <w:rPr>
                <w:w w:val="105"/>
                <w:sz w:val="13"/>
              </w:rPr>
              <w:t>44.7</w:t>
            </w:r>
            <w:r>
              <w:rPr>
                <w:rFonts w:ascii="Calibri" w:hAnsi="Calibri"/>
                <w:w w:val="105"/>
                <w:sz w:val="13"/>
              </w:rPr>
              <w:t>±</w:t>
            </w:r>
            <w:r>
              <w:rPr>
                <w:w w:val="105"/>
                <w:sz w:val="13"/>
              </w:rPr>
              <w:t>21.6</w:t>
            </w:r>
          </w:p>
        </w:tc>
      </w:tr>
      <w:tr>
        <w:trPr>
          <w:trHeight w:val="567" w:hRule="exact"/>
        </w:trPr>
        <w:tc>
          <w:tcPr>
            <w:tcW w:w="300" w:type="dxa"/>
            <w:vMerge/>
            <w:shd w:val="clear" w:color="auto" w:fill="B4EDEC"/>
            <w:textDirection w:val="btLr"/>
          </w:tcPr>
          <w:p>
            <w:pPr/>
          </w:p>
        </w:tc>
        <w:tc>
          <w:tcPr>
            <w:tcW w:w="775" w:type="dxa"/>
            <w:shd w:val="clear" w:color="auto" w:fill="B4EDEC"/>
          </w:tcPr>
          <w:p>
            <w:pPr>
              <w:pStyle w:val="TableParagraph"/>
              <w:spacing w:before="0"/>
              <w:jc w:val="left"/>
              <w:rPr>
                <w:b/>
                <w:sz w:val="12"/>
              </w:rPr>
            </w:pPr>
          </w:p>
          <w:p>
            <w:pPr>
              <w:pStyle w:val="TableParagraph"/>
              <w:spacing w:before="75"/>
              <w:ind w:left="17"/>
              <w:jc w:val="left"/>
              <w:rPr>
                <w:b/>
                <w:sz w:val="13"/>
              </w:rPr>
            </w:pPr>
            <w:r>
              <w:rPr>
                <w:b/>
                <w:w w:val="105"/>
                <w:sz w:val="13"/>
              </w:rPr>
              <w:t>Vitaminas</w:t>
            </w:r>
          </w:p>
        </w:tc>
        <w:tc>
          <w:tcPr>
            <w:tcW w:w="475" w:type="dxa"/>
            <w:shd w:val="clear" w:color="auto" w:fill="B4EDEC"/>
          </w:tcPr>
          <w:p>
            <w:pPr>
              <w:pStyle w:val="TableParagraph"/>
              <w:spacing w:before="31"/>
              <w:ind w:left="18"/>
              <w:jc w:val="left"/>
              <w:rPr>
                <w:sz w:val="13"/>
              </w:rPr>
            </w:pPr>
            <w:r>
              <w:rPr>
                <w:w w:val="105"/>
                <w:sz w:val="13"/>
              </w:rPr>
              <w:t>Si</w:t>
            </w:r>
          </w:p>
          <w:p>
            <w:pPr>
              <w:pStyle w:val="TableParagraph"/>
              <w:spacing w:before="0"/>
              <w:jc w:val="left"/>
              <w:rPr>
                <w:b/>
                <w:sz w:val="12"/>
              </w:rPr>
            </w:pPr>
          </w:p>
          <w:p>
            <w:pPr>
              <w:pStyle w:val="TableParagraph"/>
              <w:spacing w:before="85"/>
              <w:ind w:left="18"/>
              <w:jc w:val="left"/>
              <w:rPr>
                <w:sz w:val="13"/>
              </w:rPr>
            </w:pPr>
            <w:r>
              <w:rPr>
                <w:w w:val="105"/>
                <w:sz w:val="13"/>
              </w:rPr>
              <w:t>No</w:t>
            </w:r>
          </w:p>
        </w:tc>
        <w:tc>
          <w:tcPr>
            <w:tcW w:w="388" w:type="dxa"/>
            <w:tcBorders>
              <w:right w:val="dotted" w:sz="4" w:space="0" w:color="30859C"/>
            </w:tcBorders>
            <w:shd w:val="clear" w:color="auto" w:fill="B4EDEC"/>
          </w:tcPr>
          <w:p>
            <w:pPr>
              <w:pStyle w:val="TableParagraph"/>
              <w:spacing w:before="0"/>
              <w:jc w:val="left"/>
              <w:rPr>
                <w:b/>
                <w:sz w:val="12"/>
              </w:rPr>
            </w:pPr>
          </w:p>
          <w:p>
            <w:pPr>
              <w:pStyle w:val="TableParagraph"/>
              <w:spacing w:before="79"/>
              <w:ind w:right="10"/>
              <w:jc w:val="right"/>
              <w:rPr>
                <w:b/>
                <w:sz w:val="13"/>
              </w:rPr>
            </w:pPr>
            <w:r>
              <w:rPr>
                <w:b/>
                <w:w w:val="103"/>
                <w:sz w:val="13"/>
              </w:rPr>
              <w:t>p</w:t>
            </w:r>
          </w:p>
        </w:tc>
        <w:tc>
          <w:tcPr>
            <w:tcW w:w="775" w:type="dxa"/>
            <w:tcBorders>
              <w:left w:val="dotted" w:sz="4" w:space="0" w:color="30859C"/>
              <w:right w:val="dotted" w:sz="4" w:space="0" w:color="30859C"/>
            </w:tcBorders>
            <w:shd w:val="clear" w:color="auto" w:fill="B4EDEC"/>
          </w:tcPr>
          <w:p>
            <w:pPr>
              <w:pStyle w:val="TableParagraph"/>
              <w:spacing w:before="29"/>
              <w:ind w:left="149"/>
              <w:jc w:val="left"/>
              <w:rPr>
                <w:sz w:val="13"/>
              </w:rPr>
            </w:pPr>
            <w:r>
              <w:rPr>
                <w:w w:val="105"/>
                <w:sz w:val="13"/>
              </w:rPr>
              <w:t>0.6</w:t>
            </w:r>
            <w:r>
              <w:rPr>
                <w:rFonts w:ascii="Calibri" w:hAnsi="Calibri"/>
                <w:w w:val="105"/>
                <w:sz w:val="13"/>
              </w:rPr>
              <w:t>±</w:t>
            </w:r>
            <w:r>
              <w:rPr>
                <w:w w:val="105"/>
                <w:sz w:val="13"/>
              </w:rPr>
              <w:t>0.5</w:t>
            </w:r>
          </w:p>
          <w:p>
            <w:pPr>
              <w:pStyle w:val="TableParagraph"/>
              <w:spacing w:before="29"/>
              <w:ind w:left="242"/>
              <w:jc w:val="left"/>
              <w:rPr>
                <w:sz w:val="13"/>
              </w:rPr>
            </w:pPr>
            <w:r>
              <w:rPr>
                <w:w w:val="105"/>
                <w:sz w:val="13"/>
              </w:rPr>
              <w:t>0.37</w:t>
            </w:r>
          </w:p>
          <w:p>
            <w:pPr>
              <w:pStyle w:val="TableParagraph"/>
              <w:spacing w:before="35"/>
              <w:ind w:left="149"/>
              <w:jc w:val="left"/>
              <w:rPr>
                <w:sz w:val="13"/>
              </w:rPr>
            </w:pPr>
            <w:r>
              <w:rPr>
                <w:w w:val="105"/>
                <w:sz w:val="13"/>
              </w:rPr>
              <w:t>0.4</w:t>
            </w:r>
            <w:r>
              <w:rPr>
                <w:rFonts w:ascii="Calibri" w:hAnsi="Calibri"/>
                <w:w w:val="105"/>
                <w:sz w:val="13"/>
              </w:rPr>
              <w:t>±</w:t>
            </w:r>
            <w:r>
              <w:rPr>
                <w:w w:val="105"/>
                <w:sz w:val="13"/>
              </w:rPr>
              <w:t>0.7</w:t>
            </w:r>
          </w:p>
        </w:tc>
        <w:tc>
          <w:tcPr>
            <w:tcW w:w="848" w:type="dxa"/>
            <w:tcBorders>
              <w:left w:val="dotted" w:sz="4" w:space="0" w:color="30859C"/>
              <w:right w:val="dotted" w:sz="4" w:space="0" w:color="30859C"/>
            </w:tcBorders>
            <w:shd w:val="clear" w:color="auto" w:fill="B4EDEC"/>
          </w:tcPr>
          <w:p>
            <w:pPr>
              <w:pStyle w:val="TableParagraph"/>
              <w:spacing w:before="29"/>
              <w:ind w:left="138" w:right="142"/>
              <w:rPr>
                <w:sz w:val="13"/>
              </w:rPr>
            </w:pPr>
            <w:r>
              <w:rPr>
                <w:w w:val="105"/>
                <w:sz w:val="13"/>
              </w:rPr>
              <w:t>0.8</w:t>
            </w:r>
            <w:r>
              <w:rPr>
                <w:rFonts w:ascii="Calibri" w:hAnsi="Calibri"/>
                <w:w w:val="105"/>
                <w:sz w:val="13"/>
              </w:rPr>
              <w:t>±</w:t>
            </w:r>
            <w:r>
              <w:rPr>
                <w:w w:val="105"/>
                <w:sz w:val="13"/>
              </w:rPr>
              <w:t>0.8</w:t>
            </w:r>
          </w:p>
          <w:p>
            <w:pPr>
              <w:pStyle w:val="TableParagraph"/>
              <w:spacing w:before="29"/>
              <w:ind w:left="138" w:right="142"/>
              <w:rPr>
                <w:sz w:val="13"/>
              </w:rPr>
            </w:pPr>
            <w:r>
              <w:rPr>
                <w:w w:val="105"/>
                <w:sz w:val="13"/>
              </w:rPr>
              <w:t>0.24</w:t>
            </w:r>
          </w:p>
          <w:p>
            <w:pPr>
              <w:pStyle w:val="TableParagraph"/>
              <w:spacing w:before="35"/>
              <w:ind w:left="138" w:right="142"/>
              <w:rPr>
                <w:sz w:val="13"/>
              </w:rPr>
            </w:pPr>
            <w:r>
              <w:rPr>
                <w:w w:val="105"/>
                <w:sz w:val="13"/>
              </w:rPr>
              <w:t>1.8</w:t>
            </w:r>
            <w:r>
              <w:rPr>
                <w:rFonts w:ascii="Calibri" w:hAnsi="Calibri"/>
                <w:w w:val="105"/>
                <w:sz w:val="13"/>
              </w:rPr>
              <w:t>±</w:t>
            </w:r>
            <w:r>
              <w:rPr>
                <w:w w:val="105"/>
                <w:sz w:val="13"/>
              </w:rPr>
              <w:t>1.8</w:t>
            </w:r>
          </w:p>
        </w:tc>
        <w:tc>
          <w:tcPr>
            <w:tcW w:w="775" w:type="dxa"/>
            <w:tcBorders>
              <w:left w:val="dotted" w:sz="4" w:space="0" w:color="30859C"/>
              <w:right w:val="dotted" w:sz="4" w:space="0" w:color="30859C"/>
            </w:tcBorders>
            <w:shd w:val="clear" w:color="auto" w:fill="B4EDEC"/>
          </w:tcPr>
          <w:p>
            <w:pPr>
              <w:pStyle w:val="TableParagraph"/>
              <w:spacing w:before="29"/>
              <w:ind w:left="26" w:right="20"/>
              <w:rPr>
                <w:sz w:val="13"/>
              </w:rPr>
            </w:pPr>
            <w:r>
              <w:rPr>
                <w:w w:val="105"/>
                <w:sz w:val="13"/>
              </w:rPr>
              <w:t>11.6</w:t>
            </w:r>
            <w:r>
              <w:rPr>
                <w:rFonts w:ascii="Calibri" w:hAnsi="Calibri"/>
                <w:w w:val="105"/>
                <w:sz w:val="13"/>
              </w:rPr>
              <w:t>±</w:t>
            </w:r>
            <w:r>
              <w:rPr>
                <w:w w:val="105"/>
                <w:sz w:val="13"/>
              </w:rPr>
              <w:t>7.5</w:t>
            </w:r>
          </w:p>
          <w:p>
            <w:pPr>
              <w:pStyle w:val="TableParagraph"/>
              <w:spacing w:before="29"/>
              <w:ind w:left="18" w:right="20"/>
              <w:rPr>
                <w:sz w:val="13"/>
              </w:rPr>
            </w:pPr>
            <w:r>
              <w:rPr>
                <w:w w:val="105"/>
                <w:sz w:val="13"/>
              </w:rPr>
              <w:t>0.26</w:t>
            </w:r>
          </w:p>
          <w:p>
            <w:pPr>
              <w:pStyle w:val="TableParagraph"/>
              <w:spacing w:before="35"/>
              <w:ind w:left="26" w:right="20"/>
              <w:rPr>
                <w:sz w:val="13"/>
              </w:rPr>
            </w:pPr>
            <w:r>
              <w:rPr>
                <w:w w:val="105"/>
                <w:sz w:val="13"/>
              </w:rPr>
              <w:t>17.0</w:t>
            </w:r>
            <w:r>
              <w:rPr>
                <w:rFonts w:ascii="Calibri" w:hAnsi="Calibri"/>
                <w:w w:val="105"/>
                <w:sz w:val="13"/>
              </w:rPr>
              <w:t>±</w:t>
            </w:r>
            <w:r>
              <w:rPr>
                <w:w w:val="105"/>
                <w:sz w:val="13"/>
              </w:rPr>
              <w:t>9.4</w:t>
            </w:r>
          </w:p>
        </w:tc>
        <w:tc>
          <w:tcPr>
            <w:tcW w:w="775" w:type="dxa"/>
            <w:tcBorders>
              <w:left w:val="dotted" w:sz="4" w:space="0" w:color="30859C"/>
              <w:right w:val="dotted" w:sz="4" w:space="0" w:color="30859C"/>
            </w:tcBorders>
            <w:shd w:val="clear" w:color="auto" w:fill="B4EDEC"/>
          </w:tcPr>
          <w:p>
            <w:pPr>
              <w:pStyle w:val="TableParagraph"/>
              <w:spacing w:before="29"/>
              <w:ind w:left="28" w:right="20"/>
              <w:rPr>
                <w:sz w:val="13"/>
              </w:rPr>
            </w:pPr>
            <w:r>
              <w:rPr>
                <w:w w:val="105"/>
                <w:sz w:val="13"/>
              </w:rPr>
              <w:t>10.2</w:t>
            </w:r>
            <w:r>
              <w:rPr>
                <w:rFonts w:ascii="Calibri" w:hAnsi="Calibri"/>
                <w:w w:val="105"/>
                <w:sz w:val="13"/>
              </w:rPr>
              <w:t>±</w:t>
            </w:r>
            <w:r>
              <w:rPr>
                <w:w w:val="105"/>
                <w:sz w:val="13"/>
              </w:rPr>
              <w:t>2.6</w:t>
            </w:r>
          </w:p>
          <w:p>
            <w:pPr>
              <w:pStyle w:val="TableParagraph"/>
              <w:spacing w:before="29"/>
              <w:ind w:left="20" w:right="20"/>
              <w:rPr>
                <w:sz w:val="13"/>
              </w:rPr>
            </w:pPr>
            <w:r>
              <w:rPr>
                <w:w w:val="105"/>
                <w:sz w:val="13"/>
              </w:rPr>
              <w:t>0.32</w:t>
            </w:r>
          </w:p>
          <w:p>
            <w:pPr>
              <w:pStyle w:val="TableParagraph"/>
              <w:spacing w:before="35"/>
              <w:ind w:left="158"/>
              <w:jc w:val="left"/>
              <w:rPr>
                <w:sz w:val="13"/>
              </w:rPr>
            </w:pPr>
            <w:r>
              <w:rPr>
                <w:w w:val="105"/>
                <w:sz w:val="13"/>
              </w:rPr>
              <w:t>9.1</w:t>
            </w:r>
            <w:r>
              <w:rPr>
                <w:rFonts w:ascii="Calibri" w:hAnsi="Calibri"/>
                <w:w w:val="105"/>
                <w:sz w:val="13"/>
              </w:rPr>
              <w:t>±</w:t>
            </w:r>
            <w:r>
              <w:rPr>
                <w:w w:val="105"/>
                <w:sz w:val="13"/>
              </w:rPr>
              <w:t>6.4</w:t>
            </w:r>
          </w:p>
        </w:tc>
        <w:tc>
          <w:tcPr>
            <w:tcW w:w="775" w:type="dxa"/>
            <w:tcBorders>
              <w:left w:val="dotted" w:sz="4" w:space="0" w:color="30859C"/>
              <w:right w:val="dotted" w:sz="4" w:space="0" w:color="30859C"/>
            </w:tcBorders>
            <w:shd w:val="clear" w:color="auto" w:fill="B4EDEC"/>
          </w:tcPr>
          <w:p>
            <w:pPr>
              <w:pStyle w:val="TableParagraph"/>
              <w:spacing w:before="29"/>
              <w:ind w:left="158"/>
              <w:jc w:val="left"/>
              <w:rPr>
                <w:sz w:val="13"/>
              </w:rPr>
            </w:pPr>
            <w:r>
              <w:rPr>
                <w:w w:val="105"/>
                <w:sz w:val="13"/>
              </w:rPr>
              <w:t>1.8</w:t>
            </w:r>
            <w:r>
              <w:rPr>
                <w:rFonts w:ascii="Calibri" w:hAnsi="Calibri"/>
                <w:w w:val="105"/>
                <w:sz w:val="13"/>
              </w:rPr>
              <w:t>±</w:t>
            </w:r>
            <w:r>
              <w:rPr>
                <w:w w:val="105"/>
                <w:sz w:val="13"/>
              </w:rPr>
              <w:t>2.3</w:t>
            </w:r>
          </w:p>
          <w:p>
            <w:pPr>
              <w:pStyle w:val="TableParagraph"/>
              <w:spacing w:before="29"/>
              <w:ind w:left="252"/>
              <w:jc w:val="left"/>
              <w:rPr>
                <w:sz w:val="13"/>
              </w:rPr>
            </w:pPr>
            <w:r>
              <w:rPr>
                <w:w w:val="105"/>
                <w:sz w:val="13"/>
              </w:rPr>
              <w:t>0.17</w:t>
            </w:r>
          </w:p>
          <w:p>
            <w:pPr>
              <w:pStyle w:val="TableParagraph"/>
              <w:spacing w:before="35"/>
              <w:ind w:left="158"/>
              <w:jc w:val="left"/>
              <w:rPr>
                <w:sz w:val="13"/>
              </w:rPr>
            </w:pPr>
            <w:r>
              <w:rPr>
                <w:w w:val="105"/>
                <w:sz w:val="13"/>
              </w:rPr>
              <w:t>5.5</w:t>
            </w:r>
            <w:r>
              <w:rPr>
                <w:rFonts w:ascii="Calibri" w:hAnsi="Calibri"/>
                <w:w w:val="105"/>
                <w:sz w:val="13"/>
              </w:rPr>
              <w:t>±</w:t>
            </w:r>
            <w:r>
              <w:rPr>
                <w:w w:val="105"/>
                <w:sz w:val="13"/>
              </w:rPr>
              <w:t>6.4</w:t>
            </w:r>
          </w:p>
        </w:tc>
        <w:tc>
          <w:tcPr>
            <w:tcW w:w="775" w:type="dxa"/>
            <w:tcBorders>
              <w:left w:val="dotted" w:sz="4" w:space="0" w:color="30859C"/>
              <w:right w:val="dotted" w:sz="4" w:space="0" w:color="30859C"/>
            </w:tcBorders>
            <w:shd w:val="clear" w:color="auto" w:fill="B4EDEC"/>
          </w:tcPr>
          <w:p>
            <w:pPr>
              <w:pStyle w:val="TableParagraph"/>
              <w:spacing w:before="29"/>
              <w:ind w:left="159"/>
              <w:jc w:val="left"/>
              <w:rPr>
                <w:sz w:val="13"/>
              </w:rPr>
            </w:pPr>
            <w:r>
              <w:rPr>
                <w:w w:val="105"/>
                <w:sz w:val="13"/>
              </w:rPr>
              <w:t>1.6</w:t>
            </w:r>
            <w:r>
              <w:rPr>
                <w:rFonts w:ascii="Calibri" w:hAnsi="Calibri"/>
                <w:w w:val="105"/>
                <w:sz w:val="13"/>
              </w:rPr>
              <w:t>±</w:t>
            </w:r>
            <w:r>
              <w:rPr>
                <w:w w:val="105"/>
                <w:sz w:val="13"/>
              </w:rPr>
              <w:t>1.1</w:t>
            </w:r>
          </w:p>
          <w:p>
            <w:pPr>
              <w:pStyle w:val="TableParagraph"/>
              <w:spacing w:before="29"/>
              <w:ind w:left="252"/>
              <w:jc w:val="left"/>
              <w:rPr>
                <w:sz w:val="13"/>
              </w:rPr>
            </w:pPr>
            <w:r>
              <w:rPr>
                <w:w w:val="105"/>
                <w:sz w:val="13"/>
              </w:rPr>
              <w:t>0.96</w:t>
            </w:r>
          </w:p>
          <w:p>
            <w:pPr>
              <w:pStyle w:val="TableParagraph"/>
              <w:spacing w:before="35"/>
              <w:ind w:left="159"/>
              <w:jc w:val="left"/>
              <w:rPr>
                <w:sz w:val="13"/>
              </w:rPr>
            </w:pPr>
            <w:r>
              <w:rPr>
                <w:w w:val="105"/>
                <w:sz w:val="13"/>
              </w:rPr>
              <w:t>2.2</w:t>
            </w:r>
            <w:r>
              <w:rPr>
                <w:rFonts w:ascii="Calibri" w:hAnsi="Calibri"/>
                <w:w w:val="105"/>
                <w:sz w:val="13"/>
              </w:rPr>
              <w:t>±</w:t>
            </w:r>
            <w:r>
              <w:rPr>
                <w:w w:val="105"/>
                <w:sz w:val="13"/>
              </w:rPr>
              <w:t>2.7</w:t>
            </w:r>
          </w:p>
        </w:tc>
        <w:tc>
          <w:tcPr>
            <w:tcW w:w="775" w:type="dxa"/>
            <w:tcBorders>
              <w:left w:val="dotted" w:sz="4" w:space="0" w:color="30859C"/>
              <w:right w:val="dotted" w:sz="4" w:space="0" w:color="30859C"/>
            </w:tcBorders>
            <w:shd w:val="clear" w:color="auto" w:fill="B4EDEC"/>
          </w:tcPr>
          <w:p>
            <w:pPr>
              <w:pStyle w:val="TableParagraph"/>
              <w:spacing w:before="29"/>
              <w:ind w:left="24" w:right="20"/>
              <w:rPr>
                <w:sz w:val="13"/>
              </w:rPr>
            </w:pPr>
            <w:r>
              <w:rPr>
                <w:w w:val="105"/>
                <w:sz w:val="13"/>
              </w:rPr>
              <w:t>17.6</w:t>
            </w:r>
            <w:r>
              <w:rPr>
                <w:rFonts w:ascii="Calibri" w:hAnsi="Calibri"/>
                <w:w w:val="105"/>
                <w:sz w:val="13"/>
              </w:rPr>
              <w:t>±</w:t>
            </w:r>
            <w:r>
              <w:rPr>
                <w:w w:val="105"/>
                <w:sz w:val="13"/>
              </w:rPr>
              <w:t>15.7</w:t>
            </w:r>
          </w:p>
          <w:p>
            <w:pPr>
              <w:pStyle w:val="TableParagraph"/>
              <w:spacing w:before="29"/>
              <w:ind w:left="24" w:right="20"/>
              <w:rPr>
                <w:sz w:val="13"/>
              </w:rPr>
            </w:pPr>
            <w:r>
              <w:rPr>
                <w:w w:val="105"/>
                <w:sz w:val="13"/>
              </w:rPr>
              <w:t>0.59</w:t>
            </w:r>
          </w:p>
          <w:p>
            <w:pPr>
              <w:pStyle w:val="TableParagraph"/>
              <w:spacing w:before="35"/>
              <w:ind w:left="24" w:right="20"/>
              <w:rPr>
                <w:sz w:val="13"/>
              </w:rPr>
            </w:pPr>
            <w:r>
              <w:rPr>
                <w:w w:val="105"/>
                <w:sz w:val="13"/>
              </w:rPr>
              <w:t>12.0</w:t>
            </w:r>
            <w:r>
              <w:rPr>
                <w:rFonts w:ascii="Calibri" w:hAnsi="Calibri"/>
                <w:w w:val="105"/>
                <w:sz w:val="13"/>
              </w:rPr>
              <w:t>±</w:t>
            </w:r>
            <w:r>
              <w:rPr>
                <w:w w:val="105"/>
                <w:sz w:val="13"/>
              </w:rPr>
              <w:t>11.6</w:t>
            </w:r>
          </w:p>
        </w:tc>
        <w:tc>
          <w:tcPr>
            <w:tcW w:w="770" w:type="dxa"/>
            <w:tcBorders>
              <w:left w:val="dotted" w:sz="4" w:space="0" w:color="30859C"/>
            </w:tcBorders>
            <w:shd w:val="clear" w:color="auto" w:fill="B4EDEC"/>
          </w:tcPr>
          <w:p>
            <w:pPr>
              <w:pStyle w:val="TableParagraph"/>
              <w:spacing w:before="29"/>
              <w:ind w:left="25" w:right="20"/>
              <w:rPr>
                <w:sz w:val="13"/>
              </w:rPr>
            </w:pPr>
            <w:r>
              <w:rPr>
                <w:w w:val="105"/>
                <w:sz w:val="13"/>
              </w:rPr>
              <w:t>43.6</w:t>
            </w:r>
            <w:r>
              <w:rPr>
                <w:rFonts w:ascii="Calibri" w:hAnsi="Calibri"/>
                <w:w w:val="105"/>
                <w:sz w:val="13"/>
              </w:rPr>
              <w:t>±</w:t>
            </w:r>
            <w:r>
              <w:rPr>
                <w:w w:val="105"/>
                <w:sz w:val="13"/>
              </w:rPr>
              <w:t>22.5</w:t>
            </w:r>
          </w:p>
          <w:p>
            <w:pPr>
              <w:pStyle w:val="TableParagraph"/>
              <w:spacing w:before="29"/>
              <w:ind w:left="25" w:right="20"/>
              <w:rPr>
                <w:sz w:val="13"/>
              </w:rPr>
            </w:pPr>
            <w:r>
              <w:rPr>
                <w:w w:val="105"/>
                <w:sz w:val="13"/>
              </w:rPr>
              <w:t>0.63</w:t>
            </w:r>
          </w:p>
          <w:p>
            <w:pPr>
              <w:pStyle w:val="TableParagraph"/>
              <w:spacing w:before="35"/>
              <w:ind w:left="25" w:right="20"/>
              <w:rPr>
                <w:sz w:val="13"/>
              </w:rPr>
            </w:pPr>
            <w:r>
              <w:rPr>
                <w:w w:val="105"/>
                <w:sz w:val="13"/>
              </w:rPr>
              <w:t>47.9</w:t>
            </w:r>
            <w:r>
              <w:rPr>
                <w:rFonts w:ascii="Calibri" w:hAnsi="Calibri"/>
                <w:w w:val="105"/>
                <w:sz w:val="13"/>
              </w:rPr>
              <w:t>±</w:t>
            </w:r>
            <w:r>
              <w:rPr>
                <w:w w:val="105"/>
                <w:sz w:val="13"/>
              </w:rPr>
              <w:t>21.0</w:t>
            </w:r>
          </w:p>
        </w:tc>
      </w:tr>
      <w:tr>
        <w:trPr>
          <w:trHeight w:val="557" w:hRule="exact"/>
        </w:trPr>
        <w:tc>
          <w:tcPr>
            <w:tcW w:w="1075" w:type="dxa"/>
            <w:gridSpan w:val="2"/>
            <w:shd w:val="clear" w:color="auto" w:fill="77DFDD"/>
          </w:tcPr>
          <w:p>
            <w:pPr>
              <w:pStyle w:val="TableParagraph"/>
              <w:spacing w:line="300" w:lineRule="auto" w:before="23"/>
              <w:ind w:left="113" w:right="117"/>
              <w:rPr>
                <w:b/>
                <w:sz w:val="13"/>
              </w:rPr>
            </w:pPr>
            <w:r>
              <w:rPr>
                <w:b/>
                <w:w w:val="105"/>
                <w:sz w:val="13"/>
              </w:rPr>
              <w:t>Lavado de frutas y verduras</w:t>
            </w:r>
          </w:p>
        </w:tc>
        <w:tc>
          <w:tcPr>
            <w:tcW w:w="863" w:type="dxa"/>
            <w:gridSpan w:val="2"/>
            <w:tcBorders>
              <w:right w:val="dotted" w:sz="4" w:space="0" w:color="30859C"/>
            </w:tcBorders>
            <w:shd w:val="clear" w:color="auto" w:fill="77DFDD"/>
          </w:tcPr>
          <w:p>
            <w:pPr>
              <w:pStyle w:val="TableParagraph"/>
              <w:spacing w:before="23"/>
              <w:ind w:right="37"/>
              <w:jc w:val="right"/>
              <w:rPr>
                <w:sz w:val="13"/>
              </w:rPr>
            </w:pPr>
            <w:r>
              <w:rPr>
                <w:w w:val="105"/>
                <w:sz w:val="13"/>
              </w:rPr>
              <w:t>Agua y jabón</w:t>
            </w:r>
          </w:p>
          <w:p>
            <w:pPr>
              <w:pStyle w:val="TableParagraph"/>
              <w:spacing w:before="37"/>
              <w:ind w:right="10"/>
              <w:jc w:val="right"/>
              <w:rPr>
                <w:b/>
                <w:sz w:val="13"/>
              </w:rPr>
            </w:pPr>
            <w:r>
              <w:rPr>
                <w:b/>
                <w:w w:val="103"/>
                <w:sz w:val="13"/>
              </w:rPr>
              <w:t>p</w:t>
            </w:r>
          </w:p>
          <w:p>
            <w:pPr>
              <w:pStyle w:val="TableParagraph"/>
              <w:spacing w:before="37"/>
              <w:ind w:left="18"/>
              <w:jc w:val="left"/>
              <w:rPr>
                <w:sz w:val="13"/>
              </w:rPr>
            </w:pPr>
            <w:r>
              <w:rPr>
                <w:w w:val="105"/>
                <w:sz w:val="13"/>
              </w:rPr>
              <w:t>Agua</w:t>
            </w:r>
          </w:p>
        </w:tc>
        <w:tc>
          <w:tcPr>
            <w:tcW w:w="775" w:type="dxa"/>
            <w:tcBorders>
              <w:left w:val="dotted" w:sz="4" w:space="0" w:color="30859C"/>
              <w:right w:val="dotted" w:sz="4" w:space="0" w:color="30859C"/>
            </w:tcBorders>
            <w:shd w:val="clear" w:color="auto" w:fill="77DFDD"/>
          </w:tcPr>
          <w:p>
            <w:pPr>
              <w:pStyle w:val="TableParagraph"/>
              <w:spacing w:before="22"/>
              <w:ind w:left="149"/>
              <w:jc w:val="left"/>
              <w:rPr>
                <w:sz w:val="13"/>
              </w:rPr>
            </w:pPr>
            <w:r>
              <w:rPr>
                <w:w w:val="105"/>
                <w:sz w:val="13"/>
              </w:rPr>
              <w:t>0.5</w:t>
            </w:r>
            <w:r>
              <w:rPr>
                <w:rFonts w:ascii="Calibri" w:hAnsi="Calibri"/>
                <w:w w:val="105"/>
                <w:sz w:val="13"/>
              </w:rPr>
              <w:t>±</w:t>
            </w:r>
            <w:r>
              <w:rPr>
                <w:w w:val="105"/>
                <w:sz w:val="13"/>
              </w:rPr>
              <w:t>0.7</w:t>
            </w:r>
          </w:p>
          <w:p>
            <w:pPr>
              <w:pStyle w:val="TableParagraph"/>
              <w:spacing w:before="29"/>
              <w:ind w:left="242"/>
              <w:jc w:val="left"/>
              <w:rPr>
                <w:sz w:val="13"/>
              </w:rPr>
            </w:pPr>
            <w:r>
              <w:rPr>
                <w:w w:val="105"/>
                <w:sz w:val="13"/>
              </w:rPr>
              <w:t>0.74</w:t>
            </w:r>
          </w:p>
          <w:p>
            <w:pPr>
              <w:pStyle w:val="TableParagraph"/>
              <w:spacing w:before="35"/>
              <w:ind w:left="149"/>
              <w:jc w:val="left"/>
              <w:rPr>
                <w:sz w:val="13"/>
              </w:rPr>
            </w:pPr>
            <w:r>
              <w:rPr>
                <w:w w:val="105"/>
                <w:sz w:val="13"/>
              </w:rPr>
              <w:t>0.4</w:t>
            </w:r>
            <w:r>
              <w:rPr>
                <w:rFonts w:ascii="Calibri" w:hAnsi="Calibri"/>
                <w:w w:val="105"/>
                <w:sz w:val="13"/>
              </w:rPr>
              <w:t>±</w:t>
            </w:r>
            <w:r>
              <w:rPr>
                <w:w w:val="105"/>
                <w:sz w:val="13"/>
              </w:rPr>
              <w:t>0.6</w:t>
            </w:r>
          </w:p>
        </w:tc>
        <w:tc>
          <w:tcPr>
            <w:tcW w:w="848" w:type="dxa"/>
            <w:tcBorders>
              <w:left w:val="dotted" w:sz="4" w:space="0" w:color="30859C"/>
              <w:right w:val="dotted" w:sz="4" w:space="0" w:color="30859C"/>
            </w:tcBorders>
            <w:shd w:val="clear" w:color="auto" w:fill="77DFDD"/>
          </w:tcPr>
          <w:p>
            <w:pPr>
              <w:pStyle w:val="TableParagraph"/>
              <w:spacing w:before="22"/>
              <w:ind w:left="138" w:right="142"/>
              <w:rPr>
                <w:sz w:val="13"/>
              </w:rPr>
            </w:pPr>
            <w:r>
              <w:rPr>
                <w:w w:val="105"/>
                <w:sz w:val="13"/>
              </w:rPr>
              <w:t>1.8</w:t>
            </w:r>
            <w:r>
              <w:rPr>
                <w:rFonts w:ascii="Calibri" w:hAnsi="Calibri"/>
                <w:w w:val="105"/>
                <w:sz w:val="13"/>
              </w:rPr>
              <w:t>±</w:t>
            </w:r>
            <w:r>
              <w:rPr>
                <w:w w:val="105"/>
                <w:sz w:val="13"/>
              </w:rPr>
              <w:t>1.8</w:t>
            </w:r>
          </w:p>
          <w:p>
            <w:pPr>
              <w:pStyle w:val="TableParagraph"/>
              <w:spacing w:before="29"/>
              <w:ind w:left="138" w:right="142"/>
              <w:rPr>
                <w:sz w:val="13"/>
              </w:rPr>
            </w:pPr>
            <w:r>
              <w:rPr>
                <w:w w:val="105"/>
                <w:sz w:val="13"/>
              </w:rPr>
              <w:t>0.42</w:t>
            </w:r>
          </w:p>
          <w:p>
            <w:pPr>
              <w:pStyle w:val="TableParagraph"/>
              <w:spacing w:before="35"/>
              <w:ind w:left="138" w:right="142"/>
              <w:rPr>
                <w:sz w:val="13"/>
              </w:rPr>
            </w:pPr>
            <w:r>
              <w:rPr>
                <w:w w:val="105"/>
                <w:sz w:val="13"/>
              </w:rPr>
              <w:t>1.4</w:t>
            </w:r>
            <w:r>
              <w:rPr>
                <w:rFonts w:ascii="Calibri" w:hAnsi="Calibri"/>
                <w:w w:val="105"/>
                <w:sz w:val="13"/>
              </w:rPr>
              <w:t>±</w:t>
            </w:r>
            <w:r>
              <w:rPr>
                <w:w w:val="105"/>
                <w:sz w:val="13"/>
              </w:rPr>
              <w:t>1.7</w:t>
            </w:r>
          </w:p>
        </w:tc>
        <w:tc>
          <w:tcPr>
            <w:tcW w:w="775" w:type="dxa"/>
            <w:tcBorders>
              <w:left w:val="dotted" w:sz="4" w:space="0" w:color="30859C"/>
              <w:right w:val="dotted" w:sz="4" w:space="0" w:color="30859C"/>
            </w:tcBorders>
            <w:shd w:val="clear" w:color="auto" w:fill="77DFDD"/>
          </w:tcPr>
          <w:p>
            <w:pPr>
              <w:pStyle w:val="TableParagraph"/>
              <w:spacing w:before="22"/>
              <w:ind w:left="26" w:right="20"/>
              <w:rPr>
                <w:sz w:val="13"/>
              </w:rPr>
            </w:pPr>
            <w:r>
              <w:rPr>
                <w:w w:val="105"/>
                <w:sz w:val="13"/>
              </w:rPr>
              <w:t>17.5</w:t>
            </w:r>
            <w:r>
              <w:rPr>
                <w:rFonts w:ascii="Calibri" w:hAnsi="Calibri"/>
                <w:w w:val="105"/>
                <w:sz w:val="13"/>
              </w:rPr>
              <w:t>±</w:t>
            </w:r>
            <w:r>
              <w:rPr>
                <w:w w:val="105"/>
                <w:sz w:val="13"/>
              </w:rPr>
              <w:t>9.4</w:t>
            </w:r>
          </w:p>
          <w:p>
            <w:pPr>
              <w:pStyle w:val="TableParagraph"/>
              <w:spacing w:before="29"/>
              <w:ind w:left="18" w:right="20"/>
              <w:rPr>
                <w:sz w:val="13"/>
              </w:rPr>
            </w:pPr>
            <w:r>
              <w:rPr>
                <w:w w:val="105"/>
                <w:sz w:val="13"/>
              </w:rPr>
              <w:t>0.13</w:t>
            </w:r>
          </w:p>
          <w:p>
            <w:pPr>
              <w:pStyle w:val="TableParagraph"/>
              <w:spacing w:before="35"/>
              <w:ind w:left="26" w:right="20"/>
              <w:rPr>
                <w:sz w:val="13"/>
              </w:rPr>
            </w:pPr>
            <w:r>
              <w:rPr>
                <w:w w:val="105"/>
                <w:sz w:val="13"/>
              </w:rPr>
              <w:t>13.4</w:t>
            </w:r>
            <w:r>
              <w:rPr>
                <w:rFonts w:ascii="Calibri" w:hAnsi="Calibri"/>
                <w:w w:val="105"/>
                <w:sz w:val="13"/>
              </w:rPr>
              <w:t>±</w:t>
            </w:r>
            <w:r>
              <w:rPr>
                <w:w w:val="105"/>
                <w:sz w:val="13"/>
              </w:rPr>
              <w:t>8.8</w:t>
            </w:r>
          </w:p>
        </w:tc>
        <w:tc>
          <w:tcPr>
            <w:tcW w:w="775" w:type="dxa"/>
            <w:tcBorders>
              <w:left w:val="dotted" w:sz="4" w:space="0" w:color="30859C"/>
              <w:right w:val="dotted" w:sz="4" w:space="0" w:color="30859C"/>
            </w:tcBorders>
            <w:shd w:val="clear" w:color="auto" w:fill="77DFDD"/>
          </w:tcPr>
          <w:p>
            <w:pPr>
              <w:pStyle w:val="TableParagraph"/>
              <w:spacing w:before="22"/>
              <w:ind w:left="158"/>
              <w:jc w:val="left"/>
              <w:rPr>
                <w:sz w:val="13"/>
              </w:rPr>
            </w:pPr>
            <w:r>
              <w:rPr>
                <w:w w:val="105"/>
                <w:sz w:val="13"/>
              </w:rPr>
              <w:t>9.5</w:t>
            </w:r>
            <w:r>
              <w:rPr>
                <w:rFonts w:ascii="Calibri" w:hAnsi="Calibri"/>
                <w:w w:val="105"/>
                <w:sz w:val="13"/>
              </w:rPr>
              <w:t>±</w:t>
            </w:r>
            <w:r>
              <w:rPr>
                <w:w w:val="105"/>
                <w:sz w:val="13"/>
              </w:rPr>
              <w:t>6.3</w:t>
            </w:r>
          </w:p>
          <w:p>
            <w:pPr>
              <w:pStyle w:val="TableParagraph"/>
              <w:spacing w:before="29"/>
              <w:ind w:left="251"/>
              <w:jc w:val="left"/>
              <w:rPr>
                <w:sz w:val="13"/>
              </w:rPr>
            </w:pPr>
            <w:r>
              <w:rPr>
                <w:w w:val="105"/>
                <w:sz w:val="13"/>
              </w:rPr>
              <w:t>0.37</w:t>
            </w:r>
          </w:p>
          <w:p>
            <w:pPr>
              <w:pStyle w:val="TableParagraph"/>
              <w:spacing w:before="35"/>
              <w:ind w:left="158"/>
              <w:jc w:val="left"/>
              <w:rPr>
                <w:sz w:val="13"/>
              </w:rPr>
            </w:pPr>
            <w:r>
              <w:rPr>
                <w:w w:val="105"/>
                <w:sz w:val="13"/>
              </w:rPr>
              <w:t>8.2</w:t>
            </w:r>
            <w:r>
              <w:rPr>
                <w:rFonts w:ascii="Calibri" w:hAnsi="Calibri"/>
                <w:w w:val="105"/>
                <w:sz w:val="13"/>
              </w:rPr>
              <w:t>±</w:t>
            </w:r>
            <w:r>
              <w:rPr>
                <w:w w:val="105"/>
                <w:sz w:val="13"/>
              </w:rPr>
              <w:t>5.7</w:t>
            </w:r>
          </w:p>
        </w:tc>
        <w:tc>
          <w:tcPr>
            <w:tcW w:w="775" w:type="dxa"/>
            <w:tcBorders>
              <w:left w:val="dotted" w:sz="4" w:space="0" w:color="30859C"/>
              <w:right w:val="dotted" w:sz="4" w:space="0" w:color="30859C"/>
            </w:tcBorders>
            <w:shd w:val="clear" w:color="auto" w:fill="77DFDD"/>
          </w:tcPr>
          <w:p>
            <w:pPr>
              <w:pStyle w:val="TableParagraph"/>
              <w:spacing w:before="22"/>
              <w:ind w:left="158"/>
              <w:jc w:val="left"/>
              <w:rPr>
                <w:sz w:val="13"/>
              </w:rPr>
            </w:pPr>
            <w:r>
              <w:rPr>
                <w:w w:val="105"/>
                <w:sz w:val="13"/>
              </w:rPr>
              <w:t>4.8</w:t>
            </w:r>
            <w:r>
              <w:rPr>
                <w:rFonts w:ascii="Calibri" w:hAnsi="Calibri"/>
                <w:w w:val="105"/>
                <w:sz w:val="13"/>
              </w:rPr>
              <w:t>±</w:t>
            </w:r>
            <w:r>
              <w:rPr>
                <w:w w:val="105"/>
                <w:sz w:val="13"/>
              </w:rPr>
              <w:t>6.1</w:t>
            </w:r>
          </w:p>
          <w:p>
            <w:pPr>
              <w:pStyle w:val="TableParagraph"/>
              <w:spacing w:before="29"/>
              <w:ind w:left="252"/>
              <w:jc w:val="left"/>
              <w:rPr>
                <w:sz w:val="13"/>
              </w:rPr>
            </w:pPr>
            <w:r>
              <w:rPr>
                <w:w w:val="105"/>
                <w:sz w:val="13"/>
              </w:rPr>
              <w:t>0.44</w:t>
            </w:r>
          </w:p>
          <w:p>
            <w:pPr>
              <w:pStyle w:val="TableParagraph"/>
              <w:spacing w:before="35"/>
              <w:ind w:left="158"/>
              <w:jc w:val="left"/>
              <w:rPr>
                <w:sz w:val="13"/>
              </w:rPr>
            </w:pPr>
            <w:r>
              <w:rPr>
                <w:w w:val="105"/>
                <w:sz w:val="13"/>
              </w:rPr>
              <w:t>6.4</w:t>
            </w:r>
            <w:r>
              <w:rPr>
                <w:rFonts w:ascii="Calibri" w:hAnsi="Calibri"/>
                <w:w w:val="105"/>
                <w:sz w:val="13"/>
              </w:rPr>
              <w:t>±</w:t>
            </w:r>
            <w:r>
              <w:rPr>
                <w:w w:val="105"/>
                <w:sz w:val="13"/>
              </w:rPr>
              <w:t>6.7</w:t>
            </w:r>
          </w:p>
        </w:tc>
        <w:tc>
          <w:tcPr>
            <w:tcW w:w="775" w:type="dxa"/>
            <w:tcBorders>
              <w:left w:val="dotted" w:sz="4" w:space="0" w:color="30859C"/>
              <w:right w:val="dotted" w:sz="4" w:space="0" w:color="30859C"/>
            </w:tcBorders>
            <w:shd w:val="clear" w:color="auto" w:fill="77DFDD"/>
          </w:tcPr>
          <w:p>
            <w:pPr>
              <w:pStyle w:val="TableParagraph"/>
              <w:spacing w:before="22"/>
              <w:ind w:left="159"/>
              <w:jc w:val="left"/>
              <w:rPr>
                <w:sz w:val="13"/>
              </w:rPr>
            </w:pPr>
            <w:r>
              <w:rPr>
                <w:w w:val="105"/>
                <w:sz w:val="13"/>
              </w:rPr>
              <w:t>2.2</w:t>
            </w:r>
            <w:r>
              <w:rPr>
                <w:rFonts w:ascii="Calibri" w:hAnsi="Calibri"/>
                <w:w w:val="105"/>
                <w:sz w:val="13"/>
              </w:rPr>
              <w:t>±</w:t>
            </w:r>
            <w:r>
              <w:rPr>
                <w:w w:val="105"/>
                <w:sz w:val="13"/>
              </w:rPr>
              <w:t>2.8</w:t>
            </w:r>
          </w:p>
          <w:p>
            <w:pPr>
              <w:pStyle w:val="TableParagraph"/>
              <w:spacing w:before="29"/>
              <w:ind w:left="252"/>
              <w:jc w:val="left"/>
              <w:rPr>
                <w:sz w:val="13"/>
              </w:rPr>
            </w:pPr>
            <w:r>
              <w:rPr>
                <w:w w:val="105"/>
                <w:sz w:val="13"/>
              </w:rPr>
              <w:t>0.92</w:t>
            </w:r>
          </w:p>
          <w:p>
            <w:pPr>
              <w:pStyle w:val="TableParagraph"/>
              <w:spacing w:before="35"/>
              <w:ind w:left="159"/>
              <w:jc w:val="left"/>
              <w:rPr>
                <w:sz w:val="13"/>
              </w:rPr>
            </w:pPr>
            <w:r>
              <w:rPr>
                <w:w w:val="105"/>
                <w:sz w:val="13"/>
              </w:rPr>
              <w:t>1.9</w:t>
            </w:r>
            <w:r>
              <w:rPr>
                <w:rFonts w:ascii="Calibri" w:hAnsi="Calibri"/>
                <w:w w:val="105"/>
                <w:sz w:val="13"/>
              </w:rPr>
              <w:t>±</w:t>
            </w:r>
            <w:r>
              <w:rPr>
                <w:w w:val="105"/>
                <w:sz w:val="13"/>
              </w:rPr>
              <w:t>2.1</w:t>
            </w:r>
          </w:p>
        </w:tc>
        <w:tc>
          <w:tcPr>
            <w:tcW w:w="775" w:type="dxa"/>
            <w:tcBorders>
              <w:left w:val="dotted" w:sz="4" w:space="0" w:color="30859C"/>
              <w:right w:val="dotted" w:sz="4" w:space="0" w:color="30859C"/>
            </w:tcBorders>
            <w:shd w:val="clear" w:color="auto" w:fill="77DFDD"/>
          </w:tcPr>
          <w:p>
            <w:pPr>
              <w:pStyle w:val="TableParagraph"/>
              <w:spacing w:before="22"/>
              <w:ind w:left="24" w:right="20"/>
              <w:rPr>
                <w:sz w:val="13"/>
              </w:rPr>
            </w:pPr>
            <w:r>
              <w:rPr>
                <w:w w:val="105"/>
                <w:sz w:val="13"/>
              </w:rPr>
              <w:t>13.5</w:t>
            </w:r>
            <w:r>
              <w:rPr>
                <w:rFonts w:ascii="Calibri" w:hAnsi="Calibri"/>
                <w:w w:val="105"/>
                <w:sz w:val="13"/>
              </w:rPr>
              <w:t>±</w:t>
            </w:r>
            <w:r>
              <w:rPr>
                <w:w w:val="105"/>
                <w:sz w:val="13"/>
              </w:rPr>
              <w:t>12.7</w:t>
            </w:r>
          </w:p>
          <w:p>
            <w:pPr>
              <w:pStyle w:val="TableParagraph"/>
              <w:spacing w:before="29"/>
              <w:ind w:left="24" w:right="20"/>
              <w:rPr>
                <w:sz w:val="13"/>
              </w:rPr>
            </w:pPr>
            <w:r>
              <w:rPr>
                <w:w w:val="105"/>
                <w:sz w:val="13"/>
              </w:rPr>
              <w:t>0.26</w:t>
            </w:r>
          </w:p>
          <w:p>
            <w:pPr>
              <w:pStyle w:val="TableParagraph"/>
              <w:spacing w:before="35"/>
              <w:ind w:left="160"/>
              <w:jc w:val="left"/>
              <w:rPr>
                <w:sz w:val="13"/>
              </w:rPr>
            </w:pPr>
            <w:r>
              <w:rPr>
                <w:w w:val="105"/>
                <w:sz w:val="13"/>
              </w:rPr>
              <w:t>9.3</w:t>
            </w:r>
            <w:r>
              <w:rPr>
                <w:rFonts w:ascii="Calibri" w:hAnsi="Calibri"/>
                <w:w w:val="105"/>
                <w:sz w:val="13"/>
              </w:rPr>
              <w:t>±</w:t>
            </w:r>
            <w:r>
              <w:rPr>
                <w:w w:val="105"/>
                <w:sz w:val="13"/>
              </w:rPr>
              <w:t>8.4</w:t>
            </w:r>
          </w:p>
        </w:tc>
        <w:tc>
          <w:tcPr>
            <w:tcW w:w="770" w:type="dxa"/>
            <w:tcBorders>
              <w:left w:val="dotted" w:sz="4" w:space="0" w:color="30859C"/>
            </w:tcBorders>
            <w:shd w:val="clear" w:color="auto" w:fill="77DFDD"/>
          </w:tcPr>
          <w:p>
            <w:pPr>
              <w:pStyle w:val="TableParagraph"/>
              <w:spacing w:before="22"/>
              <w:ind w:left="25" w:right="20"/>
              <w:rPr>
                <w:sz w:val="13"/>
              </w:rPr>
            </w:pPr>
            <w:r>
              <w:rPr>
                <w:w w:val="105"/>
                <w:sz w:val="13"/>
              </w:rPr>
              <w:t>49.7</w:t>
            </w:r>
            <w:r>
              <w:rPr>
                <w:rFonts w:ascii="Calibri" w:hAnsi="Calibri"/>
                <w:w w:val="105"/>
                <w:sz w:val="13"/>
              </w:rPr>
              <w:t>±</w:t>
            </w:r>
            <w:r>
              <w:rPr>
                <w:w w:val="105"/>
                <w:sz w:val="13"/>
              </w:rPr>
              <w:t>21.4</w:t>
            </w:r>
          </w:p>
          <w:p>
            <w:pPr>
              <w:pStyle w:val="TableParagraph"/>
              <w:spacing w:before="29"/>
              <w:ind w:left="25" w:right="20"/>
              <w:rPr>
                <w:sz w:val="13"/>
              </w:rPr>
            </w:pPr>
            <w:r>
              <w:rPr>
                <w:w w:val="105"/>
                <w:sz w:val="13"/>
              </w:rPr>
              <w:t>0.22</w:t>
            </w:r>
          </w:p>
          <w:p>
            <w:pPr>
              <w:pStyle w:val="TableParagraph"/>
              <w:spacing w:before="35"/>
              <w:ind w:left="25" w:right="20"/>
              <w:rPr>
                <w:sz w:val="13"/>
              </w:rPr>
            </w:pPr>
            <w:r>
              <w:rPr>
                <w:w w:val="105"/>
                <w:sz w:val="13"/>
              </w:rPr>
              <w:t>40.8</w:t>
            </w:r>
            <w:r>
              <w:rPr>
                <w:rFonts w:ascii="Calibri" w:hAnsi="Calibri"/>
                <w:w w:val="105"/>
                <w:sz w:val="13"/>
              </w:rPr>
              <w:t>±</w:t>
            </w:r>
            <w:r>
              <w:rPr>
                <w:w w:val="105"/>
                <w:sz w:val="13"/>
              </w:rPr>
              <w:t>18.8</w:t>
            </w:r>
          </w:p>
        </w:tc>
      </w:tr>
      <w:tr>
        <w:trPr>
          <w:trHeight w:val="557" w:hRule="exact"/>
        </w:trPr>
        <w:tc>
          <w:tcPr>
            <w:tcW w:w="1075" w:type="dxa"/>
            <w:gridSpan w:val="2"/>
            <w:shd w:val="clear" w:color="auto" w:fill="B4EDEC"/>
          </w:tcPr>
          <w:p>
            <w:pPr>
              <w:pStyle w:val="TableParagraph"/>
              <w:spacing w:line="300" w:lineRule="auto" w:before="26"/>
              <w:ind w:left="222" w:right="94" w:hanging="114"/>
              <w:jc w:val="left"/>
              <w:rPr>
                <w:b/>
                <w:sz w:val="13"/>
              </w:rPr>
            </w:pPr>
            <w:r>
              <w:rPr>
                <w:b/>
                <w:sz w:val="13"/>
              </w:rPr>
              <w:t>Antecedentes </w:t>
            </w:r>
            <w:r>
              <w:rPr>
                <w:b/>
                <w:w w:val="105"/>
                <w:sz w:val="13"/>
              </w:rPr>
              <w:t>familiares de cáncer</w:t>
            </w:r>
          </w:p>
        </w:tc>
        <w:tc>
          <w:tcPr>
            <w:tcW w:w="475" w:type="dxa"/>
            <w:shd w:val="clear" w:color="auto" w:fill="B4EDEC"/>
          </w:tcPr>
          <w:p>
            <w:pPr>
              <w:pStyle w:val="TableParagraph"/>
              <w:spacing w:before="26"/>
              <w:ind w:left="18"/>
              <w:jc w:val="left"/>
              <w:rPr>
                <w:sz w:val="13"/>
              </w:rPr>
            </w:pPr>
            <w:r>
              <w:rPr>
                <w:w w:val="105"/>
                <w:sz w:val="13"/>
              </w:rPr>
              <w:t>Si</w:t>
            </w:r>
          </w:p>
          <w:p>
            <w:pPr>
              <w:pStyle w:val="TableParagraph"/>
              <w:spacing w:before="0"/>
              <w:jc w:val="left"/>
              <w:rPr>
                <w:b/>
                <w:sz w:val="12"/>
              </w:rPr>
            </w:pPr>
          </w:p>
          <w:p>
            <w:pPr>
              <w:pStyle w:val="TableParagraph"/>
              <w:spacing w:before="85"/>
              <w:ind w:left="18"/>
              <w:jc w:val="left"/>
              <w:rPr>
                <w:sz w:val="13"/>
              </w:rPr>
            </w:pPr>
            <w:r>
              <w:rPr>
                <w:w w:val="105"/>
                <w:sz w:val="13"/>
              </w:rPr>
              <w:t>No</w:t>
            </w:r>
          </w:p>
        </w:tc>
        <w:tc>
          <w:tcPr>
            <w:tcW w:w="388" w:type="dxa"/>
            <w:tcBorders>
              <w:right w:val="dotted" w:sz="4" w:space="0" w:color="30859C"/>
            </w:tcBorders>
            <w:shd w:val="clear" w:color="auto" w:fill="B4EDEC"/>
          </w:tcPr>
          <w:p>
            <w:pPr>
              <w:pStyle w:val="TableParagraph"/>
              <w:spacing w:before="0"/>
              <w:jc w:val="left"/>
              <w:rPr>
                <w:b/>
                <w:sz w:val="12"/>
              </w:rPr>
            </w:pPr>
          </w:p>
          <w:p>
            <w:pPr>
              <w:pStyle w:val="TableParagraph"/>
              <w:spacing w:before="74"/>
              <w:ind w:right="9"/>
              <w:jc w:val="right"/>
              <w:rPr>
                <w:b/>
                <w:sz w:val="13"/>
              </w:rPr>
            </w:pPr>
            <w:r>
              <w:rPr>
                <w:b/>
                <w:w w:val="103"/>
                <w:sz w:val="13"/>
              </w:rPr>
              <w:t>p</w:t>
            </w:r>
          </w:p>
        </w:tc>
        <w:tc>
          <w:tcPr>
            <w:tcW w:w="775" w:type="dxa"/>
            <w:tcBorders>
              <w:left w:val="dotted" w:sz="4" w:space="0" w:color="30859C"/>
              <w:right w:val="dotted" w:sz="4" w:space="0" w:color="30859C"/>
            </w:tcBorders>
            <w:shd w:val="clear" w:color="auto" w:fill="B4EDEC"/>
          </w:tcPr>
          <w:p>
            <w:pPr>
              <w:pStyle w:val="TableParagraph"/>
              <w:spacing w:before="24"/>
              <w:ind w:left="149"/>
              <w:jc w:val="left"/>
              <w:rPr>
                <w:sz w:val="13"/>
              </w:rPr>
            </w:pPr>
            <w:r>
              <w:rPr>
                <w:w w:val="105"/>
                <w:sz w:val="13"/>
              </w:rPr>
              <w:t>0.6</w:t>
            </w:r>
            <w:r>
              <w:rPr>
                <w:rFonts w:ascii="Calibri" w:hAnsi="Calibri"/>
                <w:w w:val="105"/>
                <w:sz w:val="13"/>
              </w:rPr>
              <w:t>±</w:t>
            </w:r>
            <w:r>
              <w:rPr>
                <w:w w:val="105"/>
                <w:sz w:val="13"/>
              </w:rPr>
              <w:t>0.8</w:t>
            </w:r>
          </w:p>
          <w:p>
            <w:pPr>
              <w:pStyle w:val="TableParagraph"/>
              <w:spacing w:before="30"/>
              <w:ind w:left="242"/>
              <w:jc w:val="left"/>
              <w:rPr>
                <w:sz w:val="13"/>
              </w:rPr>
            </w:pPr>
            <w:r>
              <w:rPr>
                <w:w w:val="105"/>
                <w:sz w:val="13"/>
              </w:rPr>
              <w:t>0.43</w:t>
            </w:r>
          </w:p>
          <w:p>
            <w:pPr>
              <w:pStyle w:val="TableParagraph"/>
              <w:spacing w:before="35"/>
              <w:ind w:left="149"/>
              <w:jc w:val="left"/>
              <w:rPr>
                <w:sz w:val="13"/>
              </w:rPr>
            </w:pPr>
            <w:r>
              <w:rPr>
                <w:w w:val="105"/>
                <w:sz w:val="13"/>
              </w:rPr>
              <w:t>0.4</w:t>
            </w:r>
            <w:r>
              <w:rPr>
                <w:rFonts w:ascii="Calibri" w:hAnsi="Calibri"/>
                <w:w w:val="105"/>
                <w:sz w:val="13"/>
              </w:rPr>
              <w:t>±</w:t>
            </w:r>
            <w:r>
              <w:rPr>
                <w:w w:val="105"/>
                <w:sz w:val="13"/>
              </w:rPr>
              <w:t>0.7</w:t>
            </w:r>
          </w:p>
        </w:tc>
        <w:tc>
          <w:tcPr>
            <w:tcW w:w="848" w:type="dxa"/>
            <w:tcBorders>
              <w:left w:val="dotted" w:sz="4" w:space="0" w:color="30859C"/>
              <w:right w:val="dotted" w:sz="4" w:space="0" w:color="30859C"/>
            </w:tcBorders>
            <w:shd w:val="clear" w:color="auto" w:fill="B4EDEC"/>
          </w:tcPr>
          <w:p>
            <w:pPr>
              <w:pStyle w:val="TableParagraph"/>
              <w:spacing w:before="24"/>
              <w:ind w:left="138" w:right="142"/>
              <w:rPr>
                <w:sz w:val="13"/>
              </w:rPr>
            </w:pPr>
            <w:r>
              <w:rPr>
                <w:w w:val="105"/>
                <w:sz w:val="13"/>
              </w:rPr>
              <w:t>0.8</w:t>
            </w:r>
            <w:r>
              <w:rPr>
                <w:rFonts w:ascii="Calibri" w:hAnsi="Calibri"/>
                <w:w w:val="105"/>
                <w:sz w:val="13"/>
              </w:rPr>
              <w:t>±</w:t>
            </w:r>
            <w:r>
              <w:rPr>
                <w:w w:val="105"/>
                <w:sz w:val="13"/>
              </w:rPr>
              <w:t>1.6</w:t>
            </w:r>
          </w:p>
          <w:p>
            <w:pPr>
              <w:pStyle w:val="TableParagraph"/>
              <w:spacing w:before="30"/>
              <w:ind w:left="138" w:right="142"/>
              <w:rPr>
                <w:sz w:val="13"/>
              </w:rPr>
            </w:pPr>
            <w:r>
              <w:rPr>
                <w:w w:val="105"/>
                <w:sz w:val="13"/>
              </w:rPr>
              <w:t>0.10</w:t>
            </w:r>
          </w:p>
          <w:p>
            <w:pPr>
              <w:pStyle w:val="TableParagraph"/>
              <w:spacing w:before="35"/>
              <w:ind w:left="138" w:right="142"/>
              <w:rPr>
                <w:sz w:val="13"/>
              </w:rPr>
            </w:pPr>
            <w:r>
              <w:rPr>
                <w:w w:val="105"/>
                <w:sz w:val="13"/>
              </w:rPr>
              <w:t>1.8</w:t>
            </w:r>
            <w:r>
              <w:rPr>
                <w:rFonts w:ascii="Calibri" w:hAnsi="Calibri"/>
                <w:w w:val="105"/>
                <w:sz w:val="13"/>
              </w:rPr>
              <w:t>±</w:t>
            </w:r>
            <w:r>
              <w:rPr>
                <w:w w:val="105"/>
                <w:sz w:val="13"/>
              </w:rPr>
              <w:t>1.8</w:t>
            </w:r>
          </w:p>
        </w:tc>
        <w:tc>
          <w:tcPr>
            <w:tcW w:w="775" w:type="dxa"/>
            <w:tcBorders>
              <w:left w:val="dotted" w:sz="4" w:space="0" w:color="30859C"/>
              <w:right w:val="dotted" w:sz="4" w:space="0" w:color="30859C"/>
            </w:tcBorders>
            <w:shd w:val="clear" w:color="auto" w:fill="B4EDEC"/>
          </w:tcPr>
          <w:p>
            <w:pPr>
              <w:pStyle w:val="TableParagraph"/>
              <w:spacing w:before="24"/>
              <w:ind w:left="18" w:right="20"/>
              <w:rPr>
                <w:sz w:val="13"/>
              </w:rPr>
            </w:pPr>
            <w:r>
              <w:rPr>
                <w:w w:val="105"/>
                <w:sz w:val="13"/>
              </w:rPr>
              <w:t>22.1</w:t>
            </w:r>
            <w:r>
              <w:rPr>
                <w:rFonts w:ascii="Calibri" w:hAnsi="Calibri"/>
                <w:w w:val="105"/>
                <w:sz w:val="13"/>
              </w:rPr>
              <w:t>±</w:t>
            </w:r>
            <w:r>
              <w:rPr>
                <w:w w:val="105"/>
                <w:sz w:val="13"/>
              </w:rPr>
              <w:t>14.1</w:t>
            </w:r>
          </w:p>
          <w:p>
            <w:pPr>
              <w:pStyle w:val="TableParagraph"/>
              <w:spacing w:before="30"/>
              <w:ind w:left="19" w:right="20"/>
              <w:rPr>
                <w:sz w:val="13"/>
              </w:rPr>
            </w:pPr>
            <w:r>
              <w:rPr>
                <w:w w:val="105"/>
                <w:sz w:val="13"/>
              </w:rPr>
              <w:t>0.34</w:t>
            </w:r>
          </w:p>
          <w:p>
            <w:pPr>
              <w:pStyle w:val="TableParagraph"/>
              <w:spacing w:before="35"/>
              <w:ind w:left="26" w:right="20"/>
              <w:rPr>
                <w:sz w:val="13"/>
              </w:rPr>
            </w:pPr>
            <w:r>
              <w:rPr>
                <w:w w:val="105"/>
                <w:sz w:val="13"/>
              </w:rPr>
              <w:t>16.0</w:t>
            </w:r>
            <w:r>
              <w:rPr>
                <w:rFonts w:ascii="Calibri" w:hAnsi="Calibri"/>
                <w:w w:val="105"/>
                <w:sz w:val="13"/>
              </w:rPr>
              <w:t>±</w:t>
            </w:r>
            <w:r>
              <w:rPr>
                <w:w w:val="105"/>
                <w:sz w:val="13"/>
              </w:rPr>
              <w:t>8.7</w:t>
            </w:r>
          </w:p>
        </w:tc>
        <w:tc>
          <w:tcPr>
            <w:tcW w:w="775" w:type="dxa"/>
            <w:tcBorders>
              <w:left w:val="dotted" w:sz="4" w:space="0" w:color="30859C"/>
              <w:right w:val="dotted" w:sz="4" w:space="0" w:color="30859C"/>
            </w:tcBorders>
            <w:shd w:val="clear" w:color="auto" w:fill="B4EDEC"/>
          </w:tcPr>
          <w:p>
            <w:pPr>
              <w:pStyle w:val="TableParagraph"/>
              <w:spacing w:before="24"/>
              <w:ind w:left="158"/>
              <w:jc w:val="left"/>
              <w:rPr>
                <w:sz w:val="13"/>
              </w:rPr>
            </w:pPr>
            <w:r>
              <w:rPr>
                <w:w w:val="105"/>
                <w:sz w:val="13"/>
              </w:rPr>
              <w:t>7.3</w:t>
            </w:r>
            <w:r>
              <w:rPr>
                <w:rFonts w:ascii="Calibri" w:hAnsi="Calibri"/>
                <w:w w:val="105"/>
                <w:sz w:val="13"/>
              </w:rPr>
              <w:t>±</w:t>
            </w:r>
            <w:r>
              <w:rPr>
                <w:w w:val="105"/>
                <w:sz w:val="13"/>
              </w:rPr>
              <w:t>4.8</w:t>
            </w:r>
          </w:p>
          <w:p>
            <w:pPr>
              <w:pStyle w:val="TableParagraph"/>
              <w:spacing w:before="30"/>
              <w:ind w:left="251"/>
              <w:jc w:val="left"/>
              <w:rPr>
                <w:sz w:val="13"/>
              </w:rPr>
            </w:pPr>
            <w:r>
              <w:rPr>
                <w:w w:val="105"/>
                <w:sz w:val="13"/>
              </w:rPr>
              <w:t>0.27</w:t>
            </w:r>
          </w:p>
          <w:p>
            <w:pPr>
              <w:pStyle w:val="TableParagraph"/>
              <w:spacing w:before="35"/>
              <w:ind w:left="158"/>
              <w:jc w:val="left"/>
              <w:rPr>
                <w:sz w:val="13"/>
              </w:rPr>
            </w:pPr>
            <w:r>
              <w:rPr>
                <w:w w:val="105"/>
                <w:sz w:val="13"/>
              </w:rPr>
              <w:t>9.4</w:t>
            </w:r>
            <w:r>
              <w:rPr>
                <w:rFonts w:ascii="Calibri" w:hAnsi="Calibri"/>
                <w:w w:val="105"/>
                <w:sz w:val="13"/>
              </w:rPr>
              <w:t>±</w:t>
            </w:r>
            <w:r>
              <w:rPr>
                <w:w w:val="105"/>
                <w:sz w:val="13"/>
              </w:rPr>
              <w:t>6.3</w:t>
            </w:r>
          </w:p>
        </w:tc>
        <w:tc>
          <w:tcPr>
            <w:tcW w:w="775" w:type="dxa"/>
            <w:tcBorders>
              <w:left w:val="dotted" w:sz="4" w:space="0" w:color="30859C"/>
              <w:right w:val="dotted" w:sz="4" w:space="0" w:color="30859C"/>
            </w:tcBorders>
            <w:shd w:val="clear" w:color="auto" w:fill="B4EDEC"/>
          </w:tcPr>
          <w:p>
            <w:pPr>
              <w:pStyle w:val="TableParagraph"/>
              <w:spacing w:before="24"/>
              <w:ind w:left="158"/>
              <w:jc w:val="left"/>
              <w:rPr>
                <w:sz w:val="13"/>
              </w:rPr>
            </w:pPr>
            <w:r>
              <w:rPr>
                <w:w w:val="105"/>
                <w:sz w:val="13"/>
              </w:rPr>
              <w:t>7.5</w:t>
            </w:r>
            <w:r>
              <w:rPr>
                <w:rFonts w:ascii="Calibri" w:hAnsi="Calibri"/>
                <w:w w:val="105"/>
                <w:sz w:val="13"/>
              </w:rPr>
              <w:t>±</w:t>
            </w:r>
            <w:r>
              <w:rPr>
                <w:w w:val="105"/>
                <w:sz w:val="13"/>
              </w:rPr>
              <w:t>8.8</w:t>
            </w:r>
          </w:p>
          <w:p>
            <w:pPr>
              <w:pStyle w:val="TableParagraph"/>
              <w:spacing w:before="30"/>
              <w:ind w:left="252"/>
              <w:jc w:val="left"/>
              <w:rPr>
                <w:sz w:val="13"/>
              </w:rPr>
            </w:pPr>
            <w:r>
              <w:rPr>
                <w:w w:val="105"/>
                <w:sz w:val="13"/>
              </w:rPr>
              <w:t>0.30</w:t>
            </w:r>
          </w:p>
          <w:p>
            <w:pPr>
              <w:pStyle w:val="TableParagraph"/>
              <w:spacing w:before="35"/>
              <w:ind w:left="158"/>
              <w:jc w:val="left"/>
              <w:rPr>
                <w:sz w:val="13"/>
              </w:rPr>
            </w:pPr>
            <w:r>
              <w:rPr>
                <w:w w:val="105"/>
                <w:sz w:val="13"/>
              </w:rPr>
              <w:t>4.9</w:t>
            </w:r>
            <w:r>
              <w:rPr>
                <w:rFonts w:ascii="Calibri" w:hAnsi="Calibri"/>
                <w:w w:val="105"/>
                <w:sz w:val="13"/>
              </w:rPr>
              <w:t>±</w:t>
            </w:r>
            <w:r>
              <w:rPr>
                <w:w w:val="105"/>
                <w:sz w:val="13"/>
              </w:rPr>
              <w:t>5.9</w:t>
            </w:r>
          </w:p>
        </w:tc>
        <w:tc>
          <w:tcPr>
            <w:tcW w:w="775" w:type="dxa"/>
            <w:tcBorders>
              <w:left w:val="dotted" w:sz="4" w:space="0" w:color="30859C"/>
              <w:right w:val="dotted" w:sz="4" w:space="0" w:color="30859C"/>
            </w:tcBorders>
            <w:shd w:val="clear" w:color="auto" w:fill="B4EDEC"/>
          </w:tcPr>
          <w:p>
            <w:pPr>
              <w:pStyle w:val="TableParagraph"/>
              <w:spacing w:before="24"/>
              <w:ind w:left="159"/>
              <w:jc w:val="left"/>
              <w:rPr>
                <w:sz w:val="13"/>
              </w:rPr>
            </w:pPr>
            <w:r>
              <w:rPr>
                <w:w w:val="105"/>
                <w:sz w:val="13"/>
              </w:rPr>
              <w:t>3.1</w:t>
            </w:r>
            <w:r>
              <w:rPr>
                <w:rFonts w:ascii="Calibri" w:hAnsi="Calibri"/>
                <w:w w:val="105"/>
                <w:sz w:val="13"/>
              </w:rPr>
              <w:t>±</w:t>
            </w:r>
            <w:r>
              <w:rPr>
                <w:w w:val="105"/>
                <w:sz w:val="13"/>
              </w:rPr>
              <w:t>4.4</w:t>
            </w:r>
          </w:p>
          <w:p>
            <w:pPr>
              <w:pStyle w:val="TableParagraph"/>
              <w:spacing w:before="30"/>
              <w:ind w:left="252"/>
              <w:jc w:val="left"/>
              <w:rPr>
                <w:sz w:val="13"/>
              </w:rPr>
            </w:pPr>
            <w:r>
              <w:rPr>
                <w:w w:val="105"/>
                <w:sz w:val="13"/>
              </w:rPr>
              <w:t>0.98</w:t>
            </w:r>
          </w:p>
          <w:p>
            <w:pPr>
              <w:pStyle w:val="TableParagraph"/>
              <w:spacing w:before="35"/>
              <w:ind w:left="159"/>
              <w:jc w:val="left"/>
              <w:rPr>
                <w:sz w:val="13"/>
              </w:rPr>
            </w:pPr>
            <w:r>
              <w:rPr>
                <w:w w:val="105"/>
                <w:sz w:val="13"/>
              </w:rPr>
              <w:t>2.1</w:t>
            </w:r>
            <w:r>
              <w:rPr>
                <w:rFonts w:ascii="Calibri" w:hAnsi="Calibri"/>
                <w:w w:val="105"/>
                <w:sz w:val="13"/>
              </w:rPr>
              <w:t>±</w:t>
            </w:r>
            <w:r>
              <w:rPr>
                <w:w w:val="105"/>
                <w:sz w:val="13"/>
              </w:rPr>
              <w:t>2.4</w:t>
            </w:r>
          </w:p>
        </w:tc>
        <w:tc>
          <w:tcPr>
            <w:tcW w:w="775" w:type="dxa"/>
            <w:tcBorders>
              <w:left w:val="dotted" w:sz="4" w:space="0" w:color="30859C"/>
              <w:right w:val="dotted" w:sz="4" w:space="0" w:color="30859C"/>
            </w:tcBorders>
            <w:shd w:val="clear" w:color="auto" w:fill="B4EDEC"/>
          </w:tcPr>
          <w:p>
            <w:pPr>
              <w:pStyle w:val="TableParagraph"/>
              <w:spacing w:before="24"/>
              <w:ind w:left="24" w:right="20"/>
              <w:rPr>
                <w:sz w:val="13"/>
              </w:rPr>
            </w:pPr>
            <w:r>
              <w:rPr>
                <w:w w:val="105"/>
                <w:sz w:val="13"/>
              </w:rPr>
              <w:t>12.5</w:t>
            </w:r>
            <w:r>
              <w:rPr>
                <w:rFonts w:ascii="Calibri" w:hAnsi="Calibri"/>
                <w:w w:val="105"/>
                <w:sz w:val="13"/>
              </w:rPr>
              <w:t>±</w:t>
            </w:r>
            <w:r>
              <w:rPr>
                <w:w w:val="105"/>
                <w:sz w:val="13"/>
              </w:rPr>
              <w:t>10.6</w:t>
            </w:r>
          </w:p>
          <w:p>
            <w:pPr>
              <w:pStyle w:val="TableParagraph"/>
              <w:spacing w:before="30"/>
              <w:ind w:left="24" w:right="20"/>
              <w:rPr>
                <w:sz w:val="13"/>
              </w:rPr>
            </w:pPr>
            <w:r>
              <w:rPr>
                <w:w w:val="105"/>
                <w:sz w:val="13"/>
              </w:rPr>
              <w:t>0.86</w:t>
            </w:r>
          </w:p>
          <w:p>
            <w:pPr>
              <w:pStyle w:val="TableParagraph"/>
              <w:spacing w:before="35"/>
              <w:ind w:left="24" w:right="20"/>
              <w:rPr>
                <w:sz w:val="13"/>
              </w:rPr>
            </w:pPr>
            <w:r>
              <w:rPr>
                <w:w w:val="105"/>
                <w:sz w:val="13"/>
              </w:rPr>
              <w:t>12.5</w:t>
            </w:r>
            <w:r>
              <w:rPr>
                <w:rFonts w:ascii="Calibri" w:hAnsi="Calibri"/>
                <w:w w:val="105"/>
                <w:sz w:val="13"/>
              </w:rPr>
              <w:t>±</w:t>
            </w:r>
            <w:r>
              <w:rPr>
                <w:w w:val="105"/>
                <w:sz w:val="13"/>
              </w:rPr>
              <w:t>12.1</w:t>
            </w:r>
          </w:p>
        </w:tc>
        <w:tc>
          <w:tcPr>
            <w:tcW w:w="770" w:type="dxa"/>
            <w:tcBorders>
              <w:left w:val="dotted" w:sz="4" w:space="0" w:color="30859C"/>
            </w:tcBorders>
            <w:shd w:val="clear" w:color="auto" w:fill="B4EDEC"/>
          </w:tcPr>
          <w:p>
            <w:pPr>
              <w:pStyle w:val="TableParagraph"/>
              <w:spacing w:before="24"/>
              <w:ind w:left="25" w:right="20"/>
              <w:rPr>
                <w:sz w:val="13"/>
              </w:rPr>
            </w:pPr>
            <w:r>
              <w:rPr>
                <w:w w:val="105"/>
                <w:sz w:val="13"/>
              </w:rPr>
              <w:t>53.5</w:t>
            </w:r>
            <w:r>
              <w:rPr>
                <w:rFonts w:ascii="Calibri" w:hAnsi="Calibri"/>
                <w:w w:val="105"/>
                <w:sz w:val="13"/>
              </w:rPr>
              <w:t>±</w:t>
            </w:r>
            <w:r>
              <w:rPr>
                <w:w w:val="105"/>
                <w:sz w:val="13"/>
              </w:rPr>
              <w:t>20.7</w:t>
            </w:r>
          </w:p>
          <w:p>
            <w:pPr>
              <w:pStyle w:val="TableParagraph"/>
              <w:spacing w:before="30"/>
              <w:ind w:left="25" w:right="20"/>
              <w:rPr>
                <w:sz w:val="13"/>
              </w:rPr>
            </w:pPr>
            <w:r>
              <w:rPr>
                <w:w w:val="105"/>
                <w:sz w:val="13"/>
              </w:rPr>
              <w:t>0.38</w:t>
            </w:r>
          </w:p>
          <w:p>
            <w:pPr>
              <w:pStyle w:val="TableParagraph"/>
              <w:spacing w:before="35"/>
              <w:ind w:left="25" w:right="20"/>
              <w:rPr>
                <w:sz w:val="13"/>
              </w:rPr>
            </w:pPr>
            <w:r>
              <w:rPr>
                <w:w w:val="105"/>
                <w:sz w:val="13"/>
              </w:rPr>
              <w:t>47.0</w:t>
            </w:r>
            <w:r>
              <w:rPr>
                <w:rFonts w:ascii="Calibri" w:hAnsi="Calibri"/>
                <w:w w:val="105"/>
                <w:sz w:val="13"/>
              </w:rPr>
              <w:t>±</w:t>
            </w:r>
            <w:r>
              <w:rPr>
                <w:w w:val="105"/>
                <w:sz w:val="13"/>
              </w:rPr>
              <w:t>21.1</w:t>
            </w:r>
          </w:p>
        </w:tc>
      </w:tr>
      <w:tr>
        <w:trPr>
          <w:trHeight w:val="557" w:hRule="exact"/>
        </w:trPr>
        <w:tc>
          <w:tcPr>
            <w:tcW w:w="1075" w:type="dxa"/>
            <w:gridSpan w:val="2"/>
            <w:shd w:val="clear" w:color="auto" w:fill="77DFDD"/>
          </w:tcPr>
          <w:p>
            <w:pPr>
              <w:pStyle w:val="TableParagraph"/>
              <w:spacing w:line="300" w:lineRule="auto" w:before="28"/>
              <w:ind w:left="180" w:right="178" w:firstLine="2"/>
              <w:rPr>
                <w:b/>
                <w:sz w:val="13"/>
              </w:rPr>
            </w:pPr>
            <w:r>
              <w:rPr>
                <w:b/>
                <w:w w:val="105"/>
                <w:sz w:val="13"/>
              </w:rPr>
              <w:t>Problemas de    </w:t>
            </w:r>
            <w:r>
              <w:rPr>
                <w:b/>
                <w:sz w:val="13"/>
              </w:rPr>
              <w:t>nacimiento</w:t>
            </w:r>
          </w:p>
        </w:tc>
        <w:tc>
          <w:tcPr>
            <w:tcW w:w="475" w:type="dxa"/>
            <w:shd w:val="clear" w:color="auto" w:fill="77DFDD"/>
          </w:tcPr>
          <w:p>
            <w:pPr>
              <w:pStyle w:val="TableParagraph"/>
              <w:spacing w:before="28"/>
              <w:ind w:left="18"/>
              <w:jc w:val="left"/>
              <w:rPr>
                <w:sz w:val="13"/>
              </w:rPr>
            </w:pPr>
            <w:r>
              <w:rPr>
                <w:w w:val="105"/>
                <w:sz w:val="13"/>
              </w:rPr>
              <w:t>Si</w:t>
            </w:r>
          </w:p>
          <w:p>
            <w:pPr>
              <w:pStyle w:val="TableParagraph"/>
              <w:spacing w:before="0"/>
              <w:jc w:val="left"/>
              <w:rPr>
                <w:b/>
                <w:sz w:val="12"/>
              </w:rPr>
            </w:pPr>
          </w:p>
          <w:p>
            <w:pPr>
              <w:pStyle w:val="TableParagraph"/>
              <w:spacing w:before="85"/>
              <w:ind w:left="18"/>
              <w:jc w:val="left"/>
              <w:rPr>
                <w:sz w:val="13"/>
              </w:rPr>
            </w:pPr>
            <w:r>
              <w:rPr>
                <w:w w:val="105"/>
                <w:sz w:val="13"/>
              </w:rPr>
              <w:t>No</w:t>
            </w:r>
          </w:p>
        </w:tc>
        <w:tc>
          <w:tcPr>
            <w:tcW w:w="388" w:type="dxa"/>
            <w:tcBorders>
              <w:right w:val="dotted" w:sz="4" w:space="0" w:color="30859C"/>
            </w:tcBorders>
            <w:shd w:val="clear" w:color="auto" w:fill="77DFDD"/>
          </w:tcPr>
          <w:p>
            <w:pPr>
              <w:pStyle w:val="TableParagraph"/>
              <w:spacing w:before="0"/>
              <w:jc w:val="left"/>
              <w:rPr>
                <w:b/>
                <w:sz w:val="12"/>
              </w:rPr>
            </w:pPr>
          </w:p>
          <w:p>
            <w:pPr>
              <w:pStyle w:val="TableParagraph"/>
              <w:spacing w:before="77"/>
              <w:ind w:right="10"/>
              <w:jc w:val="right"/>
              <w:rPr>
                <w:b/>
                <w:sz w:val="13"/>
              </w:rPr>
            </w:pPr>
            <w:r>
              <w:rPr>
                <w:b/>
                <w:w w:val="103"/>
                <w:sz w:val="13"/>
              </w:rPr>
              <w:t>p</w:t>
            </w:r>
          </w:p>
        </w:tc>
        <w:tc>
          <w:tcPr>
            <w:tcW w:w="775" w:type="dxa"/>
            <w:tcBorders>
              <w:left w:val="dotted" w:sz="4" w:space="0" w:color="30859C"/>
              <w:right w:val="dotted" w:sz="4" w:space="0" w:color="30859C"/>
            </w:tcBorders>
            <w:shd w:val="clear" w:color="auto" w:fill="77DFDD"/>
          </w:tcPr>
          <w:p>
            <w:pPr>
              <w:pStyle w:val="TableParagraph"/>
              <w:spacing w:before="26"/>
              <w:ind w:left="149"/>
              <w:jc w:val="left"/>
              <w:rPr>
                <w:sz w:val="13"/>
              </w:rPr>
            </w:pPr>
            <w:r>
              <w:rPr>
                <w:w w:val="105"/>
                <w:sz w:val="13"/>
              </w:rPr>
              <w:t>0.6</w:t>
            </w:r>
            <w:r>
              <w:rPr>
                <w:rFonts w:ascii="Calibri" w:hAnsi="Calibri"/>
                <w:w w:val="105"/>
                <w:sz w:val="13"/>
              </w:rPr>
              <w:t>±</w:t>
            </w:r>
            <w:r>
              <w:rPr>
                <w:w w:val="105"/>
                <w:sz w:val="13"/>
              </w:rPr>
              <w:t>0.9</w:t>
            </w:r>
          </w:p>
          <w:p>
            <w:pPr>
              <w:pStyle w:val="TableParagraph"/>
              <w:spacing w:before="30"/>
              <w:ind w:left="242"/>
              <w:jc w:val="left"/>
              <w:rPr>
                <w:sz w:val="13"/>
              </w:rPr>
            </w:pPr>
            <w:r>
              <w:rPr>
                <w:w w:val="105"/>
                <w:sz w:val="13"/>
              </w:rPr>
              <w:t>0.52</w:t>
            </w:r>
          </w:p>
          <w:p>
            <w:pPr>
              <w:pStyle w:val="TableParagraph"/>
              <w:spacing w:before="35"/>
              <w:ind w:left="149"/>
              <w:jc w:val="left"/>
              <w:rPr>
                <w:sz w:val="13"/>
              </w:rPr>
            </w:pPr>
            <w:r>
              <w:rPr>
                <w:w w:val="105"/>
                <w:sz w:val="13"/>
              </w:rPr>
              <w:t>0.4</w:t>
            </w:r>
            <w:r>
              <w:rPr>
                <w:rFonts w:ascii="Calibri" w:hAnsi="Calibri"/>
                <w:w w:val="105"/>
                <w:sz w:val="13"/>
              </w:rPr>
              <w:t>±</w:t>
            </w:r>
            <w:r>
              <w:rPr>
                <w:w w:val="105"/>
                <w:sz w:val="13"/>
              </w:rPr>
              <w:t>0.6</w:t>
            </w:r>
          </w:p>
        </w:tc>
        <w:tc>
          <w:tcPr>
            <w:tcW w:w="848" w:type="dxa"/>
            <w:tcBorders>
              <w:left w:val="dotted" w:sz="4" w:space="0" w:color="30859C"/>
              <w:right w:val="dotted" w:sz="4" w:space="0" w:color="30859C"/>
            </w:tcBorders>
            <w:shd w:val="clear" w:color="auto" w:fill="77DFDD"/>
          </w:tcPr>
          <w:p>
            <w:pPr>
              <w:pStyle w:val="TableParagraph"/>
              <w:spacing w:before="26"/>
              <w:ind w:left="138" w:right="142"/>
              <w:rPr>
                <w:sz w:val="13"/>
              </w:rPr>
            </w:pPr>
            <w:r>
              <w:rPr>
                <w:w w:val="105"/>
                <w:sz w:val="13"/>
              </w:rPr>
              <w:t>2.1</w:t>
            </w:r>
            <w:r>
              <w:rPr>
                <w:rFonts w:ascii="Calibri" w:hAnsi="Calibri"/>
                <w:w w:val="105"/>
                <w:sz w:val="13"/>
              </w:rPr>
              <w:t>±</w:t>
            </w:r>
            <w:r>
              <w:rPr>
                <w:w w:val="105"/>
                <w:sz w:val="13"/>
              </w:rPr>
              <w:t>2.0</w:t>
            </w:r>
          </w:p>
          <w:p>
            <w:pPr>
              <w:pStyle w:val="TableParagraph"/>
              <w:spacing w:before="30"/>
              <w:ind w:left="138" w:right="142"/>
              <w:rPr>
                <w:sz w:val="13"/>
              </w:rPr>
            </w:pPr>
            <w:r>
              <w:rPr>
                <w:w w:val="105"/>
                <w:sz w:val="13"/>
              </w:rPr>
              <w:t>0.41</w:t>
            </w:r>
          </w:p>
          <w:p>
            <w:pPr>
              <w:pStyle w:val="TableParagraph"/>
              <w:spacing w:before="35"/>
              <w:ind w:left="138" w:right="142"/>
              <w:rPr>
                <w:sz w:val="13"/>
              </w:rPr>
            </w:pPr>
            <w:r>
              <w:rPr>
                <w:w w:val="105"/>
                <w:sz w:val="13"/>
              </w:rPr>
              <w:t>1.6</w:t>
            </w:r>
            <w:r>
              <w:rPr>
                <w:rFonts w:ascii="Calibri" w:hAnsi="Calibri"/>
                <w:w w:val="105"/>
                <w:sz w:val="13"/>
              </w:rPr>
              <w:t>±</w:t>
            </w:r>
            <w:r>
              <w:rPr>
                <w:w w:val="105"/>
                <w:sz w:val="13"/>
              </w:rPr>
              <w:t>1.7</w:t>
            </w:r>
          </w:p>
        </w:tc>
        <w:tc>
          <w:tcPr>
            <w:tcW w:w="775" w:type="dxa"/>
            <w:tcBorders>
              <w:left w:val="dotted" w:sz="4" w:space="0" w:color="30859C"/>
              <w:right w:val="dotted" w:sz="4" w:space="0" w:color="30859C"/>
            </w:tcBorders>
            <w:shd w:val="clear" w:color="auto" w:fill="77DFDD"/>
          </w:tcPr>
          <w:p>
            <w:pPr>
              <w:pStyle w:val="TableParagraph"/>
              <w:spacing w:before="26"/>
              <w:ind w:left="18" w:right="20"/>
              <w:rPr>
                <w:sz w:val="13"/>
              </w:rPr>
            </w:pPr>
            <w:r>
              <w:rPr>
                <w:w w:val="105"/>
                <w:sz w:val="13"/>
              </w:rPr>
              <w:t>16.2</w:t>
            </w:r>
            <w:r>
              <w:rPr>
                <w:rFonts w:ascii="Calibri" w:hAnsi="Calibri"/>
                <w:w w:val="105"/>
                <w:sz w:val="13"/>
              </w:rPr>
              <w:t>±</w:t>
            </w:r>
            <w:r>
              <w:rPr>
                <w:w w:val="105"/>
                <w:sz w:val="13"/>
              </w:rPr>
              <w:t>10.9</w:t>
            </w:r>
          </w:p>
          <w:p>
            <w:pPr>
              <w:pStyle w:val="TableParagraph"/>
              <w:spacing w:before="30"/>
              <w:ind w:left="18" w:right="20"/>
              <w:rPr>
                <w:sz w:val="13"/>
              </w:rPr>
            </w:pPr>
            <w:r>
              <w:rPr>
                <w:w w:val="105"/>
                <w:sz w:val="13"/>
              </w:rPr>
              <w:t>0.79</w:t>
            </w:r>
          </w:p>
          <w:p>
            <w:pPr>
              <w:pStyle w:val="TableParagraph"/>
              <w:spacing w:before="35"/>
              <w:ind w:left="26" w:right="20"/>
              <w:rPr>
                <w:sz w:val="13"/>
              </w:rPr>
            </w:pPr>
            <w:r>
              <w:rPr>
                <w:w w:val="105"/>
                <w:sz w:val="13"/>
              </w:rPr>
              <w:t>16.6</w:t>
            </w:r>
            <w:r>
              <w:rPr>
                <w:rFonts w:ascii="Calibri" w:hAnsi="Calibri"/>
                <w:w w:val="105"/>
                <w:sz w:val="13"/>
              </w:rPr>
              <w:t>±</w:t>
            </w:r>
            <w:r>
              <w:rPr>
                <w:w w:val="105"/>
                <w:sz w:val="13"/>
              </w:rPr>
              <w:t>9.1</w:t>
            </w:r>
          </w:p>
        </w:tc>
        <w:tc>
          <w:tcPr>
            <w:tcW w:w="775" w:type="dxa"/>
            <w:tcBorders>
              <w:left w:val="dotted" w:sz="4" w:space="0" w:color="30859C"/>
              <w:right w:val="dotted" w:sz="4" w:space="0" w:color="30859C"/>
            </w:tcBorders>
            <w:shd w:val="clear" w:color="auto" w:fill="77DFDD"/>
          </w:tcPr>
          <w:p>
            <w:pPr>
              <w:pStyle w:val="TableParagraph"/>
              <w:spacing w:before="26"/>
              <w:ind w:left="27" w:right="20"/>
              <w:rPr>
                <w:sz w:val="13"/>
              </w:rPr>
            </w:pPr>
            <w:r>
              <w:rPr>
                <w:w w:val="105"/>
                <w:sz w:val="13"/>
              </w:rPr>
              <w:t>10.0</w:t>
            </w:r>
            <w:r>
              <w:rPr>
                <w:rFonts w:ascii="Calibri" w:hAnsi="Calibri"/>
                <w:w w:val="105"/>
                <w:sz w:val="13"/>
              </w:rPr>
              <w:t>±</w:t>
            </w:r>
            <w:r>
              <w:rPr>
                <w:w w:val="105"/>
                <w:sz w:val="13"/>
              </w:rPr>
              <w:t>7.0</w:t>
            </w:r>
          </w:p>
          <w:p>
            <w:pPr>
              <w:pStyle w:val="TableParagraph"/>
              <w:spacing w:before="30"/>
              <w:ind w:left="20" w:right="20"/>
              <w:rPr>
                <w:sz w:val="13"/>
              </w:rPr>
            </w:pPr>
            <w:r>
              <w:rPr>
                <w:w w:val="105"/>
                <w:sz w:val="13"/>
              </w:rPr>
              <w:t>0.59</w:t>
            </w:r>
          </w:p>
          <w:p>
            <w:pPr>
              <w:pStyle w:val="TableParagraph"/>
              <w:spacing w:before="35"/>
              <w:ind w:left="158"/>
              <w:jc w:val="left"/>
              <w:rPr>
                <w:sz w:val="13"/>
              </w:rPr>
            </w:pPr>
            <w:r>
              <w:rPr>
                <w:w w:val="105"/>
                <w:sz w:val="13"/>
              </w:rPr>
              <w:t>9.0</w:t>
            </w:r>
            <w:r>
              <w:rPr>
                <w:rFonts w:ascii="Calibri" w:hAnsi="Calibri"/>
                <w:w w:val="105"/>
                <w:sz w:val="13"/>
              </w:rPr>
              <w:t>±</w:t>
            </w:r>
            <w:r>
              <w:rPr>
                <w:w w:val="105"/>
                <w:sz w:val="13"/>
              </w:rPr>
              <w:t>6.0</w:t>
            </w:r>
          </w:p>
        </w:tc>
        <w:tc>
          <w:tcPr>
            <w:tcW w:w="775" w:type="dxa"/>
            <w:tcBorders>
              <w:left w:val="dotted" w:sz="4" w:space="0" w:color="30859C"/>
              <w:right w:val="dotted" w:sz="4" w:space="0" w:color="30859C"/>
            </w:tcBorders>
            <w:shd w:val="clear" w:color="auto" w:fill="77DFDD"/>
          </w:tcPr>
          <w:p>
            <w:pPr>
              <w:pStyle w:val="TableParagraph"/>
              <w:spacing w:before="26"/>
              <w:ind w:left="158"/>
              <w:jc w:val="left"/>
              <w:rPr>
                <w:sz w:val="13"/>
              </w:rPr>
            </w:pPr>
            <w:r>
              <w:rPr>
                <w:w w:val="105"/>
                <w:sz w:val="13"/>
              </w:rPr>
              <w:t>5.0</w:t>
            </w:r>
            <w:r>
              <w:rPr>
                <w:rFonts w:ascii="Calibri" w:hAnsi="Calibri"/>
                <w:w w:val="105"/>
                <w:sz w:val="13"/>
              </w:rPr>
              <w:t>±</w:t>
            </w:r>
            <w:r>
              <w:rPr>
                <w:w w:val="105"/>
                <w:sz w:val="13"/>
              </w:rPr>
              <w:t>6.2</w:t>
            </w:r>
          </w:p>
          <w:p>
            <w:pPr>
              <w:pStyle w:val="TableParagraph"/>
              <w:spacing w:before="30"/>
              <w:ind w:left="252"/>
              <w:jc w:val="left"/>
              <w:rPr>
                <w:sz w:val="13"/>
              </w:rPr>
            </w:pPr>
            <w:r>
              <w:rPr>
                <w:w w:val="105"/>
                <w:sz w:val="13"/>
              </w:rPr>
              <w:t>0.74</w:t>
            </w:r>
          </w:p>
          <w:p>
            <w:pPr>
              <w:pStyle w:val="TableParagraph"/>
              <w:spacing w:before="35"/>
              <w:ind w:left="158"/>
              <w:jc w:val="left"/>
              <w:rPr>
                <w:sz w:val="13"/>
              </w:rPr>
            </w:pPr>
            <w:r>
              <w:rPr>
                <w:w w:val="105"/>
                <w:sz w:val="13"/>
              </w:rPr>
              <w:t>5.2</w:t>
            </w:r>
            <w:r>
              <w:rPr>
                <w:rFonts w:ascii="Calibri" w:hAnsi="Calibri"/>
                <w:w w:val="105"/>
                <w:sz w:val="13"/>
              </w:rPr>
              <w:t>±</w:t>
            </w:r>
            <w:r>
              <w:rPr>
                <w:w w:val="105"/>
                <w:sz w:val="13"/>
              </w:rPr>
              <w:t>6.3</w:t>
            </w:r>
          </w:p>
        </w:tc>
        <w:tc>
          <w:tcPr>
            <w:tcW w:w="775" w:type="dxa"/>
            <w:tcBorders>
              <w:left w:val="dotted" w:sz="4" w:space="0" w:color="30859C"/>
              <w:right w:val="dotted" w:sz="4" w:space="0" w:color="30859C"/>
            </w:tcBorders>
            <w:shd w:val="clear" w:color="auto" w:fill="77DFDD"/>
          </w:tcPr>
          <w:p>
            <w:pPr>
              <w:pStyle w:val="TableParagraph"/>
              <w:spacing w:before="26"/>
              <w:ind w:left="159"/>
              <w:jc w:val="left"/>
              <w:rPr>
                <w:sz w:val="13"/>
              </w:rPr>
            </w:pPr>
            <w:r>
              <w:rPr>
                <w:w w:val="105"/>
                <w:sz w:val="13"/>
              </w:rPr>
              <w:t>1.5</w:t>
            </w:r>
            <w:r>
              <w:rPr>
                <w:rFonts w:ascii="Calibri" w:hAnsi="Calibri"/>
                <w:w w:val="105"/>
                <w:sz w:val="13"/>
              </w:rPr>
              <w:t>±</w:t>
            </w:r>
            <w:r>
              <w:rPr>
                <w:w w:val="105"/>
                <w:sz w:val="13"/>
              </w:rPr>
              <w:t>1.6</w:t>
            </w:r>
          </w:p>
          <w:p>
            <w:pPr>
              <w:pStyle w:val="TableParagraph"/>
              <w:spacing w:before="30"/>
              <w:ind w:left="252"/>
              <w:jc w:val="left"/>
              <w:rPr>
                <w:sz w:val="13"/>
              </w:rPr>
            </w:pPr>
            <w:r>
              <w:rPr>
                <w:w w:val="105"/>
                <w:sz w:val="13"/>
              </w:rPr>
              <w:t>0.47</w:t>
            </w:r>
          </w:p>
          <w:p>
            <w:pPr>
              <w:pStyle w:val="TableParagraph"/>
              <w:spacing w:before="35"/>
              <w:ind w:left="159"/>
              <w:jc w:val="left"/>
              <w:rPr>
                <w:sz w:val="13"/>
              </w:rPr>
            </w:pPr>
            <w:r>
              <w:rPr>
                <w:w w:val="105"/>
                <w:sz w:val="13"/>
              </w:rPr>
              <w:t>2.3</w:t>
            </w:r>
            <w:r>
              <w:rPr>
                <w:rFonts w:ascii="Calibri" w:hAnsi="Calibri"/>
                <w:w w:val="105"/>
                <w:sz w:val="13"/>
              </w:rPr>
              <w:t>±</w:t>
            </w:r>
            <w:r>
              <w:rPr>
                <w:w w:val="105"/>
                <w:sz w:val="13"/>
              </w:rPr>
              <w:t>2.8</w:t>
            </w:r>
          </w:p>
        </w:tc>
        <w:tc>
          <w:tcPr>
            <w:tcW w:w="775" w:type="dxa"/>
            <w:tcBorders>
              <w:left w:val="dotted" w:sz="4" w:space="0" w:color="30859C"/>
              <w:right w:val="dotted" w:sz="4" w:space="0" w:color="30859C"/>
            </w:tcBorders>
            <w:shd w:val="clear" w:color="auto" w:fill="77DFDD"/>
          </w:tcPr>
          <w:p>
            <w:pPr>
              <w:pStyle w:val="TableParagraph"/>
              <w:spacing w:before="26"/>
              <w:ind w:left="24" w:right="20"/>
              <w:rPr>
                <w:sz w:val="13"/>
              </w:rPr>
            </w:pPr>
            <w:r>
              <w:rPr>
                <w:w w:val="105"/>
                <w:sz w:val="13"/>
              </w:rPr>
              <w:t>14.0</w:t>
            </w:r>
            <w:r>
              <w:rPr>
                <w:rFonts w:ascii="Calibri" w:hAnsi="Calibri"/>
                <w:w w:val="105"/>
                <w:sz w:val="13"/>
              </w:rPr>
              <w:t>±</w:t>
            </w:r>
            <w:r>
              <w:rPr>
                <w:w w:val="105"/>
                <w:sz w:val="13"/>
              </w:rPr>
              <w:t>14.8</w:t>
            </w:r>
          </w:p>
          <w:p>
            <w:pPr>
              <w:pStyle w:val="TableParagraph"/>
              <w:spacing w:before="30"/>
              <w:ind w:left="24" w:right="20"/>
              <w:rPr>
                <w:sz w:val="13"/>
              </w:rPr>
            </w:pPr>
            <w:r>
              <w:rPr>
                <w:w w:val="105"/>
                <w:sz w:val="13"/>
              </w:rPr>
              <w:t>0.68</w:t>
            </w:r>
          </w:p>
          <w:p>
            <w:pPr>
              <w:pStyle w:val="TableParagraph"/>
              <w:spacing w:before="35"/>
              <w:ind w:left="24" w:right="20"/>
              <w:rPr>
                <w:sz w:val="13"/>
              </w:rPr>
            </w:pPr>
            <w:r>
              <w:rPr>
                <w:w w:val="105"/>
                <w:sz w:val="13"/>
              </w:rPr>
              <w:t>12.1</w:t>
            </w:r>
            <w:r>
              <w:rPr>
                <w:rFonts w:ascii="Calibri" w:hAnsi="Calibri"/>
                <w:w w:val="105"/>
                <w:sz w:val="13"/>
              </w:rPr>
              <w:t>±</w:t>
            </w:r>
            <w:r>
              <w:rPr>
                <w:w w:val="105"/>
                <w:sz w:val="13"/>
              </w:rPr>
              <w:t>11.2</w:t>
            </w:r>
          </w:p>
        </w:tc>
        <w:tc>
          <w:tcPr>
            <w:tcW w:w="770" w:type="dxa"/>
            <w:tcBorders>
              <w:left w:val="dotted" w:sz="4" w:space="0" w:color="30859C"/>
            </w:tcBorders>
            <w:shd w:val="clear" w:color="auto" w:fill="77DFDD"/>
          </w:tcPr>
          <w:p>
            <w:pPr>
              <w:pStyle w:val="TableParagraph"/>
              <w:spacing w:before="26"/>
              <w:ind w:left="25" w:right="20"/>
              <w:rPr>
                <w:sz w:val="13"/>
              </w:rPr>
            </w:pPr>
            <w:r>
              <w:rPr>
                <w:w w:val="105"/>
                <w:sz w:val="13"/>
              </w:rPr>
              <w:t>49.1</w:t>
            </w:r>
            <w:r>
              <w:rPr>
                <w:rFonts w:ascii="Calibri" w:hAnsi="Calibri"/>
                <w:w w:val="105"/>
                <w:sz w:val="13"/>
              </w:rPr>
              <w:t>±</w:t>
            </w:r>
            <w:r>
              <w:rPr>
                <w:w w:val="105"/>
                <w:sz w:val="13"/>
              </w:rPr>
              <w:t>17.7</w:t>
            </w:r>
          </w:p>
          <w:p>
            <w:pPr>
              <w:pStyle w:val="TableParagraph"/>
              <w:spacing w:before="30"/>
              <w:ind w:left="25" w:right="20"/>
              <w:rPr>
                <w:sz w:val="13"/>
              </w:rPr>
            </w:pPr>
            <w:r>
              <w:rPr>
                <w:w w:val="105"/>
                <w:sz w:val="13"/>
              </w:rPr>
              <w:t>0.81</w:t>
            </w:r>
          </w:p>
          <w:p>
            <w:pPr>
              <w:pStyle w:val="TableParagraph"/>
              <w:spacing w:before="35"/>
              <w:ind w:left="25" w:right="20"/>
              <w:rPr>
                <w:sz w:val="13"/>
              </w:rPr>
            </w:pPr>
            <w:r>
              <w:rPr>
                <w:w w:val="105"/>
                <w:sz w:val="13"/>
              </w:rPr>
              <w:t>47.2</w:t>
            </w:r>
            <w:r>
              <w:rPr>
                <w:rFonts w:ascii="Calibri" w:hAnsi="Calibri"/>
                <w:w w:val="105"/>
                <w:sz w:val="13"/>
              </w:rPr>
              <w:t>±</w:t>
            </w:r>
            <w:r>
              <w:rPr>
                <w:w w:val="105"/>
                <w:sz w:val="13"/>
              </w:rPr>
              <w:t>21.8</w:t>
            </w:r>
          </w:p>
        </w:tc>
      </w:tr>
      <w:tr>
        <w:trPr>
          <w:trHeight w:val="557" w:hRule="exact"/>
        </w:trPr>
        <w:tc>
          <w:tcPr>
            <w:tcW w:w="1075" w:type="dxa"/>
            <w:gridSpan w:val="2"/>
            <w:shd w:val="clear" w:color="auto" w:fill="B4EDEC"/>
          </w:tcPr>
          <w:p>
            <w:pPr>
              <w:pStyle w:val="TableParagraph"/>
              <w:spacing w:before="31"/>
              <w:ind w:left="242" w:right="94"/>
              <w:jc w:val="left"/>
              <w:rPr>
                <w:b/>
                <w:sz w:val="13"/>
              </w:rPr>
            </w:pPr>
            <w:r>
              <w:rPr>
                <w:b/>
                <w:w w:val="105"/>
                <w:sz w:val="13"/>
              </w:rPr>
              <w:t>Fumador</w:t>
            </w:r>
          </w:p>
          <w:p>
            <w:pPr>
              <w:pStyle w:val="TableParagraph"/>
              <w:spacing w:before="33"/>
              <w:ind w:left="325" w:right="246"/>
              <w:jc w:val="left"/>
              <w:rPr>
                <w:b/>
                <w:sz w:val="13"/>
              </w:rPr>
            </w:pPr>
            <w:r>
              <w:rPr>
                <w:b/>
                <w:w w:val="105"/>
                <w:sz w:val="13"/>
              </w:rPr>
              <w:t>pasivo</w:t>
            </w:r>
          </w:p>
        </w:tc>
        <w:tc>
          <w:tcPr>
            <w:tcW w:w="475" w:type="dxa"/>
            <w:shd w:val="clear" w:color="auto" w:fill="B4EDEC"/>
          </w:tcPr>
          <w:p>
            <w:pPr>
              <w:pStyle w:val="TableParagraph"/>
              <w:spacing w:before="31"/>
              <w:ind w:left="18"/>
              <w:jc w:val="left"/>
              <w:rPr>
                <w:sz w:val="13"/>
              </w:rPr>
            </w:pPr>
            <w:r>
              <w:rPr>
                <w:w w:val="105"/>
                <w:sz w:val="13"/>
              </w:rPr>
              <w:t>Si</w:t>
            </w:r>
          </w:p>
          <w:p>
            <w:pPr>
              <w:pStyle w:val="TableParagraph"/>
              <w:spacing w:before="0"/>
              <w:jc w:val="left"/>
              <w:rPr>
                <w:b/>
                <w:sz w:val="12"/>
              </w:rPr>
            </w:pPr>
          </w:p>
          <w:p>
            <w:pPr>
              <w:pStyle w:val="TableParagraph"/>
              <w:spacing w:before="85"/>
              <w:ind w:left="18"/>
              <w:jc w:val="left"/>
              <w:rPr>
                <w:sz w:val="13"/>
              </w:rPr>
            </w:pPr>
            <w:r>
              <w:rPr>
                <w:w w:val="105"/>
                <w:sz w:val="13"/>
              </w:rPr>
              <w:t>No</w:t>
            </w:r>
          </w:p>
        </w:tc>
        <w:tc>
          <w:tcPr>
            <w:tcW w:w="388" w:type="dxa"/>
            <w:tcBorders>
              <w:right w:val="dotted" w:sz="4" w:space="0" w:color="30859C"/>
            </w:tcBorders>
            <w:shd w:val="clear" w:color="auto" w:fill="B4EDEC"/>
          </w:tcPr>
          <w:p>
            <w:pPr>
              <w:pStyle w:val="TableParagraph"/>
              <w:spacing w:before="0"/>
              <w:jc w:val="left"/>
              <w:rPr>
                <w:b/>
                <w:sz w:val="12"/>
              </w:rPr>
            </w:pPr>
          </w:p>
          <w:p>
            <w:pPr>
              <w:pStyle w:val="TableParagraph"/>
              <w:spacing w:before="79"/>
              <w:ind w:right="10"/>
              <w:jc w:val="right"/>
              <w:rPr>
                <w:b/>
                <w:sz w:val="13"/>
              </w:rPr>
            </w:pPr>
            <w:r>
              <w:rPr>
                <w:b/>
                <w:w w:val="103"/>
                <w:sz w:val="13"/>
              </w:rPr>
              <w:t>p</w:t>
            </w:r>
          </w:p>
        </w:tc>
        <w:tc>
          <w:tcPr>
            <w:tcW w:w="775" w:type="dxa"/>
            <w:tcBorders>
              <w:left w:val="dotted" w:sz="4" w:space="0" w:color="30859C"/>
              <w:right w:val="dotted" w:sz="4" w:space="0" w:color="30859C"/>
            </w:tcBorders>
            <w:shd w:val="clear" w:color="auto" w:fill="B4EDEC"/>
          </w:tcPr>
          <w:p>
            <w:pPr>
              <w:pStyle w:val="TableParagraph"/>
              <w:numPr>
                <w:ilvl w:val="1"/>
                <w:numId w:val="35"/>
              </w:numPr>
              <w:tabs>
                <w:tab w:pos="340" w:val="left" w:leader="none"/>
              </w:tabs>
              <w:spacing w:line="240" w:lineRule="auto" w:before="29" w:after="0"/>
              <w:ind w:left="339" w:right="0" w:hanging="190"/>
              <w:jc w:val="left"/>
              <w:rPr>
                <w:sz w:val="13"/>
              </w:rPr>
            </w:pPr>
            <w:r>
              <w:rPr>
                <w:rFonts w:ascii="Calibri" w:hAnsi="Calibri"/>
                <w:w w:val="105"/>
                <w:sz w:val="13"/>
              </w:rPr>
              <w:t>±</w:t>
            </w:r>
            <w:r>
              <w:rPr>
                <w:w w:val="105"/>
                <w:sz w:val="13"/>
              </w:rPr>
              <w:t>0.6</w:t>
            </w:r>
          </w:p>
          <w:p>
            <w:pPr>
              <w:pStyle w:val="TableParagraph"/>
              <w:spacing w:before="29"/>
              <w:ind w:left="242"/>
              <w:jc w:val="left"/>
              <w:rPr>
                <w:sz w:val="13"/>
              </w:rPr>
            </w:pPr>
            <w:r>
              <w:rPr>
                <w:w w:val="105"/>
                <w:sz w:val="13"/>
              </w:rPr>
              <w:t>0.74</w:t>
            </w:r>
          </w:p>
          <w:p>
            <w:pPr>
              <w:pStyle w:val="TableParagraph"/>
              <w:numPr>
                <w:ilvl w:val="1"/>
                <w:numId w:val="35"/>
              </w:numPr>
              <w:tabs>
                <w:tab w:pos="340" w:val="left" w:leader="none"/>
              </w:tabs>
              <w:spacing w:line="240" w:lineRule="auto" w:before="35" w:after="0"/>
              <w:ind w:left="339" w:right="0" w:hanging="190"/>
              <w:jc w:val="left"/>
              <w:rPr>
                <w:sz w:val="13"/>
              </w:rPr>
            </w:pPr>
            <w:r>
              <w:rPr>
                <w:rFonts w:ascii="Calibri" w:hAnsi="Calibri"/>
                <w:w w:val="105"/>
                <w:sz w:val="13"/>
              </w:rPr>
              <w:t>±</w:t>
            </w:r>
            <w:r>
              <w:rPr>
                <w:w w:val="105"/>
                <w:sz w:val="13"/>
              </w:rPr>
              <w:t>0.7</w:t>
            </w:r>
          </w:p>
        </w:tc>
        <w:tc>
          <w:tcPr>
            <w:tcW w:w="848" w:type="dxa"/>
            <w:tcBorders>
              <w:left w:val="dotted" w:sz="4" w:space="0" w:color="30859C"/>
              <w:right w:val="dotted" w:sz="4" w:space="0" w:color="30859C"/>
            </w:tcBorders>
            <w:shd w:val="clear" w:color="auto" w:fill="B4EDEC"/>
          </w:tcPr>
          <w:p>
            <w:pPr>
              <w:pStyle w:val="TableParagraph"/>
              <w:spacing w:before="29"/>
              <w:ind w:left="138" w:right="142"/>
              <w:rPr>
                <w:sz w:val="13"/>
              </w:rPr>
            </w:pPr>
            <w:r>
              <w:rPr>
                <w:w w:val="105"/>
                <w:sz w:val="13"/>
              </w:rPr>
              <w:t>1.4</w:t>
            </w:r>
            <w:r>
              <w:rPr>
                <w:rFonts w:ascii="Calibri" w:hAnsi="Calibri"/>
                <w:w w:val="105"/>
                <w:sz w:val="13"/>
              </w:rPr>
              <w:t>±</w:t>
            </w:r>
            <w:r>
              <w:rPr>
                <w:w w:val="105"/>
                <w:sz w:val="13"/>
              </w:rPr>
              <w:t>1.8</w:t>
            </w:r>
          </w:p>
          <w:p>
            <w:pPr>
              <w:pStyle w:val="TableParagraph"/>
              <w:spacing w:before="29"/>
              <w:ind w:left="138" w:right="142"/>
              <w:rPr>
                <w:sz w:val="13"/>
              </w:rPr>
            </w:pPr>
            <w:r>
              <w:rPr>
                <w:w w:val="105"/>
                <w:sz w:val="13"/>
              </w:rPr>
              <w:t>0.34</w:t>
            </w:r>
          </w:p>
          <w:p>
            <w:pPr>
              <w:pStyle w:val="TableParagraph"/>
              <w:spacing w:before="35"/>
              <w:ind w:left="138" w:right="142"/>
              <w:rPr>
                <w:sz w:val="13"/>
              </w:rPr>
            </w:pPr>
            <w:r>
              <w:rPr>
                <w:w w:val="105"/>
                <w:sz w:val="13"/>
              </w:rPr>
              <w:t>1.8</w:t>
            </w:r>
            <w:r>
              <w:rPr>
                <w:rFonts w:ascii="Calibri" w:hAnsi="Calibri"/>
                <w:w w:val="105"/>
                <w:sz w:val="13"/>
              </w:rPr>
              <w:t>±</w:t>
            </w:r>
            <w:r>
              <w:rPr>
                <w:w w:val="105"/>
                <w:sz w:val="13"/>
              </w:rPr>
              <w:t>1.8</w:t>
            </w:r>
          </w:p>
        </w:tc>
        <w:tc>
          <w:tcPr>
            <w:tcW w:w="775" w:type="dxa"/>
            <w:tcBorders>
              <w:left w:val="dotted" w:sz="4" w:space="0" w:color="30859C"/>
              <w:bottom w:val="dotted" w:sz="4" w:space="0" w:color="30859C"/>
              <w:right w:val="dotted" w:sz="4" w:space="0" w:color="30859C"/>
            </w:tcBorders>
            <w:shd w:val="clear" w:color="auto" w:fill="B4EDEC"/>
          </w:tcPr>
          <w:p>
            <w:pPr>
              <w:pStyle w:val="TableParagraph"/>
              <w:spacing w:before="29"/>
              <w:ind w:left="26" w:right="20"/>
              <w:rPr>
                <w:sz w:val="13"/>
              </w:rPr>
            </w:pPr>
            <w:r>
              <w:rPr>
                <w:w w:val="105"/>
                <w:sz w:val="13"/>
              </w:rPr>
              <w:t>16.6</w:t>
            </w:r>
            <w:r>
              <w:rPr>
                <w:rFonts w:ascii="Calibri" w:hAnsi="Calibri"/>
                <w:w w:val="105"/>
                <w:sz w:val="13"/>
              </w:rPr>
              <w:t>±</w:t>
            </w:r>
            <w:r>
              <w:rPr>
                <w:w w:val="105"/>
                <w:sz w:val="13"/>
              </w:rPr>
              <w:t>7.1</w:t>
            </w:r>
          </w:p>
          <w:p>
            <w:pPr>
              <w:pStyle w:val="TableParagraph"/>
              <w:spacing w:before="29"/>
              <w:ind w:left="18" w:right="20"/>
              <w:rPr>
                <w:sz w:val="13"/>
              </w:rPr>
            </w:pPr>
            <w:r>
              <w:rPr>
                <w:w w:val="105"/>
                <w:sz w:val="13"/>
              </w:rPr>
              <w:t>0.93</w:t>
            </w:r>
          </w:p>
          <w:p>
            <w:pPr>
              <w:pStyle w:val="TableParagraph"/>
              <w:spacing w:before="35"/>
              <w:ind w:left="18" w:right="20"/>
              <w:rPr>
                <w:sz w:val="13"/>
              </w:rPr>
            </w:pPr>
            <w:r>
              <w:rPr>
                <w:w w:val="105"/>
                <w:sz w:val="13"/>
              </w:rPr>
              <w:t>16.5</w:t>
            </w:r>
            <w:r>
              <w:rPr>
                <w:rFonts w:ascii="Calibri" w:hAnsi="Calibri"/>
                <w:w w:val="105"/>
                <w:sz w:val="13"/>
              </w:rPr>
              <w:t>±</w:t>
            </w:r>
            <w:r>
              <w:rPr>
                <w:w w:val="105"/>
                <w:sz w:val="13"/>
              </w:rPr>
              <w:t>10.0</w:t>
            </w:r>
          </w:p>
        </w:tc>
        <w:tc>
          <w:tcPr>
            <w:tcW w:w="775" w:type="dxa"/>
            <w:tcBorders>
              <w:left w:val="dotted" w:sz="4" w:space="0" w:color="30859C"/>
              <w:bottom w:val="dotted" w:sz="4" w:space="0" w:color="30859C"/>
              <w:right w:val="dotted" w:sz="4" w:space="0" w:color="30859C"/>
            </w:tcBorders>
            <w:shd w:val="clear" w:color="auto" w:fill="B4EDEC"/>
          </w:tcPr>
          <w:p>
            <w:pPr>
              <w:pStyle w:val="TableParagraph"/>
              <w:spacing w:before="29"/>
              <w:ind w:left="158"/>
              <w:jc w:val="left"/>
              <w:rPr>
                <w:sz w:val="13"/>
              </w:rPr>
            </w:pPr>
            <w:r>
              <w:rPr>
                <w:w w:val="105"/>
                <w:sz w:val="13"/>
              </w:rPr>
              <w:t>9.2</w:t>
            </w:r>
            <w:r>
              <w:rPr>
                <w:rFonts w:ascii="Calibri" w:hAnsi="Calibri"/>
                <w:w w:val="105"/>
                <w:sz w:val="13"/>
              </w:rPr>
              <w:t>±</w:t>
            </w:r>
            <w:r>
              <w:rPr>
                <w:w w:val="105"/>
                <w:sz w:val="13"/>
              </w:rPr>
              <w:t>3.1</w:t>
            </w:r>
          </w:p>
          <w:p>
            <w:pPr>
              <w:pStyle w:val="TableParagraph"/>
              <w:spacing w:before="29"/>
              <w:ind w:left="251"/>
              <w:jc w:val="left"/>
              <w:rPr>
                <w:sz w:val="13"/>
              </w:rPr>
            </w:pPr>
            <w:r>
              <w:rPr>
                <w:w w:val="105"/>
                <w:sz w:val="13"/>
              </w:rPr>
              <w:t>0.40</w:t>
            </w:r>
          </w:p>
          <w:p>
            <w:pPr>
              <w:pStyle w:val="TableParagraph"/>
              <w:spacing w:before="35"/>
              <w:ind w:left="158"/>
              <w:jc w:val="left"/>
              <w:rPr>
                <w:sz w:val="13"/>
              </w:rPr>
            </w:pPr>
            <w:r>
              <w:rPr>
                <w:w w:val="105"/>
                <w:sz w:val="13"/>
              </w:rPr>
              <w:t>9.2</w:t>
            </w:r>
            <w:r>
              <w:rPr>
                <w:rFonts w:ascii="Calibri" w:hAnsi="Calibri"/>
                <w:w w:val="105"/>
                <w:sz w:val="13"/>
              </w:rPr>
              <w:t>±</w:t>
            </w:r>
            <w:r>
              <w:rPr>
                <w:w w:val="105"/>
                <w:sz w:val="13"/>
              </w:rPr>
              <w:t>6.9</w:t>
            </w:r>
          </w:p>
        </w:tc>
        <w:tc>
          <w:tcPr>
            <w:tcW w:w="775" w:type="dxa"/>
            <w:tcBorders>
              <w:left w:val="dotted" w:sz="4" w:space="0" w:color="30859C"/>
              <w:bottom w:val="dotted" w:sz="4" w:space="0" w:color="30859C"/>
              <w:right w:val="dotted" w:sz="4" w:space="0" w:color="30859C"/>
            </w:tcBorders>
            <w:shd w:val="clear" w:color="auto" w:fill="B4EDEC"/>
          </w:tcPr>
          <w:p>
            <w:pPr>
              <w:pStyle w:val="TableParagraph"/>
              <w:spacing w:before="29"/>
              <w:ind w:left="158"/>
              <w:jc w:val="left"/>
              <w:rPr>
                <w:sz w:val="13"/>
              </w:rPr>
            </w:pPr>
            <w:r>
              <w:rPr>
                <w:w w:val="105"/>
                <w:sz w:val="13"/>
              </w:rPr>
              <w:t>6.2</w:t>
            </w:r>
            <w:r>
              <w:rPr>
                <w:rFonts w:ascii="Calibri" w:hAnsi="Calibri"/>
                <w:w w:val="105"/>
                <w:sz w:val="13"/>
              </w:rPr>
              <w:t>±</w:t>
            </w:r>
            <w:r>
              <w:rPr>
                <w:w w:val="105"/>
                <w:sz w:val="13"/>
              </w:rPr>
              <w:t>6.7</w:t>
            </w:r>
          </w:p>
          <w:p>
            <w:pPr>
              <w:pStyle w:val="TableParagraph"/>
              <w:spacing w:before="29"/>
              <w:ind w:left="252"/>
              <w:jc w:val="left"/>
              <w:rPr>
                <w:sz w:val="13"/>
              </w:rPr>
            </w:pPr>
            <w:r>
              <w:rPr>
                <w:w w:val="105"/>
                <w:sz w:val="13"/>
              </w:rPr>
              <w:t>0.42</w:t>
            </w:r>
          </w:p>
          <w:p>
            <w:pPr>
              <w:pStyle w:val="TableParagraph"/>
              <w:spacing w:before="35"/>
              <w:ind w:left="158"/>
              <w:jc w:val="left"/>
              <w:rPr>
                <w:sz w:val="13"/>
              </w:rPr>
            </w:pPr>
            <w:r>
              <w:rPr>
                <w:w w:val="105"/>
                <w:sz w:val="13"/>
              </w:rPr>
              <w:t>4.9</w:t>
            </w:r>
            <w:r>
              <w:rPr>
                <w:rFonts w:ascii="Calibri" w:hAnsi="Calibri"/>
                <w:w w:val="105"/>
                <w:sz w:val="13"/>
              </w:rPr>
              <w:t>±</w:t>
            </w:r>
            <w:r>
              <w:rPr>
                <w:w w:val="105"/>
                <w:sz w:val="13"/>
              </w:rPr>
              <w:t>6.1</w:t>
            </w:r>
          </w:p>
        </w:tc>
        <w:tc>
          <w:tcPr>
            <w:tcW w:w="775" w:type="dxa"/>
            <w:tcBorders>
              <w:left w:val="dotted" w:sz="4" w:space="0" w:color="30859C"/>
              <w:bottom w:val="dotted" w:sz="4" w:space="0" w:color="30859C"/>
              <w:right w:val="dotted" w:sz="4" w:space="0" w:color="30859C"/>
            </w:tcBorders>
            <w:shd w:val="clear" w:color="auto" w:fill="B4EDEC"/>
          </w:tcPr>
          <w:p>
            <w:pPr>
              <w:pStyle w:val="TableParagraph"/>
              <w:spacing w:before="29"/>
              <w:ind w:left="159"/>
              <w:jc w:val="left"/>
              <w:rPr>
                <w:sz w:val="13"/>
              </w:rPr>
            </w:pPr>
            <w:r>
              <w:rPr>
                <w:w w:val="105"/>
                <w:sz w:val="13"/>
              </w:rPr>
              <w:t>2.4</w:t>
            </w:r>
            <w:r>
              <w:rPr>
                <w:rFonts w:ascii="Calibri" w:hAnsi="Calibri"/>
                <w:w w:val="105"/>
                <w:sz w:val="13"/>
              </w:rPr>
              <w:t>±</w:t>
            </w:r>
            <w:r>
              <w:rPr>
                <w:w w:val="105"/>
                <w:sz w:val="13"/>
              </w:rPr>
              <w:t>3.1</w:t>
            </w:r>
          </w:p>
          <w:p>
            <w:pPr>
              <w:pStyle w:val="TableParagraph"/>
              <w:spacing w:before="29"/>
              <w:ind w:left="252"/>
              <w:jc w:val="left"/>
              <w:rPr>
                <w:sz w:val="13"/>
              </w:rPr>
            </w:pPr>
            <w:r>
              <w:rPr>
                <w:w w:val="105"/>
                <w:sz w:val="13"/>
              </w:rPr>
              <w:t>0.93</w:t>
            </w:r>
          </w:p>
          <w:p>
            <w:pPr>
              <w:pStyle w:val="TableParagraph"/>
              <w:spacing w:before="35"/>
              <w:ind w:left="159"/>
              <w:jc w:val="left"/>
              <w:rPr>
                <w:sz w:val="13"/>
              </w:rPr>
            </w:pPr>
            <w:r>
              <w:rPr>
                <w:w w:val="105"/>
                <w:sz w:val="13"/>
              </w:rPr>
              <w:t>2.1</w:t>
            </w:r>
            <w:r>
              <w:rPr>
                <w:rFonts w:ascii="Calibri" w:hAnsi="Calibri"/>
                <w:w w:val="105"/>
                <w:sz w:val="13"/>
              </w:rPr>
              <w:t>±</w:t>
            </w:r>
            <w:r>
              <w:rPr>
                <w:w w:val="105"/>
                <w:sz w:val="13"/>
              </w:rPr>
              <w:t>2.5</w:t>
            </w:r>
          </w:p>
        </w:tc>
        <w:tc>
          <w:tcPr>
            <w:tcW w:w="775" w:type="dxa"/>
            <w:tcBorders>
              <w:left w:val="dotted" w:sz="4" w:space="0" w:color="30859C"/>
              <w:bottom w:val="dotted" w:sz="4" w:space="0" w:color="30859C"/>
              <w:right w:val="dotted" w:sz="4" w:space="0" w:color="30859C"/>
            </w:tcBorders>
            <w:shd w:val="clear" w:color="auto" w:fill="B4EDEC"/>
          </w:tcPr>
          <w:p>
            <w:pPr>
              <w:pStyle w:val="TableParagraph"/>
              <w:spacing w:before="29"/>
              <w:ind w:left="24" w:right="20"/>
              <w:rPr>
                <w:sz w:val="13"/>
              </w:rPr>
            </w:pPr>
            <w:r>
              <w:rPr>
                <w:w w:val="105"/>
                <w:sz w:val="13"/>
              </w:rPr>
              <w:t>15.9</w:t>
            </w:r>
            <w:r>
              <w:rPr>
                <w:rFonts w:ascii="Calibri" w:hAnsi="Calibri"/>
                <w:w w:val="105"/>
                <w:sz w:val="13"/>
              </w:rPr>
              <w:t>±</w:t>
            </w:r>
            <w:r>
              <w:rPr>
                <w:w w:val="105"/>
                <w:sz w:val="13"/>
              </w:rPr>
              <w:t>14.9</w:t>
            </w:r>
          </w:p>
          <w:p>
            <w:pPr>
              <w:pStyle w:val="TableParagraph"/>
              <w:spacing w:before="29"/>
              <w:ind w:left="24" w:right="20"/>
              <w:rPr>
                <w:sz w:val="13"/>
              </w:rPr>
            </w:pPr>
            <w:r>
              <w:rPr>
                <w:w w:val="105"/>
                <w:sz w:val="13"/>
              </w:rPr>
              <w:t>0.45</w:t>
            </w:r>
          </w:p>
          <w:p>
            <w:pPr>
              <w:pStyle w:val="TableParagraph"/>
              <w:spacing w:before="35"/>
              <w:ind w:left="24" w:right="20"/>
              <w:rPr>
                <w:sz w:val="13"/>
              </w:rPr>
            </w:pPr>
            <w:r>
              <w:rPr>
                <w:w w:val="105"/>
                <w:sz w:val="13"/>
              </w:rPr>
              <w:t>11.4</w:t>
            </w:r>
            <w:r>
              <w:rPr>
                <w:rFonts w:ascii="Calibri" w:hAnsi="Calibri"/>
                <w:w w:val="105"/>
                <w:sz w:val="13"/>
              </w:rPr>
              <w:t>±</w:t>
            </w:r>
            <w:r>
              <w:rPr>
                <w:w w:val="105"/>
                <w:sz w:val="13"/>
              </w:rPr>
              <w:t>10.7</w:t>
            </w:r>
          </w:p>
        </w:tc>
        <w:tc>
          <w:tcPr>
            <w:tcW w:w="770" w:type="dxa"/>
            <w:tcBorders>
              <w:left w:val="dotted" w:sz="4" w:space="0" w:color="30859C"/>
              <w:bottom w:val="dotted" w:sz="4" w:space="0" w:color="30859C"/>
            </w:tcBorders>
            <w:shd w:val="clear" w:color="auto" w:fill="B4EDEC"/>
          </w:tcPr>
          <w:p>
            <w:pPr>
              <w:pStyle w:val="TableParagraph"/>
              <w:spacing w:before="29"/>
              <w:ind w:left="25" w:right="20"/>
              <w:rPr>
                <w:sz w:val="13"/>
              </w:rPr>
            </w:pPr>
            <w:r>
              <w:rPr>
                <w:w w:val="105"/>
                <w:sz w:val="13"/>
              </w:rPr>
              <w:t>52.3</w:t>
            </w:r>
            <w:r>
              <w:rPr>
                <w:rFonts w:ascii="Calibri" w:hAnsi="Calibri"/>
                <w:w w:val="105"/>
                <w:sz w:val="13"/>
              </w:rPr>
              <w:t>±</w:t>
            </w:r>
            <w:r>
              <w:rPr>
                <w:w w:val="105"/>
                <w:sz w:val="13"/>
              </w:rPr>
              <w:t>22.6</w:t>
            </w:r>
          </w:p>
          <w:p>
            <w:pPr>
              <w:pStyle w:val="TableParagraph"/>
              <w:spacing w:before="29"/>
              <w:ind w:left="25" w:right="20"/>
              <w:rPr>
                <w:sz w:val="13"/>
              </w:rPr>
            </w:pPr>
            <w:r>
              <w:rPr>
                <w:w w:val="105"/>
                <w:sz w:val="13"/>
              </w:rPr>
              <w:t>0.47</w:t>
            </w:r>
          </w:p>
          <w:p>
            <w:pPr>
              <w:pStyle w:val="TableParagraph"/>
              <w:spacing w:before="35"/>
              <w:ind w:left="25" w:right="20"/>
              <w:rPr>
                <w:sz w:val="13"/>
              </w:rPr>
            </w:pPr>
            <w:r>
              <w:rPr>
                <w:w w:val="105"/>
                <w:sz w:val="13"/>
              </w:rPr>
              <w:t>46.1</w:t>
            </w:r>
            <w:r>
              <w:rPr>
                <w:rFonts w:ascii="Calibri" w:hAnsi="Calibri"/>
                <w:w w:val="105"/>
                <w:sz w:val="13"/>
              </w:rPr>
              <w:t>±</w:t>
            </w:r>
            <w:r>
              <w:rPr>
                <w:w w:val="105"/>
                <w:sz w:val="13"/>
              </w:rPr>
              <w:t>20.5</w:t>
            </w:r>
          </w:p>
        </w:tc>
      </w:tr>
      <w:tr>
        <w:trPr>
          <w:trHeight w:val="667" w:hRule="exact"/>
        </w:trPr>
        <w:tc>
          <w:tcPr>
            <w:tcW w:w="8207" w:type="dxa"/>
            <w:gridSpan w:val="12"/>
            <w:tcBorders>
              <w:right w:val="dotted" w:sz="4" w:space="0" w:color="30859C"/>
            </w:tcBorders>
          </w:tcPr>
          <w:p>
            <w:pPr>
              <w:pStyle w:val="TableParagraph"/>
              <w:spacing w:line="278" w:lineRule="auto" w:before="21"/>
              <w:ind w:left="14" w:right="2405"/>
              <w:jc w:val="left"/>
              <w:rPr>
                <w:sz w:val="12"/>
                <w:szCs w:val="12"/>
              </w:rPr>
            </w:pPr>
            <w:r>
              <w:rPr>
                <w:w w:val="105"/>
                <w:sz w:val="12"/>
                <w:szCs w:val="12"/>
              </w:rPr>
              <w:t>Valores expresados en Media </w:t>
            </w:r>
            <w:r>
              <w:rPr>
                <w:rFonts w:ascii="Calibri" w:hAnsi="Calibri" w:cs="Calibri" w:eastAsia="Calibri"/>
                <w:w w:val="105"/>
                <w:sz w:val="12"/>
                <w:szCs w:val="12"/>
              </w:rPr>
              <w:t>± </w:t>
            </w:r>
            <w:r>
              <w:rPr>
                <w:w w:val="105"/>
                <w:sz w:val="12"/>
                <w:szCs w:val="12"/>
              </w:rPr>
              <w:t>Desviación Estándar; </w:t>
            </w:r>
            <w:r>
              <w:rPr>
                <w:rFonts w:ascii="Courier New" w:hAnsi="Courier New" w:cs="Courier New" w:eastAsia="Courier New"/>
                <w:w w:val="105"/>
                <w:sz w:val="12"/>
                <w:szCs w:val="12"/>
              </w:rPr>
              <w:t>ᴥ</w:t>
            </w:r>
            <w:r>
              <w:rPr>
                <w:w w:val="105"/>
                <w:sz w:val="12"/>
                <w:szCs w:val="12"/>
              </w:rPr>
              <w:t>Correlación de Spearman; *U de Mann-Whitney Indíce de Masa Corporal (IMC)</w:t>
            </w:r>
          </w:p>
          <w:p>
            <w:pPr>
              <w:pStyle w:val="TableParagraph"/>
              <w:spacing w:before="13"/>
              <w:ind w:left="14" w:right="-7"/>
              <w:jc w:val="left"/>
              <w:rPr>
                <w:sz w:val="12"/>
              </w:rPr>
            </w:pPr>
            <w:r>
              <w:rPr>
                <w:w w:val="105"/>
                <w:sz w:val="12"/>
              </w:rPr>
              <w:t>Micronúcloes</w:t>
            </w:r>
            <w:r>
              <w:rPr>
                <w:spacing w:val="12"/>
                <w:w w:val="105"/>
                <w:sz w:val="12"/>
              </w:rPr>
              <w:t> </w:t>
            </w:r>
            <w:r>
              <w:rPr>
                <w:w w:val="105"/>
                <w:sz w:val="12"/>
              </w:rPr>
              <w:t>(MN);</w:t>
            </w:r>
            <w:r>
              <w:rPr>
                <w:spacing w:val="7"/>
                <w:w w:val="105"/>
                <w:sz w:val="12"/>
              </w:rPr>
              <w:t> </w:t>
            </w:r>
            <w:r>
              <w:rPr>
                <w:w w:val="105"/>
                <w:sz w:val="12"/>
              </w:rPr>
              <w:t>Núcleo</w:t>
            </w:r>
            <w:r>
              <w:rPr>
                <w:spacing w:val="14"/>
                <w:w w:val="105"/>
                <w:sz w:val="12"/>
              </w:rPr>
              <w:t> </w:t>
            </w:r>
            <w:r>
              <w:rPr>
                <w:w w:val="105"/>
                <w:sz w:val="12"/>
              </w:rPr>
              <w:t>Lobulado</w:t>
            </w:r>
            <w:r>
              <w:rPr>
                <w:spacing w:val="14"/>
                <w:w w:val="105"/>
                <w:sz w:val="12"/>
              </w:rPr>
              <w:t> </w:t>
            </w:r>
            <w:r>
              <w:rPr>
                <w:w w:val="105"/>
                <w:sz w:val="12"/>
              </w:rPr>
              <w:t>(NL);</w:t>
            </w:r>
            <w:r>
              <w:rPr>
                <w:spacing w:val="7"/>
                <w:w w:val="105"/>
                <w:sz w:val="12"/>
              </w:rPr>
              <w:t> </w:t>
            </w:r>
            <w:r>
              <w:rPr>
                <w:w w:val="105"/>
                <w:sz w:val="12"/>
              </w:rPr>
              <w:t>Picnosis</w:t>
            </w:r>
            <w:r>
              <w:rPr>
                <w:spacing w:val="11"/>
                <w:w w:val="105"/>
                <w:sz w:val="12"/>
              </w:rPr>
              <w:t> </w:t>
            </w:r>
            <w:r>
              <w:rPr>
                <w:w w:val="105"/>
                <w:sz w:val="12"/>
              </w:rPr>
              <w:t>(PC);</w:t>
            </w:r>
            <w:r>
              <w:rPr>
                <w:spacing w:val="7"/>
                <w:w w:val="105"/>
                <w:sz w:val="12"/>
              </w:rPr>
              <w:t> </w:t>
            </w:r>
            <w:r>
              <w:rPr>
                <w:w w:val="105"/>
                <w:sz w:val="12"/>
              </w:rPr>
              <w:t>Cromatina</w:t>
            </w:r>
            <w:r>
              <w:rPr>
                <w:spacing w:val="14"/>
                <w:w w:val="105"/>
                <w:sz w:val="12"/>
              </w:rPr>
              <w:t> </w:t>
            </w:r>
            <w:r>
              <w:rPr>
                <w:w w:val="105"/>
                <w:sz w:val="12"/>
              </w:rPr>
              <w:t>Condensada</w:t>
            </w:r>
            <w:r>
              <w:rPr>
                <w:spacing w:val="14"/>
                <w:w w:val="105"/>
                <w:sz w:val="12"/>
              </w:rPr>
              <w:t> </w:t>
            </w:r>
            <w:r>
              <w:rPr>
                <w:w w:val="105"/>
                <w:sz w:val="12"/>
              </w:rPr>
              <w:t>(CC);</w:t>
            </w:r>
            <w:r>
              <w:rPr>
                <w:spacing w:val="7"/>
                <w:w w:val="105"/>
                <w:sz w:val="12"/>
              </w:rPr>
              <w:t> </w:t>
            </w:r>
            <w:r>
              <w:rPr>
                <w:w w:val="105"/>
                <w:sz w:val="12"/>
              </w:rPr>
              <w:t>Cariorrexis</w:t>
            </w:r>
            <w:r>
              <w:rPr>
                <w:spacing w:val="12"/>
                <w:w w:val="105"/>
                <w:sz w:val="12"/>
              </w:rPr>
              <w:t> </w:t>
            </w:r>
            <w:r>
              <w:rPr>
                <w:w w:val="105"/>
                <w:sz w:val="12"/>
              </w:rPr>
              <w:t>(CR);</w:t>
            </w:r>
            <w:r>
              <w:rPr>
                <w:spacing w:val="7"/>
                <w:w w:val="105"/>
                <w:sz w:val="12"/>
              </w:rPr>
              <w:t> </w:t>
            </w:r>
            <w:r>
              <w:rPr>
                <w:w w:val="105"/>
                <w:sz w:val="12"/>
              </w:rPr>
              <w:t>Cariolisis</w:t>
            </w:r>
            <w:r>
              <w:rPr>
                <w:spacing w:val="12"/>
                <w:w w:val="105"/>
                <w:sz w:val="12"/>
              </w:rPr>
              <w:t> </w:t>
            </w:r>
            <w:r>
              <w:rPr>
                <w:w w:val="105"/>
                <w:sz w:val="12"/>
              </w:rPr>
              <w:t>(CL);</w:t>
            </w:r>
            <w:r>
              <w:rPr>
                <w:spacing w:val="7"/>
                <w:w w:val="105"/>
                <w:sz w:val="12"/>
              </w:rPr>
              <w:t> </w:t>
            </w:r>
            <w:r>
              <w:rPr>
                <w:w w:val="105"/>
                <w:sz w:val="12"/>
              </w:rPr>
              <w:t>Total</w:t>
            </w:r>
            <w:r>
              <w:rPr>
                <w:spacing w:val="14"/>
                <w:w w:val="105"/>
                <w:sz w:val="12"/>
              </w:rPr>
              <w:t> </w:t>
            </w:r>
            <w:r>
              <w:rPr>
                <w:w w:val="105"/>
                <w:sz w:val="12"/>
              </w:rPr>
              <w:t>de</w:t>
            </w:r>
            <w:r>
              <w:rPr>
                <w:spacing w:val="13"/>
                <w:w w:val="105"/>
                <w:sz w:val="12"/>
              </w:rPr>
              <w:t> </w:t>
            </w:r>
            <w:r>
              <w:rPr>
                <w:w w:val="105"/>
                <w:sz w:val="12"/>
              </w:rPr>
              <w:t>Alteraciones</w:t>
            </w:r>
          </w:p>
          <w:p>
            <w:pPr>
              <w:pStyle w:val="TableParagraph"/>
              <w:spacing w:before="25"/>
              <w:ind w:left="14" w:right="2405"/>
              <w:jc w:val="left"/>
              <w:rPr>
                <w:sz w:val="13"/>
              </w:rPr>
            </w:pPr>
            <w:r>
              <w:rPr>
                <w:w w:val="105"/>
                <w:sz w:val="12"/>
              </w:rPr>
              <w:t>Nucleares (TAN</w:t>
            </w:r>
            <w:r>
              <w:rPr>
                <w:w w:val="105"/>
                <w:sz w:val="13"/>
              </w:rPr>
              <w:t>)</w:t>
            </w:r>
          </w:p>
        </w:tc>
      </w:tr>
    </w:tbl>
    <w:p>
      <w:pPr>
        <w:spacing w:after="0"/>
        <w:jc w:val="left"/>
        <w:rPr>
          <w:sz w:val="13"/>
        </w:rPr>
        <w:sectPr>
          <w:pgSz w:w="12240" w:h="15840"/>
          <w:pgMar w:header="0" w:footer="599" w:top="1500" w:bottom="780" w:left="0" w:right="0"/>
        </w:sectPr>
      </w:pPr>
    </w:p>
    <w:p>
      <w:pPr>
        <w:tabs>
          <w:tab w:pos="6654" w:val="left" w:leader="none"/>
        </w:tabs>
        <w:spacing w:line="240" w:lineRule="auto"/>
        <w:ind w:left="2115" w:right="0" w:firstLine="0"/>
        <w:rPr>
          <w:sz w:val="20"/>
        </w:rPr>
      </w:pPr>
      <w:r>
        <w:rPr>
          <w:sz w:val="20"/>
        </w:rPr>
        <w:pict>
          <v:group style="width:160.9pt;height:121.45pt;mso-position-horizontal-relative:char;mso-position-vertical-relative:line" coordorigin="0,0" coordsize="3218,2429">
            <v:shape style="position:absolute;left:0;top:0;width:3217;height:2403" type="#_x0000_t75" stroked="false">
              <v:imagedata r:id="rId294" o:title=""/>
            </v:shape>
            <v:shape style="position:absolute;left:132;top:2173;width:209;height:255" type="#_x0000_t202" filled="false" stroked="false">
              <v:textbox inset="0,0,0,0">
                <w:txbxContent>
                  <w:p>
                    <w:pPr>
                      <w:spacing w:line="255" w:lineRule="exact" w:before="0"/>
                      <w:ind w:left="0" w:right="-13" w:firstLine="0"/>
                      <w:jc w:val="left"/>
                      <w:rPr>
                        <w:rFonts w:ascii="Calibri"/>
                        <w:b/>
                        <w:sz w:val="25"/>
                      </w:rPr>
                    </w:pPr>
                    <w:r>
                      <w:rPr>
                        <w:rFonts w:ascii="Calibri"/>
                        <w:b/>
                        <w:color w:val="A6A6A6"/>
                        <w:sz w:val="25"/>
                      </w:rPr>
                      <w:t>a)</w:t>
                    </w:r>
                  </w:p>
                </w:txbxContent>
              </v:textbox>
              <w10:wrap type="none"/>
            </v:shape>
          </v:group>
        </w:pict>
      </w:r>
      <w:r>
        <w:rPr>
          <w:sz w:val="20"/>
        </w:rPr>
      </w:r>
      <w:r>
        <w:rPr>
          <w:sz w:val="20"/>
        </w:rPr>
        <w:tab/>
      </w:r>
      <w:r>
        <w:rPr>
          <w:sz w:val="20"/>
        </w:rPr>
        <w:pict>
          <v:group style="width:161.7pt;height:121.45pt;mso-position-horizontal-relative:char;mso-position-vertical-relative:line" coordorigin="0,0" coordsize="3234,2429">
            <v:shape style="position:absolute;left:0;top:0;width:3233;height:2419" type="#_x0000_t75" stroked="false">
              <v:imagedata r:id="rId295" o:title=""/>
            </v:shape>
            <v:shape style="position:absolute;left:1072;top:594;width:250;height:250" type="#_x0000_t75" stroked="false">
              <v:imagedata r:id="rId296" o:title=""/>
            </v:shape>
            <v:shape style="position:absolute;left:139;top:2173;width:230;height:255" type="#_x0000_t202" filled="false" stroked="false">
              <v:textbox inset="0,0,0,0">
                <w:txbxContent>
                  <w:p>
                    <w:pPr>
                      <w:spacing w:line="255" w:lineRule="exact" w:before="0"/>
                      <w:ind w:left="0" w:right="-3" w:firstLine="0"/>
                      <w:jc w:val="left"/>
                      <w:rPr>
                        <w:rFonts w:ascii="Calibri"/>
                        <w:b/>
                        <w:sz w:val="25"/>
                      </w:rPr>
                    </w:pPr>
                    <w:r>
                      <w:rPr>
                        <w:rFonts w:ascii="Calibri"/>
                        <w:b/>
                        <w:color w:val="A6A6A6"/>
                        <w:sz w:val="25"/>
                      </w:rPr>
                      <w:t>b)</w:t>
                    </w:r>
                  </w:p>
                </w:txbxContent>
              </v:textbox>
              <w10:wrap type="none"/>
            </v:shape>
          </v:group>
        </w:pict>
      </w:r>
      <w:r>
        <w:rPr>
          <w:sz w:val="20"/>
        </w:rPr>
      </w:r>
    </w:p>
    <w:p>
      <w:pPr>
        <w:pStyle w:val="BodyText"/>
        <w:rPr>
          <w:b/>
          <w:sz w:val="20"/>
        </w:rPr>
      </w:pPr>
    </w:p>
    <w:p>
      <w:pPr>
        <w:pStyle w:val="BodyText"/>
        <w:spacing w:before="8"/>
        <w:rPr>
          <w:b/>
        </w:rPr>
      </w:pPr>
      <w:r>
        <w:rPr/>
        <w:pict>
          <v:group style="position:absolute;margin-left:103.361847pt;margin-top:16.158396pt;width:163.3pt;height:121.8pt;mso-position-horizontal-relative:page;mso-position-vertical-relative:paragraph;z-index:2944;mso-wrap-distance-left:0;mso-wrap-distance-right:0" coordorigin="2067,323" coordsize="3266,2436">
            <v:shape style="position:absolute;left:2067;top:323;width:3265;height:2435" type="#_x0000_t75" stroked="false">
              <v:imagedata r:id="rId297" o:title=""/>
            </v:shape>
            <v:shape style="position:absolute;left:2263;top:2373;width:196;height:256" type="#_x0000_t202" filled="false" stroked="false">
              <v:textbox inset="0,0,0,0">
                <w:txbxContent>
                  <w:p>
                    <w:pPr>
                      <w:spacing w:line="255" w:lineRule="exact" w:before="0"/>
                      <w:ind w:left="0" w:right="-7" w:firstLine="0"/>
                      <w:jc w:val="left"/>
                      <w:rPr>
                        <w:rFonts w:ascii="Calibri"/>
                        <w:b/>
                        <w:sz w:val="25"/>
                      </w:rPr>
                    </w:pPr>
                    <w:r>
                      <w:rPr>
                        <w:rFonts w:ascii="Calibri"/>
                        <w:b/>
                        <w:color w:val="A6A6A6"/>
                        <w:sz w:val="25"/>
                      </w:rPr>
                      <w:t>c)</w:t>
                    </w:r>
                  </w:p>
                </w:txbxContent>
              </v:textbox>
              <w10:wrap type="none"/>
            </v:shape>
            <w10:wrap type="topAndBottom"/>
          </v:group>
        </w:pict>
      </w:r>
      <w:r>
        <w:rPr/>
        <w:pict>
          <v:group style="position:absolute;margin-left:332.722809pt;margin-top:16.158396pt;width:160.9pt;height:121.8pt;mso-position-horizontal-relative:page;mso-position-vertical-relative:paragraph;z-index:2992;mso-wrap-distance-left:0;mso-wrap-distance-right:0" coordorigin="6654,323" coordsize="3218,2436">
            <v:shape style="position:absolute;left:6654;top:323;width:3217;height:2435" type="#_x0000_t75" stroked="false">
              <v:imagedata r:id="rId298" o:title=""/>
            </v:shape>
            <v:shape style="position:absolute;left:6794;top:2373;width:230;height:256" type="#_x0000_t202" filled="false" stroked="false">
              <v:textbox inset="0,0,0,0">
                <w:txbxContent>
                  <w:p>
                    <w:pPr>
                      <w:spacing w:line="255" w:lineRule="exact" w:before="0"/>
                      <w:ind w:left="0" w:right="-3" w:firstLine="0"/>
                      <w:jc w:val="left"/>
                      <w:rPr>
                        <w:rFonts w:ascii="Calibri"/>
                        <w:b/>
                        <w:sz w:val="25"/>
                      </w:rPr>
                    </w:pPr>
                    <w:r>
                      <w:rPr>
                        <w:rFonts w:ascii="Calibri"/>
                        <w:b/>
                        <w:color w:val="A6A6A6"/>
                        <w:sz w:val="25"/>
                      </w:rPr>
                      <w:t>d)</w:t>
                    </w:r>
                  </w:p>
                </w:txbxContent>
              </v:textbox>
              <w10:wrap type="none"/>
            </v:shape>
            <w10:wrap type="topAndBottom"/>
          </v:group>
        </w:pict>
      </w:r>
    </w:p>
    <w:p>
      <w:pPr>
        <w:pStyle w:val="BodyText"/>
        <w:rPr>
          <w:b/>
          <w:sz w:val="20"/>
        </w:rPr>
      </w:pPr>
    </w:p>
    <w:p>
      <w:pPr>
        <w:pStyle w:val="BodyText"/>
        <w:spacing w:before="7"/>
        <w:rPr>
          <w:b/>
          <w:sz w:val="26"/>
        </w:rPr>
      </w:pPr>
      <w:r>
        <w:rPr/>
        <w:pict>
          <v:group style="position:absolute;margin-left:105.751007pt;margin-top:17.290773pt;width:163.3pt;height:121.8pt;mso-position-horizontal-relative:page;mso-position-vertical-relative:paragraph;z-index:3040;mso-wrap-distance-left:0;mso-wrap-distance-right:0" coordorigin="2115,346" coordsize="3266,2436">
            <v:shape style="position:absolute;left:2115;top:346;width:3265;height:2435" type="#_x0000_t75" stroked="false">
              <v:imagedata r:id="rId299" o:title=""/>
            </v:shape>
            <v:shape style="position:absolute;left:2943;top:669;width:359;height:185" type="#_x0000_t75" stroked="false">
              <v:imagedata r:id="rId300" o:title=""/>
            </v:shape>
            <v:shape style="position:absolute;left:2247;top:2463;width:206;height:256" type="#_x0000_t202" filled="false" stroked="false">
              <v:textbox inset="0,0,0,0">
                <w:txbxContent>
                  <w:p>
                    <w:pPr>
                      <w:spacing w:line="255" w:lineRule="exact" w:before="0"/>
                      <w:ind w:left="0" w:right="-18" w:firstLine="0"/>
                      <w:jc w:val="left"/>
                      <w:rPr>
                        <w:rFonts w:ascii="Calibri"/>
                        <w:b/>
                        <w:sz w:val="25"/>
                      </w:rPr>
                    </w:pPr>
                    <w:r>
                      <w:rPr>
                        <w:rFonts w:ascii="Calibri"/>
                        <w:b/>
                        <w:color w:val="A6A6A6"/>
                        <w:sz w:val="25"/>
                      </w:rPr>
                      <w:t>e)</w:t>
                    </w:r>
                  </w:p>
                </w:txbxContent>
              </v:textbox>
              <w10:wrap type="none"/>
            </v:shape>
            <w10:wrap type="topAndBottom"/>
          </v:group>
        </w:pict>
      </w:r>
      <w:r>
        <w:rPr/>
        <w:pict>
          <v:group style="position:absolute;margin-left:332.722809pt;margin-top:17.290773pt;width:164.1pt;height:122.55pt;mso-position-horizontal-relative:page;mso-position-vertical-relative:paragraph;z-index:3088;mso-wrap-distance-left:0;mso-wrap-distance-right:0" coordorigin="6654,346" coordsize="3282,2451">
            <v:shape style="position:absolute;left:6654;top:346;width:3281;height:2451" type="#_x0000_t75" stroked="false">
              <v:imagedata r:id="rId301" o:title=""/>
            </v:shape>
            <v:shape style="position:absolute;left:6826;top:2463;width:159;height:256" type="#_x0000_t202" filled="false" stroked="false">
              <v:textbox inset="0,0,0,0">
                <w:txbxContent>
                  <w:p>
                    <w:pPr>
                      <w:spacing w:line="255" w:lineRule="exact" w:before="0"/>
                      <w:ind w:left="0" w:right="-18" w:firstLine="0"/>
                      <w:jc w:val="left"/>
                      <w:rPr>
                        <w:rFonts w:ascii="Calibri"/>
                        <w:b/>
                        <w:sz w:val="25"/>
                      </w:rPr>
                    </w:pPr>
                    <w:r>
                      <w:rPr>
                        <w:rFonts w:ascii="Calibri"/>
                        <w:b/>
                        <w:color w:val="A6A6A6"/>
                        <w:sz w:val="25"/>
                      </w:rPr>
                      <w:t>f)</w:t>
                    </w:r>
                  </w:p>
                </w:txbxContent>
              </v:textbox>
              <w10:wrap type="none"/>
            </v:shape>
            <w10:wrap type="topAndBottom"/>
          </v:group>
        </w:pict>
      </w:r>
    </w:p>
    <w:p>
      <w:pPr>
        <w:pStyle w:val="BodyText"/>
        <w:rPr>
          <w:b/>
          <w:sz w:val="20"/>
        </w:rPr>
      </w:pPr>
    </w:p>
    <w:p>
      <w:pPr>
        <w:pStyle w:val="BodyText"/>
        <w:spacing w:before="7"/>
        <w:rPr>
          <w:b/>
          <w:sz w:val="26"/>
        </w:rPr>
      </w:pPr>
      <w:r>
        <w:rPr/>
        <w:pict>
          <v:group style="position:absolute;margin-left:105.751007pt;margin-top:17.28653pt;width:164.1pt;height:122.55pt;mso-position-horizontal-relative:page;mso-position-vertical-relative:paragraph;z-index:3136;mso-wrap-distance-left:0;mso-wrap-distance-right:0" coordorigin="2115,346" coordsize="3282,2451">
            <v:shape style="position:absolute;left:2115;top:346;width:3281;height:2451" type="#_x0000_t75" stroked="false">
              <v:imagedata r:id="rId302" o:title=""/>
            </v:shape>
            <v:shape style="position:absolute;left:2247;top:2395;width:214;height:255" type="#_x0000_t202" filled="false" stroked="false">
              <v:textbox inset="0,0,0,0">
                <w:txbxContent>
                  <w:p>
                    <w:pPr>
                      <w:spacing w:line="255" w:lineRule="exact" w:before="0"/>
                      <w:ind w:left="0" w:right="-3" w:firstLine="0"/>
                      <w:jc w:val="left"/>
                      <w:rPr>
                        <w:rFonts w:ascii="Calibri"/>
                        <w:b/>
                        <w:sz w:val="25"/>
                      </w:rPr>
                    </w:pPr>
                    <w:r>
                      <w:rPr>
                        <w:rFonts w:ascii="Calibri"/>
                        <w:b/>
                        <w:color w:val="BEBEBE"/>
                        <w:sz w:val="25"/>
                      </w:rPr>
                      <w:t>g)</w:t>
                    </w:r>
                  </w:p>
                </w:txbxContent>
              </v:textbox>
              <w10:wrap type="none"/>
            </v:shape>
            <w10:wrap type="topAndBottom"/>
          </v:group>
        </w:pict>
      </w:r>
      <w:r>
        <w:rPr/>
        <w:pict>
          <v:group style="position:absolute;margin-left:332.722809pt;margin-top:17.28653pt;width:164.1pt;height:122.55pt;mso-position-horizontal-relative:page;mso-position-vertical-relative:paragraph;z-index:3184;mso-wrap-distance-left:0;mso-wrap-distance-right:0" coordorigin="6654,346" coordsize="3282,2451">
            <v:shape style="position:absolute;left:6654;top:346;width:3281;height:2451" type="#_x0000_t75" stroked="false">
              <v:imagedata r:id="rId303" o:title=""/>
            </v:shape>
            <v:shape style="position:absolute;left:6794;top:2395;width:230;height:255" type="#_x0000_t202" filled="false" stroked="false">
              <v:textbox inset="0,0,0,0">
                <w:txbxContent>
                  <w:p>
                    <w:pPr>
                      <w:spacing w:line="255" w:lineRule="exact" w:before="0"/>
                      <w:ind w:left="0" w:right="-3" w:firstLine="0"/>
                      <w:jc w:val="left"/>
                      <w:rPr>
                        <w:rFonts w:ascii="Calibri"/>
                        <w:b/>
                        <w:sz w:val="25"/>
                      </w:rPr>
                    </w:pPr>
                    <w:r>
                      <w:rPr>
                        <w:rFonts w:ascii="Calibri"/>
                        <w:b/>
                        <w:color w:val="A6A6A6"/>
                        <w:sz w:val="25"/>
                      </w:rPr>
                      <w:t>h)</w:t>
                    </w:r>
                  </w:p>
                </w:txbxContent>
              </v:textbox>
              <w10:wrap type="none"/>
            </v:shape>
            <w10:wrap type="topAndBottom"/>
          </v:group>
        </w:pict>
      </w:r>
    </w:p>
    <w:p>
      <w:pPr>
        <w:spacing w:line="204" w:lineRule="exact" w:before="0"/>
        <w:ind w:left="2151" w:right="1703" w:firstLine="0"/>
        <w:jc w:val="left"/>
        <w:rPr>
          <w:rFonts w:ascii="Calibri"/>
          <w:sz w:val="19"/>
        </w:rPr>
      </w:pPr>
      <w:r>
        <w:rPr>
          <w:rFonts w:ascii="Calibri"/>
          <w:sz w:val="19"/>
        </w:rPr>
        <w:t>Fuente directa</w:t>
      </w:r>
    </w:p>
    <w:p>
      <w:pPr>
        <w:pStyle w:val="BodyText"/>
        <w:spacing w:before="2"/>
        <w:rPr>
          <w:rFonts w:ascii="Calibri"/>
          <w:sz w:val="14"/>
        </w:rPr>
      </w:pPr>
    </w:p>
    <w:p>
      <w:pPr>
        <w:spacing w:line="244" w:lineRule="auto" w:before="0"/>
        <w:ind w:left="1512" w:right="1528" w:firstLine="0"/>
        <w:jc w:val="both"/>
        <w:rPr>
          <w:sz w:val="19"/>
        </w:rPr>
      </w:pPr>
      <w:r>
        <w:rPr>
          <w:sz w:val="19"/>
        </w:rPr>
        <w:t>Figura 13. Fotografías de a) Célula Normal; b) Célula micronúcleada (MN) </w:t>
      </w:r>
      <w:r>
        <w:rPr>
          <w:i/>
          <w:sz w:val="19"/>
        </w:rPr>
        <w:t>flecha</w:t>
      </w:r>
      <w:r>
        <w:rPr>
          <w:sz w:val="19"/>
        </w:rPr>
        <w:t>; c)  Célula  binucleada (BN); d) Núcleo lobulado (NL);  e) Picnosis (PN) </w:t>
      </w:r>
      <w:r>
        <w:rPr>
          <w:i/>
          <w:sz w:val="19"/>
        </w:rPr>
        <w:t>flecha</w:t>
      </w:r>
      <w:r>
        <w:rPr>
          <w:sz w:val="19"/>
        </w:rPr>
        <w:t>; f) Cromatina condensada (CC); g) Cariorrexis (CR);</w:t>
      </w:r>
    </w:p>
    <w:p>
      <w:pPr>
        <w:spacing w:line="254" w:lineRule="auto" w:before="0"/>
        <w:ind w:left="1512" w:right="1520" w:firstLine="0"/>
        <w:jc w:val="both"/>
        <w:rPr>
          <w:sz w:val="19"/>
        </w:rPr>
      </w:pPr>
      <w:r>
        <w:rPr>
          <w:spacing w:val="2"/>
          <w:sz w:val="19"/>
        </w:rPr>
        <w:t>h) </w:t>
      </w:r>
      <w:r>
        <w:rPr>
          <w:sz w:val="19"/>
        </w:rPr>
        <w:t>Cariolisis (CL). Microscopio Binocular </w:t>
      </w:r>
      <w:r>
        <w:rPr>
          <w:spacing w:val="-3"/>
          <w:sz w:val="19"/>
        </w:rPr>
        <w:t>Mca. </w:t>
      </w:r>
      <w:r>
        <w:rPr>
          <w:spacing w:val="2"/>
          <w:sz w:val="19"/>
        </w:rPr>
        <w:t>Carl </w:t>
      </w:r>
      <w:r>
        <w:rPr>
          <w:sz w:val="19"/>
        </w:rPr>
        <w:t>Zeiss </w:t>
      </w:r>
      <w:r>
        <w:rPr>
          <w:spacing w:val="-4"/>
          <w:sz w:val="19"/>
        </w:rPr>
        <w:t>Mod </w:t>
      </w:r>
      <w:r>
        <w:rPr>
          <w:sz w:val="19"/>
        </w:rPr>
        <w:t>Axiostar Plus Fluorescencia </w:t>
      </w:r>
      <w:r>
        <w:rPr>
          <w:spacing w:val="-3"/>
          <w:sz w:val="19"/>
        </w:rPr>
        <w:t>IVFL  </w:t>
      </w:r>
      <w:r>
        <w:rPr>
          <w:sz w:val="19"/>
        </w:rPr>
        <w:t>Filtro  </w:t>
      </w:r>
      <w:r>
        <w:rPr>
          <w:spacing w:val="5"/>
          <w:sz w:val="19"/>
        </w:rPr>
        <w:t>de  </w:t>
      </w:r>
      <w:r>
        <w:rPr>
          <w:spacing w:val="3"/>
          <w:sz w:val="19"/>
        </w:rPr>
        <w:t>450 </w:t>
      </w:r>
      <w:r>
        <w:rPr>
          <w:sz w:val="19"/>
        </w:rPr>
        <w:t>a </w:t>
      </w:r>
      <w:r>
        <w:rPr>
          <w:spacing w:val="3"/>
          <w:sz w:val="19"/>
        </w:rPr>
        <w:t>490 </w:t>
      </w:r>
      <w:r>
        <w:rPr>
          <w:sz w:val="19"/>
        </w:rPr>
        <w:t>Nanómetros, Objetivo Planacromático 100x/125 </w:t>
      </w:r>
      <w:r>
        <w:rPr>
          <w:spacing w:val="3"/>
          <w:sz w:val="19"/>
        </w:rPr>
        <w:t>oil. </w:t>
      </w:r>
      <w:r>
        <w:rPr>
          <w:sz w:val="19"/>
        </w:rPr>
        <w:t>cámara </w:t>
      </w:r>
      <w:r>
        <w:rPr>
          <w:spacing w:val="-3"/>
          <w:sz w:val="19"/>
        </w:rPr>
        <w:t>Axiocam </w:t>
      </w:r>
      <w:r>
        <w:rPr>
          <w:sz w:val="19"/>
        </w:rPr>
        <w:t>Icc </w:t>
      </w:r>
      <w:r>
        <w:rPr>
          <w:spacing w:val="2"/>
          <w:sz w:val="19"/>
        </w:rPr>
        <w:t>1, </w:t>
      </w:r>
      <w:r>
        <w:rPr>
          <w:spacing w:val="3"/>
          <w:sz w:val="19"/>
        </w:rPr>
        <w:t>Imágenes </w:t>
      </w:r>
      <w:r>
        <w:rPr>
          <w:sz w:val="19"/>
        </w:rPr>
        <w:t>capturadas a </w:t>
      </w:r>
      <w:r>
        <w:rPr>
          <w:spacing w:val="3"/>
          <w:sz w:val="19"/>
        </w:rPr>
        <w:t>400 </w:t>
      </w:r>
      <w:r>
        <w:rPr>
          <w:sz w:val="19"/>
        </w:rPr>
        <w:t>y a </w:t>
      </w:r>
      <w:r>
        <w:rPr>
          <w:spacing w:val="3"/>
          <w:sz w:val="19"/>
        </w:rPr>
        <w:t>1000 aumentos</w:t>
      </w:r>
      <w:r>
        <w:rPr>
          <w:spacing w:val="-32"/>
          <w:sz w:val="19"/>
        </w:rPr>
        <w:t> </w:t>
      </w:r>
      <w:r>
        <w:rPr>
          <w:spacing w:val="2"/>
          <w:sz w:val="19"/>
        </w:rPr>
        <w:t>reales.</w:t>
      </w:r>
    </w:p>
    <w:p>
      <w:pPr>
        <w:spacing w:after="0" w:line="254" w:lineRule="auto"/>
        <w:jc w:val="both"/>
        <w:rPr>
          <w:sz w:val="19"/>
        </w:rPr>
        <w:sectPr>
          <w:pgSz w:w="12240" w:h="15840"/>
          <w:pgMar w:header="0" w:footer="599" w:top="1200" w:bottom="780" w:left="0" w:right="0"/>
        </w:sectPr>
      </w:pPr>
    </w:p>
    <w:p>
      <w:pPr>
        <w:pStyle w:val="BodyText"/>
        <w:spacing w:before="4"/>
        <w:rPr>
          <w:rFonts w:ascii="Times New Roman"/>
          <w:sz w:val="17"/>
        </w:rPr>
      </w:pPr>
      <w:r>
        <w:rPr/>
        <w:pict>
          <v:group style="position:absolute;margin-left:1.56pt;margin-top:169.440002pt;width:610.450pt;height:372.6pt;mso-position-horizontal-relative:page;mso-position-vertical-relative:page;z-index:3232" coordorigin="31,3389" coordsize="12209,7452">
            <v:shape style="position:absolute;left:31;top:3389;width:12209;height:7452" type="#_x0000_t75" stroked="false">
              <v:imagedata r:id="rId305" o:title=""/>
            </v:shape>
            <v:shape style="position:absolute;left:31;top:3389;width:12209;height:7452" type="#_x0000_t202" filled="false" stroked="false">
              <v:textbox inset="0,0,0,0">
                <w:txbxContent>
                  <w:p>
                    <w:pPr>
                      <w:spacing w:line="240" w:lineRule="auto" w:before="10"/>
                      <w:rPr>
                        <w:rFonts w:ascii="Times New Roman"/>
                        <w:sz w:val="66"/>
                      </w:rPr>
                    </w:pPr>
                  </w:p>
                  <w:p>
                    <w:pPr>
                      <w:tabs>
                        <w:tab w:pos="8192" w:val="left" w:leader="none"/>
                      </w:tabs>
                      <w:spacing w:before="0"/>
                      <w:ind w:left="7593" w:right="0" w:firstLine="0"/>
                      <w:jc w:val="left"/>
                      <w:rPr>
                        <w:sz w:val="60"/>
                      </w:rPr>
                    </w:pPr>
                    <w:r>
                      <w:rPr>
                        <w:color w:val="0EA09E"/>
                        <w:w w:val="89"/>
                        <w:sz w:val="60"/>
                        <w:shd w:fill="FFFFFF" w:color="auto" w:val="clear"/>
                      </w:rPr>
                      <w:t> </w:t>
                    </w:r>
                    <w:r>
                      <w:rPr>
                        <w:color w:val="0EA09E"/>
                        <w:sz w:val="60"/>
                        <w:shd w:fill="FFFFFF" w:color="auto" w:val="clear"/>
                      </w:rPr>
                      <w:tab/>
                    </w:r>
                    <w:r>
                      <w:rPr>
                        <w:color w:val="0EA09E"/>
                        <w:w w:val="110"/>
                        <w:sz w:val="60"/>
                        <w:shd w:fill="FFFFFF" w:color="auto" w:val="clear"/>
                      </w:rPr>
                      <w:t>DISCUSIÓN</w:t>
                    </w:r>
                  </w:p>
                  <w:p>
                    <w:pPr>
                      <w:spacing w:before="309"/>
                      <w:ind w:left="6492" w:right="0" w:firstLine="0"/>
                      <w:jc w:val="left"/>
                      <w:rPr>
                        <w:sz w:val="60"/>
                      </w:rPr>
                    </w:pPr>
                    <w:r>
                      <w:rPr>
                        <w:color w:val="0EA09E"/>
                        <w:w w:val="89"/>
                        <w:sz w:val="60"/>
                        <w:shd w:fill="FFFFFF" w:color="auto" w:val="clear"/>
                      </w:rPr>
                      <w:t> </w:t>
                    </w:r>
                    <w:r>
                      <w:rPr>
                        <w:color w:val="0EA09E"/>
                        <w:spacing w:val="-91"/>
                        <w:sz w:val="60"/>
                        <w:shd w:fill="FFFFFF" w:color="auto" w:val="clear"/>
                      </w:rPr>
                      <w:t> </w:t>
                    </w:r>
                    <w:r>
                      <w:rPr>
                        <w:color w:val="0EA09E"/>
                        <w:w w:val="105"/>
                        <w:sz w:val="60"/>
                        <w:shd w:fill="FFFFFF" w:color="auto" w:val="clear"/>
                      </w:rPr>
                      <w:t>CONCLUSIONES</w:t>
                    </w:r>
                  </w:p>
                </w:txbxContent>
              </v:textbox>
              <w10:wrap type="none"/>
            </v:shape>
            <w10:wrap type="none"/>
          </v:group>
        </w:pict>
      </w:r>
    </w:p>
    <w:p>
      <w:pPr>
        <w:spacing w:after="0"/>
        <w:rPr>
          <w:rFonts w:ascii="Times New Roman"/>
          <w:sz w:val="17"/>
        </w:rPr>
        <w:sectPr>
          <w:footerReference w:type="default" r:id="rId304"/>
          <w:pgSz w:w="12240" w:h="15840"/>
          <w:pgMar w:footer="0" w:header="0" w:top="1500" w:bottom="280" w:left="0" w:right="0"/>
        </w:sectPr>
      </w:pPr>
    </w:p>
    <w:p>
      <w:pPr>
        <w:pStyle w:val="BodyText"/>
        <w:spacing w:before="4"/>
        <w:rPr>
          <w:rFonts w:ascii="Times New Roman"/>
          <w:sz w:val="11"/>
        </w:rPr>
      </w:pPr>
    </w:p>
    <w:p>
      <w:pPr>
        <w:pStyle w:val="Heading4"/>
        <w:numPr>
          <w:ilvl w:val="2"/>
          <w:numId w:val="3"/>
        </w:numPr>
        <w:tabs>
          <w:tab w:pos="1714" w:val="left" w:leader="none"/>
        </w:tabs>
        <w:spacing w:line="240" w:lineRule="auto" w:before="69" w:after="0"/>
        <w:ind w:left="1713" w:right="0" w:hanging="295"/>
        <w:jc w:val="both"/>
      </w:pPr>
      <w:r>
        <w:rPr/>
        <w:t>DISCUSIÓN</w:t>
      </w:r>
    </w:p>
    <w:p>
      <w:pPr>
        <w:pStyle w:val="BodyText"/>
        <w:rPr>
          <w:b/>
        </w:rPr>
      </w:pPr>
    </w:p>
    <w:p>
      <w:pPr>
        <w:pStyle w:val="BodyText"/>
        <w:rPr>
          <w:b/>
        </w:rPr>
      </w:pPr>
    </w:p>
    <w:p>
      <w:pPr>
        <w:pStyle w:val="BodyText"/>
        <w:spacing w:line="357" w:lineRule="auto" w:before="199"/>
        <w:ind w:left="1418" w:right="1700"/>
        <w:jc w:val="both"/>
      </w:pPr>
      <w:r>
        <w:rPr/>
        <w:t>Los plaguicidas son ampliamente utilizados alrededor del mundo, estos productos contienen numerosos compuestos genotóxicos</w:t>
      </w:r>
      <w:r>
        <w:rPr>
          <w:position w:val="8"/>
          <w:sz w:val="16"/>
        </w:rPr>
        <w:t>86</w:t>
      </w:r>
      <w:r>
        <w:rPr/>
        <w:t>, la exposición a agroquímicos es un problema importante de salud ambiental</w:t>
      </w:r>
      <w:r>
        <w:rPr>
          <w:position w:val="8"/>
          <w:sz w:val="16"/>
        </w:rPr>
        <w:t>26</w:t>
      </w:r>
      <w:r>
        <w:rPr/>
        <w:t>, la Agencia Internacional de Investigación del Cáncer (IARC) y la Agencia de Protección Ambiental (EPA) clasifican a estos químicos como carcinógenos o mutágenos</w:t>
      </w:r>
      <w:r>
        <w:rPr>
          <w:position w:val="8"/>
          <w:sz w:val="16"/>
        </w:rPr>
        <w:t>25</w:t>
      </w:r>
      <w:r>
        <w:rPr/>
        <w:t>.</w:t>
      </w:r>
    </w:p>
    <w:p>
      <w:pPr>
        <w:pStyle w:val="BodyText"/>
        <w:spacing w:before="3"/>
        <w:rPr>
          <w:sz w:val="36"/>
        </w:rPr>
      </w:pPr>
    </w:p>
    <w:p>
      <w:pPr>
        <w:pStyle w:val="BodyText"/>
        <w:spacing w:line="360" w:lineRule="auto"/>
        <w:ind w:left="1418" w:right="1699"/>
        <w:jc w:val="both"/>
      </w:pPr>
      <w:r>
        <w:rPr/>
        <w:t>La comunidad de San José, Villa Guerrero es una zona florícola, que se caracteriza por la presencia de invernaderos para el cultivo de flores, la diversidad en los cultivos requiere del uso de diferentes plaguicidas para su mantenimiento, el periodo de fumigación en cada invernadero está programado semanalmente de acuerdo al tipo de flor y plaga que puedan presentar, no obstante, la fumigación es constante, estas condiciones de exposición ambiental han sido descritas previamente</w:t>
      </w:r>
      <w:r>
        <w:rPr>
          <w:position w:val="8"/>
          <w:sz w:val="16"/>
        </w:rPr>
        <w:t>45</w:t>
      </w:r>
      <w:r>
        <w:rPr/>
        <w:t>.</w:t>
      </w:r>
    </w:p>
    <w:p>
      <w:pPr>
        <w:pStyle w:val="BodyText"/>
        <w:rPr>
          <w:sz w:val="36"/>
        </w:rPr>
      </w:pPr>
    </w:p>
    <w:p>
      <w:pPr>
        <w:pStyle w:val="BodyText"/>
        <w:spacing w:line="357" w:lineRule="auto"/>
        <w:ind w:left="1418" w:right="1695"/>
        <w:jc w:val="both"/>
      </w:pPr>
      <w:r>
        <w:rPr/>
        <w:t>La población de esta comunidad se encuentra en continua exposición, debido a que los invernaderos se hallan aproximadamente a 100 metros de distancia de los hogares y escuelas ( Figura 1), lo que resulta un peligro para los niños, debido a que están sujetos a una exposición acumulativa de residuos de plaguicidas</w:t>
      </w:r>
      <w:r>
        <w:rPr>
          <w:position w:val="8"/>
          <w:sz w:val="16"/>
        </w:rPr>
        <w:t>87</w:t>
      </w:r>
      <w:r>
        <w:rPr/>
        <w:t>, el riesgo potencial de intoxicación crónica por la exposición a plaguicidas en niños esta descrito que condiciona la aparición de trastornos en el desarrollo</w:t>
      </w:r>
      <w:r>
        <w:rPr>
          <w:position w:val="8"/>
          <w:sz w:val="16"/>
        </w:rPr>
        <w:t>46</w:t>
      </w:r>
      <w:r>
        <w:rPr/>
        <w:t>, neurodesarrollo</w:t>
      </w:r>
      <w:r>
        <w:rPr>
          <w:position w:val="8"/>
          <w:sz w:val="16"/>
        </w:rPr>
        <w:t>88, 28</w:t>
      </w:r>
      <w:r>
        <w:rPr/>
        <w:t>, déficit de atención</w:t>
      </w:r>
      <w:r>
        <w:rPr>
          <w:position w:val="8"/>
          <w:sz w:val="16"/>
        </w:rPr>
        <w:t>89</w:t>
      </w:r>
      <w:r>
        <w:rPr/>
        <w:t>, tumores y cáncer</w:t>
      </w:r>
      <w:r>
        <w:rPr>
          <w:position w:val="8"/>
          <w:sz w:val="16"/>
        </w:rPr>
        <w:t>90, 88, 91</w:t>
      </w:r>
      <w:r>
        <w:rPr/>
        <w:t>. Los niños a diferencia de los adultos son más sensibles a los efectos tóxicos de los plaguicidas a causa de la inmadurez de su cuerpo</w:t>
      </w:r>
      <w:r>
        <w:rPr>
          <w:position w:val="8"/>
          <w:sz w:val="16"/>
        </w:rPr>
        <w:t>60</w:t>
      </w:r>
      <w:r>
        <w:rPr/>
        <w:t>, de su metabolismo y las funciones del hígado</w:t>
      </w:r>
      <w:r>
        <w:rPr>
          <w:position w:val="8"/>
          <w:sz w:val="16"/>
        </w:rPr>
        <w:t>27</w:t>
      </w:r>
      <w:r>
        <w:rPr/>
        <w:t>, de su frecuencia respiratoria y ritmo cardíaco</w:t>
      </w:r>
      <w:r>
        <w:rPr>
          <w:position w:val="8"/>
          <w:sz w:val="16"/>
        </w:rPr>
        <w:t>87</w:t>
      </w:r>
      <w:r>
        <w:rPr/>
        <w:t>. También la exposición directa o indirecta a plaguicidas un mes antes y durante los tres primeros del embarazo</w:t>
      </w:r>
      <w:r>
        <w:rPr>
          <w:position w:val="8"/>
          <w:sz w:val="16"/>
        </w:rPr>
        <w:t>92</w:t>
      </w:r>
      <w:r>
        <w:rPr/>
        <w:t>, condicionan incremento de abortos, niños con bajo peso, anancefalia</w:t>
      </w:r>
      <w:r>
        <w:rPr>
          <w:position w:val="8"/>
          <w:sz w:val="16"/>
        </w:rPr>
        <w:t>93 </w:t>
      </w:r>
      <w:r>
        <w:rPr/>
        <w:t>y desarrollo de fisuras orofaciales</w:t>
      </w:r>
      <w:r>
        <w:rPr>
          <w:position w:val="8"/>
          <w:sz w:val="16"/>
        </w:rPr>
        <w:t>94 </w:t>
      </w:r>
      <w:r>
        <w:rPr/>
        <w:t>problemas de salud que están bien identificados en Villa Guerrero. Además, está demostrado que </w:t>
      </w:r>
      <w:r>
        <w:rPr>
          <w:spacing w:val="3"/>
        </w:rPr>
        <w:t>el </w:t>
      </w:r>
      <w:r>
        <w:rPr/>
        <w:t>contacto con plaguicidas inhibe la absorción  del  ácido  fólico,  cuya  deficiencia  se  asocia  con  malformaciones</w:t>
      </w:r>
      <w:r>
        <w:rPr>
          <w:position w:val="8"/>
          <w:sz w:val="16"/>
        </w:rPr>
        <w:t>92</w:t>
      </w:r>
      <w:r>
        <w:rPr/>
        <w:t>.  </w:t>
      </w:r>
      <w:r>
        <w:rPr>
          <w:spacing w:val="8"/>
        </w:rPr>
        <w:t> </w:t>
      </w:r>
      <w:r>
        <w:rPr/>
        <w:t>El</w:t>
      </w:r>
    </w:p>
    <w:p>
      <w:pPr>
        <w:spacing w:after="0" w:line="357" w:lineRule="auto"/>
        <w:jc w:val="both"/>
        <w:sectPr>
          <w:pgSz w:w="12240" w:h="15840"/>
          <w:pgMar w:header="0" w:footer="0" w:top="1500" w:bottom="780" w:left="0" w:right="0"/>
        </w:sectPr>
      </w:pPr>
    </w:p>
    <w:p>
      <w:pPr>
        <w:pStyle w:val="BodyText"/>
        <w:spacing w:before="4"/>
        <w:rPr>
          <w:sz w:val="11"/>
        </w:rPr>
      </w:pPr>
    </w:p>
    <w:p>
      <w:pPr>
        <w:pStyle w:val="BodyText"/>
        <w:spacing w:line="355" w:lineRule="auto" w:before="69"/>
        <w:ind w:left="1418" w:right="1698"/>
        <w:jc w:val="both"/>
      </w:pPr>
      <w:r>
        <w:rPr/>
        <w:t>monitoreo de poblaciones con exposición ocupacional o ambiental para estimar el riesgo de daño a la salud, es ineludible</w:t>
      </w:r>
      <w:r>
        <w:rPr>
          <w:position w:val="8"/>
          <w:sz w:val="16"/>
        </w:rPr>
        <w:t>26</w:t>
      </w:r>
      <w:r>
        <w:rPr/>
        <w:t>, al igual que el establecimiento de parámetros predictivos de cáncer y otras enfermedades degenerativas</w:t>
      </w:r>
      <w:r>
        <w:rPr>
          <w:position w:val="8"/>
          <w:sz w:val="16"/>
        </w:rPr>
        <w:t>29</w:t>
      </w:r>
      <w:r>
        <w:rPr/>
        <w:t>.</w:t>
      </w:r>
    </w:p>
    <w:p>
      <w:pPr>
        <w:pStyle w:val="BodyText"/>
        <w:rPr>
          <w:sz w:val="36"/>
        </w:rPr>
      </w:pPr>
    </w:p>
    <w:p>
      <w:pPr>
        <w:pStyle w:val="BodyText"/>
        <w:spacing w:line="357" w:lineRule="auto"/>
        <w:ind w:left="1418" w:right="1695"/>
        <w:jc w:val="both"/>
      </w:pPr>
      <w:r>
        <w:rPr/>
        <w:t>Para evaluar el daño en el ADN existen diversas técnicas: el ensayo cometa</w:t>
      </w:r>
      <w:r>
        <w:rPr>
          <w:position w:val="8"/>
          <w:sz w:val="16"/>
        </w:rPr>
        <w:t>95</w:t>
      </w:r>
      <w:r>
        <w:rPr/>
        <w:t>, aberraciones cromosómicas, intercambio entre cromátidas hermanas, micronúcleos en linfocitos de sangre periférica y en células exfoliadas</w:t>
      </w:r>
      <w:r>
        <w:rPr>
          <w:position w:val="8"/>
          <w:sz w:val="16"/>
        </w:rPr>
        <w:t>2</w:t>
      </w:r>
      <w:r>
        <w:rPr/>
        <w:t>. El estudio de micronúcleos en células de la mucosa bucal es una técnica para estudios de biomonitoreo, mínimamente invasiva</w:t>
      </w:r>
      <w:r>
        <w:rPr>
          <w:position w:val="8"/>
          <w:sz w:val="16"/>
        </w:rPr>
        <w:t>96, 11 </w:t>
      </w:r>
      <w:r>
        <w:rPr/>
        <w:t>y adecuada para poblaciones pediátricas, por lo que se decidió utilizar esta técnica para este estudio, las muestras fueron tomadas dentro  del periodo de posible exposición, como lo propone Bonassi </w:t>
      </w:r>
      <w:r>
        <w:rPr>
          <w:i/>
        </w:rPr>
        <w:t>et al</w:t>
      </w:r>
      <w:r>
        <w:rPr/>
        <w:t>.</w:t>
      </w:r>
      <w:r>
        <w:rPr>
          <w:spacing w:val="-29"/>
        </w:rPr>
        <w:t> </w:t>
      </w:r>
      <w:r>
        <w:rPr/>
        <w:t>(2011).</w:t>
      </w:r>
    </w:p>
    <w:p>
      <w:pPr>
        <w:pStyle w:val="BodyText"/>
      </w:pPr>
    </w:p>
    <w:p>
      <w:pPr>
        <w:pStyle w:val="Heading4"/>
        <w:numPr>
          <w:ilvl w:val="0"/>
          <w:numId w:val="36"/>
        </w:numPr>
        <w:tabs>
          <w:tab w:pos="2138" w:val="left" w:leader="none"/>
          <w:tab w:pos="2139" w:val="left" w:leader="none"/>
          <w:tab w:pos="3262" w:val="left" w:leader="none"/>
          <w:tab w:pos="3747" w:val="left" w:leader="none"/>
          <w:tab w:pos="5510" w:val="left" w:leader="none"/>
          <w:tab w:pos="7742" w:val="left" w:leader="none"/>
          <w:tab w:pos="9063" w:val="left" w:leader="none"/>
          <w:tab w:pos="9854" w:val="left" w:leader="none"/>
        </w:tabs>
        <w:spacing w:line="312" w:lineRule="auto" w:before="146" w:after="0"/>
        <w:ind w:left="2138" w:right="1703" w:hanging="360"/>
        <w:jc w:val="left"/>
      </w:pPr>
      <w:r>
        <w:rPr/>
        <w:t>Análisis</w:t>
        <w:tab/>
        <w:t>de</w:t>
        <w:tab/>
        <w:t>micronúcleos</w:t>
        <w:tab/>
        <w:t>y </w:t>
      </w:r>
      <w:r>
        <w:rPr>
          <w:spacing w:val="63"/>
        </w:rPr>
        <w:t> </w:t>
      </w:r>
      <w:r>
        <w:rPr/>
        <w:t>anormalidades</w:t>
        <w:tab/>
        <w:t>nucleares</w:t>
        <w:tab/>
        <w:t>entre</w:t>
        <w:tab/>
        <w:t>grupo expuesto y no</w:t>
      </w:r>
      <w:r>
        <w:rPr>
          <w:spacing w:val="-5"/>
        </w:rPr>
        <w:t> </w:t>
      </w:r>
      <w:r>
        <w:rPr/>
        <w:t>expuesto</w:t>
      </w:r>
    </w:p>
    <w:p>
      <w:pPr>
        <w:pStyle w:val="BodyText"/>
        <w:rPr>
          <w:b/>
        </w:rPr>
      </w:pPr>
    </w:p>
    <w:p>
      <w:pPr>
        <w:pStyle w:val="BodyText"/>
        <w:spacing w:line="360" w:lineRule="auto" w:before="195"/>
        <w:ind w:left="1418" w:right="1695"/>
        <w:jc w:val="both"/>
      </w:pPr>
      <w:r>
        <w:rPr/>
        <w:t>En este estudio la frecuencia de micronúcleos en el grupo expuesto y el grupo no expuesto, se encontró dentro de los parámetros normales referidos por Martínez- Valenzuela (2009), en poblaciones sanas, la frecuencia de MN en células del epitelio bucal esta dentro del rango de 0 a 4 por 1000 células. Mientras Benítez </w:t>
      </w:r>
      <w:r>
        <w:rPr>
          <w:i/>
        </w:rPr>
        <w:t>et al., </w:t>
      </w:r>
      <w:r>
        <w:rPr/>
        <w:t>(2010) reportaron frecuencia alta de MN en niños con historia de seis años de exposición a plaguicidas, debido a la presencia de una fábrica productora de estos químicos en la cercanía de su escuela, las células analizadas se tiñeron con Giemsa; resultados similares los describió Moura </w:t>
      </w:r>
      <w:r>
        <w:rPr>
          <w:i/>
        </w:rPr>
        <w:t>et al</w:t>
      </w:r>
      <w:r>
        <w:rPr/>
        <w:t>., (2009), en trabajadores agrícolas expuestos a mezclas de plaguicidas, con la misma técnica de tinción. Bonassi </w:t>
      </w:r>
      <w:r>
        <w:rPr>
          <w:i/>
        </w:rPr>
        <w:t>et al</w:t>
      </w:r>
      <w:r>
        <w:rPr/>
        <w:t>. (2011) explican que la alta frecuencia de MN puede deberse a falsos-negativos, ya que se utilizó Giemsa y esta no es específica para ADN, por lo que los MN se pudieron confundirse con bacterias o fragmentos no nucleares como los gránulos de queratohialina.</w:t>
      </w:r>
    </w:p>
    <w:p>
      <w:pPr>
        <w:spacing w:after="0" w:line="360" w:lineRule="auto"/>
        <w:jc w:val="both"/>
        <w:sectPr>
          <w:pgSz w:w="12240" w:h="15840"/>
          <w:pgMar w:header="0" w:footer="0" w:top="1500" w:bottom="780" w:left="0" w:right="0"/>
        </w:sectPr>
      </w:pPr>
    </w:p>
    <w:p>
      <w:pPr>
        <w:pStyle w:val="BodyText"/>
        <w:spacing w:before="1"/>
        <w:rPr>
          <w:sz w:val="11"/>
        </w:rPr>
      </w:pPr>
    </w:p>
    <w:p>
      <w:pPr>
        <w:pStyle w:val="BodyText"/>
        <w:spacing w:line="360" w:lineRule="auto" w:before="70"/>
        <w:ind w:left="1418" w:right="1695"/>
        <w:jc w:val="both"/>
      </w:pPr>
      <w:r>
        <w:rPr/>
        <w:t>Por su parte Gómez-Arroyo </w:t>
      </w:r>
      <w:r>
        <w:rPr>
          <w:i/>
        </w:rPr>
        <w:t>et al</w:t>
      </w:r>
      <w:r>
        <w:rPr/>
        <w:t>., (2013), en niños de 1-13 años de edad del estado de Sinaloa, que viven cerca de campos agrícolas donde se realizan intensas aplicaciones de plaguicidas por vía aérea, señalan frecuencia significativa de MN empleando la tinción Feulgen, que es específica para ADN, de acuerdo a Ergene </w:t>
      </w:r>
      <w:r>
        <w:rPr>
          <w:i/>
        </w:rPr>
        <w:t>et </w:t>
      </w:r>
      <w:r>
        <w:rPr>
          <w:i/>
        </w:rPr>
        <w:t>al</w:t>
      </w:r>
      <w:r>
        <w:rPr/>
        <w:t>., (2007) esta tinción permite la identificación de MN en células de la mucosa bucal con valores significativos en individuos expuestos a plaguicidas en comparación con el grupo control, y Gómez-Arroyo </w:t>
      </w:r>
      <w:r>
        <w:rPr>
          <w:i/>
        </w:rPr>
        <w:t>et al</w:t>
      </w:r>
      <w:r>
        <w:rPr/>
        <w:t>., (2013) en niños y Holland </w:t>
      </w:r>
      <w:r>
        <w:rPr>
          <w:i/>
        </w:rPr>
        <w:t>et al., </w:t>
      </w:r>
      <w:r>
        <w:rPr/>
        <w:t>(2008) en adultos, marcan resultados similares.</w:t>
      </w:r>
    </w:p>
    <w:p>
      <w:pPr>
        <w:pStyle w:val="BodyText"/>
      </w:pPr>
    </w:p>
    <w:p>
      <w:pPr>
        <w:pStyle w:val="BodyText"/>
        <w:spacing w:line="360" w:lineRule="auto" w:before="142"/>
        <w:ind w:left="1418" w:right="1697"/>
        <w:jc w:val="both"/>
      </w:pPr>
      <w:r>
        <w:rPr/>
        <w:t>Este estudio, las células fueron teñidas con naranja de acridina, como lo sugiere Jyoti </w:t>
      </w:r>
      <w:r>
        <w:rPr>
          <w:i/>
        </w:rPr>
        <w:t>et al</w:t>
      </w:r>
      <w:r>
        <w:rPr/>
        <w:t>., (2013</w:t>
      </w:r>
      <w:r>
        <w:rPr>
          <w:i/>
        </w:rPr>
        <w:t>.</w:t>
      </w:r>
      <w:r>
        <w:rPr/>
        <w:t>) se trata de una técnica selectiva para ácidos nucleicos, tiñe de color naranja el ADN y de verde fluorescente el ARN, es de bajo costo y fácil manejo. La baja frecuencia de micronúcleos en los niños evaluados en este estudio, al compararla con los resultados de Benitez </w:t>
      </w:r>
      <w:r>
        <w:rPr>
          <w:i/>
        </w:rPr>
        <w:t>et. al</w:t>
      </w:r>
      <w:r>
        <w:rPr/>
        <w:t>. (2010) y Moura </w:t>
      </w:r>
      <w:r>
        <w:rPr>
          <w:i/>
        </w:rPr>
        <w:t>et. al., </w:t>
      </w:r>
      <w:r>
        <w:rPr/>
        <w:t>(2009), y con los resultados obtenidos por Gómez-Arroyo </w:t>
      </w:r>
      <w:r>
        <w:rPr>
          <w:i/>
        </w:rPr>
        <w:t>et al</w:t>
      </w:r>
      <w:r>
        <w:rPr/>
        <w:t>. (2013) y Ergene </w:t>
      </w:r>
      <w:r>
        <w:rPr>
          <w:i/>
        </w:rPr>
        <w:t>et al</w:t>
      </w:r>
      <w:r>
        <w:rPr/>
        <w:t>. (2007) puede deberse al método de tinción elegido. Sin embargo, Pértile </w:t>
      </w:r>
      <w:r>
        <w:rPr>
          <w:i/>
        </w:rPr>
        <w:t>et al</w:t>
      </w:r>
      <w:r>
        <w:rPr/>
        <w:t>., (2009); Lucero et al., 2000); Pastor </w:t>
      </w:r>
      <w:r>
        <w:rPr>
          <w:i/>
        </w:rPr>
        <w:t>et al., </w:t>
      </w:r>
      <w:r>
        <w:rPr/>
        <w:t>(2001); Piperakis </w:t>
      </w:r>
      <w:r>
        <w:rPr>
          <w:i/>
        </w:rPr>
        <w:t>et al</w:t>
      </w:r>
      <w:r>
        <w:rPr/>
        <w:t>., (2006), no identificaron MN en  células bucales epiteliales, en trabajadores expuestos a plaguicidas, los autores explican que la intensidad, la frecuencia de la exposición, el tipo de plaguicida, tipo de cultivo, factores ambientales o el uso de ensayos que tienen diferentes sensibilidades y especificidades, pueden influir en el desarrollo de</w:t>
      </w:r>
      <w:r>
        <w:rPr>
          <w:spacing w:val="-33"/>
        </w:rPr>
        <w:t> </w:t>
      </w:r>
      <w:r>
        <w:rPr/>
        <w:t>MN.</w:t>
      </w:r>
    </w:p>
    <w:p>
      <w:pPr>
        <w:pStyle w:val="BodyText"/>
      </w:pPr>
    </w:p>
    <w:p>
      <w:pPr>
        <w:pStyle w:val="BodyText"/>
        <w:spacing w:line="360" w:lineRule="auto" w:before="142"/>
        <w:ind w:left="1418" w:right="1696"/>
        <w:jc w:val="both"/>
      </w:pPr>
      <w:r>
        <w:rPr/>
        <w:t>Una posible explicación a este fenómeno es que en el caso de los niños de San José Villa Guerrero y su condición de vida y la continua exposición a plaguicidas manifiesten efecto citotóxico lo que puede repercutir en baja división celular en la mucosa bucal, y por tanto esto disminuye la posibilidad de la formación de MN.</w:t>
      </w:r>
    </w:p>
    <w:p>
      <w:pPr>
        <w:pStyle w:val="BodyText"/>
      </w:pPr>
    </w:p>
    <w:p>
      <w:pPr>
        <w:pStyle w:val="BodyText"/>
        <w:spacing w:line="360" w:lineRule="auto" w:before="142"/>
        <w:ind w:left="1418" w:right="1697"/>
        <w:jc w:val="both"/>
      </w:pPr>
      <w:r>
        <w:rPr/>
        <w:t>Esta hipótesis se ve reforzada por la alta frecuencia de células BN en los niños expuestos, ya que en este estudio, se observaron valores estadísticamente significativos. Estos cambios fueron observados por Benítez </w:t>
      </w:r>
      <w:r>
        <w:rPr>
          <w:i/>
        </w:rPr>
        <w:t>et al. </w:t>
      </w:r>
      <w:r>
        <w:rPr/>
        <w:t>(2010), en un  grupo  de  niños  potencialmente  expuestos  a  plaguicidas  en  comparación  con</w:t>
      </w:r>
      <w:r>
        <w:rPr>
          <w:spacing w:val="-25"/>
        </w:rPr>
        <w:t> </w:t>
      </w:r>
      <w:r>
        <w:rPr/>
        <w:t>los</w:t>
      </w:r>
    </w:p>
    <w:p>
      <w:pPr>
        <w:spacing w:after="0" w:line="360" w:lineRule="auto"/>
        <w:jc w:val="both"/>
        <w:sectPr>
          <w:pgSz w:w="12240" w:h="15840"/>
          <w:pgMar w:header="0" w:footer="0" w:top="1500" w:bottom="780" w:left="0" w:right="0"/>
        </w:sectPr>
      </w:pPr>
    </w:p>
    <w:p>
      <w:pPr>
        <w:pStyle w:val="BodyText"/>
        <w:spacing w:before="4"/>
        <w:rPr>
          <w:sz w:val="11"/>
        </w:rPr>
      </w:pPr>
    </w:p>
    <w:p>
      <w:pPr>
        <w:pStyle w:val="BodyText"/>
        <w:spacing w:line="357" w:lineRule="auto" w:before="69"/>
        <w:ind w:left="1418" w:right="1700"/>
        <w:jc w:val="both"/>
      </w:pPr>
      <w:r>
        <w:rPr/>
        <w:t>controles. Se ha considerado que las células BN son indicadoras de fallas en la citocinesis y susceptibilidad a aneuploidía que está asociada a incremento en el riesgo de cáncer y enfermedades neurodegenerativas</w:t>
      </w:r>
      <w:r>
        <w:rPr>
          <w:position w:val="8"/>
          <w:sz w:val="16"/>
        </w:rPr>
        <w:t>12, 20, 99</w:t>
      </w:r>
      <w:r>
        <w:rPr/>
        <w:t>.</w:t>
      </w:r>
    </w:p>
    <w:p>
      <w:pPr>
        <w:pStyle w:val="BodyText"/>
        <w:spacing w:line="360" w:lineRule="auto" w:before="203"/>
        <w:ind w:left="1418" w:right="1698"/>
        <w:jc w:val="both"/>
      </w:pPr>
      <w:r>
        <w:rPr/>
        <w:t>Mientras que en el grupo control se observaron valores estadísticamente  significativos de células con CR en comparación con el grupo expuesto, la CR está relacionada con citotoxicicidad, que según Bolognesi </w:t>
      </w:r>
      <w:r>
        <w:rPr>
          <w:i/>
        </w:rPr>
        <w:t>et al</w:t>
      </w:r>
      <w:r>
        <w:rPr/>
        <w:t>. (2013), se deben a la exposición a genotóxicos desconocidos, acitotoxinas presentes en el ambiente, a la existencia de defectos genéticos capaces de inducir daño en el genoma y en la morfología</w:t>
      </w:r>
      <w:r>
        <w:rPr>
          <w:spacing w:val="-8"/>
        </w:rPr>
        <w:t> </w:t>
      </w:r>
      <w:r>
        <w:rPr/>
        <w:t>celular.</w:t>
      </w:r>
    </w:p>
    <w:p>
      <w:pPr>
        <w:pStyle w:val="BodyText"/>
      </w:pPr>
    </w:p>
    <w:p>
      <w:pPr>
        <w:pStyle w:val="Heading4"/>
        <w:numPr>
          <w:ilvl w:val="0"/>
          <w:numId w:val="36"/>
        </w:numPr>
        <w:tabs>
          <w:tab w:pos="2138" w:val="left" w:leader="none"/>
          <w:tab w:pos="2139" w:val="left" w:leader="none"/>
        </w:tabs>
        <w:spacing w:line="314" w:lineRule="auto" w:before="141" w:after="0"/>
        <w:ind w:left="2138" w:right="1705" w:hanging="360"/>
        <w:jc w:val="left"/>
      </w:pPr>
      <w:r>
        <w:rPr/>
        <w:t>Análisis de micronúcleos y alteraciones nucleares en relación a la exposición</w:t>
      </w:r>
    </w:p>
    <w:p>
      <w:pPr>
        <w:pStyle w:val="BodyText"/>
        <w:rPr>
          <w:b/>
        </w:rPr>
      </w:pPr>
    </w:p>
    <w:p>
      <w:pPr>
        <w:pStyle w:val="BodyText"/>
        <w:spacing w:line="360" w:lineRule="auto" w:before="193"/>
        <w:ind w:left="1418" w:right="1695"/>
        <w:jc w:val="both"/>
      </w:pPr>
      <w:r>
        <w:rPr/>
        <w:t>Los niños cuyos padres se dedican a la floricultura mostraron valores estadísticamente significativos de células con CL y el TAN. Angerer </w:t>
      </w:r>
      <w:r>
        <w:rPr>
          <w:i/>
        </w:rPr>
        <w:t>et al</w:t>
      </w:r>
      <w:r>
        <w:rPr/>
        <w:t>. (2007), mencionan que estas anomalías nucleares indican efectos citotóxicos y han sido asociadas con el incremento de inestabilidad genética y procesos carcinogénicos.  Sin embargo, en el grupo expuesto las madres dedicadas al hogar en comparación con las madres floricultoras mostraron diferencias significativas. Los niños que realizan actividades dentro del invernadero tales como desbotonamiento, acarreo de flor o limpieza, no mostraron valores estadísticamente significativos, así como aquellos que llevan a cabo estas actividades frecuentemente, no obstante aquellos niños que asisten una vez al mes al invernadero presentaron diferencias estadísticamente significativas. Los niños de este estudio señalan que tanto ellos como su padre y/o madre que se dedican al floricultura no manejan ninguna medida de protección, únicamente si sus padres realizan aplicación de plaguicidas, refirieron utilizar un cubrebocas y botas, sin embargo, estas medidas de protección son insuficientes. Es por esto que se considera que toda la población de esta comunidad está expuesta, ya sea de manera directa o indirecta, con diferente frecuencia e intensidad.</w:t>
      </w:r>
    </w:p>
    <w:p>
      <w:pPr>
        <w:spacing w:after="0" w:line="360" w:lineRule="auto"/>
        <w:jc w:val="both"/>
        <w:sectPr>
          <w:pgSz w:w="12240" w:h="15840"/>
          <w:pgMar w:header="0" w:footer="0" w:top="1500" w:bottom="780" w:left="0" w:right="0"/>
        </w:sectPr>
      </w:pPr>
    </w:p>
    <w:p>
      <w:pPr>
        <w:pStyle w:val="BodyText"/>
        <w:spacing w:before="4"/>
        <w:rPr>
          <w:sz w:val="11"/>
        </w:rPr>
      </w:pPr>
    </w:p>
    <w:p>
      <w:pPr>
        <w:pStyle w:val="BodyText"/>
        <w:spacing w:line="360" w:lineRule="auto" w:before="69"/>
        <w:ind w:left="1418" w:right="1698"/>
        <w:jc w:val="both"/>
      </w:pPr>
      <w:r>
        <w:rPr/>
        <w:t>Aun cuando las fumigaciones de plantíos a cielo abierto ofrecen un menor riesgo que los ambientes cerrados, los niños por sus actividades al aire libre pueden tener contacto con las gotitas del aerosol suspendidas en el aire y expliquen la presencia de AN, por ello podría ser que los niños cuyos padres se dedican a la floricultura presenten mayor frecuencia de CL, en este sentido Ergene </w:t>
      </w:r>
      <w:r>
        <w:rPr>
          <w:i/>
        </w:rPr>
        <w:t>et al</w:t>
      </w:r>
      <w:r>
        <w:rPr/>
        <w:t>. (2007) describen hallazgos similares, que sugieren la posibilidad de exposición indirecta, puesto que los padres llevan la ropa de trabajo al hogar, el mecanismo de formación de la CL, no se ha clarificado, es posible que se asocie con un efecto acumulativo de factores de riesgo.</w:t>
      </w:r>
    </w:p>
    <w:p>
      <w:pPr>
        <w:pStyle w:val="BodyText"/>
      </w:pPr>
    </w:p>
    <w:p>
      <w:pPr>
        <w:pStyle w:val="Heading4"/>
        <w:spacing w:before="142"/>
        <w:ind w:left="1418"/>
        <w:jc w:val="both"/>
      </w:pPr>
      <w:r>
        <w:rPr/>
        <w:t>Factores de variabilidad</w:t>
      </w:r>
    </w:p>
    <w:p>
      <w:pPr>
        <w:pStyle w:val="BodyText"/>
        <w:rPr>
          <w:b/>
        </w:rPr>
      </w:pPr>
    </w:p>
    <w:p>
      <w:pPr>
        <w:pStyle w:val="BodyText"/>
        <w:rPr>
          <w:b/>
        </w:rPr>
      </w:pPr>
    </w:p>
    <w:p>
      <w:pPr>
        <w:pStyle w:val="BodyText"/>
        <w:spacing w:line="357" w:lineRule="auto"/>
        <w:ind w:left="1418" w:right="1699"/>
        <w:jc w:val="both"/>
      </w:pPr>
      <w:r>
        <w:rPr/>
        <w:t>Los resultados descritos en la literatura, acerca de la influencia de factores de variabilidad que pueden intervenir en el aumento o disminución de la frecuencia de MN y AN no son concluyentes</w:t>
      </w:r>
      <w:r>
        <w:rPr>
          <w:position w:val="8"/>
          <w:sz w:val="16"/>
        </w:rPr>
        <w:t>95</w:t>
      </w:r>
      <w:r>
        <w:rPr/>
        <w:t>.</w:t>
      </w:r>
    </w:p>
    <w:p>
      <w:pPr>
        <w:pStyle w:val="BodyText"/>
        <w:spacing w:before="2"/>
        <w:rPr>
          <w:sz w:val="36"/>
        </w:rPr>
      </w:pPr>
    </w:p>
    <w:p>
      <w:pPr>
        <w:pStyle w:val="Heading4"/>
        <w:numPr>
          <w:ilvl w:val="0"/>
          <w:numId w:val="36"/>
        </w:numPr>
        <w:tabs>
          <w:tab w:pos="2138" w:val="left" w:leader="none"/>
          <w:tab w:pos="2139" w:val="left" w:leader="none"/>
        </w:tabs>
        <w:spacing w:line="240" w:lineRule="auto" w:before="0" w:after="0"/>
        <w:ind w:left="2138" w:right="0" w:hanging="360"/>
        <w:jc w:val="left"/>
      </w:pPr>
      <w:r>
        <w:rPr/>
        <w:t>Grupo</w:t>
      </w:r>
      <w:r>
        <w:rPr>
          <w:spacing w:val="-2"/>
        </w:rPr>
        <w:t> </w:t>
      </w:r>
      <w:r>
        <w:rPr/>
        <w:t>expuesto</w:t>
      </w:r>
    </w:p>
    <w:p>
      <w:pPr>
        <w:pStyle w:val="BodyText"/>
        <w:spacing w:before="3"/>
        <w:rPr>
          <w:b/>
          <w:sz w:val="46"/>
        </w:rPr>
      </w:pPr>
    </w:p>
    <w:p>
      <w:pPr>
        <w:pStyle w:val="BodyText"/>
        <w:spacing w:line="360" w:lineRule="auto"/>
        <w:ind w:left="1418" w:right="1700"/>
        <w:jc w:val="both"/>
      </w:pPr>
      <w:r>
        <w:rPr/>
        <w:t>La correlación entre el IMC y el incremento de las CB se vio reflejada en este grupo. Cervantes-Ríos </w:t>
      </w:r>
      <w:r>
        <w:rPr>
          <w:i/>
        </w:rPr>
        <w:t>et al</w:t>
      </w:r>
      <w:r>
        <w:rPr/>
        <w:t>. (2012) mencionan que el estado nutricional afecta cada aspecto de la vida y salud de los niños</w:t>
      </w:r>
      <w:r>
        <w:rPr>
          <w:sz w:val="22"/>
        </w:rPr>
        <w:t>, </w:t>
      </w:r>
      <w:r>
        <w:rPr/>
        <w:t>así como en el ADN, ya que un desbalance en el IMC trae como consecuencia una falta de elementos esenciales para su formación por lo que se debilita y se fractura resultando en inestabilidad</w:t>
      </w:r>
      <w:r>
        <w:rPr>
          <w:spacing w:val="-22"/>
        </w:rPr>
        <w:t> </w:t>
      </w:r>
      <w:r>
        <w:rPr/>
        <w:t>génica</w:t>
      </w:r>
      <w:r>
        <w:rPr>
          <w:position w:val="8"/>
          <w:sz w:val="16"/>
        </w:rPr>
        <w:t>13</w:t>
      </w:r>
      <w:r>
        <w:rPr/>
        <w:t>.</w:t>
      </w:r>
    </w:p>
    <w:p>
      <w:pPr>
        <w:pStyle w:val="BodyText"/>
        <w:rPr>
          <w:sz w:val="36"/>
        </w:rPr>
      </w:pPr>
    </w:p>
    <w:p>
      <w:pPr>
        <w:pStyle w:val="BodyText"/>
        <w:spacing w:line="360" w:lineRule="auto" w:before="1"/>
        <w:ind w:left="1418" w:right="1702"/>
        <w:jc w:val="both"/>
      </w:pPr>
      <w:r>
        <w:rPr/>
        <w:t>En el grupo expuesto se notaron valores estadísticamente significativos: de células con micronúcleos en los niños que se les ha realizado un tratamiento con resina y/o amalgama. Rezende </w:t>
      </w:r>
      <w:r>
        <w:rPr>
          <w:i/>
        </w:rPr>
        <w:t>et al. </w:t>
      </w:r>
      <w:r>
        <w:rPr/>
        <w:t>(2011), sugieren que la combinación de iónomero de vidrio, óxido de cinc y eugenol con resina incrementa la frecuencia de MN y CB en células exfoliadas de los niños.</w:t>
      </w:r>
    </w:p>
    <w:p>
      <w:pPr>
        <w:spacing w:after="0" w:line="360" w:lineRule="auto"/>
        <w:jc w:val="both"/>
        <w:sectPr>
          <w:footerReference w:type="default" r:id="rId306"/>
          <w:pgSz w:w="12240" w:h="15840"/>
          <w:pgMar w:footer="599" w:header="0" w:top="1500" w:bottom="780" w:left="0" w:right="0"/>
          <w:pgNumType w:start="110"/>
        </w:sectPr>
      </w:pPr>
    </w:p>
    <w:p>
      <w:pPr>
        <w:pStyle w:val="BodyText"/>
        <w:spacing w:before="4"/>
        <w:rPr>
          <w:sz w:val="11"/>
        </w:rPr>
      </w:pPr>
    </w:p>
    <w:p>
      <w:pPr>
        <w:pStyle w:val="BodyText"/>
        <w:spacing w:line="360" w:lineRule="auto" w:before="69"/>
        <w:ind w:left="1418" w:right="1695"/>
        <w:jc w:val="both"/>
      </w:pPr>
      <w:r>
        <w:rPr/>
        <w:t>Por otro lado, en los hábitos alimenticios se observaron valores significativos de células con cariolisis en el consumo de alimentos enlatados. Esto puede deberse a que diversos envases de alimentos y bebidas se fabrican en plástico o tienen un revestimiento protector de plástico que contiene Bisfenol-A (BPA), este es conocido como un disruptor endocrino </w:t>
      </w:r>
      <w:r>
        <w:rPr>
          <w:position w:val="8"/>
          <w:sz w:val="16"/>
        </w:rPr>
        <w:t>101</w:t>
      </w:r>
      <w:r>
        <w:rPr/>
        <w:t>. Estudios como el de Tiwari </w:t>
      </w:r>
      <w:r>
        <w:rPr>
          <w:i/>
        </w:rPr>
        <w:t>et al</w:t>
      </w:r>
      <w:r>
        <w:rPr/>
        <w:t>. (2012) </w:t>
      </w:r>
      <w:r>
        <w:rPr>
          <w:i/>
        </w:rPr>
        <w:t>in vivo </w:t>
      </w:r>
      <w:r>
        <w:rPr/>
        <w:t>e </w:t>
      </w:r>
      <w:r>
        <w:rPr>
          <w:i/>
        </w:rPr>
        <w:t>in </w:t>
      </w:r>
      <w:r>
        <w:rPr>
          <w:i/>
        </w:rPr>
        <w:t>vitro </w:t>
      </w:r>
      <w:r>
        <w:rPr/>
        <w:t>en ratones, observaron que la exposición a BPA causo aumento significativo en la frecuencia de MN, lo que representa un daño al ADN.</w:t>
      </w:r>
    </w:p>
    <w:p>
      <w:pPr>
        <w:pStyle w:val="BodyText"/>
      </w:pPr>
    </w:p>
    <w:p>
      <w:pPr>
        <w:pStyle w:val="BodyText"/>
        <w:spacing w:before="8"/>
        <w:rPr>
          <w:sz w:val="29"/>
        </w:rPr>
      </w:pPr>
    </w:p>
    <w:p>
      <w:pPr>
        <w:pStyle w:val="BodyText"/>
        <w:spacing w:line="357" w:lineRule="auto"/>
        <w:ind w:left="1418" w:right="1700"/>
        <w:jc w:val="both"/>
      </w:pPr>
      <w:r>
        <w:rPr/>
        <w:t>Se considera que fumar es un factor de confusión en la aparición de MN y AN,  debido a los componentes carcinógenos del cigarro, que pueden influir en la frecuencia de daño genético</w:t>
      </w:r>
      <w:r>
        <w:rPr>
          <w:position w:val="8"/>
          <w:sz w:val="16"/>
        </w:rPr>
        <w:t>103</w:t>
      </w:r>
      <w:r>
        <w:rPr/>
        <w:t>. Los niños de este estudio no fuman, sin embargo, estuvieron expuestos al humo del tabaco a través de sus padres, los resultados mostraron un aumento estadísticamente significativo en la frecuencia de MN. La exposición frecuente a estos agentes a largo plazo puede traer efectos de salud en los niños que se ven usualmente durante la</w:t>
      </w:r>
      <w:r>
        <w:rPr>
          <w:spacing w:val="-19"/>
        </w:rPr>
        <w:t> </w:t>
      </w:r>
      <w:r>
        <w:rPr/>
        <w:t>adultez</w:t>
      </w:r>
      <w:r>
        <w:rPr>
          <w:position w:val="8"/>
          <w:sz w:val="16"/>
        </w:rPr>
        <w:t>44</w:t>
      </w:r>
      <w:r>
        <w:rPr/>
        <w:t>.</w:t>
      </w:r>
    </w:p>
    <w:p>
      <w:pPr>
        <w:pStyle w:val="BodyText"/>
        <w:spacing w:before="7"/>
        <w:rPr>
          <w:sz w:val="35"/>
        </w:rPr>
      </w:pPr>
    </w:p>
    <w:p>
      <w:pPr>
        <w:pStyle w:val="BodyText"/>
        <w:spacing w:line="360" w:lineRule="auto"/>
        <w:ind w:left="1418" w:right="1705"/>
        <w:jc w:val="both"/>
      </w:pPr>
      <w:r>
        <w:rPr/>
        <w:t>Las madres de los niños del grupo expuesto refirieron familiares con cáncer, se observaron valores estadísticamente significativos de MN en comparación con niños que no tienen familiares con ese tipo de antecedentes. La evidencia epidemiológica menciona que la influencia genética puede contribuir a desarrollar un riesgo de padecer cáncer debido a inestabilidad cromosómica</w:t>
      </w:r>
      <w:r>
        <w:rPr>
          <w:position w:val="8"/>
          <w:sz w:val="16"/>
        </w:rPr>
        <w:t>104</w:t>
      </w:r>
      <w:r>
        <w:rPr/>
        <w:t>.</w:t>
      </w:r>
    </w:p>
    <w:p>
      <w:pPr>
        <w:pStyle w:val="BodyText"/>
        <w:rPr>
          <w:sz w:val="36"/>
        </w:rPr>
      </w:pPr>
    </w:p>
    <w:p>
      <w:pPr>
        <w:pStyle w:val="BodyText"/>
        <w:spacing w:line="360" w:lineRule="auto"/>
        <w:ind w:left="1418" w:right="1707"/>
        <w:jc w:val="both"/>
      </w:pPr>
      <w:r>
        <w:rPr/>
        <w:t>Factores como el género, edad, dieta y problemas en el nacimiento no mostraron valores significativos.</w:t>
      </w:r>
    </w:p>
    <w:p>
      <w:pPr>
        <w:pStyle w:val="BodyText"/>
      </w:pPr>
    </w:p>
    <w:p>
      <w:pPr>
        <w:pStyle w:val="Heading4"/>
        <w:numPr>
          <w:ilvl w:val="0"/>
          <w:numId w:val="36"/>
        </w:numPr>
        <w:tabs>
          <w:tab w:pos="2138" w:val="left" w:leader="none"/>
          <w:tab w:pos="2139" w:val="left" w:leader="none"/>
        </w:tabs>
        <w:spacing w:line="240" w:lineRule="auto" w:before="144" w:after="0"/>
        <w:ind w:left="2138" w:right="0" w:hanging="360"/>
        <w:jc w:val="left"/>
      </w:pPr>
      <w:r>
        <w:rPr/>
        <w:t>Grupo no</w:t>
      </w:r>
      <w:r>
        <w:rPr>
          <w:spacing w:val="-2"/>
        </w:rPr>
        <w:t> </w:t>
      </w:r>
      <w:r>
        <w:rPr/>
        <w:t>expuesto</w:t>
      </w:r>
    </w:p>
    <w:p>
      <w:pPr>
        <w:pStyle w:val="BodyText"/>
        <w:spacing w:before="6"/>
        <w:rPr>
          <w:b/>
          <w:sz w:val="27"/>
        </w:rPr>
      </w:pPr>
    </w:p>
    <w:p>
      <w:pPr>
        <w:pStyle w:val="BodyText"/>
        <w:spacing w:line="360" w:lineRule="auto"/>
        <w:ind w:left="1418" w:right="1706"/>
        <w:jc w:val="both"/>
      </w:pPr>
      <w:r>
        <w:rPr/>
        <w:t>En el grupo control, los factores de variabilidad que se observaron con anormalidades nucleares fue en los niños que no utilizan cepillo y pasta dental (BN), asimismo aquellos que no usan enjuague bucal (CL) y que no han asistido a</w:t>
      </w:r>
      <w:r>
        <w:rPr>
          <w:spacing w:val="-6"/>
        </w:rPr>
        <w:t> </w:t>
      </w:r>
      <w:r>
        <w:rPr/>
        <w:t>consulta</w:t>
      </w:r>
    </w:p>
    <w:p>
      <w:pPr>
        <w:spacing w:after="0" w:line="360" w:lineRule="auto"/>
        <w:jc w:val="both"/>
        <w:sectPr>
          <w:pgSz w:w="12240" w:h="15840"/>
          <w:pgMar w:header="0" w:footer="599" w:top="1500" w:bottom="780" w:left="0" w:right="0"/>
        </w:sectPr>
      </w:pPr>
    </w:p>
    <w:p>
      <w:pPr>
        <w:pStyle w:val="BodyText"/>
        <w:spacing w:before="1"/>
        <w:rPr>
          <w:sz w:val="11"/>
        </w:rPr>
      </w:pPr>
    </w:p>
    <w:p>
      <w:pPr>
        <w:pStyle w:val="BodyText"/>
        <w:spacing w:line="360" w:lineRule="auto" w:before="70"/>
        <w:ind w:left="1418" w:right="1701"/>
        <w:jc w:val="both"/>
      </w:pPr>
      <w:r>
        <w:rPr/>
        <w:t>dental (NL y TAN). Bastos-Aires </w:t>
      </w:r>
      <w:r>
        <w:rPr>
          <w:i/>
        </w:rPr>
        <w:t>et al</w:t>
      </w:r>
      <w:r>
        <w:rPr/>
        <w:t>. (2013) en un estudio en pacientes con periodontitis mencionan que una mala higiene bucal pueden inducir cambios en los niveles de MN y AN; por lo que la mala higiene del grupo podría estar contribuyendo a la aparición de las anomalías</w:t>
      </w:r>
      <w:r>
        <w:rPr>
          <w:spacing w:val="-11"/>
        </w:rPr>
        <w:t> </w:t>
      </w:r>
      <w:r>
        <w:rPr/>
        <w:t>nucleares.</w:t>
      </w:r>
    </w:p>
    <w:p>
      <w:pPr>
        <w:pStyle w:val="BodyText"/>
        <w:spacing w:line="360" w:lineRule="auto" w:before="204"/>
        <w:ind w:left="1418" w:right="1695"/>
        <w:jc w:val="both"/>
      </w:pPr>
      <w:r>
        <w:rPr/>
        <w:t>El consumo de frutas y verduras en el grupo control mostro valores significativos de </w:t>
      </w:r>
      <w:r>
        <w:rPr>
          <w:position w:val="1"/>
        </w:rPr>
        <w:t>PC, CR, TAN. Bonassi et al. (2011) evaluaron en el proyecto HUMN</w:t>
      </w:r>
      <w:r>
        <w:rPr>
          <w:sz w:val="16"/>
        </w:rPr>
        <w:t>XL </w:t>
      </w:r>
      <w:r>
        <w:rPr>
          <w:position w:val="1"/>
        </w:rPr>
        <w:t>el impacto de </w:t>
      </w:r>
      <w:r>
        <w:rPr/>
        <w:t>diversos factores respecto a la frecuencia de MN en células exfoliadas, uno de estos factores es la dieta, mencionan que los sujetos con una dieta diaria que incluía frutas y verduras tenían baja frecuencia de MN. Esto se debe al efecto antioxidante del consumo de estos alimentos que están asociados a una disminución del daño al ADN. Sin embargo, los resultados de este estudio mostraron lo contrario, esto puede deberse a la presencia de plaguicidas en las frutas y verduras que posiblemente no se lavaron apropiadamente, como lo mencionan Mantovani </w:t>
      </w:r>
      <w:r>
        <w:rPr>
          <w:i/>
        </w:rPr>
        <w:t>et al</w:t>
      </w:r>
      <w:r>
        <w:rPr/>
        <w:t>. (2008) la dieta es una vía de exposición a agroquímicos, en su estudio mencionan que a través del Programa de Monitoreo de Residuos en Alimentos en 2005 reportaron en Estados Unidos de América la presencia de más de un plaguicida en un 26.7% de sus muestras comparado a años anteriores. Posiblemente la presencia de residuos plaguicidas en las frutas y verduras, además de un lavado deficiente de estas en el grupo en estudio haya inducido daño</w:t>
      </w:r>
      <w:r>
        <w:rPr>
          <w:spacing w:val="-20"/>
        </w:rPr>
        <w:t> </w:t>
      </w:r>
      <w:r>
        <w:rPr/>
        <w:t>genotóxico.</w:t>
      </w:r>
    </w:p>
    <w:p>
      <w:pPr>
        <w:pStyle w:val="BodyText"/>
        <w:spacing w:before="1"/>
        <w:rPr>
          <w:sz w:val="27"/>
        </w:rPr>
      </w:pPr>
    </w:p>
    <w:p>
      <w:pPr>
        <w:pStyle w:val="BodyText"/>
        <w:spacing w:line="360" w:lineRule="auto" w:before="1"/>
        <w:ind w:left="1418" w:right="1696"/>
        <w:jc w:val="both"/>
      </w:pPr>
      <w:r>
        <w:rPr/>
        <w:t>Ogura, </w:t>
      </w:r>
      <w:r>
        <w:rPr>
          <w:i/>
        </w:rPr>
        <w:t>et al</w:t>
      </w:r>
      <w:r>
        <w:rPr/>
        <w:t>. (2008) mencionan que el té en cualquiera de sus variedades contiene catequinas, son sustancias que aportan efectos beneficiosos para la salud, tales como actividad antioxidante, antiviral y anti-cancerígeno</w:t>
      </w:r>
      <w:r>
        <w:rPr>
          <w:color w:val="333333"/>
          <w:sz w:val="21"/>
        </w:rPr>
        <w:t>. </w:t>
      </w:r>
      <w:r>
        <w:rPr/>
        <w:t>Además, las catequinas específicamente del té verde demostraron suprimir la actividad genotóxica de diferentes agentes carcinógenos, ya que disminuye la frecuencia de MN. En este estudio los niños refirieron consumo té (no especificando el tipo) y se observó presencia de NL y TAN, puede ser que el consumo de esta bebida aunque no se cuenta con información sobre el efecto de otros tipos de té no esté generando  ningún factor protector del daño genotóxico para estos</w:t>
      </w:r>
      <w:r>
        <w:rPr>
          <w:spacing w:val="-22"/>
        </w:rPr>
        <w:t> </w:t>
      </w:r>
      <w:r>
        <w:rPr/>
        <w:t>niños.</w:t>
      </w:r>
    </w:p>
    <w:p>
      <w:pPr>
        <w:spacing w:after="0" w:line="360" w:lineRule="auto"/>
        <w:jc w:val="both"/>
        <w:sectPr>
          <w:pgSz w:w="12240" w:h="15840"/>
          <w:pgMar w:header="0" w:footer="599" w:top="1500" w:bottom="780" w:left="0" w:right="0"/>
        </w:sectPr>
      </w:pPr>
    </w:p>
    <w:p>
      <w:pPr>
        <w:pStyle w:val="BodyText"/>
        <w:spacing w:before="4"/>
        <w:rPr>
          <w:sz w:val="11"/>
        </w:rPr>
      </w:pPr>
    </w:p>
    <w:p>
      <w:pPr>
        <w:pStyle w:val="BodyText"/>
        <w:spacing w:line="360" w:lineRule="auto" w:before="69"/>
        <w:ind w:left="1418" w:right="1695"/>
        <w:jc w:val="both"/>
      </w:pPr>
      <w:r>
        <w:rPr/>
        <w:t>El papel de la edad y el género en el aumento de la frecuencia de micronúcleos no  es tan clara, sin embargo, Fenech </w:t>
      </w:r>
      <w:r>
        <w:rPr>
          <w:i/>
        </w:rPr>
        <w:t>et al</w:t>
      </w:r>
      <w:r>
        <w:rPr/>
        <w:t>. (2011) mencionan que el incremento de MN con la edad se debe a la combinación de factores que incluye el efecto acumulativo de mutaciones en genes implicados en la reparación de ADN. Benitéz </w:t>
      </w:r>
      <w:r>
        <w:rPr>
          <w:i/>
        </w:rPr>
        <w:t>et al. </w:t>
      </w:r>
      <w:r>
        <w:rPr/>
        <w:t>(2010)  en una revisión en niños de 0-18 años expuestos a mutágenos, mostraron que la influencia de la edad sobre la frecuencia de MN era irrelevante, similar a lo notado en este estudio. En cuanto al género, se ha reportado que el incremento de MN en mujeres se debe a la tendencia de la pérdida del cromosoma X. En los adultos, se ha encontrado que las mujeres tienen un nivel mayor de frecuencia de MN. Sin  embargo, en un metanálisis no se encontraron diferencias en la frecuencia basal de MN en niños</w:t>
      </w:r>
      <w:r>
        <w:rPr>
          <w:position w:val="8"/>
          <w:sz w:val="16"/>
        </w:rPr>
        <w:t>22</w:t>
      </w:r>
      <w:r>
        <w:rPr/>
        <w:t>, el género en ambos grupo de este estudio no fue</w:t>
      </w:r>
      <w:r>
        <w:rPr>
          <w:spacing w:val="-27"/>
        </w:rPr>
        <w:t> </w:t>
      </w:r>
      <w:r>
        <w:rPr/>
        <w:t>relevante.</w:t>
      </w:r>
    </w:p>
    <w:p>
      <w:pPr>
        <w:spacing w:after="0" w:line="360" w:lineRule="auto"/>
        <w:jc w:val="both"/>
        <w:sectPr>
          <w:pgSz w:w="12240" w:h="15840"/>
          <w:pgMar w:header="0" w:footer="599" w:top="1500" w:bottom="780" w:left="0" w:right="0"/>
        </w:sectPr>
      </w:pPr>
    </w:p>
    <w:p>
      <w:pPr>
        <w:pStyle w:val="BodyText"/>
        <w:spacing w:before="4"/>
        <w:rPr>
          <w:sz w:val="11"/>
        </w:rPr>
      </w:pPr>
    </w:p>
    <w:p>
      <w:pPr>
        <w:pStyle w:val="Heading4"/>
        <w:numPr>
          <w:ilvl w:val="2"/>
          <w:numId w:val="3"/>
        </w:numPr>
        <w:tabs>
          <w:tab w:pos="1915" w:val="left" w:leader="none"/>
        </w:tabs>
        <w:spacing w:line="240" w:lineRule="auto" w:before="69" w:after="0"/>
        <w:ind w:left="1914" w:right="0" w:hanging="496"/>
        <w:jc w:val="both"/>
      </w:pPr>
      <w:r>
        <w:rPr/>
        <w:t>CONCLUSIONES</w:t>
      </w:r>
    </w:p>
    <w:p>
      <w:pPr>
        <w:pStyle w:val="BodyText"/>
        <w:rPr>
          <w:b/>
        </w:rPr>
      </w:pPr>
    </w:p>
    <w:p>
      <w:pPr>
        <w:pStyle w:val="BodyText"/>
        <w:rPr>
          <w:b/>
        </w:rPr>
      </w:pPr>
    </w:p>
    <w:p>
      <w:pPr>
        <w:pStyle w:val="BodyText"/>
        <w:spacing w:line="360" w:lineRule="auto"/>
        <w:ind w:left="1418" w:right="1695"/>
        <w:jc w:val="both"/>
      </w:pPr>
      <w:r>
        <w:rPr/>
        <w:t>Se concluye que La frecuencia de CMN fue similar al grupo control. Que no bien, no se detecto daño genotóxico mediante la prueba de micronúcleos en  células exfoliadas de la mucosa bucal.</w:t>
      </w:r>
    </w:p>
    <w:p>
      <w:pPr>
        <w:pStyle w:val="BodyText"/>
        <w:spacing w:line="360" w:lineRule="auto" w:before="204"/>
        <w:ind w:left="1418" w:right="1698"/>
        <w:jc w:val="both"/>
      </w:pPr>
      <w:r>
        <w:rPr/>
        <w:t>Esta misma exposición induce daño al ADN y citotoxicidad identificado por la presencia de anomalías nucleares.</w:t>
      </w:r>
    </w:p>
    <w:p>
      <w:pPr>
        <w:pStyle w:val="BodyText"/>
      </w:pPr>
    </w:p>
    <w:p>
      <w:pPr>
        <w:pStyle w:val="BodyText"/>
        <w:spacing w:line="360" w:lineRule="auto" w:before="142"/>
        <w:ind w:left="1418" w:right="1697"/>
        <w:jc w:val="both"/>
      </w:pPr>
      <w:r>
        <w:rPr/>
        <w:t>Los factores en la población expuesta como hábitos higiénico-dentales, dieta, antecedentes heredofamiliares de cáncer y fumador pasivo influyeron en la aparición de MN y AN.</w:t>
      </w:r>
    </w:p>
    <w:p>
      <w:pPr>
        <w:pStyle w:val="BodyText"/>
      </w:pPr>
    </w:p>
    <w:p>
      <w:pPr>
        <w:pStyle w:val="BodyText"/>
        <w:spacing w:line="360" w:lineRule="auto" w:before="142"/>
        <w:ind w:left="1418" w:right="1699"/>
        <w:jc w:val="both"/>
      </w:pPr>
      <w:r>
        <w:rPr/>
        <w:t>En la población no expuesta, los factores de variabilidad indujeron daño genotóxico, citoxicidad y muerte celular, por la presencia de MN y AN. Por lo que factores como  la edad, sexo, IMC, dieta, higiene dental, problemas de nacimiento, pueden influir en la aparición de alteraciones nucleares, por lo que deben ser tomados en cuenta a la hora de realizar una evaluación</w:t>
      </w:r>
      <w:r>
        <w:rPr>
          <w:spacing w:val="-13"/>
        </w:rPr>
        <w:t> </w:t>
      </w:r>
      <w:r>
        <w:rPr/>
        <w:t>citogenética.</w:t>
      </w:r>
    </w:p>
    <w:p>
      <w:pPr>
        <w:pStyle w:val="BodyText"/>
      </w:pPr>
    </w:p>
    <w:p>
      <w:pPr>
        <w:pStyle w:val="Heading4"/>
        <w:numPr>
          <w:ilvl w:val="3"/>
          <w:numId w:val="3"/>
        </w:numPr>
        <w:tabs>
          <w:tab w:pos="2859" w:val="left" w:leader="none"/>
        </w:tabs>
        <w:spacing w:line="240" w:lineRule="auto" w:before="142" w:after="0"/>
        <w:ind w:left="2858" w:right="0" w:hanging="360"/>
        <w:jc w:val="left"/>
      </w:pPr>
      <w:r>
        <w:rPr/>
        <w:t>Recomendaciones</w:t>
      </w:r>
    </w:p>
    <w:p>
      <w:pPr>
        <w:pStyle w:val="BodyText"/>
        <w:rPr>
          <w:b/>
        </w:rPr>
      </w:pPr>
    </w:p>
    <w:p>
      <w:pPr>
        <w:pStyle w:val="BodyText"/>
        <w:rPr>
          <w:b/>
        </w:rPr>
      </w:pPr>
    </w:p>
    <w:p>
      <w:pPr>
        <w:pStyle w:val="BodyText"/>
        <w:spacing w:line="360" w:lineRule="auto"/>
        <w:ind w:left="1418" w:right="1704"/>
        <w:jc w:val="both"/>
      </w:pPr>
      <w:r>
        <w:rPr/>
        <w:t>Una manera eficaz de controlar el daño es una monitorización constante de la población general (adolescentes, jóvenes, adultos y adultos mayores) y de los individuos expuestos de la comunidad de San José, para evaluar si la exposición prolongada se relaciona con la formación de MN y AN, e ir observando posibles efectos sobre la salud, debidos a la genotoxicidad.</w:t>
      </w:r>
    </w:p>
    <w:p>
      <w:pPr>
        <w:spacing w:after="0" w:line="360" w:lineRule="auto"/>
        <w:jc w:val="both"/>
        <w:sectPr>
          <w:pgSz w:w="12240" w:h="15840"/>
          <w:pgMar w:header="0" w:footer="599" w:top="1500" w:bottom="780" w:left="0" w:right="0"/>
        </w:sectPr>
      </w:pPr>
    </w:p>
    <w:p>
      <w:pPr>
        <w:pStyle w:val="BodyText"/>
        <w:spacing w:before="4"/>
        <w:rPr>
          <w:rFonts w:ascii="Times New Roman"/>
          <w:sz w:val="17"/>
        </w:rPr>
      </w:pPr>
      <w:r>
        <w:rPr/>
        <w:pict>
          <v:group style="position:absolute;margin-left:1.56pt;margin-top:165.119995pt;width:610.450pt;height:372.75pt;mso-position-horizontal-relative:page;mso-position-vertical-relative:page;z-index:3280" coordorigin="31,3302" coordsize="12209,7455">
            <v:shape style="position:absolute;left:31;top:3302;width:12209;height:7454" type="#_x0000_t75" stroked="false">
              <v:imagedata r:id="rId308" o:title=""/>
            </v:shape>
            <v:shape style="position:absolute;left:31;top:3302;width:12209;height:7455" type="#_x0000_t202" filled="false" stroked="false">
              <v:textbox inset="0,0,0,0">
                <w:txbxContent>
                  <w:p>
                    <w:pPr>
                      <w:spacing w:line="240" w:lineRule="auto" w:before="0"/>
                      <w:rPr>
                        <w:rFonts w:ascii="Times New Roman"/>
                        <w:sz w:val="62"/>
                      </w:rPr>
                    </w:pPr>
                  </w:p>
                  <w:p>
                    <w:pPr>
                      <w:tabs>
                        <w:tab w:pos="7480" w:val="left" w:leader="none"/>
                      </w:tabs>
                      <w:spacing w:before="0"/>
                      <w:ind w:left="6028" w:right="0" w:firstLine="0"/>
                      <w:jc w:val="center"/>
                      <w:rPr>
                        <w:sz w:val="66"/>
                      </w:rPr>
                    </w:pPr>
                    <w:r>
                      <w:rPr>
                        <w:color w:val="0EA09E"/>
                        <w:w w:val="89"/>
                        <w:sz w:val="66"/>
                        <w:shd w:fill="FFFFFF" w:color="auto" w:val="clear"/>
                      </w:rPr>
                      <w:t> </w:t>
                    </w:r>
                    <w:r>
                      <w:rPr>
                        <w:color w:val="0EA09E"/>
                        <w:sz w:val="66"/>
                        <w:shd w:fill="FFFFFF" w:color="auto" w:val="clear"/>
                      </w:rPr>
                      <w:tab/>
                    </w:r>
                    <w:r>
                      <w:rPr>
                        <w:color w:val="0EA09E"/>
                        <w:w w:val="105"/>
                        <w:sz w:val="66"/>
                        <w:shd w:fill="FFFFFF" w:color="auto" w:val="clear"/>
                      </w:rPr>
                      <w:t>RESUMEN</w:t>
                    </w:r>
                  </w:p>
                  <w:p>
                    <w:pPr>
                      <w:tabs>
                        <w:tab w:pos="6396" w:val="left" w:leader="none"/>
                      </w:tabs>
                      <w:spacing w:before="301"/>
                      <w:ind w:left="5971" w:right="0" w:firstLine="0"/>
                      <w:jc w:val="center"/>
                      <w:rPr>
                        <w:sz w:val="62"/>
                      </w:rPr>
                    </w:pPr>
                    <w:r>
                      <w:rPr>
                        <w:color w:val="0EA09E"/>
                        <w:w w:val="89"/>
                        <w:sz w:val="62"/>
                        <w:shd w:fill="FFFFFF" w:color="auto" w:val="clear"/>
                      </w:rPr>
                      <w:t> </w:t>
                    </w:r>
                    <w:r>
                      <w:rPr>
                        <w:color w:val="0EA09E"/>
                        <w:sz w:val="62"/>
                        <w:shd w:fill="FFFFFF" w:color="auto" w:val="clear"/>
                      </w:rPr>
                      <w:tab/>
                    </w:r>
                    <w:r>
                      <w:rPr>
                        <w:color w:val="0EA09E"/>
                        <w:w w:val="115"/>
                        <w:sz w:val="62"/>
                        <w:shd w:fill="FFFFFF" w:color="auto" w:val="clear"/>
                      </w:rPr>
                      <w:t>BIBLIOGRAFÍA</w:t>
                    </w:r>
                  </w:p>
                </w:txbxContent>
              </v:textbox>
              <w10:wrap type="none"/>
            </v:shape>
            <w10:wrap type="none"/>
          </v:group>
        </w:pict>
      </w:r>
    </w:p>
    <w:p>
      <w:pPr>
        <w:spacing w:after="0"/>
        <w:rPr>
          <w:rFonts w:ascii="Times New Roman"/>
          <w:sz w:val="17"/>
        </w:rPr>
        <w:sectPr>
          <w:footerReference w:type="default" r:id="rId307"/>
          <w:pgSz w:w="12240" w:h="15840"/>
          <w:pgMar w:footer="0" w:header="0" w:top="1500" w:bottom="280" w:left="0" w:right="0"/>
        </w:sectPr>
      </w:pPr>
    </w:p>
    <w:p>
      <w:pPr>
        <w:pStyle w:val="BodyText"/>
        <w:spacing w:before="4"/>
        <w:rPr>
          <w:rFonts w:ascii="Times New Roman"/>
          <w:sz w:val="11"/>
        </w:rPr>
      </w:pPr>
    </w:p>
    <w:p>
      <w:pPr>
        <w:pStyle w:val="Heading4"/>
        <w:numPr>
          <w:ilvl w:val="2"/>
          <w:numId w:val="3"/>
        </w:numPr>
        <w:tabs>
          <w:tab w:pos="1980" w:val="left" w:leader="none"/>
        </w:tabs>
        <w:spacing w:line="240" w:lineRule="auto" w:before="69" w:after="0"/>
        <w:ind w:left="1979" w:right="0" w:hanging="561"/>
        <w:jc w:val="both"/>
      </w:pPr>
      <w:r>
        <w:rPr/>
        <w:t>RESUMEN</w:t>
      </w:r>
    </w:p>
    <w:p>
      <w:pPr>
        <w:pStyle w:val="BodyText"/>
        <w:rPr>
          <w:b/>
        </w:rPr>
      </w:pPr>
    </w:p>
    <w:p>
      <w:pPr>
        <w:pStyle w:val="BodyText"/>
        <w:rPr>
          <w:b/>
        </w:rPr>
      </w:pPr>
    </w:p>
    <w:p>
      <w:pPr>
        <w:pStyle w:val="BodyText"/>
        <w:spacing w:line="360" w:lineRule="auto"/>
        <w:ind w:left="1418" w:right="1695"/>
        <w:jc w:val="both"/>
      </w:pPr>
      <w:r>
        <w:rPr/>
        <w:t>San José, Villa Guerrero es una comunidad dedicada al cultivo de flores,  que requiere de fumigaciones con mezclas de plaguicidas. El efecto de la exposición directa e indirecta a plaguicidas en los niños debe ser monitoreado. El objetivo del estudio fue identificar la presencia de micronúcleos (MN) y anormalidades nucleares (AN) en células exfoliadas de la mucosa bucal de niños expuestos y no expuestos a plaguicidas. Frotis de la mucosa bucal, teñidos con naranja de acridina, fueron observados en un microscopio con inmunofluorescencia. Los valores de MN se encontraron dentro de parámetros normales en ambos grupos, las células binucleadas (CB) (p=0.001) prevalecieron en niños expuestos y en el grupo control la cariorrexis (CR) (p=0.006). En el grupo expuesto se observaron valores significativos de CB (p=0.01) en el Índice de Masa Corporal; MN (p=0.04) en niños con tratamiento dental; cariolisis (CL) (p=0.03) en niños con consumo de alimentos enlatados; MN (p=0.05) en niños con familiares con antecedentes de cáncer al igual que en fumadores pasivos (p=0.05). En el grupo control se observaron CB (p=0.04) en niños que no tienen higiene dental adecuada y sin uso de enjuague bucal CL (p=0.05); los niños que no acuden al dentista presentaron núcleos lobulados (NL) (p=0.01) y total de anormalidades nucleares (TAN) (p=0.05); mientras que en los niños con consumo de frutas y verduras presentaron picnosis (p=0.05), CR (p=0.05) y TAN (p=0.05) y por consumo de té NL (p=0.04) y TAN (p=0.03). La presencia de AN en los niños expuestos a plaguicidas sugiere daño citogenético.</w:t>
      </w:r>
    </w:p>
    <w:p>
      <w:pPr>
        <w:spacing w:after="0" w:line="360" w:lineRule="auto"/>
        <w:jc w:val="both"/>
        <w:sectPr>
          <w:pgSz w:w="12240" w:h="15840"/>
          <w:pgMar w:header="0" w:footer="0" w:top="1500" w:bottom="780" w:left="0" w:right="0"/>
        </w:sectPr>
      </w:pPr>
    </w:p>
    <w:p>
      <w:pPr>
        <w:pStyle w:val="BodyText"/>
        <w:spacing w:before="4"/>
        <w:rPr>
          <w:sz w:val="11"/>
        </w:rPr>
      </w:pPr>
    </w:p>
    <w:p>
      <w:pPr>
        <w:pStyle w:val="Heading4"/>
        <w:ind w:left="1606" w:right="1888"/>
        <w:jc w:val="center"/>
      </w:pPr>
      <w:r>
        <w:rPr/>
        <w:t>ABSTRACT</w:t>
      </w:r>
    </w:p>
    <w:p>
      <w:pPr>
        <w:pStyle w:val="BodyText"/>
        <w:spacing w:line="360" w:lineRule="auto" w:before="137"/>
        <w:ind w:left="1418" w:right="1699"/>
        <w:jc w:val="both"/>
      </w:pPr>
      <w:r>
        <w:rPr/>
        <w:t>San Jose, Villa Guerrero is a community dedicated to the cultivation of flowers that require spraying with pesticide mixtures. The effect of direct and indirect exposure to pesticides in children should be monitored. The objective of the study was to identify the presence of micronuclei (MN) and nuclear abnormalities (AN) in exfoliated cells of oral mucosa of children exposed and not exposed to pesticides. The buccal mucosa smears, stained with acridine orange, were observed in a microscope with immunofluorescence. The values of MN were found within normal parameters in both groups, the binucleate cells (CB) (p=0.001) prevailed karyorrhexis (CR) in exposed children and the control group (p=0.006). CB significant values were observed in the exposed group (p=0.01) and body mass index; MN (p=0.04) in children with dental treatment; (CL) karyolysis (p=0.03) in children with consumption of canned foods; MN (p=0.05) in children with a family with a history of cancer to passive smoking (p=0.05). CB were observed in the group control (p=0.04) in children who do not have an adequate dental hygiene and without use mouthwash CL (p=0.05); children who do not attend the dentist had buds nuclei (NL) (p=0.01) and total nuclear abnormalities (TNA) (p=0.05); While children with consumption of fruits and vegetables had; pyknosis (p=0.05), CR (p=0.05) and TNA (p=0.05); NL (p=0.04) tea consumption and TNA (p=0.03). The presence of AN in children exposed to pesticides suggests cytogenetic damage.</w:t>
      </w:r>
    </w:p>
    <w:p>
      <w:pPr>
        <w:spacing w:after="0" w:line="360" w:lineRule="auto"/>
        <w:jc w:val="both"/>
        <w:sectPr>
          <w:pgSz w:w="12240" w:h="15840"/>
          <w:pgMar w:header="0" w:footer="0" w:top="1500" w:bottom="780" w:left="0" w:right="0"/>
        </w:sectPr>
      </w:pPr>
    </w:p>
    <w:p>
      <w:pPr>
        <w:pStyle w:val="BodyText"/>
        <w:spacing w:before="4"/>
        <w:rPr>
          <w:sz w:val="11"/>
        </w:rPr>
      </w:pPr>
    </w:p>
    <w:p>
      <w:pPr>
        <w:pStyle w:val="Heading4"/>
        <w:numPr>
          <w:ilvl w:val="2"/>
          <w:numId w:val="3"/>
        </w:numPr>
        <w:tabs>
          <w:tab w:pos="2047" w:val="left" w:leader="none"/>
        </w:tabs>
        <w:spacing w:line="240" w:lineRule="auto" w:before="69" w:after="0"/>
        <w:ind w:left="2046" w:right="0" w:hanging="628"/>
        <w:jc w:val="left"/>
      </w:pPr>
      <w:r>
        <w:rPr/>
        <w:t>BIBLIOGRAFÍA</w:t>
      </w:r>
    </w:p>
    <w:p>
      <w:pPr>
        <w:pStyle w:val="BodyText"/>
        <w:rPr>
          <w:b/>
        </w:rPr>
      </w:pPr>
    </w:p>
    <w:p>
      <w:pPr>
        <w:pStyle w:val="BodyText"/>
        <w:rPr>
          <w:b/>
        </w:rPr>
      </w:pPr>
    </w:p>
    <w:p>
      <w:pPr>
        <w:pStyle w:val="ListParagraph"/>
        <w:numPr>
          <w:ilvl w:val="3"/>
          <w:numId w:val="3"/>
        </w:numPr>
        <w:tabs>
          <w:tab w:pos="2139" w:val="left" w:leader="none"/>
        </w:tabs>
        <w:spacing w:line="360" w:lineRule="auto" w:before="0" w:after="0"/>
        <w:ind w:left="2138" w:right="1704" w:hanging="360"/>
        <w:jc w:val="both"/>
        <w:rPr>
          <w:sz w:val="24"/>
        </w:rPr>
      </w:pPr>
      <w:r>
        <w:rPr>
          <w:sz w:val="24"/>
        </w:rPr>
        <w:t>Servicio de Información Agroalimentaria y Pesquera (SIAP) (2012). La floricultura en México. Estadísticas del Sector Agroalimentario y Pesquero. </w:t>
      </w:r>
      <w:r>
        <w:rPr>
          <w:i/>
          <w:sz w:val="24"/>
        </w:rPr>
        <w:t>DISEMINA</w:t>
      </w:r>
      <w:r>
        <w:rPr>
          <w:sz w:val="24"/>
        </w:rPr>
        <w:t>. No.</w:t>
      </w:r>
      <w:r>
        <w:rPr>
          <w:spacing w:val="-4"/>
          <w:sz w:val="24"/>
        </w:rPr>
        <w:t> </w:t>
      </w:r>
      <w:r>
        <w:rPr>
          <w:sz w:val="24"/>
        </w:rPr>
        <w:t>89.</w:t>
      </w:r>
    </w:p>
    <w:p>
      <w:pPr>
        <w:pStyle w:val="ListParagraph"/>
        <w:numPr>
          <w:ilvl w:val="3"/>
          <w:numId w:val="3"/>
        </w:numPr>
        <w:tabs>
          <w:tab w:pos="2139" w:val="left" w:leader="none"/>
        </w:tabs>
        <w:spacing w:line="360" w:lineRule="auto" w:before="5" w:after="0"/>
        <w:ind w:left="2138" w:right="1695" w:hanging="360"/>
        <w:jc w:val="both"/>
        <w:rPr>
          <w:sz w:val="24"/>
        </w:rPr>
      </w:pPr>
      <w:r>
        <w:rPr>
          <w:sz w:val="24"/>
        </w:rPr>
        <w:t>Ergene, S., Çelik, A., Çavaş, T. &amp; Kaya, F. (2007). Genotoxic biomonitoring study of population residing in pesticide contaminated regions in Göksu Delta: Micronucleus, chromosomal aberrations and sister chromatid exchanges</w:t>
      </w:r>
      <w:r>
        <w:rPr>
          <w:i/>
          <w:sz w:val="24"/>
        </w:rPr>
        <w:t>. </w:t>
      </w:r>
      <w:r>
        <w:rPr>
          <w:i/>
          <w:sz w:val="24"/>
        </w:rPr>
        <w:t>Environ. Int</w:t>
      </w:r>
      <w:r>
        <w:rPr>
          <w:sz w:val="24"/>
        </w:rPr>
        <w:t>. 33:</w:t>
      </w:r>
      <w:r>
        <w:rPr>
          <w:spacing w:val="-10"/>
          <w:sz w:val="24"/>
        </w:rPr>
        <w:t> </w:t>
      </w:r>
      <w:r>
        <w:rPr>
          <w:sz w:val="24"/>
        </w:rPr>
        <w:t>877–885.</w:t>
      </w:r>
    </w:p>
    <w:p>
      <w:pPr>
        <w:pStyle w:val="ListParagraph"/>
        <w:numPr>
          <w:ilvl w:val="3"/>
          <w:numId w:val="3"/>
        </w:numPr>
        <w:tabs>
          <w:tab w:pos="2139" w:val="left" w:leader="none"/>
        </w:tabs>
        <w:spacing w:line="360" w:lineRule="auto" w:before="2" w:after="0"/>
        <w:ind w:left="2138" w:right="1694" w:hanging="360"/>
        <w:jc w:val="both"/>
        <w:rPr>
          <w:i/>
          <w:sz w:val="24"/>
        </w:rPr>
      </w:pPr>
      <w:r>
        <w:rPr>
          <w:sz w:val="24"/>
        </w:rPr>
        <w:t>Eastmond, D. A. &amp; Balakrishnan, S. (2010). Genotoxicity of Pesticides. </w:t>
      </w:r>
      <w:r>
        <w:rPr>
          <w:i/>
          <w:sz w:val="24"/>
        </w:rPr>
        <w:t>Hayes’ </w:t>
      </w:r>
      <w:r>
        <w:rPr>
          <w:i/>
          <w:sz w:val="24"/>
        </w:rPr>
        <w:t>Handbook of Pesticide Toxicology. Chapter 11.</w:t>
      </w:r>
      <w:r>
        <w:rPr>
          <w:i/>
          <w:spacing w:val="-12"/>
          <w:sz w:val="24"/>
        </w:rPr>
        <w:t> </w:t>
      </w:r>
      <w:r>
        <w:rPr>
          <w:i/>
          <w:sz w:val="24"/>
        </w:rPr>
        <w:t>357.</w:t>
      </w:r>
    </w:p>
    <w:p>
      <w:pPr>
        <w:pStyle w:val="ListParagraph"/>
        <w:numPr>
          <w:ilvl w:val="3"/>
          <w:numId w:val="3"/>
        </w:numPr>
        <w:tabs>
          <w:tab w:pos="2139" w:val="left" w:leader="none"/>
        </w:tabs>
        <w:spacing w:line="360" w:lineRule="auto" w:before="5" w:after="0"/>
        <w:ind w:left="2138" w:right="1698" w:hanging="360"/>
        <w:jc w:val="both"/>
        <w:rPr>
          <w:sz w:val="24"/>
        </w:rPr>
      </w:pPr>
      <w:r>
        <w:rPr>
          <w:sz w:val="24"/>
        </w:rPr>
        <w:t>World Health Organization (WHO) (2006). Principles for evaluating health risks in children associated with exposure to chemicals. (Environmental Health Criteria;</w:t>
      </w:r>
      <w:r>
        <w:rPr>
          <w:spacing w:val="-5"/>
          <w:sz w:val="24"/>
        </w:rPr>
        <w:t> </w:t>
      </w:r>
      <w:r>
        <w:rPr>
          <w:sz w:val="24"/>
        </w:rPr>
        <w:t>237).</w:t>
      </w:r>
    </w:p>
    <w:p>
      <w:pPr>
        <w:pStyle w:val="ListParagraph"/>
        <w:numPr>
          <w:ilvl w:val="3"/>
          <w:numId w:val="3"/>
        </w:numPr>
        <w:tabs>
          <w:tab w:pos="2139" w:val="left" w:leader="none"/>
        </w:tabs>
        <w:spacing w:line="360" w:lineRule="auto" w:before="5" w:after="0"/>
        <w:ind w:left="2138" w:right="1705" w:hanging="360"/>
        <w:jc w:val="both"/>
        <w:rPr>
          <w:sz w:val="24"/>
        </w:rPr>
      </w:pPr>
      <w:r>
        <w:rPr>
          <w:sz w:val="24"/>
        </w:rPr>
        <w:t>Sanborn, M., Cole, D., Kerr, K., Vakil, C., Sanin, L. H. &amp; Bassil, K. (2004). Pesticide Literature Review. The Ontario College of Family Physicians.</w:t>
      </w:r>
      <w:r>
        <w:rPr>
          <w:spacing w:val="-21"/>
          <w:sz w:val="24"/>
        </w:rPr>
        <w:t> </w:t>
      </w:r>
      <w:r>
        <w:rPr>
          <w:sz w:val="24"/>
        </w:rPr>
        <w:t>1-181.</w:t>
      </w:r>
    </w:p>
    <w:p>
      <w:pPr>
        <w:pStyle w:val="ListParagraph"/>
        <w:numPr>
          <w:ilvl w:val="3"/>
          <w:numId w:val="3"/>
        </w:numPr>
        <w:tabs>
          <w:tab w:pos="2139" w:val="left" w:leader="none"/>
        </w:tabs>
        <w:spacing w:line="357" w:lineRule="auto" w:before="5" w:after="0"/>
        <w:ind w:left="2138" w:right="1705" w:hanging="360"/>
        <w:jc w:val="both"/>
        <w:rPr>
          <w:sz w:val="24"/>
        </w:rPr>
      </w:pPr>
      <w:r>
        <w:rPr>
          <w:sz w:val="24"/>
        </w:rPr>
        <w:t>Fenech, M. (2008). The Micronucleus Assay Determination of Chromosomal Level DNA Damage. </w:t>
      </w:r>
      <w:r>
        <w:rPr>
          <w:i/>
          <w:sz w:val="24"/>
        </w:rPr>
        <w:t>Environmental Genomics</w:t>
      </w:r>
      <w:r>
        <w:rPr>
          <w:sz w:val="24"/>
        </w:rPr>
        <w:t>.</w:t>
      </w:r>
      <w:r>
        <w:rPr>
          <w:spacing w:val="-18"/>
          <w:sz w:val="24"/>
        </w:rPr>
        <w:t> </w:t>
      </w:r>
      <w:r>
        <w:rPr>
          <w:sz w:val="24"/>
        </w:rPr>
        <w:t>185-216.</w:t>
      </w:r>
    </w:p>
    <w:p>
      <w:pPr>
        <w:pStyle w:val="ListParagraph"/>
        <w:numPr>
          <w:ilvl w:val="3"/>
          <w:numId w:val="3"/>
        </w:numPr>
        <w:tabs>
          <w:tab w:pos="2139" w:val="left" w:leader="none"/>
        </w:tabs>
        <w:spacing w:line="360" w:lineRule="auto" w:before="8" w:after="0"/>
        <w:ind w:left="2138" w:right="1695" w:hanging="360"/>
        <w:jc w:val="both"/>
        <w:rPr>
          <w:sz w:val="24"/>
        </w:rPr>
      </w:pPr>
      <w:r>
        <w:rPr>
          <w:sz w:val="24"/>
        </w:rPr>
        <w:t>Benedetti, D., Nunes, E., Sarmento, M., Porto, C., Iochims, S. C. E., Ferraz, D. J., &amp; Silva, J. (2013).Genetic damage in soybean workers exposed to pesticides: Evaluation with the comet and buccal micronucleus cytome assays</w:t>
      </w:r>
      <w:r>
        <w:rPr>
          <w:i/>
          <w:sz w:val="24"/>
        </w:rPr>
        <w:t>. </w:t>
      </w:r>
      <w:r>
        <w:rPr>
          <w:i/>
          <w:sz w:val="24"/>
        </w:rPr>
        <w:t>Mutation Research. </w:t>
      </w:r>
      <w:r>
        <w:rPr>
          <w:sz w:val="24"/>
        </w:rPr>
        <w:t>752: 28–</w:t>
      </w:r>
      <w:r>
        <w:rPr>
          <w:spacing w:val="-9"/>
          <w:sz w:val="24"/>
        </w:rPr>
        <w:t> </w:t>
      </w:r>
      <w:r>
        <w:rPr>
          <w:sz w:val="24"/>
        </w:rPr>
        <w:t>33.</w:t>
      </w:r>
    </w:p>
    <w:p>
      <w:pPr>
        <w:pStyle w:val="ListParagraph"/>
        <w:numPr>
          <w:ilvl w:val="3"/>
          <w:numId w:val="3"/>
        </w:numPr>
        <w:tabs>
          <w:tab w:pos="2139" w:val="left" w:leader="none"/>
        </w:tabs>
        <w:spacing w:line="360" w:lineRule="auto" w:before="5" w:after="0"/>
        <w:ind w:left="2138" w:right="1695" w:hanging="360"/>
        <w:jc w:val="both"/>
        <w:rPr>
          <w:sz w:val="24"/>
        </w:rPr>
      </w:pPr>
      <w:r>
        <w:rPr>
          <w:sz w:val="24"/>
        </w:rPr>
        <w:t>Iarmarcovai, G., Bonassi, S., Botta A., Baan R.A. &amp; Orsiere T. (2008). Genetic polymorphisms and micronucleus formation: A review of the literature.  </w:t>
      </w:r>
      <w:r>
        <w:rPr>
          <w:i/>
          <w:sz w:val="24"/>
        </w:rPr>
        <w:t>Mutation Research</w:t>
      </w:r>
      <w:r>
        <w:rPr>
          <w:sz w:val="24"/>
        </w:rPr>
        <w:t>; 658:</w:t>
      </w:r>
      <w:r>
        <w:rPr>
          <w:spacing w:val="-11"/>
          <w:sz w:val="24"/>
        </w:rPr>
        <w:t> </w:t>
      </w:r>
      <w:r>
        <w:rPr>
          <w:sz w:val="24"/>
        </w:rPr>
        <w:t>215-233.</w:t>
      </w:r>
    </w:p>
    <w:p>
      <w:pPr>
        <w:pStyle w:val="ListParagraph"/>
        <w:numPr>
          <w:ilvl w:val="3"/>
          <w:numId w:val="3"/>
        </w:numPr>
        <w:tabs>
          <w:tab w:pos="2139" w:val="left" w:leader="none"/>
        </w:tabs>
        <w:spacing w:line="360" w:lineRule="auto" w:before="7" w:after="0"/>
        <w:ind w:left="2138" w:right="1698" w:hanging="360"/>
        <w:jc w:val="both"/>
        <w:rPr>
          <w:sz w:val="24"/>
        </w:rPr>
      </w:pPr>
      <w:r>
        <w:rPr>
          <w:sz w:val="24"/>
        </w:rPr>
        <w:t>Ceretti, E., Feretti, D., Viola, G. C. V., Zerbini, I., Limina, R M., Zani, C…. (2014). DNA Damage in Buccal Mucosa Cells of Pre-School Children Exposed to High Levels of Urban Air Pollutants. PLoS ONE 9(5): e96524. doi:10.1371/journal.pone.0096524</w:t>
      </w:r>
    </w:p>
    <w:p>
      <w:pPr>
        <w:pStyle w:val="ListParagraph"/>
        <w:numPr>
          <w:ilvl w:val="3"/>
          <w:numId w:val="3"/>
        </w:numPr>
        <w:tabs>
          <w:tab w:pos="2139" w:val="left" w:leader="none"/>
        </w:tabs>
        <w:spacing w:line="360" w:lineRule="auto" w:before="5" w:after="0"/>
        <w:ind w:left="2138" w:right="1699" w:hanging="360"/>
        <w:jc w:val="both"/>
        <w:rPr>
          <w:sz w:val="24"/>
        </w:rPr>
      </w:pPr>
      <w:r>
        <w:rPr>
          <w:sz w:val="24"/>
        </w:rPr>
        <w:t>Jyoti, S., Khan, S., Afzal, M., Naz, F., &amp; Siddique, Y. H. (2013). Evaluation of micronucleus  frequency  by  acridine  orange  fluorescent  staining  in  </w:t>
      </w:r>
      <w:r>
        <w:rPr>
          <w:spacing w:val="49"/>
          <w:sz w:val="24"/>
        </w:rPr>
        <w:t> </w:t>
      </w:r>
      <w:r>
        <w:rPr>
          <w:sz w:val="24"/>
        </w:rPr>
        <w:t>buccal</w:t>
      </w:r>
    </w:p>
    <w:p>
      <w:pPr>
        <w:spacing w:after="0" w:line="360" w:lineRule="auto"/>
        <w:jc w:val="both"/>
        <w:rPr>
          <w:sz w:val="24"/>
        </w:rPr>
        <w:sectPr>
          <w:pgSz w:w="12240" w:h="15840"/>
          <w:pgMar w:header="0" w:footer="0" w:top="1500" w:bottom="780" w:left="0" w:right="0"/>
        </w:sectPr>
      </w:pPr>
    </w:p>
    <w:p>
      <w:pPr>
        <w:pStyle w:val="BodyText"/>
        <w:spacing w:before="1"/>
        <w:rPr>
          <w:sz w:val="11"/>
        </w:rPr>
      </w:pPr>
    </w:p>
    <w:p>
      <w:pPr>
        <w:spacing w:line="360" w:lineRule="auto" w:before="70"/>
        <w:ind w:left="2138" w:right="1698" w:firstLine="0"/>
        <w:jc w:val="both"/>
        <w:rPr>
          <w:sz w:val="24"/>
        </w:rPr>
      </w:pPr>
      <w:r>
        <w:rPr>
          <w:sz w:val="24"/>
        </w:rPr>
        <w:t>epithelial cells of oral submucosus fibrosis (OSMF) patients</w:t>
      </w:r>
      <w:r>
        <w:rPr>
          <w:i/>
          <w:sz w:val="24"/>
        </w:rPr>
        <w:t>. The Egyptian </w:t>
      </w:r>
      <w:r>
        <w:rPr>
          <w:i/>
          <w:sz w:val="24"/>
        </w:rPr>
        <w:t>Journal of Medical Human Genetics</w:t>
      </w:r>
      <w:r>
        <w:rPr>
          <w:sz w:val="24"/>
        </w:rPr>
        <w:t>. 14: 189–193.</w:t>
      </w:r>
    </w:p>
    <w:p>
      <w:pPr>
        <w:pStyle w:val="ListParagraph"/>
        <w:numPr>
          <w:ilvl w:val="3"/>
          <w:numId w:val="3"/>
        </w:numPr>
        <w:tabs>
          <w:tab w:pos="2139" w:val="left" w:leader="none"/>
        </w:tabs>
        <w:spacing w:line="360" w:lineRule="auto" w:before="7" w:after="0"/>
        <w:ind w:left="2138" w:right="1698" w:hanging="360"/>
        <w:jc w:val="both"/>
        <w:rPr>
          <w:sz w:val="24"/>
        </w:rPr>
      </w:pPr>
      <w:r>
        <w:rPr>
          <w:sz w:val="24"/>
        </w:rPr>
        <w:t>Torres-Bugarín, O. &amp; Ramos-Ibarra, M. L. (2013). Utility Micronucleus Test and Nuclear Abnormalities in Exfoliated Cells of Oral Mucosa in the Evaluation of Genotoxic and Cytotoxic Damage. </w:t>
      </w:r>
      <w:r>
        <w:rPr>
          <w:i/>
          <w:sz w:val="24"/>
        </w:rPr>
        <w:t>Int. J. Morphol.; </w:t>
      </w:r>
      <w:r>
        <w:rPr>
          <w:sz w:val="24"/>
        </w:rPr>
        <w:t>31(2):</w:t>
      </w:r>
      <w:r>
        <w:rPr>
          <w:spacing w:val="-19"/>
          <w:sz w:val="24"/>
        </w:rPr>
        <w:t> </w:t>
      </w:r>
      <w:r>
        <w:rPr>
          <w:sz w:val="24"/>
        </w:rPr>
        <w:t>650-657.</w:t>
      </w:r>
    </w:p>
    <w:p>
      <w:pPr>
        <w:pStyle w:val="ListParagraph"/>
        <w:numPr>
          <w:ilvl w:val="3"/>
          <w:numId w:val="3"/>
        </w:numPr>
        <w:tabs>
          <w:tab w:pos="2139" w:val="left" w:leader="none"/>
        </w:tabs>
        <w:spacing w:line="360" w:lineRule="auto" w:before="5" w:after="0"/>
        <w:ind w:left="2138" w:right="1696" w:hanging="360"/>
        <w:jc w:val="both"/>
        <w:rPr>
          <w:sz w:val="24"/>
        </w:rPr>
      </w:pPr>
      <w:r>
        <w:rPr>
          <w:sz w:val="24"/>
        </w:rPr>
        <w:t>Thomas, P., Harvey, S., Gruner, T., &amp; Fenech, M. (2008). The buccal cytome and micronucleus frequency is substantially altered in Down’s syndrome and normal ageing compared to young healthy controls</w:t>
      </w:r>
      <w:r>
        <w:rPr>
          <w:i/>
          <w:sz w:val="24"/>
        </w:rPr>
        <w:t>. Mutation Research</w:t>
      </w:r>
      <w:r>
        <w:rPr>
          <w:sz w:val="24"/>
        </w:rPr>
        <w:t>. 638: 37-47.</w:t>
      </w:r>
    </w:p>
    <w:p>
      <w:pPr>
        <w:pStyle w:val="ListParagraph"/>
        <w:numPr>
          <w:ilvl w:val="3"/>
          <w:numId w:val="3"/>
        </w:numPr>
        <w:tabs>
          <w:tab w:pos="2139" w:val="left" w:leader="none"/>
        </w:tabs>
        <w:spacing w:line="360" w:lineRule="auto" w:before="2" w:after="0"/>
        <w:ind w:left="2138" w:right="1696" w:hanging="360"/>
        <w:jc w:val="both"/>
        <w:rPr>
          <w:sz w:val="24"/>
        </w:rPr>
      </w:pPr>
      <w:r>
        <w:rPr>
          <w:sz w:val="24"/>
        </w:rPr>
        <w:t>Torres-Bugarín, O., Zavala-Cerna, M. G., Nava, A., Flores-García, A., &amp; Ramos-Ibarra, M. L. (2014). Potential uses, limitations, and basic procedures  of micronuclei and nuclear abnormalities in buccal cells</w:t>
      </w:r>
      <w:r>
        <w:rPr>
          <w:i/>
          <w:sz w:val="24"/>
        </w:rPr>
        <w:t>. Disease Markers</w:t>
      </w:r>
      <w:r>
        <w:rPr>
          <w:sz w:val="24"/>
        </w:rPr>
        <w:t>. 13 pages</w:t>
      </w:r>
    </w:p>
    <w:p>
      <w:pPr>
        <w:pStyle w:val="ListParagraph"/>
        <w:numPr>
          <w:ilvl w:val="3"/>
          <w:numId w:val="3"/>
        </w:numPr>
        <w:tabs>
          <w:tab w:pos="2139" w:val="left" w:leader="none"/>
        </w:tabs>
        <w:spacing w:line="360" w:lineRule="auto" w:before="2" w:after="0"/>
        <w:ind w:left="2138" w:right="1696" w:hanging="360"/>
        <w:jc w:val="both"/>
        <w:rPr>
          <w:sz w:val="24"/>
        </w:rPr>
      </w:pPr>
      <w:r>
        <w:rPr>
          <w:sz w:val="24"/>
        </w:rPr>
        <w:t>Mantovani, A., Maranghi, F., La C. R., Tiboni G. M., Clementi, M. (2008). The role of toxicology to characterize biomarkers for agrochemicals with potential endocrine activities. </w:t>
      </w:r>
      <w:r>
        <w:rPr>
          <w:i/>
          <w:sz w:val="24"/>
        </w:rPr>
        <w:t>Reproductive Toxicology</w:t>
      </w:r>
      <w:r>
        <w:rPr>
          <w:sz w:val="24"/>
        </w:rPr>
        <w:t>; 26:</w:t>
      </w:r>
      <w:r>
        <w:rPr>
          <w:spacing w:val="-13"/>
          <w:sz w:val="24"/>
        </w:rPr>
        <w:t> </w:t>
      </w:r>
      <w:r>
        <w:rPr>
          <w:sz w:val="24"/>
        </w:rPr>
        <w:t>1–7.</w:t>
      </w:r>
    </w:p>
    <w:p>
      <w:pPr>
        <w:pStyle w:val="ListParagraph"/>
        <w:numPr>
          <w:ilvl w:val="3"/>
          <w:numId w:val="3"/>
        </w:numPr>
        <w:tabs>
          <w:tab w:pos="2139" w:val="left" w:leader="none"/>
        </w:tabs>
        <w:spacing w:line="357" w:lineRule="auto" w:before="8" w:after="0"/>
        <w:ind w:left="2138" w:right="1696" w:hanging="360"/>
        <w:jc w:val="both"/>
        <w:rPr>
          <w:sz w:val="24"/>
        </w:rPr>
      </w:pPr>
      <w:r>
        <w:rPr>
          <w:sz w:val="24"/>
        </w:rPr>
        <w:t>Aiassa, D., Mañas, F., Bosch, B., Gentile, N., Bernardi, N. &amp; Gorla, N. (2012). Biomarcadores de daño genético en poblaciones humanas expuestas a plaguicidas. </w:t>
      </w:r>
      <w:r>
        <w:rPr>
          <w:i/>
          <w:sz w:val="24"/>
        </w:rPr>
        <w:t>Acta Biológica Colombiana. </w:t>
      </w:r>
      <w:r>
        <w:rPr>
          <w:sz w:val="24"/>
        </w:rPr>
        <w:t>17 (3):</w:t>
      </w:r>
      <w:r>
        <w:rPr>
          <w:spacing w:val="-18"/>
          <w:sz w:val="24"/>
        </w:rPr>
        <w:t> </w:t>
      </w:r>
      <w:r>
        <w:rPr>
          <w:sz w:val="24"/>
        </w:rPr>
        <w:t>485-509.</w:t>
      </w:r>
    </w:p>
    <w:p>
      <w:pPr>
        <w:pStyle w:val="ListParagraph"/>
        <w:numPr>
          <w:ilvl w:val="3"/>
          <w:numId w:val="3"/>
        </w:numPr>
        <w:tabs>
          <w:tab w:pos="2139" w:val="left" w:leader="none"/>
        </w:tabs>
        <w:spacing w:line="357" w:lineRule="auto" w:before="10" w:after="0"/>
        <w:ind w:left="2138" w:right="1706" w:hanging="360"/>
        <w:jc w:val="both"/>
        <w:rPr>
          <w:sz w:val="24"/>
        </w:rPr>
      </w:pPr>
      <w:r>
        <w:rPr>
          <w:sz w:val="24"/>
        </w:rPr>
        <w:t>Angerer, J., Ewers, U. &amp; Wilhelm, M. (2007). Human biomonitoring: State of  the art. </w:t>
      </w:r>
      <w:r>
        <w:rPr>
          <w:i/>
          <w:sz w:val="24"/>
        </w:rPr>
        <w:t>Int. J. Hyg. Environ.-Health. </w:t>
      </w:r>
      <w:r>
        <w:rPr>
          <w:sz w:val="24"/>
        </w:rPr>
        <w:t>210:</w:t>
      </w:r>
      <w:r>
        <w:rPr>
          <w:spacing w:val="50"/>
          <w:sz w:val="24"/>
        </w:rPr>
        <w:t> </w:t>
      </w:r>
      <w:r>
        <w:rPr>
          <w:sz w:val="24"/>
        </w:rPr>
        <w:t>201–228.</w:t>
      </w:r>
    </w:p>
    <w:p>
      <w:pPr>
        <w:pStyle w:val="ListParagraph"/>
        <w:numPr>
          <w:ilvl w:val="3"/>
          <w:numId w:val="3"/>
        </w:numPr>
        <w:tabs>
          <w:tab w:pos="2139" w:val="left" w:leader="none"/>
        </w:tabs>
        <w:spacing w:line="360" w:lineRule="auto" w:before="10" w:after="0"/>
        <w:ind w:left="2138" w:right="1695" w:hanging="360"/>
        <w:jc w:val="both"/>
        <w:rPr>
          <w:sz w:val="24"/>
        </w:rPr>
      </w:pPr>
      <w:r>
        <w:rPr>
          <w:sz w:val="24"/>
        </w:rPr>
        <w:t>Martínez-Valenzuela, C., Gómez-Arroyo, S., Villalobos-Pietrini, R., Waliszewski, S., Calderón-Segura, M. E., Féliz-Gastélum, R. &amp;</w:t>
      </w:r>
      <w:r>
        <w:rPr>
          <w:spacing w:val="8"/>
          <w:sz w:val="24"/>
        </w:rPr>
        <w:t> </w:t>
      </w:r>
      <w:r>
        <w:rPr>
          <w:sz w:val="24"/>
        </w:rPr>
        <w:t>Álvarez-Torres,</w:t>
      </w:r>
    </w:p>
    <w:p>
      <w:pPr>
        <w:pStyle w:val="BodyText"/>
        <w:spacing w:line="360" w:lineRule="auto" w:before="5"/>
        <w:ind w:left="2138" w:right="1695"/>
        <w:jc w:val="both"/>
      </w:pPr>
      <w:r>
        <w:rPr/>
        <w:t>A. (2009). Genotoxic biomonitoring of agricultural workers exposed to pesticides in the north of Sinaloa State, Mexico. </w:t>
      </w:r>
      <w:r>
        <w:rPr>
          <w:i/>
        </w:rPr>
        <w:t>Environmental International</w:t>
      </w:r>
      <w:r>
        <w:rPr/>
        <w:t>; 35: 1155-1159.</w:t>
      </w:r>
    </w:p>
    <w:p>
      <w:pPr>
        <w:pStyle w:val="ListParagraph"/>
        <w:numPr>
          <w:ilvl w:val="3"/>
          <w:numId w:val="3"/>
        </w:numPr>
        <w:tabs>
          <w:tab w:pos="2139" w:val="left" w:leader="none"/>
        </w:tabs>
        <w:spacing w:line="360" w:lineRule="auto" w:before="2" w:after="0"/>
        <w:ind w:left="2138" w:right="1696" w:hanging="360"/>
        <w:jc w:val="both"/>
        <w:rPr>
          <w:sz w:val="24"/>
        </w:rPr>
      </w:pPr>
      <w:r>
        <w:rPr>
          <w:sz w:val="24"/>
        </w:rPr>
        <w:t>Holland, N., Fucic, A., Franco, M. D., Sram, R. &amp; Kirsch-Volders, M. (2011) Micronuclei in neonates and children; effects of environmental, genetic, demographic and disease variables. </w:t>
      </w:r>
      <w:r>
        <w:rPr>
          <w:i/>
          <w:sz w:val="24"/>
        </w:rPr>
        <w:t>Mutagenesis</w:t>
      </w:r>
      <w:r>
        <w:rPr>
          <w:sz w:val="24"/>
        </w:rPr>
        <w:t>; 26 (1):</w:t>
      </w:r>
      <w:r>
        <w:rPr>
          <w:spacing w:val="-24"/>
          <w:sz w:val="24"/>
        </w:rPr>
        <w:t> </w:t>
      </w:r>
      <w:r>
        <w:rPr>
          <w:sz w:val="24"/>
        </w:rPr>
        <w:t>51-56.</w:t>
      </w:r>
    </w:p>
    <w:p>
      <w:pPr>
        <w:spacing w:after="0" w:line="360" w:lineRule="auto"/>
        <w:jc w:val="both"/>
        <w:rPr>
          <w:sz w:val="24"/>
        </w:rPr>
        <w:sectPr>
          <w:pgSz w:w="12240" w:h="15840"/>
          <w:pgMar w:header="0" w:footer="0" w:top="1500" w:bottom="780" w:left="0" w:right="0"/>
        </w:sectPr>
      </w:pPr>
    </w:p>
    <w:p>
      <w:pPr>
        <w:pStyle w:val="BodyText"/>
        <w:spacing w:before="4"/>
        <w:rPr>
          <w:sz w:val="11"/>
        </w:rPr>
      </w:pPr>
    </w:p>
    <w:p>
      <w:pPr>
        <w:pStyle w:val="ListParagraph"/>
        <w:numPr>
          <w:ilvl w:val="3"/>
          <w:numId w:val="3"/>
        </w:numPr>
        <w:tabs>
          <w:tab w:pos="2139" w:val="left" w:leader="none"/>
        </w:tabs>
        <w:spacing w:line="360" w:lineRule="auto" w:before="69" w:after="0"/>
        <w:ind w:left="2138" w:right="1699" w:hanging="360"/>
        <w:jc w:val="both"/>
        <w:rPr>
          <w:sz w:val="24"/>
        </w:rPr>
      </w:pPr>
      <w:r>
        <w:rPr>
          <w:sz w:val="24"/>
        </w:rPr>
        <w:t>Ceppi, M., Biasotti, B., Fenech, M. &amp; Bonassi, S. (2010). Human population studies with the exfoliated buccal micronucleus assay: Statistical and epidemiological issues. </w:t>
      </w:r>
      <w:r>
        <w:rPr>
          <w:i/>
          <w:sz w:val="24"/>
        </w:rPr>
        <w:t>Mutation Research</w:t>
      </w:r>
      <w:r>
        <w:rPr>
          <w:sz w:val="24"/>
        </w:rPr>
        <w:t>. 705:</w:t>
      </w:r>
      <w:r>
        <w:rPr>
          <w:spacing w:val="-14"/>
          <w:sz w:val="24"/>
        </w:rPr>
        <w:t> </w:t>
      </w:r>
      <w:r>
        <w:rPr>
          <w:sz w:val="24"/>
        </w:rPr>
        <w:t>11–19.</w:t>
      </w:r>
    </w:p>
    <w:p>
      <w:pPr>
        <w:pStyle w:val="ListParagraph"/>
        <w:numPr>
          <w:ilvl w:val="3"/>
          <w:numId w:val="3"/>
        </w:numPr>
        <w:tabs>
          <w:tab w:pos="2139" w:val="left" w:leader="none"/>
        </w:tabs>
        <w:spacing w:line="360" w:lineRule="auto" w:before="5" w:after="0"/>
        <w:ind w:left="2138" w:right="1695" w:hanging="360"/>
        <w:jc w:val="both"/>
        <w:rPr>
          <w:sz w:val="24"/>
        </w:rPr>
      </w:pPr>
      <w:r>
        <w:rPr>
          <w:sz w:val="24"/>
        </w:rPr>
        <w:t>Bonassi, S., Coskun, E., Ceppi, M., Lando, C., Bolognesi, C., Burgaz, S.,…Fenech, M. (2011). The HUman Micronucleus Project on exfoliated  buccal cells (HUMNXL): the role of life-style, host factors, occupational exposures, health status, and assay protocol. </w:t>
      </w:r>
      <w:r>
        <w:rPr>
          <w:i/>
          <w:sz w:val="24"/>
        </w:rPr>
        <w:t>Mutatation Research. </w:t>
      </w:r>
      <w:r>
        <w:rPr>
          <w:sz w:val="24"/>
        </w:rPr>
        <w:t>728(3): 88-97.</w:t>
      </w:r>
    </w:p>
    <w:p>
      <w:pPr>
        <w:pStyle w:val="ListParagraph"/>
        <w:numPr>
          <w:ilvl w:val="3"/>
          <w:numId w:val="3"/>
        </w:numPr>
        <w:tabs>
          <w:tab w:pos="2139" w:val="left" w:leader="none"/>
        </w:tabs>
        <w:spacing w:line="360" w:lineRule="auto" w:before="5" w:after="0"/>
        <w:ind w:left="2138" w:right="1697" w:hanging="360"/>
        <w:jc w:val="both"/>
        <w:rPr>
          <w:sz w:val="24"/>
        </w:rPr>
      </w:pPr>
      <w:r>
        <w:rPr>
          <w:sz w:val="24"/>
        </w:rPr>
        <w:t>Mergener, M., Rhoden, C. R., &amp; Amantéa, S. L. (2014). Nuclear abnormalities in cells from nasal epithelium: a promising assay to evaluate DNA damage related to air pollution in infants. </w:t>
      </w:r>
      <w:r>
        <w:rPr>
          <w:i/>
          <w:sz w:val="24"/>
        </w:rPr>
        <w:t>J. Pediatr. (Rio J)</w:t>
      </w:r>
      <w:r>
        <w:rPr>
          <w:sz w:val="24"/>
        </w:rPr>
        <w:t>. 90 (6):</w:t>
      </w:r>
      <w:r>
        <w:rPr>
          <w:spacing w:val="-23"/>
          <w:sz w:val="24"/>
        </w:rPr>
        <w:t> </w:t>
      </w:r>
      <w:r>
        <w:rPr>
          <w:sz w:val="24"/>
        </w:rPr>
        <w:t>632-636.</w:t>
      </w:r>
    </w:p>
    <w:p>
      <w:pPr>
        <w:pStyle w:val="ListParagraph"/>
        <w:numPr>
          <w:ilvl w:val="3"/>
          <w:numId w:val="3"/>
        </w:numPr>
        <w:tabs>
          <w:tab w:pos="2139" w:val="left" w:leader="none"/>
        </w:tabs>
        <w:spacing w:line="360" w:lineRule="auto" w:before="5" w:after="0"/>
        <w:ind w:left="2138" w:right="1704" w:hanging="360"/>
        <w:jc w:val="both"/>
        <w:rPr>
          <w:sz w:val="24"/>
        </w:rPr>
      </w:pPr>
      <w:r>
        <w:rPr>
          <w:sz w:val="24"/>
        </w:rPr>
        <w:t>Benitez, L. S., Macchi, M. L., Fernández, V., Franco, D., Ferro, E., Mojoli, A.,… Sales, L. (2010). Daño celular en una población infantil potencialmente expuesta a pesticidas</w:t>
      </w:r>
      <w:r>
        <w:rPr>
          <w:i/>
          <w:sz w:val="24"/>
        </w:rPr>
        <w:t>. BASE investigaciones sociales</w:t>
      </w:r>
      <w:r>
        <w:rPr>
          <w:sz w:val="24"/>
        </w:rPr>
        <w:t>. 131:</w:t>
      </w:r>
      <w:r>
        <w:rPr>
          <w:spacing w:val="-18"/>
          <w:sz w:val="24"/>
        </w:rPr>
        <w:t> </w:t>
      </w:r>
      <w:r>
        <w:rPr>
          <w:sz w:val="24"/>
        </w:rPr>
        <w:t>1-25.</w:t>
      </w:r>
    </w:p>
    <w:p>
      <w:pPr>
        <w:pStyle w:val="ListParagraph"/>
        <w:numPr>
          <w:ilvl w:val="3"/>
          <w:numId w:val="3"/>
        </w:numPr>
        <w:tabs>
          <w:tab w:pos="2139" w:val="left" w:leader="none"/>
        </w:tabs>
        <w:spacing w:line="360" w:lineRule="auto" w:before="7" w:after="0"/>
        <w:ind w:left="2138" w:right="1696" w:hanging="360"/>
        <w:jc w:val="both"/>
        <w:rPr>
          <w:sz w:val="24"/>
        </w:rPr>
      </w:pPr>
      <w:r>
        <w:rPr>
          <w:sz w:val="24"/>
        </w:rPr>
        <w:t>Bernardi, N., Gentile, N., Mañas, F., Méndez, A., Gorla N. &amp;  Aiassa,  D.  (2015). Assessment of the level of damage to the genetic material of children exposed to pesticides in the province of Córdoba. </w:t>
      </w:r>
      <w:r>
        <w:rPr>
          <w:i/>
          <w:sz w:val="24"/>
        </w:rPr>
        <w:t>Arch Argent Pediatr</w:t>
      </w:r>
      <w:r>
        <w:rPr>
          <w:sz w:val="24"/>
        </w:rPr>
        <w:t>. 113 (2):126-132</w:t>
      </w:r>
    </w:p>
    <w:p>
      <w:pPr>
        <w:pStyle w:val="ListParagraph"/>
        <w:numPr>
          <w:ilvl w:val="3"/>
          <w:numId w:val="3"/>
        </w:numPr>
        <w:tabs>
          <w:tab w:pos="2139" w:val="left" w:leader="none"/>
        </w:tabs>
        <w:spacing w:line="360" w:lineRule="auto" w:before="2" w:after="0"/>
        <w:ind w:left="2138" w:right="1695" w:hanging="360"/>
        <w:jc w:val="both"/>
        <w:rPr>
          <w:sz w:val="24"/>
        </w:rPr>
      </w:pPr>
      <w:r>
        <w:rPr>
          <w:sz w:val="24"/>
        </w:rPr>
        <w:t>Coskun, M., Coskun, M, Cayir, A., &amp; Ozdemir, O. (2011). Frequencies of micronuclei (MNi), nucleoplasmic bridges (NPBs), and nuclear buds (NBUDs) in farmer exposed to pesticides in Canakkale, Turkey. </w:t>
      </w:r>
      <w:r>
        <w:rPr>
          <w:i/>
          <w:sz w:val="24"/>
        </w:rPr>
        <w:t>Environmental </w:t>
      </w:r>
      <w:r>
        <w:rPr>
          <w:i/>
          <w:sz w:val="24"/>
        </w:rPr>
        <w:t>International</w:t>
      </w:r>
      <w:r>
        <w:rPr>
          <w:sz w:val="24"/>
        </w:rPr>
        <w:t>. 37:</w:t>
      </w:r>
      <w:r>
        <w:rPr>
          <w:spacing w:val="-9"/>
          <w:sz w:val="24"/>
        </w:rPr>
        <w:t> </w:t>
      </w:r>
      <w:r>
        <w:rPr>
          <w:sz w:val="24"/>
        </w:rPr>
        <w:t>93-96.</w:t>
      </w:r>
    </w:p>
    <w:p>
      <w:pPr>
        <w:pStyle w:val="ListParagraph"/>
        <w:numPr>
          <w:ilvl w:val="3"/>
          <w:numId w:val="3"/>
        </w:numPr>
        <w:tabs>
          <w:tab w:pos="2139" w:val="left" w:leader="none"/>
        </w:tabs>
        <w:spacing w:line="360" w:lineRule="auto" w:before="5" w:after="0"/>
        <w:ind w:left="2138" w:right="1701" w:hanging="360"/>
        <w:jc w:val="both"/>
        <w:rPr>
          <w:sz w:val="24"/>
        </w:rPr>
      </w:pPr>
      <w:r>
        <w:rPr>
          <w:sz w:val="24"/>
        </w:rPr>
        <w:t>Costa, C., Silva, S., Coelho, P., Roma-Torres, J., Teixeira, J. P., &amp; Mayan, O. (2007). Micronucleus analysis in a Portuguese population exposed to pesticides: Preliminary survey</w:t>
      </w:r>
      <w:r>
        <w:rPr>
          <w:i/>
          <w:sz w:val="24"/>
        </w:rPr>
        <w:t>. Int. J. Hyg. Environ.-Health.; </w:t>
      </w:r>
      <w:r>
        <w:rPr>
          <w:sz w:val="24"/>
        </w:rPr>
        <w:t>210:</w:t>
      </w:r>
      <w:r>
        <w:rPr>
          <w:spacing w:val="-24"/>
          <w:sz w:val="24"/>
        </w:rPr>
        <w:t> </w:t>
      </w:r>
      <w:r>
        <w:rPr>
          <w:sz w:val="24"/>
        </w:rPr>
        <w:t>415–418.</w:t>
      </w:r>
    </w:p>
    <w:p>
      <w:pPr>
        <w:pStyle w:val="ListParagraph"/>
        <w:numPr>
          <w:ilvl w:val="3"/>
          <w:numId w:val="3"/>
        </w:numPr>
        <w:tabs>
          <w:tab w:pos="2139" w:val="left" w:leader="none"/>
        </w:tabs>
        <w:spacing w:line="360" w:lineRule="auto" w:before="7" w:after="0"/>
        <w:ind w:left="2138" w:right="1695" w:hanging="360"/>
        <w:jc w:val="both"/>
        <w:rPr>
          <w:sz w:val="24"/>
        </w:rPr>
      </w:pPr>
      <w:r>
        <w:rPr>
          <w:sz w:val="24"/>
        </w:rPr>
        <w:t>Moura, B. G., Barbieri, A. M., &amp; Basso, S. L. (2009). Cytogenetic biomonitoring of Brazilian workers exposed to pesticides: Micronucleus analysis in buccal epithelial cells of soybean growers. </w:t>
      </w:r>
      <w:r>
        <w:rPr>
          <w:i/>
          <w:sz w:val="24"/>
        </w:rPr>
        <w:t>Mutation Research. </w:t>
      </w:r>
      <w:r>
        <w:rPr>
          <w:sz w:val="24"/>
        </w:rPr>
        <w:t>675:</w:t>
      </w:r>
      <w:r>
        <w:rPr>
          <w:spacing w:val="-18"/>
          <w:sz w:val="24"/>
        </w:rPr>
        <w:t> </w:t>
      </w:r>
      <w:r>
        <w:rPr>
          <w:sz w:val="24"/>
        </w:rPr>
        <w:t>1-4.</w:t>
      </w:r>
    </w:p>
    <w:p>
      <w:pPr>
        <w:pStyle w:val="ListParagraph"/>
        <w:numPr>
          <w:ilvl w:val="3"/>
          <w:numId w:val="3"/>
        </w:numPr>
        <w:tabs>
          <w:tab w:pos="2139" w:val="left" w:leader="none"/>
        </w:tabs>
        <w:spacing w:line="360" w:lineRule="auto" w:before="5" w:after="0"/>
        <w:ind w:left="2138" w:right="1694" w:hanging="360"/>
        <w:jc w:val="both"/>
        <w:rPr>
          <w:sz w:val="24"/>
        </w:rPr>
      </w:pPr>
      <w:r>
        <w:rPr>
          <w:sz w:val="24"/>
        </w:rPr>
        <w:t>Gómez-Arroyo, S., Martínez-Valenzuela, C., Calvo. González S., Villalobos- Pietrini, R., Waliszewski, S. M., Calderon-Segura, M.</w:t>
      </w:r>
      <w:r>
        <w:rPr>
          <w:spacing w:val="53"/>
          <w:sz w:val="24"/>
        </w:rPr>
        <w:t> </w:t>
      </w:r>
      <w:r>
        <w:rPr>
          <w:sz w:val="24"/>
        </w:rPr>
        <w:t>E.,…Lagarda-Escarrega,</w:t>
      </w:r>
    </w:p>
    <w:p>
      <w:pPr>
        <w:pStyle w:val="BodyText"/>
        <w:spacing w:before="2"/>
        <w:ind w:left="2138" w:right="1703"/>
      </w:pPr>
      <w:r>
        <w:rPr/>
        <w:t>A.  (2013).  Assessing  the  genotoxic  risk  for  mexican  children  who  are   in</w:t>
      </w:r>
    </w:p>
    <w:p>
      <w:pPr>
        <w:spacing w:after="0"/>
        <w:sectPr>
          <w:pgSz w:w="12240" w:h="15840"/>
          <w:pgMar w:header="0" w:footer="0" w:top="1500" w:bottom="780" w:left="0" w:right="0"/>
        </w:sectPr>
      </w:pPr>
    </w:p>
    <w:p>
      <w:pPr>
        <w:pStyle w:val="BodyText"/>
        <w:spacing w:before="4"/>
        <w:rPr>
          <w:sz w:val="11"/>
        </w:rPr>
      </w:pPr>
    </w:p>
    <w:p>
      <w:pPr>
        <w:spacing w:line="357" w:lineRule="auto" w:before="69"/>
        <w:ind w:left="2138" w:right="1705" w:firstLine="0"/>
        <w:jc w:val="both"/>
        <w:rPr>
          <w:sz w:val="24"/>
        </w:rPr>
      </w:pPr>
      <w:r>
        <w:rPr>
          <w:sz w:val="24"/>
        </w:rPr>
        <w:t>residential proximity to agricultural areas with intense aerial pesticide applications</w:t>
      </w:r>
      <w:r>
        <w:rPr>
          <w:i/>
          <w:sz w:val="24"/>
        </w:rPr>
        <w:t>. Rev. Int. Contam. Ambie. </w:t>
      </w:r>
      <w:r>
        <w:rPr>
          <w:sz w:val="24"/>
        </w:rPr>
        <w:t>29: 217-225.</w:t>
      </w:r>
    </w:p>
    <w:p>
      <w:pPr>
        <w:pStyle w:val="ListParagraph"/>
        <w:numPr>
          <w:ilvl w:val="3"/>
          <w:numId w:val="3"/>
        </w:numPr>
        <w:tabs>
          <w:tab w:pos="2139" w:val="left" w:leader="none"/>
        </w:tabs>
        <w:spacing w:line="360" w:lineRule="auto" w:before="8" w:after="0"/>
        <w:ind w:left="2138" w:right="1695" w:hanging="360"/>
        <w:jc w:val="both"/>
        <w:rPr>
          <w:sz w:val="24"/>
        </w:rPr>
      </w:pPr>
      <w:r>
        <w:rPr>
          <w:sz w:val="24"/>
        </w:rPr>
        <w:t>Roberts, R. J., &amp; Karr, C. J. (2012). Pesticide exposure in children</w:t>
      </w:r>
      <w:r>
        <w:rPr>
          <w:i/>
          <w:sz w:val="24"/>
        </w:rPr>
        <w:t>. Pediatrics</w:t>
      </w:r>
      <w:r>
        <w:rPr>
          <w:sz w:val="24"/>
        </w:rPr>
        <w:t>. 130:</w:t>
      </w:r>
      <w:r>
        <w:rPr>
          <w:spacing w:val="-9"/>
          <w:sz w:val="24"/>
        </w:rPr>
        <w:t> </w:t>
      </w:r>
      <w:r>
        <w:rPr>
          <w:sz w:val="24"/>
        </w:rPr>
        <w:t>6:e1765-e1788.</w:t>
      </w:r>
    </w:p>
    <w:p>
      <w:pPr>
        <w:pStyle w:val="ListParagraph"/>
        <w:numPr>
          <w:ilvl w:val="3"/>
          <w:numId w:val="3"/>
        </w:numPr>
        <w:tabs>
          <w:tab w:pos="2139" w:val="left" w:leader="none"/>
        </w:tabs>
        <w:spacing w:line="357" w:lineRule="auto" w:before="5" w:after="0"/>
        <w:ind w:left="2138" w:right="1699" w:hanging="360"/>
        <w:jc w:val="both"/>
        <w:rPr>
          <w:sz w:val="24"/>
        </w:rPr>
      </w:pPr>
      <w:r>
        <w:rPr>
          <w:sz w:val="24"/>
        </w:rPr>
        <w:t>Bolognesi, C., Creus, A., Ostrosky-Wegman, P., &amp; Marcos, R. (2011). Micronuclei and pesticide exposure</w:t>
      </w:r>
      <w:r>
        <w:rPr>
          <w:i/>
          <w:sz w:val="24"/>
        </w:rPr>
        <w:t>. Mutagenesis; </w:t>
      </w:r>
      <w:r>
        <w:rPr>
          <w:sz w:val="24"/>
        </w:rPr>
        <w:t>26:</w:t>
      </w:r>
      <w:r>
        <w:rPr>
          <w:spacing w:val="-17"/>
          <w:sz w:val="24"/>
        </w:rPr>
        <w:t> </w:t>
      </w:r>
      <w:r>
        <w:rPr>
          <w:sz w:val="24"/>
        </w:rPr>
        <w:t>19-26.</w:t>
      </w:r>
    </w:p>
    <w:p>
      <w:pPr>
        <w:pStyle w:val="ListParagraph"/>
        <w:numPr>
          <w:ilvl w:val="3"/>
          <w:numId w:val="3"/>
        </w:numPr>
        <w:tabs>
          <w:tab w:pos="2139" w:val="left" w:leader="none"/>
        </w:tabs>
        <w:spacing w:line="360" w:lineRule="auto" w:before="10" w:after="0"/>
        <w:ind w:left="2138" w:right="1702" w:hanging="360"/>
        <w:jc w:val="both"/>
        <w:rPr>
          <w:sz w:val="24"/>
        </w:rPr>
      </w:pPr>
      <w:r>
        <w:rPr>
          <w:sz w:val="24"/>
        </w:rPr>
        <w:t>Comisión Intersecretarial para el Control del Proceso y Uso de Plaguicidas, Fertilizantes y Sustancias Tóxicas (CICOPLAFEST) (2004). Catalogo de Plaguicidas.</w:t>
      </w:r>
      <w:r>
        <w:rPr>
          <w:spacing w:val="-3"/>
          <w:sz w:val="24"/>
        </w:rPr>
        <w:t> </w:t>
      </w:r>
      <w:r>
        <w:rPr>
          <w:sz w:val="24"/>
        </w:rPr>
        <w:t>I-L.</w:t>
      </w:r>
    </w:p>
    <w:p>
      <w:pPr>
        <w:pStyle w:val="ListParagraph"/>
        <w:numPr>
          <w:ilvl w:val="3"/>
          <w:numId w:val="3"/>
        </w:numPr>
        <w:tabs>
          <w:tab w:pos="2139" w:val="left" w:leader="none"/>
          <w:tab w:pos="3342" w:val="left" w:leader="none"/>
          <w:tab w:pos="4143" w:val="left" w:leader="none"/>
          <w:tab w:pos="5104" w:val="left" w:leader="none"/>
          <w:tab w:pos="6145" w:val="left" w:leader="none"/>
          <w:tab w:pos="7239" w:val="left" w:leader="none"/>
          <w:tab w:pos="9043" w:val="left" w:leader="none"/>
        </w:tabs>
        <w:spacing w:line="360" w:lineRule="auto" w:before="2" w:after="0"/>
        <w:ind w:left="2138" w:right="1699" w:hanging="360"/>
        <w:jc w:val="left"/>
        <w:rPr>
          <w:sz w:val="24"/>
        </w:rPr>
      </w:pPr>
      <w:r>
        <w:rPr>
          <w:sz w:val="24"/>
        </w:rPr>
        <w:t>Zacharia,</w:t>
        <w:tab/>
        <w:t>J. </w:t>
      </w:r>
      <w:r>
        <w:rPr>
          <w:spacing w:val="64"/>
          <w:sz w:val="24"/>
        </w:rPr>
        <w:t> </w:t>
      </w:r>
      <w:r>
        <w:rPr>
          <w:sz w:val="24"/>
        </w:rPr>
        <w:t>T.</w:t>
        <w:tab/>
        <w:t>(2011).</w:t>
        <w:tab/>
        <w:t>Identity,</w:t>
        <w:tab/>
        <w:t>Physical</w:t>
        <w:tab/>
        <w:t>and </w:t>
      </w:r>
      <w:r>
        <w:rPr>
          <w:spacing w:val="65"/>
          <w:sz w:val="24"/>
        </w:rPr>
        <w:t> </w:t>
      </w:r>
      <w:r>
        <w:rPr>
          <w:sz w:val="24"/>
        </w:rPr>
        <w:t>Chemical</w:t>
        <w:tab/>
        <w:t>Properties </w:t>
      </w:r>
      <w:r>
        <w:rPr>
          <w:spacing w:val="55"/>
          <w:sz w:val="24"/>
        </w:rPr>
        <w:t> </w:t>
      </w:r>
      <w:r>
        <w:rPr>
          <w:sz w:val="24"/>
        </w:rPr>
        <w:t>of</w:t>
      </w:r>
      <w:r>
        <w:rPr>
          <w:w w:val="100"/>
          <w:sz w:val="24"/>
        </w:rPr>
        <w:t> </w:t>
      </w:r>
      <w:r>
        <w:rPr>
          <w:sz w:val="24"/>
        </w:rPr>
        <w:t>Pesticides, Pesticides in the Modern World - Trends in Pesticides Analysis, Dr. Margarita Stoytcheva (Ed.), ISBN: 978-953-307-437-5, InTech, Disponible en: </w:t>
      </w:r>
      <w:hyperlink r:id="rId310">
        <w:r>
          <w:rPr>
            <w:sz w:val="24"/>
          </w:rPr>
          <w:t>http://www.intechopen.com/books/pesticides-in-themodernworldtrends-</w:t>
        </w:r>
      </w:hyperlink>
      <w:r>
        <w:rPr>
          <w:sz w:val="24"/>
        </w:rPr>
        <w:t> inpesticidesanalysis/</w:t>
      </w:r>
      <w:r>
        <w:rPr>
          <w:spacing w:val="-19"/>
          <w:sz w:val="24"/>
        </w:rPr>
        <w:t> </w:t>
      </w:r>
      <w:r>
        <w:rPr>
          <w:sz w:val="24"/>
        </w:rPr>
        <w:t>identity-physical-and-chemical-properties-of-pesticides</w:t>
      </w:r>
    </w:p>
    <w:p>
      <w:pPr>
        <w:pStyle w:val="ListParagraph"/>
        <w:numPr>
          <w:ilvl w:val="3"/>
          <w:numId w:val="3"/>
        </w:numPr>
        <w:tabs>
          <w:tab w:pos="2139" w:val="left" w:leader="none"/>
        </w:tabs>
        <w:spacing w:line="240" w:lineRule="auto" w:before="5" w:after="0"/>
        <w:ind w:left="2138" w:right="0" w:hanging="360"/>
        <w:jc w:val="left"/>
        <w:rPr>
          <w:sz w:val="24"/>
        </w:rPr>
      </w:pPr>
      <w:r>
        <w:rPr>
          <w:sz w:val="24"/>
        </w:rPr>
        <w:t>Cejudo</w:t>
      </w:r>
      <w:r>
        <w:rPr>
          <w:spacing w:val="18"/>
          <w:sz w:val="24"/>
        </w:rPr>
        <w:t> </w:t>
      </w:r>
      <w:r>
        <w:rPr>
          <w:sz w:val="24"/>
        </w:rPr>
        <w:t>E.</w:t>
      </w:r>
      <w:r>
        <w:rPr>
          <w:spacing w:val="17"/>
          <w:sz w:val="24"/>
        </w:rPr>
        <w:t> </w:t>
      </w:r>
      <w:r>
        <w:rPr>
          <w:sz w:val="24"/>
        </w:rPr>
        <w:t>A.</w:t>
      </w:r>
      <w:r>
        <w:rPr>
          <w:spacing w:val="17"/>
          <w:sz w:val="24"/>
        </w:rPr>
        <w:t> </w:t>
      </w:r>
      <w:r>
        <w:rPr>
          <w:sz w:val="24"/>
        </w:rPr>
        <w:t>L.,</w:t>
      </w:r>
      <w:r>
        <w:rPr>
          <w:spacing w:val="18"/>
          <w:sz w:val="24"/>
        </w:rPr>
        <w:t> </w:t>
      </w:r>
      <w:r>
        <w:rPr>
          <w:sz w:val="24"/>
        </w:rPr>
        <w:t>Meza</w:t>
      </w:r>
      <w:r>
        <w:rPr>
          <w:spacing w:val="18"/>
          <w:sz w:val="24"/>
        </w:rPr>
        <w:t> </w:t>
      </w:r>
      <w:r>
        <w:rPr>
          <w:sz w:val="24"/>
        </w:rPr>
        <w:t>M.</w:t>
      </w:r>
      <w:r>
        <w:rPr>
          <w:spacing w:val="17"/>
          <w:sz w:val="24"/>
        </w:rPr>
        <w:t> </w:t>
      </w:r>
      <w:r>
        <w:rPr>
          <w:sz w:val="24"/>
        </w:rPr>
        <w:t>M.</w:t>
      </w:r>
      <w:r>
        <w:rPr>
          <w:spacing w:val="17"/>
          <w:sz w:val="24"/>
        </w:rPr>
        <w:t> </w:t>
      </w:r>
      <w:r>
        <w:rPr>
          <w:sz w:val="24"/>
        </w:rPr>
        <w:t>M.,</w:t>
      </w:r>
      <w:r>
        <w:rPr>
          <w:spacing w:val="18"/>
          <w:sz w:val="24"/>
        </w:rPr>
        <w:t> </w:t>
      </w:r>
      <w:r>
        <w:rPr>
          <w:sz w:val="24"/>
        </w:rPr>
        <w:t>Balderas</w:t>
      </w:r>
      <w:r>
        <w:rPr>
          <w:spacing w:val="17"/>
          <w:sz w:val="24"/>
        </w:rPr>
        <w:t> </w:t>
      </w:r>
      <w:r>
        <w:rPr>
          <w:sz w:val="24"/>
        </w:rPr>
        <w:t>C.</w:t>
      </w:r>
      <w:r>
        <w:rPr>
          <w:spacing w:val="17"/>
          <w:sz w:val="24"/>
        </w:rPr>
        <w:t> </w:t>
      </w:r>
      <w:r>
        <w:rPr>
          <w:sz w:val="24"/>
        </w:rPr>
        <w:t>J.</w:t>
      </w:r>
      <w:r>
        <w:rPr>
          <w:spacing w:val="17"/>
          <w:sz w:val="24"/>
        </w:rPr>
        <w:t> </w:t>
      </w:r>
      <w:r>
        <w:rPr>
          <w:sz w:val="24"/>
        </w:rPr>
        <w:t>J.,</w:t>
      </w:r>
      <w:r>
        <w:rPr>
          <w:spacing w:val="18"/>
          <w:sz w:val="24"/>
        </w:rPr>
        <w:t> </w:t>
      </w:r>
      <w:r>
        <w:rPr>
          <w:sz w:val="24"/>
        </w:rPr>
        <w:t>Mondaca</w:t>
      </w:r>
      <w:r>
        <w:rPr>
          <w:spacing w:val="18"/>
          <w:sz w:val="24"/>
        </w:rPr>
        <w:t> </w:t>
      </w:r>
      <w:r>
        <w:rPr>
          <w:sz w:val="24"/>
        </w:rPr>
        <w:t>H.</w:t>
      </w:r>
      <w:r>
        <w:rPr>
          <w:spacing w:val="17"/>
          <w:sz w:val="24"/>
        </w:rPr>
        <w:t> </w:t>
      </w:r>
      <w:r>
        <w:rPr>
          <w:spacing w:val="3"/>
          <w:sz w:val="24"/>
        </w:rPr>
        <w:t>I.,</w:t>
      </w:r>
      <w:r>
        <w:rPr>
          <w:spacing w:val="15"/>
          <w:sz w:val="24"/>
        </w:rPr>
        <w:t> </w:t>
      </w:r>
      <w:r>
        <w:rPr>
          <w:sz w:val="24"/>
        </w:rPr>
        <w:t>Rodríguez</w:t>
      </w:r>
    </w:p>
    <w:p>
      <w:pPr>
        <w:pStyle w:val="BodyText"/>
        <w:spacing w:line="360" w:lineRule="auto" w:before="137"/>
        <w:ind w:left="2138" w:right="1696"/>
        <w:jc w:val="both"/>
      </w:pPr>
      <w:r>
        <w:rPr/>
        <w:t>R. R., Renteria M. A. M., Félix F. A. (2012). Exposición a plaguicidas organoclorados en niños indígenas de Potam, Sonora, México. </w:t>
      </w:r>
      <w:r>
        <w:rPr>
          <w:i/>
        </w:rPr>
        <w:t>Ra Xim hai; </w:t>
      </w:r>
      <w:r>
        <w:rPr/>
        <w:t>2 (8): 121-127.</w:t>
      </w:r>
    </w:p>
    <w:p>
      <w:pPr>
        <w:pStyle w:val="ListParagraph"/>
        <w:numPr>
          <w:ilvl w:val="3"/>
          <w:numId w:val="3"/>
        </w:numPr>
        <w:tabs>
          <w:tab w:pos="2139" w:val="left" w:leader="none"/>
        </w:tabs>
        <w:spacing w:line="360" w:lineRule="auto" w:before="2" w:after="0"/>
        <w:ind w:left="2138" w:right="1704" w:hanging="360"/>
        <w:jc w:val="both"/>
        <w:rPr>
          <w:sz w:val="24"/>
        </w:rPr>
      </w:pPr>
      <w:r>
        <w:rPr>
          <w:sz w:val="24"/>
        </w:rPr>
        <w:t>Pastor, B. S. (2002). Biomonitorización citogenética de cuatro poblaciones agrícolas europeas, expuestas a plaguicidas mediante el ensayo de micronúcleos. Tesis</w:t>
      </w:r>
      <w:r>
        <w:rPr>
          <w:spacing w:val="-6"/>
          <w:sz w:val="24"/>
        </w:rPr>
        <w:t> </w:t>
      </w:r>
      <w:r>
        <w:rPr>
          <w:sz w:val="24"/>
        </w:rPr>
        <w:t>Doctoral.</w:t>
      </w:r>
    </w:p>
    <w:p>
      <w:pPr>
        <w:pStyle w:val="ListParagraph"/>
        <w:numPr>
          <w:ilvl w:val="3"/>
          <w:numId w:val="3"/>
        </w:numPr>
        <w:tabs>
          <w:tab w:pos="2139" w:val="left" w:leader="none"/>
        </w:tabs>
        <w:spacing w:line="360" w:lineRule="auto" w:before="5" w:after="0"/>
        <w:ind w:left="2138" w:right="1699" w:hanging="360"/>
        <w:jc w:val="both"/>
        <w:rPr>
          <w:sz w:val="24"/>
        </w:rPr>
      </w:pPr>
      <w:r>
        <w:rPr>
          <w:sz w:val="24"/>
        </w:rPr>
        <w:t>Prieto, G. F., Cortés, A. S. Y., Gaytan O. J. C., Ceruelo, H. A. &amp; Vazquez A. P. (2012) Pesticides: classification, uses and toxicity. Measures of exposure and genotoxic risks. </w:t>
      </w:r>
      <w:r>
        <w:rPr>
          <w:i/>
          <w:sz w:val="24"/>
        </w:rPr>
        <w:t>J. Res. Environ. Sci. Toxicol</w:t>
      </w:r>
      <w:r>
        <w:rPr>
          <w:sz w:val="24"/>
        </w:rPr>
        <w:t>. 11 (1):</w:t>
      </w:r>
      <w:r>
        <w:rPr>
          <w:spacing w:val="-18"/>
          <w:sz w:val="24"/>
        </w:rPr>
        <w:t> </w:t>
      </w:r>
      <w:r>
        <w:rPr>
          <w:sz w:val="24"/>
        </w:rPr>
        <w:t>279-293.</w:t>
      </w:r>
    </w:p>
    <w:p>
      <w:pPr>
        <w:pStyle w:val="ListParagraph"/>
        <w:numPr>
          <w:ilvl w:val="3"/>
          <w:numId w:val="3"/>
        </w:numPr>
        <w:tabs>
          <w:tab w:pos="2139" w:val="left" w:leader="none"/>
        </w:tabs>
        <w:spacing w:line="360" w:lineRule="auto" w:before="5" w:after="0"/>
        <w:ind w:left="2138" w:right="1698" w:hanging="360"/>
        <w:jc w:val="both"/>
        <w:rPr>
          <w:sz w:val="24"/>
        </w:rPr>
      </w:pPr>
      <w:r>
        <w:rPr>
          <w:sz w:val="24"/>
        </w:rPr>
        <w:t>El-Sheikh, E.A. &amp; Ashour, M-B.A. (2010). Biodegradation Technology for Pesticide Toxicity Elimination. M.H. Fulekar (ed.), </w:t>
      </w:r>
      <w:r>
        <w:rPr>
          <w:i/>
          <w:sz w:val="24"/>
        </w:rPr>
        <w:t>Bioremediation Technology: </w:t>
      </w:r>
      <w:r>
        <w:rPr>
          <w:i/>
          <w:sz w:val="24"/>
        </w:rPr>
        <w:t>Recent</w:t>
      </w:r>
      <w:r>
        <w:rPr>
          <w:i/>
          <w:spacing w:val="-2"/>
          <w:sz w:val="24"/>
        </w:rPr>
        <w:t> </w:t>
      </w:r>
      <w:r>
        <w:rPr>
          <w:i/>
          <w:sz w:val="24"/>
        </w:rPr>
        <w:t>Advances</w:t>
      </w:r>
      <w:r>
        <w:rPr>
          <w:sz w:val="24"/>
        </w:rPr>
        <w:t>.</w:t>
      </w:r>
    </w:p>
    <w:p>
      <w:pPr>
        <w:pStyle w:val="ListParagraph"/>
        <w:numPr>
          <w:ilvl w:val="3"/>
          <w:numId w:val="3"/>
        </w:numPr>
        <w:tabs>
          <w:tab w:pos="2139" w:val="left" w:leader="none"/>
        </w:tabs>
        <w:spacing w:line="360" w:lineRule="auto" w:before="7" w:after="0"/>
        <w:ind w:left="2138" w:right="1706" w:hanging="360"/>
        <w:jc w:val="both"/>
        <w:rPr>
          <w:sz w:val="24"/>
        </w:rPr>
      </w:pPr>
      <w:r>
        <w:rPr>
          <w:sz w:val="24"/>
        </w:rPr>
        <w:t>The Health and Environment Linkages Initiative (HELI) (2014). Toxic hazards. World Health</w:t>
      </w:r>
      <w:r>
        <w:rPr>
          <w:spacing w:val="-9"/>
          <w:sz w:val="24"/>
        </w:rPr>
        <w:t> </w:t>
      </w:r>
      <w:r>
        <w:rPr>
          <w:sz w:val="24"/>
        </w:rPr>
        <w:t>Organization.</w:t>
      </w:r>
    </w:p>
    <w:p>
      <w:pPr>
        <w:pStyle w:val="ListParagraph"/>
        <w:numPr>
          <w:ilvl w:val="3"/>
          <w:numId w:val="3"/>
        </w:numPr>
        <w:tabs>
          <w:tab w:pos="2139" w:val="left" w:leader="none"/>
        </w:tabs>
        <w:spacing w:line="360" w:lineRule="auto" w:before="5" w:after="0"/>
        <w:ind w:left="2138" w:right="1703" w:hanging="360"/>
        <w:jc w:val="both"/>
        <w:rPr>
          <w:sz w:val="24"/>
        </w:rPr>
      </w:pPr>
      <w:r>
        <w:rPr>
          <w:sz w:val="24"/>
        </w:rPr>
        <w:t>Plan de Manejo y Recolección de Envases Vacíos de Plaguicidas (PLAMREVP) (2012). Conservemos un Campo</w:t>
      </w:r>
      <w:r>
        <w:rPr>
          <w:spacing w:val="-18"/>
          <w:sz w:val="24"/>
        </w:rPr>
        <w:t> </w:t>
      </w:r>
      <w:r>
        <w:rPr>
          <w:sz w:val="24"/>
        </w:rPr>
        <w:t>Limpio.</w:t>
      </w:r>
    </w:p>
    <w:p>
      <w:pPr>
        <w:spacing w:after="0" w:line="360" w:lineRule="auto"/>
        <w:jc w:val="both"/>
        <w:rPr>
          <w:sz w:val="24"/>
        </w:rPr>
        <w:sectPr>
          <w:footerReference w:type="default" r:id="rId309"/>
          <w:pgSz w:w="12240" w:h="15840"/>
          <w:pgMar w:footer="599" w:header="0" w:top="1500" w:bottom="780" w:left="0" w:right="0"/>
          <w:pgNumType w:start="120"/>
        </w:sectPr>
      </w:pPr>
    </w:p>
    <w:p>
      <w:pPr>
        <w:pStyle w:val="BodyText"/>
        <w:spacing w:before="4"/>
        <w:rPr>
          <w:sz w:val="11"/>
        </w:rPr>
      </w:pPr>
    </w:p>
    <w:p>
      <w:pPr>
        <w:pStyle w:val="ListParagraph"/>
        <w:numPr>
          <w:ilvl w:val="3"/>
          <w:numId w:val="3"/>
        </w:numPr>
        <w:tabs>
          <w:tab w:pos="2139" w:val="left" w:leader="none"/>
        </w:tabs>
        <w:spacing w:line="360" w:lineRule="auto" w:before="69" w:after="0"/>
        <w:ind w:left="2138" w:right="1704" w:hanging="360"/>
        <w:jc w:val="both"/>
        <w:rPr>
          <w:sz w:val="24"/>
        </w:rPr>
      </w:pPr>
      <w:r>
        <w:rPr>
          <w:sz w:val="24"/>
        </w:rPr>
        <w:t>Martínez-Valenzuela, M. C. (2009). Evaluación del daño genotóxico en personas ocupacionalmente expuestas a plaguicidas en las Grullas, municipio de Ahome, Sinaloa. Tesis</w:t>
      </w:r>
      <w:r>
        <w:rPr>
          <w:spacing w:val="-12"/>
          <w:sz w:val="24"/>
        </w:rPr>
        <w:t> </w:t>
      </w:r>
      <w:r>
        <w:rPr>
          <w:sz w:val="24"/>
        </w:rPr>
        <w:t>Doctoral.</w:t>
      </w:r>
    </w:p>
    <w:p>
      <w:pPr>
        <w:pStyle w:val="ListParagraph"/>
        <w:numPr>
          <w:ilvl w:val="3"/>
          <w:numId w:val="3"/>
        </w:numPr>
        <w:tabs>
          <w:tab w:pos="2139" w:val="left" w:leader="none"/>
        </w:tabs>
        <w:spacing w:line="360" w:lineRule="auto" w:before="2" w:after="0"/>
        <w:ind w:left="2138" w:right="1700" w:hanging="360"/>
        <w:jc w:val="both"/>
        <w:rPr>
          <w:sz w:val="24"/>
        </w:rPr>
      </w:pPr>
      <w:r>
        <w:rPr>
          <w:sz w:val="24"/>
        </w:rPr>
        <w:t>Castillo, C. J. (2005). Análisis genotóxico, inmunotóxico y de los polimorfismos de la glutatión S-Transferasa en floricultores expuestos a plaguicidas. Tesis Doctoral.</w:t>
      </w:r>
    </w:p>
    <w:p>
      <w:pPr>
        <w:pStyle w:val="ListParagraph"/>
        <w:numPr>
          <w:ilvl w:val="3"/>
          <w:numId w:val="3"/>
        </w:numPr>
        <w:tabs>
          <w:tab w:pos="2139" w:val="left" w:leader="none"/>
        </w:tabs>
        <w:spacing w:line="360" w:lineRule="auto" w:before="5" w:after="0"/>
        <w:ind w:left="2138" w:right="1696" w:hanging="360"/>
        <w:jc w:val="both"/>
        <w:rPr>
          <w:sz w:val="24"/>
        </w:rPr>
      </w:pPr>
      <w:r>
        <w:rPr>
          <w:sz w:val="24"/>
        </w:rPr>
        <w:t>Martínez, C. V., Gómez, S. A. (2007). Riesgo genotóxico por exposición a plaguicidas en trabajadores agrícolas. </w:t>
      </w:r>
      <w:r>
        <w:rPr>
          <w:i/>
          <w:sz w:val="24"/>
        </w:rPr>
        <w:t>Rev. Int. Contam. Ambient</w:t>
      </w:r>
      <w:r>
        <w:rPr>
          <w:sz w:val="24"/>
        </w:rPr>
        <w:t>.; 23 (4): 1- 25.</w:t>
      </w:r>
    </w:p>
    <w:p>
      <w:pPr>
        <w:pStyle w:val="ListParagraph"/>
        <w:numPr>
          <w:ilvl w:val="3"/>
          <w:numId w:val="3"/>
        </w:numPr>
        <w:tabs>
          <w:tab w:pos="2139" w:val="left" w:leader="none"/>
        </w:tabs>
        <w:spacing w:line="360" w:lineRule="auto" w:before="2" w:after="0"/>
        <w:ind w:left="2138" w:right="1694" w:hanging="360"/>
        <w:jc w:val="both"/>
        <w:rPr>
          <w:sz w:val="24"/>
        </w:rPr>
      </w:pPr>
      <w:r>
        <w:rPr>
          <w:sz w:val="24"/>
        </w:rPr>
        <w:t>Red de Acción en Plaguicidas y sus Alternativas para América Latina (RAP- AL). (2010). Disponible en:</w:t>
      </w:r>
      <w:r>
        <w:rPr>
          <w:spacing w:val="-11"/>
          <w:sz w:val="24"/>
        </w:rPr>
        <w:t> </w:t>
      </w:r>
      <w:hyperlink r:id="rId311">
        <w:r>
          <w:rPr>
            <w:sz w:val="24"/>
          </w:rPr>
          <w:t>rap-al@terra.cl</w:t>
        </w:r>
      </w:hyperlink>
    </w:p>
    <w:p>
      <w:pPr>
        <w:pStyle w:val="ListParagraph"/>
        <w:numPr>
          <w:ilvl w:val="3"/>
          <w:numId w:val="3"/>
        </w:numPr>
        <w:tabs>
          <w:tab w:pos="2139" w:val="left" w:leader="none"/>
        </w:tabs>
        <w:spacing w:line="360" w:lineRule="auto" w:before="2" w:after="0"/>
        <w:ind w:left="2138" w:right="1696" w:hanging="360"/>
        <w:jc w:val="both"/>
        <w:rPr>
          <w:sz w:val="24"/>
        </w:rPr>
      </w:pPr>
      <w:r>
        <w:rPr>
          <w:sz w:val="24"/>
        </w:rPr>
        <w:t>Mostafalou, S. &amp; Abdollahi, M. (2013). Pesticides and human chronic diseases: Evidences, mechanisms, and perspectives. </w:t>
      </w:r>
      <w:r>
        <w:rPr>
          <w:i/>
          <w:sz w:val="24"/>
        </w:rPr>
        <w:t>Toxicology and Applied </w:t>
      </w:r>
      <w:r>
        <w:rPr>
          <w:i/>
          <w:sz w:val="24"/>
        </w:rPr>
        <w:t>Pharmacology; </w:t>
      </w:r>
      <w:r>
        <w:rPr>
          <w:sz w:val="24"/>
        </w:rPr>
        <w:t>268:</w:t>
      </w:r>
      <w:r>
        <w:rPr>
          <w:spacing w:val="-8"/>
          <w:sz w:val="24"/>
        </w:rPr>
        <w:t> </w:t>
      </w:r>
      <w:r>
        <w:rPr>
          <w:sz w:val="24"/>
        </w:rPr>
        <w:t>157–177.</w:t>
      </w:r>
    </w:p>
    <w:p>
      <w:pPr>
        <w:pStyle w:val="ListParagraph"/>
        <w:numPr>
          <w:ilvl w:val="3"/>
          <w:numId w:val="3"/>
        </w:numPr>
        <w:tabs>
          <w:tab w:pos="2139" w:val="left" w:leader="none"/>
        </w:tabs>
        <w:spacing w:line="360" w:lineRule="auto" w:before="7" w:after="0"/>
        <w:ind w:left="2138" w:right="1704" w:hanging="360"/>
        <w:jc w:val="both"/>
        <w:rPr>
          <w:sz w:val="24"/>
        </w:rPr>
      </w:pPr>
      <w:r>
        <w:rPr>
          <w:sz w:val="24"/>
        </w:rPr>
        <w:t>López, G. O. (2005). Influencia de la exposición crónica a plaguicidas sobre diversos marcadores bioquímicos (esterasas y enzimas antioxidantes) en trabajadores de invernadero de la Costa Oriental de Andalucía. Tesis</w:t>
      </w:r>
      <w:r>
        <w:rPr>
          <w:spacing w:val="-25"/>
          <w:sz w:val="24"/>
        </w:rPr>
        <w:t> </w:t>
      </w:r>
      <w:r>
        <w:rPr>
          <w:sz w:val="24"/>
        </w:rPr>
        <w:t>Doctoral.</w:t>
      </w:r>
    </w:p>
    <w:p>
      <w:pPr>
        <w:pStyle w:val="ListParagraph"/>
        <w:numPr>
          <w:ilvl w:val="3"/>
          <w:numId w:val="3"/>
        </w:numPr>
        <w:tabs>
          <w:tab w:pos="2139" w:val="left" w:leader="none"/>
        </w:tabs>
        <w:spacing w:line="360" w:lineRule="auto" w:before="2" w:after="0"/>
        <w:ind w:left="2138" w:right="1696" w:hanging="360"/>
        <w:jc w:val="both"/>
        <w:rPr>
          <w:sz w:val="24"/>
        </w:rPr>
      </w:pPr>
      <w:r>
        <w:rPr>
          <w:sz w:val="24"/>
        </w:rPr>
        <w:t>Carroquino, M. J., Posada, M. &amp; Landrigan, P.J. (2013). Environmental Toxicology: Children at Risk. Chapter 11. E.A. Laws (ed.), Environmental Toxicology: Selected Entries from the Encyclopedia of Sustainability Science and Technology, DOI</w:t>
      </w:r>
      <w:r>
        <w:rPr>
          <w:spacing w:val="-19"/>
          <w:sz w:val="24"/>
        </w:rPr>
        <w:t> </w:t>
      </w:r>
      <w:r>
        <w:rPr>
          <w:sz w:val="24"/>
        </w:rPr>
        <w:t>10.1007/978-1-4614-5764-0_11.</w:t>
      </w:r>
    </w:p>
    <w:p>
      <w:pPr>
        <w:pStyle w:val="ListParagraph"/>
        <w:numPr>
          <w:ilvl w:val="3"/>
          <w:numId w:val="3"/>
        </w:numPr>
        <w:tabs>
          <w:tab w:pos="2139" w:val="left" w:leader="none"/>
        </w:tabs>
        <w:spacing w:line="360" w:lineRule="auto" w:before="5" w:after="0"/>
        <w:ind w:left="2138" w:right="1705" w:hanging="360"/>
        <w:jc w:val="both"/>
        <w:rPr>
          <w:sz w:val="24"/>
        </w:rPr>
      </w:pPr>
      <w:r>
        <w:rPr>
          <w:sz w:val="24"/>
        </w:rPr>
        <w:t>Antonio, K. R. M., Blanco, J. M., Escamilla, M. C. N., Juárez, C. A. P., &amp; Shilman, A. H. (2013). Predictores ocupacionales de las concentraciones de Dialquilfosfatos (DAPs) en floricultores de Morelos y Estado de México. </w:t>
      </w:r>
      <w:r>
        <w:rPr>
          <w:i/>
          <w:sz w:val="24"/>
        </w:rPr>
        <w:t>Instituto Nacional de Salud Pública</w:t>
      </w:r>
      <w:r>
        <w:rPr>
          <w:sz w:val="24"/>
        </w:rPr>
        <w:t>.</w:t>
      </w:r>
      <w:r>
        <w:rPr>
          <w:spacing w:val="-9"/>
          <w:sz w:val="24"/>
        </w:rPr>
        <w:t> </w:t>
      </w:r>
      <w:r>
        <w:rPr>
          <w:sz w:val="24"/>
        </w:rPr>
        <w:t>2-25.</w:t>
      </w:r>
    </w:p>
    <w:p>
      <w:pPr>
        <w:pStyle w:val="ListParagraph"/>
        <w:numPr>
          <w:ilvl w:val="3"/>
          <w:numId w:val="3"/>
        </w:numPr>
        <w:tabs>
          <w:tab w:pos="2139" w:val="left" w:leader="none"/>
        </w:tabs>
        <w:spacing w:line="360" w:lineRule="auto" w:before="5" w:after="0"/>
        <w:ind w:left="2138" w:right="1699" w:hanging="360"/>
        <w:jc w:val="both"/>
        <w:rPr>
          <w:sz w:val="24"/>
        </w:rPr>
      </w:pPr>
      <w:r>
        <w:rPr>
          <w:sz w:val="24"/>
        </w:rPr>
        <w:t>Pesticide Exposure in Children. (2012). </w:t>
      </w:r>
      <w:r>
        <w:rPr>
          <w:i/>
          <w:sz w:val="24"/>
        </w:rPr>
        <w:t>Council on Environmental Health. </w:t>
      </w:r>
      <w:r>
        <w:rPr>
          <w:i/>
          <w:sz w:val="24"/>
        </w:rPr>
        <w:t>Pediatrics.</w:t>
      </w:r>
      <w:r>
        <w:rPr>
          <w:i/>
          <w:spacing w:val="-6"/>
          <w:sz w:val="24"/>
        </w:rPr>
        <w:t> </w:t>
      </w:r>
      <w:r>
        <w:rPr>
          <w:sz w:val="24"/>
        </w:rPr>
        <w:t>E1757.</w:t>
      </w:r>
    </w:p>
    <w:p>
      <w:pPr>
        <w:pStyle w:val="ListParagraph"/>
        <w:numPr>
          <w:ilvl w:val="3"/>
          <w:numId w:val="3"/>
        </w:numPr>
        <w:tabs>
          <w:tab w:pos="2139" w:val="left" w:leader="none"/>
          <w:tab w:pos="3833" w:val="left" w:leader="none"/>
          <w:tab w:pos="5686" w:val="left" w:leader="none"/>
          <w:tab w:pos="6887" w:val="left" w:leader="none"/>
          <w:tab w:pos="8353" w:val="left" w:leader="none"/>
          <w:tab w:pos="10207" w:val="left" w:leader="none"/>
        </w:tabs>
        <w:spacing w:line="360" w:lineRule="auto" w:before="7" w:after="0"/>
        <w:ind w:left="2138" w:right="1697" w:hanging="360"/>
        <w:jc w:val="both"/>
        <w:rPr>
          <w:sz w:val="24"/>
        </w:rPr>
      </w:pPr>
      <w:r>
        <w:rPr>
          <w:sz w:val="24"/>
        </w:rPr>
        <w:t>COUNCIL ON ENVIRONMENTAL HEALTH (2012). Pesticide Exposure in Children.</w:t>
        <w:tab/>
      </w:r>
      <w:r>
        <w:rPr>
          <w:i/>
          <w:sz w:val="24"/>
        </w:rPr>
        <w:t>Pediatrics.</w:t>
        <w:tab/>
      </w:r>
      <w:r>
        <w:rPr>
          <w:sz w:val="24"/>
        </w:rPr>
        <w:t>130,</w:t>
        <w:tab/>
        <w:t>e1757.</w:t>
        <w:tab/>
        <w:t>Disponible</w:t>
        <w:tab/>
        <w:t>en: </w:t>
      </w:r>
      <w:hyperlink r:id="rId312">
        <w:r>
          <w:rPr>
            <w:sz w:val="24"/>
          </w:rPr>
          <w:t>http://pediatrics.aappublications.org/content/130/6/e1757.full.html</w:t>
        </w:r>
      </w:hyperlink>
    </w:p>
    <w:p>
      <w:pPr>
        <w:spacing w:after="0" w:line="360" w:lineRule="auto"/>
        <w:jc w:val="both"/>
        <w:rPr>
          <w:sz w:val="24"/>
        </w:rPr>
        <w:sectPr>
          <w:pgSz w:w="12240" w:h="15840"/>
          <w:pgMar w:header="0" w:footer="599" w:top="1500" w:bottom="780" w:left="0" w:right="0"/>
        </w:sectPr>
      </w:pPr>
    </w:p>
    <w:p>
      <w:pPr>
        <w:pStyle w:val="BodyText"/>
        <w:spacing w:before="4"/>
        <w:rPr>
          <w:sz w:val="11"/>
        </w:rPr>
      </w:pPr>
    </w:p>
    <w:p>
      <w:pPr>
        <w:pStyle w:val="ListParagraph"/>
        <w:numPr>
          <w:ilvl w:val="3"/>
          <w:numId w:val="3"/>
        </w:numPr>
        <w:tabs>
          <w:tab w:pos="2139" w:val="left" w:leader="none"/>
        </w:tabs>
        <w:spacing w:line="360" w:lineRule="auto" w:before="69" w:after="0"/>
        <w:ind w:left="2138" w:right="1702" w:hanging="360"/>
        <w:jc w:val="both"/>
        <w:rPr>
          <w:sz w:val="24"/>
        </w:rPr>
      </w:pPr>
      <w:r>
        <w:rPr>
          <w:sz w:val="24"/>
        </w:rPr>
        <w:t>Lewandowski, T. A. (2013). Factors Influencing Pesticide Risks for Children. Chapter 17. L.I. Simeonov </w:t>
      </w:r>
      <w:r>
        <w:rPr>
          <w:spacing w:val="2"/>
          <w:sz w:val="24"/>
        </w:rPr>
        <w:t>et </w:t>
      </w:r>
      <w:r>
        <w:rPr>
          <w:sz w:val="24"/>
        </w:rPr>
        <w:t>al. (eds.), Environmental Security Assessment and Management of Obsolete Pesticides in Southeast Europe, NATO Science for Peace and</w:t>
      </w:r>
      <w:r>
        <w:rPr>
          <w:spacing w:val="-10"/>
          <w:sz w:val="24"/>
        </w:rPr>
        <w:t> </w:t>
      </w:r>
      <w:r>
        <w:rPr>
          <w:sz w:val="24"/>
        </w:rPr>
        <w:t>Security.</w:t>
      </w:r>
    </w:p>
    <w:p>
      <w:pPr>
        <w:pStyle w:val="ListParagraph"/>
        <w:numPr>
          <w:ilvl w:val="3"/>
          <w:numId w:val="3"/>
        </w:numPr>
        <w:tabs>
          <w:tab w:pos="2139" w:val="left" w:leader="none"/>
        </w:tabs>
        <w:spacing w:line="360" w:lineRule="auto" w:before="5" w:after="0"/>
        <w:ind w:left="2138" w:right="1705" w:hanging="360"/>
        <w:jc w:val="both"/>
        <w:rPr>
          <w:sz w:val="24"/>
        </w:rPr>
      </w:pPr>
      <w:r>
        <w:rPr>
          <w:sz w:val="24"/>
        </w:rPr>
        <w:t>González, S. C. (2010). Manual Básico: Diseño y Manejo de Proyectos Florícolas.</w:t>
      </w:r>
    </w:p>
    <w:p>
      <w:pPr>
        <w:pStyle w:val="ListParagraph"/>
        <w:numPr>
          <w:ilvl w:val="3"/>
          <w:numId w:val="3"/>
        </w:numPr>
        <w:tabs>
          <w:tab w:pos="2139" w:val="left" w:leader="none"/>
        </w:tabs>
        <w:spacing w:line="240" w:lineRule="auto" w:before="5" w:after="0"/>
        <w:ind w:left="2138" w:right="0" w:hanging="360"/>
        <w:jc w:val="left"/>
        <w:rPr>
          <w:sz w:val="24"/>
        </w:rPr>
      </w:pPr>
      <w:r>
        <w:rPr>
          <w:sz w:val="24"/>
        </w:rPr>
        <w:t>Ribeiro, M. G., Colasso, C. G., Monteiro, P. P., Pedreira, F. </w:t>
      </w:r>
      <w:r>
        <w:rPr>
          <w:spacing w:val="4"/>
          <w:sz w:val="24"/>
        </w:rPr>
        <w:t>W. </w:t>
      </w:r>
      <w:r>
        <w:rPr>
          <w:sz w:val="24"/>
        </w:rPr>
        <w:t>R. &amp;</w:t>
      </w:r>
      <w:r>
        <w:rPr>
          <w:spacing w:val="-33"/>
          <w:sz w:val="24"/>
        </w:rPr>
        <w:t> </w:t>
      </w:r>
      <w:r>
        <w:rPr>
          <w:sz w:val="24"/>
        </w:rPr>
        <w:t>Yonamine,</w:t>
      </w:r>
    </w:p>
    <w:p>
      <w:pPr>
        <w:pStyle w:val="BodyText"/>
        <w:spacing w:line="360" w:lineRule="auto" w:before="137"/>
        <w:ind w:left="2138" w:right="1697"/>
        <w:jc w:val="both"/>
      </w:pPr>
      <w:r>
        <w:rPr/>
        <w:t>M. (2011). Occupational safety and health practices among flower greenhouses workers from Alto Tietê region (Brazil). </w:t>
      </w:r>
      <w:r>
        <w:rPr>
          <w:i/>
        </w:rPr>
        <w:t>Science of the Total </w:t>
      </w:r>
      <w:r>
        <w:rPr>
          <w:i/>
        </w:rPr>
        <w:t>Environment</w:t>
      </w:r>
      <w:r>
        <w:rPr/>
        <w:t>; 416:</w:t>
      </w:r>
      <w:r>
        <w:rPr>
          <w:spacing w:val="-13"/>
        </w:rPr>
        <w:t> </w:t>
      </w:r>
      <w:r>
        <w:rPr/>
        <w:t>121–126.</w:t>
      </w:r>
    </w:p>
    <w:p>
      <w:pPr>
        <w:pStyle w:val="ListParagraph"/>
        <w:numPr>
          <w:ilvl w:val="3"/>
          <w:numId w:val="3"/>
        </w:numPr>
        <w:tabs>
          <w:tab w:pos="2139" w:val="left" w:leader="none"/>
        </w:tabs>
        <w:spacing w:line="360" w:lineRule="auto" w:before="7" w:after="0"/>
        <w:ind w:left="2138" w:right="1700" w:hanging="360"/>
        <w:jc w:val="both"/>
        <w:rPr>
          <w:sz w:val="24"/>
        </w:rPr>
      </w:pPr>
      <w:r>
        <w:rPr>
          <w:sz w:val="24"/>
        </w:rPr>
        <w:t>Ceballos, G., List, R., Garduño, G., López, c. R., Muñozcano, Q. M. J.,  Collado, E. &amp; San, R. J. E. (2009). La diversidad biológica del Estado de México. Estudio de Estado. Primera</w:t>
      </w:r>
      <w:r>
        <w:rPr>
          <w:spacing w:val="-19"/>
          <w:sz w:val="24"/>
        </w:rPr>
        <w:t> </w:t>
      </w:r>
      <w:r>
        <w:rPr>
          <w:sz w:val="24"/>
        </w:rPr>
        <w:t>Edición.</w:t>
      </w:r>
    </w:p>
    <w:p>
      <w:pPr>
        <w:pStyle w:val="ListParagraph"/>
        <w:numPr>
          <w:ilvl w:val="3"/>
          <w:numId w:val="3"/>
        </w:numPr>
        <w:tabs>
          <w:tab w:pos="2139" w:val="left" w:leader="none"/>
        </w:tabs>
        <w:spacing w:line="360" w:lineRule="auto" w:before="2" w:after="0"/>
        <w:ind w:left="2138" w:right="1704" w:hanging="360"/>
        <w:jc w:val="both"/>
        <w:rPr>
          <w:sz w:val="24"/>
        </w:rPr>
      </w:pPr>
      <w:r>
        <w:rPr>
          <w:sz w:val="24"/>
        </w:rPr>
        <w:t>SAGARPA. 2006. 6° Informe de Labores. Secretaría de Agricultura, Ganadería, Desarrollo Rural, Pesca y Alimentación.</w:t>
      </w:r>
      <w:r>
        <w:rPr>
          <w:spacing w:val="-15"/>
          <w:sz w:val="24"/>
        </w:rPr>
        <w:t> </w:t>
      </w:r>
      <w:r>
        <w:rPr>
          <w:sz w:val="24"/>
        </w:rPr>
        <w:t>México.</w:t>
      </w:r>
    </w:p>
    <w:p>
      <w:pPr>
        <w:pStyle w:val="ListParagraph"/>
        <w:numPr>
          <w:ilvl w:val="3"/>
          <w:numId w:val="3"/>
        </w:numPr>
        <w:tabs>
          <w:tab w:pos="2139" w:val="left" w:leader="none"/>
        </w:tabs>
        <w:spacing w:line="362" w:lineRule="auto" w:before="2" w:after="0"/>
        <w:ind w:left="2138" w:right="1702" w:hanging="360"/>
        <w:jc w:val="both"/>
        <w:rPr>
          <w:sz w:val="24"/>
        </w:rPr>
      </w:pPr>
      <w:r>
        <w:rPr>
          <w:sz w:val="24"/>
        </w:rPr>
        <w:t>FAO. 2007. Global Aquaculture Production 1950-2005. Disponible en: </w:t>
      </w:r>
      <w:hyperlink r:id="rId313">
        <w:r>
          <w:rPr>
            <w:sz w:val="24"/>
          </w:rPr>
          <w:t>www.</w:t>
        </w:r>
      </w:hyperlink>
      <w:r>
        <w:rPr>
          <w:sz w:val="24"/>
        </w:rPr>
        <w:t> fao.org</w:t>
      </w:r>
    </w:p>
    <w:p>
      <w:pPr>
        <w:pStyle w:val="ListParagraph"/>
        <w:numPr>
          <w:ilvl w:val="3"/>
          <w:numId w:val="3"/>
        </w:numPr>
        <w:tabs>
          <w:tab w:pos="2139" w:val="left" w:leader="none"/>
        </w:tabs>
        <w:spacing w:line="360" w:lineRule="auto" w:before="0" w:after="0"/>
        <w:ind w:left="2138" w:right="1696" w:hanging="360"/>
        <w:jc w:val="both"/>
        <w:rPr>
          <w:sz w:val="24"/>
        </w:rPr>
      </w:pPr>
      <w:r>
        <w:rPr>
          <w:sz w:val="24"/>
        </w:rPr>
        <w:t>Jurewicz, J., Kouimintzis, D., Burdorf, A., Hanke, </w:t>
      </w:r>
      <w:r>
        <w:rPr>
          <w:spacing w:val="2"/>
          <w:sz w:val="24"/>
        </w:rPr>
        <w:t>W., </w:t>
      </w:r>
      <w:r>
        <w:rPr>
          <w:sz w:val="24"/>
        </w:rPr>
        <w:t>Chatzis, Ch. &amp; Linos, A. (2007). Occupational risk factors for work-related disorders in greenhouse workers. </w:t>
      </w:r>
      <w:r>
        <w:rPr>
          <w:i/>
          <w:sz w:val="24"/>
        </w:rPr>
        <w:t>J. Public. Health. </w:t>
      </w:r>
      <w:r>
        <w:rPr>
          <w:sz w:val="24"/>
        </w:rPr>
        <w:t>15:</w:t>
      </w:r>
      <w:r>
        <w:rPr>
          <w:spacing w:val="-10"/>
          <w:sz w:val="24"/>
        </w:rPr>
        <w:t> </w:t>
      </w:r>
      <w:r>
        <w:rPr>
          <w:sz w:val="24"/>
        </w:rPr>
        <w:t>265–277.</w:t>
      </w:r>
    </w:p>
    <w:p>
      <w:pPr>
        <w:pStyle w:val="ListParagraph"/>
        <w:numPr>
          <w:ilvl w:val="3"/>
          <w:numId w:val="3"/>
        </w:numPr>
        <w:tabs>
          <w:tab w:pos="2139" w:val="left" w:leader="none"/>
        </w:tabs>
        <w:spacing w:line="360" w:lineRule="auto" w:before="5" w:after="0"/>
        <w:ind w:left="2138" w:right="1694" w:hanging="360"/>
        <w:jc w:val="both"/>
        <w:rPr>
          <w:sz w:val="24"/>
        </w:rPr>
      </w:pPr>
      <w:r>
        <w:rPr>
          <w:sz w:val="24"/>
        </w:rPr>
        <w:t>Sánchez-Meza J.C. 2006. Desarrollo de estrategias ambientales para una floricultura sustentable en el Estado de México. Proyecto 15-2005-2676 Convocatoria de proyectos de investigación de la Fundación Produce- ICAMEX, 2005. Informe</w:t>
      </w:r>
      <w:r>
        <w:rPr>
          <w:spacing w:val="-13"/>
          <w:sz w:val="24"/>
        </w:rPr>
        <w:t> </w:t>
      </w:r>
      <w:r>
        <w:rPr>
          <w:sz w:val="24"/>
        </w:rPr>
        <w:t>Final.</w:t>
      </w:r>
    </w:p>
    <w:p>
      <w:pPr>
        <w:pStyle w:val="ListParagraph"/>
        <w:numPr>
          <w:ilvl w:val="3"/>
          <w:numId w:val="3"/>
        </w:numPr>
        <w:tabs>
          <w:tab w:pos="2139" w:val="left" w:leader="none"/>
        </w:tabs>
        <w:spacing w:line="360" w:lineRule="auto" w:before="3" w:after="0"/>
        <w:ind w:left="2138" w:right="1704" w:hanging="360"/>
        <w:jc w:val="left"/>
        <w:rPr>
          <w:sz w:val="24"/>
        </w:rPr>
      </w:pPr>
      <w:r>
        <w:rPr>
          <w:sz w:val="24"/>
        </w:rPr>
        <w:t>Posada, M. (2015). Encabezan municipios floristas lista de niños con problemas oncológicos. QUADRATIN, Estado de México. Disponible en: </w:t>
      </w:r>
      <w:hyperlink r:id="rId314">
        <w:r>
          <w:rPr>
            <w:sz w:val="24"/>
          </w:rPr>
          <w:t>https://edomex.quadratin.com.mx/Encabezan-municipios-floristas-lista-de-</w:t>
        </w:r>
      </w:hyperlink>
      <w:r>
        <w:rPr>
          <w:sz w:val="24"/>
        </w:rPr>
        <w:t> </w:t>
      </w:r>
      <w:hyperlink r:id="rId314">
        <w:r>
          <w:rPr>
            <w:sz w:val="24"/>
          </w:rPr>
          <w:t>ninos-con-problemas-oncologicos/</w:t>
        </w:r>
      </w:hyperlink>
    </w:p>
    <w:p>
      <w:pPr>
        <w:pStyle w:val="ListParagraph"/>
        <w:numPr>
          <w:ilvl w:val="3"/>
          <w:numId w:val="3"/>
        </w:numPr>
        <w:tabs>
          <w:tab w:pos="2139" w:val="left" w:leader="none"/>
        </w:tabs>
        <w:spacing w:line="360" w:lineRule="auto" w:before="2" w:after="0"/>
        <w:ind w:left="2138" w:right="1706" w:hanging="360"/>
        <w:jc w:val="both"/>
        <w:rPr>
          <w:sz w:val="24"/>
        </w:rPr>
      </w:pPr>
      <w:r>
        <w:rPr>
          <w:sz w:val="24"/>
        </w:rPr>
        <w:t>Romero, T. L. (2008). Comisión Federal para la Protección contra Riesgos Sanitarios (COFEPRIS). Presentación de Registro de plaguicidas en</w:t>
      </w:r>
      <w:r>
        <w:rPr>
          <w:spacing w:val="-26"/>
          <w:sz w:val="24"/>
        </w:rPr>
        <w:t> </w:t>
      </w:r>
      <w:r>
        <w:rPr>
          <w:sz w:val="24"/>
        </w:rPr>
        <w:t>México.</w:t>
      </w:r>
    </w:p>
    <w:p>
      <w:pPr>
        <w:spacing w:after="0" w:line="360" w:lineRule="auto"/>
        <w:jc w:val="both"/>
        <w:rPr>
          <w:sz w:val="24"/>
        </w:rPr>
        <w:sectPr>
          <w:pgSz w:w="12240" w:h="15840"/>
          <w:pgMar w:header="0" w:footer="599" w:top="1500" w:bottom="780" w:left="0" w:right="0"/>
        </w:sectPr>
      </w:pPr>
    </w:p>
    <w:p>
      <w:pPr>
        <w:pStyle w:val="BodyText"/>
        <w:spacing w:before="1"/>
        <w:rPr>
          <w:sz w:val="11"/>
        </w:rPr>
      </w:pPr>
    </w:p>
    <w:p>
      <w:pPr>
        <w:pStyle w:val="ListParagraph"/>
        <w:numPr>
          <w:ilvl w:val="3"/>
          <w:numId w:val="3"/>
        </w:numPr>
        <w:tabs>
          <w:tab w:pos="2139" w:val="left" w:leader="none"/>
        </w:tabs>
        <w:spacing w:line="360" w:lineRule="auto" w:before="70" w:after="0"/>
        <w:ind w:left="2138" w:right="1696" w:hanging="360"/>
        <w:jc w:val="both"/>
        <w:rPr>
          <w:sz w:val="24"/>
        </w:rPr>
      </w:pPr>
      <w:r>
        <w:rPr>
          <w:sz w:val="24"/>
        </w:rPr>
        <w:t>Garry, V. F. (2004). Pesticides and Children. </w:t>
      </w:r>
      <w:r>
        <w:rPr>
          <w:i/>
          <w:sz w:val="24"/>
        </w:rPr>
        <w:t>Toxicol. Appl. Pharmacol</w:t>
      </w:r>
      <w:r>
        <w:rPr>
          <w:sz w:val="24"/>
        </w:rPr>
        <w:t>.; 198: 152-163.</w:t>
      </w:r>
    </w:p>
    <w:p>
      <w:pPr>
        <w:pStyle w:val="ListParagraph"/>
        <w:numPr>
          <w:ilvl w:val="3"/>
          <w:numId w:val="3"/>
        </w:numPr>
        <w:tabs>
          <w:tab w:pos="2139" w:val="left" w:leader="none"/>
        </w:tabs>
        <w:spacing w:line="360" w:lineRule="auto" w:before="5" w:after="0"/>
        <w:ind w:left="2138" w:right="1701" w:hanging="360"/>
        <w:jc w:val="both"/>
        <w:rPr>
          <w:sz w:val="24"/>
        </w:rPr>
      </w:pPr>
      <w:r>
        <w:rPr>
          <w:sz w:val="24"/>
        </w:rPr>
        <w:t>Domínguez-Cortinas, G., Díaz-Barriga, F., Martínez-Salinas, R. I., Cossío, P. &amp; Pérez-Maldonado, I. N. (2013). Exposure to chemical mixtures in Mexican children: high-risk scenarios. </w:t>
      </w:r>
      <w:r>
        <w:rPr>
          <w:i/>
          <w:sz w:val="24"/>
        </w:rPr>
        <w:t>Environ. Sci. Pollut. Res</w:t>
      </w:r>
      <w:r>
        <w:rPr>
          <w:sz w:val="24"/>
        </w:rPr>
        <w:t>.; 20:</w:t>
      </w:r>
      <w:r>
        <w:rPr>
          <w:spacing w:val="-22"/>
          <w:sz w:val="24"/>
        </w:rPr>
        <w:t> </w:t>
      </w:r>
      <w:r>
        <w:rPr>
          <w:sz w:val="24"/>
        </w:rPr>
        <w:t>351–357.</w:t>
      </w:r>
    </w:p>
    <w:p>
      <w:pPr>
        <w:pStyle w:val="ListParagraph"/>
        <w:numPr>
          <w:ilvl w:val="3"/>
          <w:numId w:val="3"/>
        </w:numPr>
        <w:tabs>
          <w:tab w:pos="2139" w:val="left" w:leader="none"/>
        </w:tabs>
        <w:spacing w:line="360" w:lineRule="auto" w:before="5" w:after="0"/>
        <w:ind w:left="2138" w:right="1695" w:hanging="360"/>
        <w:jc w:val="both"/>
        <w:rPr>
          <w:sz w:val="24"/>
        </w:rPr>
      </w:pPr>
      <w:r>
        <w:rPr>
          <w:sz w:val="24"/>
        </w:rPr>
        <w:t>Gebara, A. B., Ciscato, C. H. P. Monteiro, S. H. &amp;• Souza, G. S. (2011). Pesticide Residues in some Commodities: Dietary Risk for Children. </w:t>
      </w:r>
      <w:r>
        <w:rPr>
          <w:i/>
          <w:sz w:val="24"/>
        </w:rPr>
        <w:t>Bull. </w:t>
      </w:r>
      <w:r>
        <w:rPr>
          <w:i/>
          <w:sz w:val="24"/>
        </w:rPr>
        <w:t>Environ. Contam. Toxicol</w:t>
      </w:r>
      <w:r>
        <w:rPr>
          <w:sz w:val="24"/>
        </w:rPr>
        <w:t>.; 86:</w:t>
      </w:r>
      <w:r>
        <w:rPr>
          <w:spacing w:val="-15"/>
          <w:sz w:val="24"/>
        </w:rPr>
        <w:t> </w:t>
      </w:r>
      <w:r>
        <w:rPr>
          <w:sz w:val="24"/>
        </w:rPr>
        <w:t>506–510</w:t>
      </w:r>
    </w:p>
    <w:p>
      <w:pPr>
        <w:pStyle w:val="ListParagraph"/>
        <w:numPr>
          <w:ilvl w:val="3"/>
          <w:numId w:val="3"/>
        </w:numPr>
        <w:tabs>
          <w:tab w:pos="2139" w:val="left" w:leader="none"/>
        </w:tabs>
        <w:spacing w:line="360" w:lineRule="auto" w:before="8" w:after="0"/>
        <w:ind w:left="2138" w:right="1700" w:hanging="360"/>
        <w:jc w:val="both"/>
        <w:rPr>
          <w:sz w:val="24"/>
        </w:rPr>
      </w:pPr>
      <w:r>
        <w:rPr>
          <w:sz w:val="24"/>
        </w:rPr>
        <w:t>Landrigan, P. J. &amp; Goldman, l. R. (2011). Protecting Children from Pesticides and Other Toxic Chemicals. </w:t>
      </w:r>
      <w:r>
        <w:rPr>
          <w:i/>
          <w:sz w:val="24"/>
        </w:rPr>
        <w:t>Journal of Exposure Science and Environmental </w:t>
      </w:r>
      <w:r>
        <w:rPr>
          <w:i/>
          <w:sz w:val="24"/>
        </w:rPr>
        <w:t>Epidemiology;</w:t>
      </w:r>
      <w:r>
        <w:rPr>
          <w:i/>
          <w:spacing w:val="-8"/>
          <w:sz w:val="24"/>
        </w:rPr>
        <w:t> </w:t>
      </w:r>
      <w:r>
        <w:rPr>
          <w:sz w:val="24"/>
        </w:rPr>
        <w:t>119-120.</w:t>
      </w:r>
    </w:p>
    <w:p>
      <w:pPr>
        <w:pStyle w:val="ListParagraph"/>
        <w:numPr>
          <w:ilvl w:val="3"/>
          <w:numId w:val="3"/>
        </w:numPr>
        <w:tabs>
          <w:tab w:pos="2139" w:val="left" w:leader="none"/>
        </w:tabs>
        <w:spacing w:line="360" w:lineRule="auto" w:before="5" w:after="0"/>
        <w:ind w:left="2138" w:right="1699" w:hanging="360"/>
        <w:jc w:val="both"/>
        <w:rPr>
          <w:sz w:val="24"/>
        </w:rPr>
      </w:pPr>
      <w:r>
        <w:rPr>
          <w:sz w:val="24"/>
        </w:rPr>
        <w:t>Ding, G. &amp; Bao, Y. (2014). Revisting pesticide exposure and children’s health: Focus on China. </w:t>
      </w:r>
      <w:r>
        <w:rPr>
          <w:i/>
          <w:sz w:val="24"/>
        </w:rPr>
        <w:t>Science of the Total Environment; </w:t>
      </w:r>
      <w:r>
        <w:rPr>
          <w:sz w:val="24"/>
        </w:rPr>
        <w:t>472:</w:t>
      </w:r>
      <w:r>
        <w:rPr>
          <w:spacing w:val="-21"/>
          <w:sz w:val="24"/>
        </w:rPr>
        <w:t> </w:t>
      </w:r>
      <w:r>
        <w:rPr>
          <w:sz w:val="24"/>
        </w:rPr>
        <w:t>289–295.</w:t>
      </w:r>
    </w:p>
    <w:p>
      <w:pPr>
        <w:pStyle w:val="ListParagraph"/>
        <w:numPr>
          <w:ilvl w:val="3"/>
          <w:numId w:val="3"/>
        </w:numPr>
        <w:tabs>
          <w:tab w:pos="2139" w:val="left" w:leader="none"/>
        </w:tabs>
        <w:spacing w:line="360" w:lineRule="auto" w:before="5" w:after="0"/>
        <w:ind w:left="2138" w:right="1705" w:hanging="360"/>
        <w:jc w:val="both"/>
        <w:rPr>
          <w:sz w:val="24"/>
        </w:rPr>
      </w:pPr>
      <w:r>
        <w:rPr>
          <w:sz w:val="24"/>
        </w:rPr>
        <w:t>Badii, M. H. &amp; Landeros, J. (2007). Plaguicidas que afectan a la salud humana y la sustentabilidad. </w:t>
      </w:r>
      <w:r>
        <w:rPr>
          <w:i/>
          <w:sz w:val="24"/>
        </w:rPr>
        <w:t>CULCyT</w:t>
      </w:r>
      <w:r>
        <w:rPr>
          <w:sz w:val="24"/>
        </w:rPr>
        <w:t>; 19 (4):</w:t>
      </w:r>
      <w:r>
        <w:rPr>
          <w:spacing w:val="-11"/>
          <w:sz w:val="24"/>
        </w:rPr>
        <w:t> </w:t>
      </w:r>
      <w:r>
        <w:rPr>
          <w:sz w:val="24"/>
        </w:rPr>
        <w:t>21-34.</w:t>
      </w:r>
    </w:p>
    <w:p>
      <w:pPr>
        <w:pStyle w:val="ListParagraph"/>
        <w:numPr>
          <w:ilvl w:val="3"/>
          <w:numId w:val="3"/>
        </w:numPr>
        <w:tabs>
          <w:tab w:pos="2139" w:val="left" w:leader="none"/>
        </w:tabs>
        <w:spacing w:line="362" w:lineRule="auto" w:before="2" w:after="0"/>
        <w:ind w:left="2138" w:right="1695" w:hanging="360"/>
        <w:jc w:val="both"/>
        <w:rPr>
          <w:sz w:val="24"/>
        </w:rPr>
      </w:pPr>
      <w:hyperlink r:id="rId315">
        <w:r>
          <w:rPr>
            <w:sz w:val="24"/>
          </w:rPr>
          <w:t>Der, P. S. (2008). Plaguicidas organoclorados en leche materna.</w:t>
        </w:r>
      </w:hyperlink>
      <w:r>
        <w:rPr>
          <w:sz w:val="24"/>
        </w:rPr>
        <w:t> </w:t>
      </w:r>
      <w:r>
        <w:rPr>
          <w:i/>
          <w:sz w:val="24"/>
        </w:rPr>
        <w:t>Revista del </w:t>
      </w:r>
      <w:r>
        <w:rPr>
          <w:i/>
          <w:sz w:val="24"/>
        </w:rPr>
        <w:t>Hospital Materno Infantil Ramón Sardá; </w:t>
      </w:r>
      <w:r>
        <w:rPr>
          <w:sz w:val="24"/>
        </w:rPr>
        <w:t>27 (2):</w:t>
      </w:r>
      <w:r>
        <w:rPr>
          <w:spacing w:val="-12"/>
          <w:sz w:val="24"/>
        </w:rPr>
        <w:t> </w:t>
      </w:r>
      <w:r>
        <w:rPr>
          <w:sz w:val="24"/>
        </w:rPr>
        <w:t>70-78.</w:t>
      </w:r>
    </w:p>
    <w:p>
      <w:pPr>
        <w:pStyle w:val="ListParagraph"/>
        <w:numPr>
          <w:ilvl w:val="3"/>
          <w:numId w:val="3"/>
        </w:numPr>
        <w:tabs>
          <w:tab w:pos="2139" w:val="left" w:leader="none"/>
        </w:tabs>
        <w:spacing w:line="360" w:lineRule="auto" w:before="2" w:after="0"/>
        <w:ind w:left="2138" w:right="1695" w:hanging="360"/>
        <w:jc w:val="both"/>
        <w:rPr>
          <w:sz w:val="24"/>
        </w:rPr>
      </w:pPr>
      <w:r>
        <w:rPr>
          <w:sz w:val="24"/>
        </w:rPr>
        <w:t>Childhood Pesticide Poisoning Information for Advocacy and Action. (2004). United Nations Environment Programme</w:t>
      </w:r>
      <w:r>
        <w:rPr>
          <w:spacing w:val="-15"/>
          <w:sz w:val="24"/>
        </w:rPr>
        <w:t> </w:t>
      </w:r>
      <w:r>
        <w:rPr>
          <w:sz w:val="24"/>
        </w:rPr>
        <w:t>(UNEP).</w:t>
      </w:r>
    </w:p>
    <w:p>
      <w:pPr>
        <w:pStyle w:val="ListParagraph"/>
        <w:numPr>
          <w:ilvl w:val="3"/>
          <w:numId w:val="3"/>
        </w:numPr>
        <w:tabs>
          <w:tab w:pos="2139" w:val="left" w:leader="none"/>
        </w:tabs>
        <w:spacing w:line="360" w:lineRule="auto" w:before="5" w:after="0"/>
        <w:ind w:left="2138" w:right="1701" w:hanging="360"/>
        <w:jc w:val="both"/>
        <w:rPr>
          <w:sz w:val="24"/>
        </w:rPr>
      </w:pPr>
      <w:r>
        <w:rPr>
          <w:sz w:val="24"/>
        </w:rPr>
        <w:t>Gómez, F. M. E. &amp; Campos, M. A. (2000). Histología Bucal. Capítulo 5: Cavidad</w:t>
      </w:r>
      <w:r>
        <w:rPr>
          <w:spacing w:val="-2"/>
          <w:sz w:val="24"/>
        </w:rPr>
        <w:t> </w:t>
      </w:r>
      <w:r>
        <w:rPr>
          <w:sz w:val="24"/>
        </w:rPr>
        <w:t>Bucal.</w:t>
      </w:r>
    </w:p>
    <w:p>
      <w:pPr>
        <w:pStyle w:val="ListParagraph"/>
        <w:numPr>
          <w:ilvl w:val="3"/>
          <w:numId w:val="3"/>
        </w:numPr>
        <w:tabs>
          <w:tab w:pos="2139" w:val="left" w:leader="none"/>
        </w:tabs>
        <w:spacing w:line="360" w:lineRule="auto" w:before="5" w:after="0"/>
        <w:ind w:left="2138" w:right="1707" w:hanging="360"/>
        <w:jc w:val="both"/>
        <w:rPr>
          <w:sz w:val="24"/>
        </w:rPr>
      </w:pPr>
      <w:r>
        <w:rPr>
          <w:sz w:val="24"/>
        </w:rPr>
        <w:t>Silbergeld, E. K. Enciclopedia de Salud y Seguridad en el  Trabajo. Toxicología.</w:t>
      </w:r>
    </w:p>
    <w:p>
      <w:pPr>
        <w:pStyle w:val="ListParagraph"/>
        <w:numPr>
          <w:ilvl w:val="3"/>
          <w:numId w:val="3"/>
        </w:numPr>
        <w:tabs>
          <w:tab w:pos="2139" w:val="left" w:leader="none"/>
        </w:tabs>
        <w:spacing w:line="360" w:lineRule="auto" w:before="5" w:after="0"/>
        <w:ind w:left="2138" w:right="1697" w:hanging="360"/>
        <w:jc w:val="both"/>
        <w:rPr>
          <w:sz w:val="24"/>
        </w:rPr>
      </w:pPr>
      <w:r>
        <w:rPr>
          <w:sz w:val="24"/>
        </w:rPr>
        <w:t>Bagci, E. Z., Vodovotz, Y., Billiar, T. R., Ermentrout, G. B. &amp; Bahar, I. (2006). Bistability in apoptosis: roles of bax, bcl-2 and mitochondrial permeability transition pores. </w:t>
      </w:r>
      <w:r>
        <w:rPr>
          <w:i/>
          <w:sz w:val="24"/>
        </w:rPr>
        <w:t>Biophysical Journal; </w:t>
      </w:r>
      <w:r>
        <w:rPr>
          <w:sz w:val="24"/>
        </w:rPr>
        <w:t>90 (5):</w:t>
      </w:r>
      <w:r>
        <w:rPr>
          <w:spacing w:val="-15"/>
          <w:sz w:val="24"/>
        </w:rPr>
        <w:t> </w:t>
      </w:r>
      <w:r>
        <w:rPr>
          <w:sz w:val="24"/>
        </w:rPr>
        <w:t>1546-1559</w:t>
      </w:r>
    </w:p>
    <w:p>
      <w:pPr>
        <w:pStyle w:val="ListParagraph"/>
        <w:numPr>
          <w:ilvl w:val="3"/>
          <w:numId w:val="3"/>
        </w:numPr>
        <w:tabs>
          <w:tab w:pos="2139" w:val="left" w:leader="none"/>
        </w:tabs>
        <w:spacing w:line="360" w:lineRule="auto" w:before="5" w:after="0"/>
        <w:ind w:left="2138" w:right="1696" w:hanging="360"/>
        <w:jc w:val="both"/>
        <w:rPr>
          <w:sz w:val="24"/>
        </w:rPr>
      </w:pPr>
      <w:r>
        <w:rPr>
          <w:sz w:val="24"/>
        </w:rPr>
        <w:t>Sisman, T. &amp; Türkez, H. (2010). Toxicologic evaluation of imazalil with particular reference to genotoxic and teratogenic potentials. </w:t>
      </w:r>
      <w:r>
        <w:rPr>
          <w:i/>
          <w:sz w:val="24"/>
        </w:rPr>
        <w:t>Toxicologic and </w:t>
      </w:r>
      <w:r>
        <w:rPr>
          <w:i/>
          <w:sz w:val="24"/>
        </w:rPr>
        <w:t>Industrial Health; </w:t>
      </w:r>
      <w:r>
        <w:rPr>
          <w:sz w:val="24"/>
        </w:rPr>
        <w:t>26 (10):</w:t>
      </w:r>
      <w:r>
        <w:rPr>
          <w:spacing w:val="-11"/>
          <w:sz w:val="24"/>
        </w:rPr>
        <w:t> </w:t>
      </w:r>
      <w:r>
        <w:rPr>
          <w:sz w:val="24"/>
        </w:rPr>
        <w:t>641-648.</w:t>
      </w:r>
    </w:p>
    <w:p>
      <w:pPr>
        <w:pStyle w:val="ListParagraph"/>
        <w:numPr>
          <w:ilvl w:val="3"/>
          <w:numId w:val="3"/>
        </w:numPr>
        <w:tabs>
          <w:tab w:pos="2139" w:val="left" w:leader="none"/>
        </w:tabs>
        <w:spacing w:line="240" w:lineRule="auto" w:before="7" w:after="0"/>
        <w:ind w:left="2138" w:right="0" w:hanging="360"/>
        <w:jc w:val="left"/>
        <w:rPr>
          <w:sz w:val="24"/>
        </w:rPr>
      </w:pPr>
      <w:r>
        <w:rPr>
          <w:sz w:val="24"/>
        </w:rPr>
        <w:t>Arellano, G. M. E., Camarena, O. L., Von-Glascoe, Ch. A., Ruiz, R. B.,</w:t>
      </w:r>
      <w:r>
        <w:rPr>
          <w:spacing w:val="38"/>
          <w:sz w:val="24"/>
        </w:rPr>
        <w:t> </w:t>
      </w:r>
      <w:r>
        <w:rPr>
          <w:sz w:val="24"/>
        </w:rPr>
        <w:t>Zúñiga,</w:t>
      </w:r>
    </w:p>
    <w:p>
      <w:pPr>
        <w:pStyle w:val="BodyText"/>
        <w:spacing w:before="137"/>
        <w:ind w:left="2138" w:right="597"/>
      </w:pPr>
      <w:r>
        <w:rPr/>
        <w:t>V.  E.  &amp;  Montaño,  S.  T.  (2012).  Daño  genotóxico  en  mujeres  y </w:t>
      </w:r>
      <w:r>
        <w:rPr>
          <w:spacing w:val="50"/>
        </w:rPr>
        <w:t> </w:t>
      </w:r>
      <w:r>
        <w:rPr/>
        <w:t>hombres</w:t>
      </w:r>
    </w:p>
    <w:p>
      <w:pPr>
        <w:spacing w:after="0"/>
        <w:sectPr>
          <w:pgSz w:w="12240" w:h="15840"/>
          <w:pgMar w:header="0" w:footer="599" w:top="1500" w:bottom="780" w:left="0" w:right="0"/>
        </w:sectPr>
      </w:pPr>
    </w:p>
    <w:p>
      <w:pPr>
        <w:pStyle w:val="BodyText"/>
        <w:spacing w:before="1"/>
        <w:rPr>
          <w:sz w:val="11"/>
        </w:rPr>
      </w:pPr>
    </w:p>
    <w:p>
      <w:pPr>
        <w:spacing w:line="360" w:lineRule="auto" w:before="70"/>
        <w:ind w:left="2138" w:right="1703" w:firstLine="0"/>
        <w:jc w:val="left"/>
        <w:rPr>
          <w:sz w:val="24"/>
        </w:rPr>
      </w:pPr>
      <w:r>
        <w:rPr>
          <w:sz w:val="24"/>
        </w:rPr>
        <w:t>expuestos a plaguicidas en cuatro localidades de Baja California. </w:t>
      </w:r>
      <w:r>
        <w:rPr>
          <w:i/>
          <w:sz w:val="24"/>
        </w:rPr>
        <w:t>Rev. salud </w:t>
      </w:r>
      <w:r>
        <w:rPr>
          <w:i/>
          <w:sz w:val="24"/>
        </w:rPr>
        <w:t>ambient.; </w:t>
      </w:r>
      <w:r>
        <w:rPr>
          <w:sz w:val="24"/>
        </w:rPr>
        <w:t>12 (2): 93-101.</w:t>
      </w:r>
    </w:p>
    <w:p>
      <w:pPr>
        <w:pStyle w:val="ListParagraph"/>
        <w:numPr>
          <w:ilvl w:val="3"/>
          <w:numId w:val="3"/>
        </w:numPr>
        <w:tabs>
          <w:tab w:pos="2139" w:val="left" w:leader="none"/>
          <w:tab w:pos="3659" w:val="left" w:leader="none"/>
          <w:tab w:pos="4392" w:val="left" w:leader="none"/>
        </w:tabs>
        <w:spacing w:line="360" w:lineRule="auto" w:before="7" w:after="0"/>
        <w:ind w:left="2138" w:right="1694" w:hanging="360"/>
        <w:jc w:val="left"/>
        <w:rPr>
          <w:sz w:val="24"/>
        </w:rPr>
      </w:pPr>
      <w:r>
        <w:rPr>
          <w:sz w:val="24"/>
        </w:rPr>
        <w:t>Bolognesi, C. Carrasquilla, G. Volpi, S., Solomon, K. R. &amp; Marshall, E. J. P. (2009). Biomonitorización del riesgo genotóxico en agricultores de cinco regiones colombinas: asociación con la exposición ocupacional </w:t>
      </w:r>
      <w:r>
        <w:rPr>
          <w:spacing w:val="4"/>
          <w:sz w:val="24"/>
        </w:rPr>
        <w:t>al </w:t>
      </w:r>
      <w:r>
        <w:rPr>
          <w:sz w:val="24"/>
        </w:rPr>
        <w:t>glifosato. Disponible</w:t>
        <w:tab/>
        <w:t>en:</w:t>
        <w:tab/>
      </w:r>
      <w:hyperlink r:id="rId316">
        <w:r>
          <w:rPr>
            <w:spacing w:val="-1"/>
            <w:sz w:val="24"/>
          </w:rPr>
          <w:t>http://www.odc.gov.co/Portals/1/Docs/pesig/PS06012013-</w:t>
        </w:r>
      </w:hyperlink>
      <w:r>
        <w:rPr>
          <w:spacing w:val="-1"/>
          <w:sz w:val="24"/>
        </w:rPr>
        <w:t> </w:t>
      </w:r>
      <w:hyperlink r:id="rId316">
        <w:r>
          <w:rPr>
            <w:sz w:val="24"/>
          </w:rPr>
          <w:t>biomonitorizacion-riesgo-genotoxic-agricultores-cinco-regione-colombianas-</w:t>
        </w:r>
      </w:hyperlink>
      <w:r>
        <w:rPr>
          <w:sz w:val="24"/>
        </w:rPr>
        <w:t> </w:t>
      </w:r>
      <w:hyperlink r:id="rId316">
        <w:r>
          <w:rPr>
            <w:sz w:val="24"/>
          </w:rPr>
          <w:t>glifosato.pdf</w:t>
        </w:r>
      </w:hyperlink>
    </w:p>
    <w:p>
      <w:pPr>
        <w:pStyle w:val="ListParagraph"/>
        <w:numPr>
          <w:ilvl w:val="3"/>
          <w:numId w:val="3"/>
        </w:numPr>
        <w:tabs>
          <w:tab w:pos="2139" w:val="left" w:leader="none"/>
        </w:tabs>
        <w:spacing w:line="360" w:lineRule="auto" w:before="5" w:after="0"/>
        <w:ind w:left="2138" w:right="1694" w:hanging="360"/>
        <w:jc w:val="both"/>
        <w:rPr>
          <w:sz w:val="24"/>
        </w:rPr>
      </w:pPr>
      <w:r>
        <w:rPr>
          <w:sz w:val="24"/>
        </w:rPr>
        <w:t>Silins, I. &amp; Högberg, J. (2011) Combined Toxic Exposures and Human Health: Biomarkers of Exposure and Effect. </w:t>
      </w:r>
      <w:r>
        <w:rPr>
          <w:i/>
          <w:sz w:val="24"/>
        </w:rPr>
        <w:t>Int. J. Environ. Res. Public Health; 8</w:t>
      </w:r>
      <w:r>
        <w:rPr>
          <w:sz w:val="24"/>
        </w:rPr>
        <w:t>: 629- 647.</w:t>
      </w:r>
    </w:p>
    <w:p>
      <w:pPr>
        <w:pStyle w:val="ListParagraph"/>
        <w:numPr>
          <w:ilvl w:val="3"/>
          <w:numId w:val="3"/>
        </w:numPr>
        <w:tabs>
          <w:tab w:pos="2139" w:val="left" w:leader="none"/>
        </w:tabs>
        <w:spacing w:line="360" w:lineRule="auto" w:before="2" w:after="0"/>
        <w:ind w:left="2138" w:right="1698" w:hanging="360"/>
        <w:jc w:val="both"/>
        <w:rPr>
          <w:sz w:val="24"/>
        </w:rPr>
      </w:pPr>
      <w:r>
        <w:rPr>
          <w:sz w:val="24"/>
        </w:rPr>
        <w:t>Hernandez, F. G. (2011). El papel de los biomarcadores en Toxicología Humana. Departamento de Medicina Legal y Toxicología. 1-26. Disponible en: </w:t>
      </w:r>
      <w:hyperlink r:id="rId317">
        <w:r>
          <w:rPr>
            <w:sz w:val="24"/>
          </w:rPr>
          <w:t>https://es.scribd.com/doc/73793708/biomarcadores-en-Toxicologia-Humana</w:t>
        </w:r>
      </w:hyperlink>
    </w:p>
    <w:p>
      <w:pPr>
        <w:pStyle w:val="ListParagraph"/>
        <w:numPr>
          <w:ilvl w:val="3"/>
          <w:numId w:val="3"/>
        </w:numPr>
        <w:tabs>
          <w:tab w:pos="2139" w:val="left" w:leader="none"/>
        </w:tabs>
        <w:spacing w:line="360" w:lineRule="auto" w:before="5" w:after="0"/>
        <w:ind w:left="2138" w:right="1697" w:hanging="360"/>
        <w:jc w:val="both"/>
        <w:rPr>
          <w:sz w:val="24"/>
        </w:rPr>
      </w:pPr>
      <w:r>
        <w:rPr>
          <w:sz w:val="24"/>
        </w:rPr>
        <w:t>Palanikumar, L. &amp; Panneerselvam, N. (2011). Micronuclei Assay: A Potential Biomonitoring Protocol in Occupational Exposure Studies. </w:t>
      </w:r>
      <w:r>
        <w:rPr>
          <w:i/>
          <w:sz w:val="24"/>
        </w:rPr>
        <w:t>Russian Journal of </w:t>
      </w:r>
      <w:r>
        <w:rPr>
          <w:i/>
          <w:sz w:val="24"/>
        </w:rPr>
        <w:t>Genetics</w:t>
      </w:r>
      <w:r>
        <w:rPr>
          <w:sz w:val="24"/>
        </w:rPr>
        <w:t>; 47 (9):</w:t>
      </w:r>
      <w:r>
        <w:rPr>
          <w:spacing w:val="-8"/>
          <w:sz w:val="24"/>
        </w:rPr>
        <w:t> </w:t>
      </w:r>
      <w:r>
        <w:rPr>
          <w:sz w:val="24"/>
        </w:rPr>
        <w:t>1033–1038.</w:t>
      </w:r>
    </w:p>
    <w:p>
      <w:pPr>
        <w:pStyle w:val="ListParagraph"/>
        <w:numPr>
          <w:ilvl w:val="3"/>
          <w:numId w:val="3"/>
        </w:numPr>
        <w:tabs>
          <w:tab w:pos="2139" w:val="left" w:leader="none"/>
        </w:tabs>
        <w:spacing w:line="360" w:lineRule="auto" w:before="5" w:after="0"/>
        <w:ind w:left="2138" w:right="1696" w:hanging="360"/>
        <w:jc w:val="both"/>
        <w:rPr>
          <w:sz w:val="24"/>
        </w:rPr>
      </w:pPr>
      <w:r>
        <w:rPr>
          <w:sz w:val="24"/>
        </w:rPr>
        <w:t>Collins, A. R. &amp; Azqueta, A. (2012). DNA repair as a biomarker in human biomonitoring studies; further applications of the comet assay. </w:t>
      </w:r>
      <w:r>
        <w:rPr>
          <w:i/>
          <w:sz w:val="24"/>
        </w:rPr>
        <w:t>Mutation </w:t>
      </w:r>
      <w:r>
        <w:rPr>
          <w:i/>
          <w:sz w:val="24"/>
        </w:rPr>
        <w:t>Research</w:t>
      </w:r>
      <w:r>
        <w:rPr>
          <w:sz w:val="24"/>
        </w:rPr>
        <w:t>; 736: 122–</w:t>
      </w:r>
      <w:r>
        <w:rPr>
          <w:spacing w:val="-7"/>
          <w:sz w:val="24"/>
        </w:rPr>
        <w:t> </w:t>
      </w:r>
      <w:r>
        <w:rPr>
          <w:sz w:val="24"/>
        </w:rPr>
        <w:t>129.</w:t>
      </w:r>
    </w:p>
    <w:p>
      <w:pPr>
        <w:pStyle w:val="ListParagraph"/>
        <w:numPr>
          <w:ilvl w:val="3"/>
          <w:numId w:val="3"/>
        </w:numPr>
        <w:tabs>
          <w:tab w:pos="2139" w:val="left" w:leader="none"/>
        </w:tabs>
        <w:spacing w:line="360" w:lineRule="auto" w:before="5" w:after="0"/>
        <w:ind w:left="2138" w:right="1698" w:hanging="360"/>
        <w:jc w:val="both"/>
        <w:rPr>
          <w:sz w:val="24"/>
        </w:rPr>
      </w:pPr>
      <w:r>
        <w:rPr>
          <w:sz w:val="24"/>
        </w:rPr>
        <w:t>Bonassi, S. &amp; Au, </w:t>
      </w:r>
      <w:r>
        <w:rPr>
          <w:spacing w:val="4"/>
          <w:sz w:val="24"/>
        </w:rPr>
        <w:t>W. </w:t>
      </w:r>
      <w:r>
        <w:rPr>
          <w:sz w:val="24"/>
        </w:rPr>
        <w:t>(2002). Biomarkers in molecular epidemiology studies for health risk prediction</w:t>
      </w:r>
      <w:r>
        <w:rPr>
          <w:i/>
          <w:sz w:val="24"/>
        </w:rPr>
        <w:t>. Mutat. Res.</w:t>
      </w:r>
      <w:r>
        <w:rPr>
          <w:sz w:val="24"/>
        </w:rPr>
        <w:t>; 511:</w:t>
      </w:r>
      <w:r>
        <w:rPr>
          <w:spacing w:val="-13"/>
          <w:sz w:val="24"/>
        </w:rPr>
        <w:t> </w:t>
      </w:r>
      <w:r>
        <w:rPr>
          <w:sz w:val="24"/>
        </w:rPr>
        <w:t>73–86.</w:t>
      </w:r>
    </w:p>
    <w:p>
      <w:pPr>
        <w:pStyle w:val="ListParagraph"/>
        <w:numPr>
          <w:ilvl w:val="3"/>
          <w:numId w:val="3"/>
        </w:numPr>
        <w:tabs>
          <w:tab w:pos="2139" w:val="left" w:leader="none"/>
        </w:tabs>
        <w:spacing w:line="360" w:lineRule="auto" w:before="5" w:after="0"/>
        <w:ind w:left="2138" w:right="1696" w:hanging="360"/>
        <w:jc w:val="both"/>
        <w:rPr>
          <w:sz w:val="24"/>
        </w:rPr>
      </w:pPr>
      <w:r>
        <w:rPr>
          <w:sz w:val="24"/>
        </w:rPr>
        <w:t>Martins, R. A., da Silva, G. G. A, Aguiar, Jr. O. &amp; Ribeiro, D. A. (2009). Biomonitoring of oral epithelial cells in petrol station attendants: Comparison between buccal mucosa and lateral border of the tongue. </w:t>
      </w:r>
      <w:r>
        <w:rPr>
          <w:i/>
          <w:sz w:val="24"/>
        </w:rPr>
        <w:t>Environment </w:t>
      </w:r>
      <w:r>
        <w:rPr>
          <w:i/>
          <w:sz w:val="24"/>
        </w:rPr>
        <w:t>International</w:t>
      </w:r>
      <w:r>
        <w:rPr>
          <w:sz w:val="24"/>
        </w:rPr>
        <w:t>; 35:</w:t>
      </w:r>
      <w:r>
        <w:rPr>
          <w:spacing w:val="-12"/>
          <w:sz w:val="24"/>
        </w:rPr>
        <w:t> </w:t>
      </w:r>
      <w:r>
        <w:rPr>
          <w:sz w:val="24"/>
        </w:rPr>
        <w:t>1062–1065.</w:t>
      </w:r>
    </w:p>
    <w:p>
      <w:pPr>
        <w:pStyle w:val="ListParagraph"/>
        <w:numPr>
          <w:ilvl w:val="3"/>
          <w:numId w:val="3"/>
        </w:numPr>
        <w:tabs>
          <w:tab w:pos="2139" w:val="left" w:leader="none"/>
        </w:tabs>
        <w:spacing w:line="360" w:lineRule="auto" w:before="5" w:after="0"/>
        <w:ind w:left="2138" w:right="1701" w:hanging="360"/>
        <w:jc w:val="both"/>
        <w:rPr>
          <w:sz w:val="24"/>
        </w:rPr>
      </w:pPr>
      <w:r>
        <w:rPr>
          <w:sz w:val="24"/>
        </w:rPr>
        <w:t>Boa-Alma, A. S., Ramalhinho, G., Dias, D., Mathias, M. L., Carvalho‚ P. A. &amp; Alves de Matos, A. P. (2012). Genotoxic effect of inhaled ambient particulate matter. </w:t>
      </w:r>
      <w:r>
        <w:rPr>
          <w:i/>
          <w:sz w:val="24"/>
        </w:rPr>
        <w:t>Microsc. Microanal</w:t>
      </w:r>
      <w:r>
        <w:rPr>
          <w:sz w:val="24"/>
        </w:rPr>
        <w:t>; 18 (Suppl 5):</w:t>
      </w:r>
      <w:r>
        <w:rPr>
          <w:spacing w:val="-15"/>
          <w:sz w:val="24"/>
        </w:rPr>
        <w:t> </w:t>
      </w:r>
      <w:r>
        <w:rPr>
          <w:sz w:val="24"/>
        </w:rPr>
        <w:t>25-26.</w:t>
      </w:r>
    </w:p>
    <w:p>
      <w:pPr>
        <w:pStyle w:val="ListParagraph"/>
        <w:numPr>
          <w:ilvl w:val="3"/>
          <w:numId w:val="3"/>
        </w:numPr>
        <w:tabs>
          <w:tab w:pos="2139" w:val="left" w:leader="none"/>
        </w:tabs>
        <w:spacing w:line="360" w:lineRule="auto" w:before="7" w:after="0"/>
        <w:ind w:left="2138" w:right="1700" w:hanging="360"/>
        <w:jc w:val="both"/>
        <w:rPr>
          <w:sz w:val="24"/>
        </w:rPr>
      </w:pPr>
      <w:r>
        <w:rPr>
          <w:sz w:val="24"/>
        </w:rPr>
        <w:t>Holland, N., Bolognesi, C., Kirsch-Volders, M., Bonassi, S., Zeiger, E., Knasmueller,  S.,  &amp;  Fenech,  M.  (2008).  The  micronucleus  assay  in</w:t>
      </w:r>
      <w:r>
        <w:rPr>
          <w:spacing w:val="-23"/>
          <w:sz w:val="24"/>
        </w:rPr>
        <w:t> </w:t>
      </w:r>
      <w:r>
        <w:rPr>
          <w:sz w:val="24"/>
        </w:rPr>
        <w:t>human</w:t>
      </w:r>
    </w:p>
    <w:p>
      <w:pPr>
        <w:spacing w:after="0" w:line="360" w:lineRule="auto"/>
        <w:jc w:val="both"/>
        <w:rPr>
          <w:sz w:val="24"/>
        </w:rPr>
        <w:sectPr>
          <w:pgSz w:w="12240" w:h="15840"/>
          <w:pgMar w:header="0" w:footer="599" w:top="1500" w:bottom="780" w:left="0" w:right="0"/>
        </w:sectPr>
      </w:pPr>
    </w:p>
    <w:p>
      <w:pPr>
        <w:pStyle w:val="BodyText"/>
        <w:spacing w:before="4"/>
        <w:rPr>
          <w:sz w:val="11"/>
        </w:rPr>
      </w:pPr>
    </w:p>
    <w:p>
      <w:pPr>
        <w:pStyle w:val="BodyText"/>
        <w:spacing w:line="360" w:lineRule="auto" w:before="69"/>
        <w:ind w:left="2138" w:right="1696"/>
        <w:jc w:val="both"/>
      </w:pPr>
      <w:r>
        <w:rPr/>
        <w:t>buccal cells as tool biomonitoring DNA damage: The HUMN  project perspective on current status and knowledge gaps</w:t>
      </w:r>
      <w:r>
        <w:rPr>
          <w:i/>
        </w:rPr>
        <w:t>. Mutation research</w:t>
      </w:r>
      <w:r>
        <w:rPr/>
        <w:t>; 659: 93-108.</w:t>
      </w:r>
    </w:p>
    <w:p>
      <w:pPr>
        <w:pStyle w:val="ListParagraph"/>
        <w:numPr>
          <w:ilvl w:val="3"/>
          <w:numId w:val="3"/>
        </w:numPr>
        <w:tabs>
          <w:tab w:pos="2139" w:val="left" w:leader="none"/>
        </w:tabs>
        <w:spacing w:line="360" w:lineRule="auto" w:before="2" w:after="0"/>
        <w:ind w:left="2138" w:right="1696" w:hanging="360"/>
        <w:jc w:val="both"/>
        <w:rPr>
          <w:sz w:val="24"/>
        </w:rPr>
      </w:pPr>
      <w:r>
        <w:rPr>
          <w:sz w:val="24"/>
        </w:rPr>
        <w:t>Mosesso, P., Cinelli, S., Natarajan, A. T. &amp; Palitti, P. (2013). In Vitro Cytogenetic Assays: Chromosomal Aberrations and Micronucleus Tests. Chapter 6. Alok Dhawan and Mahima Bajpayee (eds.), </w:t>
      </w:r>
      <w:r>
        <w:rPr>
          <w:i/>
          <w:sz w:val="24"/>
        </w:rPr>
        <w:t>Genotoxicity </w:t>
      </w:r>
      <w:r>
        <w:rPr>
          <w:i/>
          <w:sz w:val="24"/>
        </w:rPr>
        <w:t>Assessment: Methods and Protocols</w:t>
      </w:r>
      <w:r>
        <w:rPr>
          <w:sz w:val="24"/>
        </w:rPr>
        <w:t>, Methods in Molecular Biology, vol.</w:t>
      </w:r>
      <w:r>
        <w:rPr>
          <w:spacing w:val="-23"/>
          <w:sz w:val="24"/>
        </w:rPr>
        <w:t> </w:t>
      </w:r>
      <w:r>
        <w:rPr>
          <w:sz w:val="24"/>
        </w:rPr>
        <w:t>1044.</w:t>
      </w:r>
    </w:p>
    <w:p>
      <w:pPr>
        <w:pStyle w:val="ListParagraph"/>
        <w:numPr>
          <w:ilvl w:val="3"/>
          <w:numId w:val="3"/>
        </w:numPr>
        <w:tabs>
          <w:tab w:pos="2139" w:val="left" w:leader="none"/>
        </w:tabs>
        <w:spacing w:line="360" w:lineRule="auto" w:before="5" w:after="0"/>
        <w:ind w:left="2138" w:right="1697" w:hanging="360"/>
        <w:jc w:val="both"/>
        <w:rPr>
          <w:sz w:val="24"/>
        </w:rPr>
      </w:pPr>
      <w:r>
        <w:rPr>
          <w:sz w:val="24"/>
        </w:rPr>
        <w:t>Morán-Martínez, J., Monreal-de Luna, K.D., Betancourt-Martínez, N.D., Carranza-Rosales, P., Contreras-Martínez, J.G., López-Meza M.C. &amp; Rodríguez-Villarreal, O. (2013). Genotoxicity in oral epithelial cells in children caused by nickel in metal crowns. </w:t>
      </w:r>
      <w:r>
        <w:rPr>
          <w:i/>
          <w:sz w:val="24"/>
        </w:rPr>
        <w:t>Genet. Mol. Res.; </w:t>
      </w:r>
      <w:r>
        <w:rPr>
          <w:sz w:val="24"/>
        </w:rPr>
        <w:t>12 (3):</w:t>
      </w:r>
      <w:r>
        <w:rPr>
          <w:spacing w:val="-16"/>
          <w:sz w:val="24"/>
        </w:rPr>
        <w:t> </w:t>
      </w:r>
      <w:r>
        <w:rPr>
          <w:sz w:val="24"/>
        </w:rPr>
        <w:t>3178-3185.</w:t>
      </w:r>
    </w:p>
    <w:p>
      <w:pPr>
        <w:pStyle w:val="ListParagraph"/>
        <w:numPr>
          <w:ilvl w:val="3"/>
          <w:numId w:val="3"/>
        </w:numPr>
        <w:tabs>
          <w:tab w:pos="2139" w:val="left" w:leader="none"/>
        </w:tabs>
        <w:spacing w:line="360" w:lineRule="auto" w:before="5" w:after="0"/>
        <w:ind w:left="2138" w:right="1695" w:hanging="360"/>
        <w:jc w:val="both"/>
        <w:rPr>
          <w:sz w:val="24"/>
        </w:rPr>
      </w:pPr>
      <w:r>
        <w:rPr>
          <w:sz w:val="24"/>
        </w:rPr>
        <w:t>Nersesyan, A. K. &amp; Ilin, A. I. (2007). The Micronucleus Assay in Exfoliated Human Cells: A Mini-Review of Papers from the CIS. </w:t>
      </w:r>
      <w:r>
        <w:rPr>
          <w:i/>
          <w:sz w:val="24"/>
        </w:rPr>
        <w:t>Cytology and Genetics</w:t>
      </w:r>
      <w:r>
        <w:rPr>
          <w:sz w:val="24"/>
        </w:rPr>
        <w:t>; 41 (2):</w:t>
      </w:r>
      <w:r>
        <w:rPr>
          <w:spacing w:val="-7"/>
          <w:sz w:val="24"/>
        </w:rPr>
        <w:t> </w:t>
      </w:r>
      <w:r>
        <w:rPr>
          <w:sz w:val="24"/>
        </w:rPr>
        <w:t>115–124.</w:t>
      </w:r>
    </w:p>
    <w:p>
      <w:pPr>
        <w:pStyle w:val="ListParagraph"/>
        <w:numPr>
          <w:ilvl w:val="3"/>
          <w:numId w:val="3"/>
        </w:numPr>
        <w:tabs>
          <w:tab w:pos="2139" w:val="left" w:leader="none"/>
        </w:tabs>
        <w:spacing w:line="360" w:lineRule="auto" w:before="2" w:after="0"/>
        <w:ind w:left="2138" w:right="1698" w:hanging="360"/>
        <w:jc w:val="both"/>
        <w:rPr>
          <w:sz w:val="24"/>
        </w:rPr>
      </w:pPr>
      <w:r>
        <w:rPr>
          <w:sz w:val="24"/>
        </w:rPr>
        <w:t>Kaur G. H. (2013)</w:t>
      </w:r>
      <w:r>
        <w:rPr>
          <w:i/>
          <w:sz w:val="24"/>
        </w:rPr>
        <w:t>. </w:t>
      </w:r>
      <w:r>
        <w:rPr>
          <w:sz w:val="24"/>
        </w:rPr>
        <w:t>Alteration in buccal mucosal cells due to the effect of tobacco and alcohol by assessing the silver-stained nucleolar  organiser regions and micronuclei. </w:t>
      </w:r>
      <w:r>
        <w:rPr>
          <w:i/>
          <w:sz w:val="24"/>
        </w:rPr>
        <w:t>J. Cytol.; </w:t>
      </w:r>
      <w:r>
        <w:rPr>
          <w:sz w:val="24"/>
        </w:rPr>
        <w:t>30 (3):</w:t>
      </w:r>
      <w:r>
        <w:rPr>
          <w:spacing w:val="-15"/>
          <w:sz w:val="24"/>
        </w:rPr>
        <w:t> </w:t>
      </w:r>
      <w:r>
        <w:rPr>
          <w:sz w:val="24"/>
        </w:rPr>
        <w:t>174-178.</w:t>
      </w:r>
    </w:p>
    <w:p>
      <w:pPr>
        <w:pStyle w:val="ListParagraph"/>
        <w:numPr>
          <w:ilvl w:val="3"/>
          <w:numId w:val="3"/>
        </w:numPr>
        <w:tabs>
          <w:tab w:pos="2139" w:val="left" w:leader="none"/>
        </w:tabs>
        <w:spacing w:line="360" w:lineRule="auto" w:before="5" w:after="0"/>
        <w:ind w:left="2138" w:right="1696" w:hanging="360"/>
        <w:jc w:val="both"/>
        <w:rPr>
          <w:sz w:val="24"/>
        </w:rPr>
      </w:pPr>
      <w:r>
        <w:rPr>
          <w:sz w:val="24"/>
        </w:rPr>
        <w:t>World Medical Asociation (WMA) (2014). Declaración de Helsinki de la AMM - </w:t>
      </w:r>
      <w:r>
        <w:rPr>
          <w:sz w:val="22"/>
        </w:rPr>
        <w:t>Principios </w:t>
      </w:r>
      <w:r>
        <w:rPr>
          <w:sz w:val="24"/>
        </w:rPr>
        <w:t>éticos para las investigaciones médicas en seres humanos. Disponible en:</w:t>
      </w:r>
      <w:r>
        <w:rPr>
          <w:spacing w:val="-22"/>
          <w:sz w:val="24"/>
        </w:rPr>
        <w:t> </w:t>
      </w:r>
      <w:hyperlink r:id="rId318">
        <w:r>
          <w:rPr>
            <w:sz w:val="24"/>
            <w:u w:val="single"/>
          </w:rPr>
          <w:t>http://www.wma.net/es/30publications/10policies/b3/</w:t>
        </w:r>
      </w:hyperlink>
    </w:p>
    <w:p>
      <w:pPr>
        <w:pStyle w:val="ListParagraph"/>
        <w:numPr>
          <w:ilvl w:val="3"/>
          <w:numId w:val="3"/>
        </w:numPr>
        <w:tabs>
          <w:tab w:pos="2139" w:val="left" w:leader="none"/>
        </w:tabs>
        <w:spacing w:line="360" w:lineRule="auto" w:before="2" w:after="0"/>
        <w:ind w:left="2138" w:right="1707" w:hanging="360"/>
        <w:jc w:val="both"/>
        <w:rPr>
          <w:sz w:val="24"/>
        </w:rPr>
      </w:pPr>
      <w:r>
        <w:rPr>
          <w:sz w:val="24"/>
        </w:rPr>
        <w:t>Gordon, R. Y., Bocharova, L. S., Kruman, I. I., Popov, V. I: Kazantsev, A. P., Khutzian, S. S. &amp; Karnaukhov, V. N. (1997). Acridine Orange as an Indicator of the Cytoplasmic Ribosome State. </w:t>
      </w:r>
      <w:r>
        <w:rPr>
          <w:i/>
          <w:sz w:val="24"/>
        </w:rPr>
        <w:t>Cytometry</w:t>
      </w:r>
      <w:r>
        <w:rPr>
          <w:sz w:val="24"/>
        </w:rPr>
        <w:t>; 29:</w:t>
      </w:r>
      <w:r>
        <w:rPr>
          <w:spacing w:val="-16"/>
          <w:sz w:val="24"/>
        </w:rPr>
        <w:t> </w:t>
      </w:r>
      <w:r>
        <w:rPr>
          <w:sz w:val="24"/>
        </w:rPr>
        <w:t>215–221.</w:t>
      </w:r>
    </w:p>
    <w:p>
      <w:pPr>
        <w:pStyle w:val="ListParagraph"/>
        <w:numPr>
          <w:ilvl w:val="3"/>
          <w:numId w:val="3"/>
        </w:numPr>
        <w:tabs>
          <w:tab w:pos="2127" w:val="left" w:leader="none"/>
        </w:tabs>
        <w:spacing w:line="240" w:lineRule="auto" w:before="7" w:after="0"/>
        <w:ind w:left="2126" w:right="0" w:hanging="348"/>
        <w:jc w:val="left"/>
        <w:rPr>
          <w:sz w:val="24"/>
        </w:rPr>
      </w:pPr>
      <w:r>
        <w:rPr>
          <w:sz w:val="24"/>
        </w:rPr>
        <w:t>Piperakis,</w:t>
      </w:r>
      <w:r>
        <w:rPr>
          <w:spacing w:val="22"/>
          <w:sz w:val="24"/>
        </w:rPr>
        <w:t> </w:t>
      </w:r>
      <w:r>
        <w:rPr>
          <w:sz w:val="24"/>
        </w:rPr>
        <w:t>S.</w:t>
      </w:r>
      <w:r>
        <w:rPr>
          <w:spacing w:val="22"/>
          <w:sz w:val="24"/>
        </w:rPr>
        <w:t> </w:t>
      </w:r>
      <w:r>
        <w:rPr>
          <w:sz w:val="24"/>
        </w:rPr>
        <w:t>M.,</w:t>
      </w:r>
      <w:r>
        <w:rPr>
          <w:spacing w:val="25"/>
          <w:sz w:val="24"/>
        </w:rPr>
        <w:t> </w:t>
      </w:r>
      <w:r>
        <w:rPr>
          <w:sz w:val="24"/>
        </w:rPr>
        <w:t>Kontogianni,</w:t>
      </w:r>
      <w:r>
        <w:rPr>
          <w:spacing w:val="22"/>
          <w:sz w:val="24"/>
        </w:rPr>
        <w:t> </w:t>
      </w:r>
      <w:r>
        <w:rPr>
          <w:sz w:val="24"/>
        </w:rPr>
        <w:t>K.,</w:t>
      </w:r>
      <w:r>
        <w:rPr>
          <w:spacing w:val="23"/>
          <w:sz w:val="24"/>
        </w:rPr>
        <w:t> </w:t>
      </w:r>
      <w:r>
        <w:rPr>
          <w:sz w:val="24"/>
        </w:rPr>
        <w:t>Piperakis,</w:t>
      </w:r>
      <w:r>
        <w:rPr>
          <w:spacing w:val="20"/>
          <w:sz w:val="24"/>
        </w:rPr>
        <w:t> </w:t>
      </w:r>
      <w:r>
        <w:rPr>
          <w:sz w:val="24"/>
        </w:rPr>
        <w:t>M.</w:t>
      </w:r>
      <w:r>
        <w:rPr>
          <w:spacing w:val="22"/>
          <w:sz w:val="24"/>
        </w:rPr>
        <w:t> </w:t>
      </w:r>
      <w:r>
        <w:rPr>
          <w:sz w:val="24"/>
        </w:rPr>
        <w:t>M.,</w:t>
      </w:r>
      <w:r>
        <w:rPr>
          <w:spacing w:val="23"/>
          <w:sz w:val="24"/>
        </w:rPr>
        <w:t> </w:t>
      </w:r>
      <w:r>
        <w:rPr>
          <w:sz w:val="24"/>
        </w:rPr>
        <w:t>Marcos,</w:t>
      </w:r>
      <w:r>
        <w:rPr>
          <w:spacing w:val="22"/>
          <w:sz w:val="24"/>
        </w:rPr>
        <w:t> </w:t>
      </w:r>
      <w:r>
        <w:rPr>
          <w:sz w:val="24"/>
        </w:rPr>
        <w:t>R.,</w:t>
      </w:r>
      <w:r>
        <w:rPr>
          <w:spacing w:val="22"/>
          <w:sz w:val="24"/>
        </w:rPr>
        <w:t> </w:t>
      </w:r>
      <w:r>
        <w:rPr>
          <w:sz w:val="24"/>
        </w:rPr>
        <w:t>&amp;</w:t>
      </w:r>
      <w:r>
        <w:rPr>
          <w:spacing w:val="22"/>
          <w:sz w:val="24"/>
        </w:rPr>
        <w:t> </w:t>
      </w:r>
      <w:r>
        <w:rPr>
          <w:sz w:val="24"/>
        </w:rPr>
        <w:t>Tsilimigaki,</w:t>
      </w:r>
    </w:p>
    <w:p>
      <w:pPr>
        <w:spacing w:line="360" w:lineRule="auto" w:before="135"/>
        <w:ind w:left="2138" w:right="1695" w:firstLine="0"/>
        <w:jc w:val="both"/>
        <w:rPr>
          <w:sz w:val="24"/>
        </w:rPr>
      </w:pPr>
      <w:r>
        <w:rPr>
          <w:sz w:val="24"/>
        </w:rPr>
        <w:t>S. (2006). Effects of pesticides on occupationally exposed humans</w:t>
      </w:r>
      <w:r>
        <w:rPr>
          <w:i/>
          <w:sz w:val="24"/>
        </w:rPr>
        <w:t>. </w:t>
      </w:r>
      <w:r>
        <w:rPr>
          <w:i/>
          <w:sz w:val="24"/>
        </w:rPr>
        <w:t>TheScientificWorldJOURNAL</w:t>
      </w:r>
      <w:r>
        <w:rPr>
          <w:sz w:val="24"/>
        </w:rPr>
        <w:t>; 6: 1211-1220.</w:t>
      </w:r>
    </w:p>
    <w:p>
      <w:pPr>
        <w:pStyle w:val="ListParagraph"/>
        <w:numPr>
          <w:ilvl w:val="3"/>
          <w:numId w:val="3"/>
        </w:numPr>
        <w:tabs>
          <w:tab w:pos="2139" w:val="left" w:leader="none"/>
        </w:tabs>
        <w:spacing w:line="360" w:lineRule="auto" w:before="5" w:after="0"/>
        <w:ind w:left="2138" w:right="1708" w:hanging="360"/>
        <w:jc w:val="both"/>
        <w:rPr>
          <w:sz w:val="24"/>
        </w:rPr>
      </w:pPr>
      <w:r>
        <w:rPr>
          <w:sz w:val="24"/>
        </w:rPr>
        <w:t>Vida, P. &amp; Moretto, A. (2007). Pesticide exposure pathways among children of agricultural workers</w:t>
      </w:r>
      <w:r>
        <w:rPr>
          <w:i/>
          <w:sz w:val="24"/>
        </w:rPr>
        <w:t>. Public. Health</w:t>
      </w:r>
      <w:r>
        <w:rPr>
          <w:sz w:val="24"/>
        </w:rPr>
        <w:t>: 15:</w:t>
      </w:r>
      <w:r>
        <w:rPr>
          <w:spacing w:val="-15"/>
          <w:sz w:val="24"/>
        </w:rPr>
        <w:t> </w:t>
      </w:r>
      <w:r>
        <w:rPr>
          <w:sz w:val="24"/>
        </w:rPr>
        <w:t>289–299.</w:t>
      </w:r>
    </w:p>
    <w:p>
      <w:pPr>
        <w:pStyle w:val="ListParagraph"/>
        <w:numPr>
          <w:ilvl w:val="3"/>
          <w:numId w:val="3"/>
        </w:numPr>
        <w:tabs>
          <w:tab w:pos="2139" w:val="left" w:leader="none"/>
        </w:tabs>
        <w:spacing w:line="360" w:lineRule="auto" w:before="5" w:after="0"/>
        <w:ind w:left="2138" w:right="1705" w:hanging="360"/>
        <w:jc w:val="both"/>
        <w:rPr>
          <w:sz w:val="24"/>
        </w:rPr>
      </w:pPr>
      <w:r>
        <w:rPr>
          <w:sz w:val="24"/>
        </w:rPr>
        <w:t>Ding, G. &amp; Tian, Y. (2013).Organophosphate pesticide exposure and child health in China</w:t>
      </w:r>
      <w:r>
        <w:rPr>
          <w:i/>
          <w:sz w:val="24"/>
        </w:rPr>
        <w:t>. Environ. Sci. Pollut. Res.;</w:t>
      </w:r>
      <w:r>
        <w:rPr>
          <w:i/>
          <w:spacing w:val="-15"/>
          <w:sz w:val="24"/>
        </w:rPr>
        <w:t> </w:t>
      </w:r>
      <w:r>
        <w:rPr>
          <w:sz w:val="24"/>
        </w:rPr>
        <w:t>2117-8.</w:t>
      </w:r>
    </w:p>
    <w:p>
      <w:pPr>
        <w:spacing w:after="0" w:line="360" w:lineRule="auto"/>
        <w:jc w:val="both"/>
        <w:rPr>
          <w:sz w:val="24"/>
        </w:rPr>
        <w:sectPr>
          <w:pgSz w:w="12240" w:h="15840"/>
          <w:pgMar w:header="0" w:footer="599" w:top="1500" w:bottom="780" w:left="0" w:right="0"/>
        </w:sectPr>
      </w:pPr>
    </w:p>
    <w:p>
      <w:pPr>
        <w:pStyle w:val="BodyText"/>
        <w:spacing w:before="4"/>
        <w:rPr>
          <w:sz w:val="11"/>
        </w:rPr>
      </w:pPr>
    </w:p>
    <w:p>
      <w:pPr>
        <w:pStyle w:val="ListParagraph"/>
        <w:numPr>
          <w:ilvl w:val="3"/>
          <w:numId w:val="3"/>
        </w:numPr>
        <w:tabs>
          <w:tab w:pos="2139" w:val="left" w:leader="none"/>
        </w:tabs>
        <w:spacing w:line="360" w:lineRule="auto" w:before="69" w:after="0"/>
        <w:ind w:left="2138" w:right="1695" w:hanging="360"/>
        <w:jc w:val="both"/>
        <w:rPr>
          <w:sz w:val="24"/>
        </w:rPr>
      </w:pPr>
      <w:r>
        <w:rPr>
          <w:sz w:val="24"/>
        </w:rPr>
        <w:t>London, L., Beseler, Ch., Bouchard, M. F., &amp; Bellinger, D. (2012). Neurobehavioral and neurodevelopmental effects of pesticide exposures</w:t>
      </w:r>
      <w:r>
        <w:rPr>
          <w:i/>
          <w:sz w:val="24"/>
        </w:rPr>
        <w:t>. </w:t>
      </w:r>
      <w:r>
        <w:rPr>
          <w:i/>
          <w:sz w:val="24"/>
        </w:rPr>
        <w:t>NeuroToxicology</w:t>
      </w:r>
      <w:r>
        <w:rPr>
          <w:sz w:val="24"/>
        </w:rPr>
        <w:t>; 33:</w:t>
      </w:r>
      <w:r>
        <w:rPr>
          <w:spacing w:val="-7"/>
          <w:sz w:val="24"/>
        </w:rPr>
        <w:t> </w:t>
      </w:r>
      <w:r>
        <w:rPr>
          <w:sz w:val="24"/>
        </w:rPr>
        <w:t>887-896.</w:t>
      </w:r>
    </w:p>
    <w:p>
      <w:pPr>
        <w:pStyle w:val="ListParagraph"/>
        <w:numPr>
          <w:ilvl w:val="3"/>
          <w:numId w:val="3"/>
        </w:numPr>
        <w:tabs>
          <w:tab w:pos="2139" w:val="left" w:leader="none"/>
        </w:tabs>
        <w:spacing w:line="360" w:lineRule="auto" w:before="5" w:after="0"/>
        <w:ind w:left="2138" w:right="1695" w:hanging="360"/>
        <w:jc w:val="both"/>
        <w:rPr>
          <w:sz w:val="24"/>
        </w:rPr>
      </w:pPr>
      <w:r>
        <w:rPr>
          <w:sz w:val="24"/>
        </w:rPr>
        <w:t>Cifuentes, E., Trasande, L., Ramirez, M., &amp; Landrigan, P. J. (2010). A qualitative analysis of environmental policy and children’s health in Mexico</w:t>
      </w:r>
      <w:r>
        <w:rPr>
          <w:i/>
          <w:sz w:val="24"/>
        </w:rPr>
        <w:t>. </w:t>
      </w:r>
      <w:r>
        <w:rPr>
          <w:i/>
          <w:sz w:val="24"/>
        </w:rPr>
        <w:t>Environmental Health</w:t>
      </w:r>
      <w:r>
        <w:rPr>
          <w:sz w:val="24"/>
        </w:rPr>
        <w:t>; 9 (14):</w:t>
      </w:r>
      <w:r>
        <w:rPr>
          <w:spacing w:val="-10"/>
          <w:sz w:val="24"/>
        </w:rPr>
        <w:t> </w:t>
      </w:r>
      <w:r>
        <w:rPr>
          <w:sz w:val="24"/>
        </w:rPr>
        <w:t>1-11.</w:t>
      </w:r>
    </w:p>
    <w:p>
      <w:pPr>
        <w:pStyle w:val="ListParagraph"/>
        <w:numPr>
          <w:ilvl w:val="3"/>
          <w:numId w:val="3"/>
        </w:numPr>
        <w:tabs>
          <w:tab w:pos="2139" w:val="left" w:leader="none"/>
        </w:tabs>
        <w:spacing w:line="360" w:lineRule="auto" w:before="7" w:after="0"/>
        <w:ind w:left="2138" w:right="1704" w:hanging="360"/>
        <w:jc w:val="both"/>
        <w:rPr>
          <w:sz w:val="24"/>
        </w:rPr>
      </w:pPr>
      <w:r>
        <w:rPr>
          <w:sz w:val="24"/>
        </w:rPr>
        <w:t>Greenop, K. R., Peters, S., Bailey, H. D., Fritschi, L., Attia, J., Rodeny, J.,…Milne, E. (2013). Exposure to pesticides and the risk of childhood brain tumors</w:t>
      </w:r>
      <w:r>
        <w:rPr>
          <w:i/>
          <w:sz w:val="24"/>
        </w:rPr>
        <w:t>. Cancer Causes Control</w:t>
      </w:r>
      <w:r>
        <w:rPr>
          <w:sz w:val="24"/>
        </w:rPr>
        <w:t>; 24:</w:t>
      </w:r>
      <w:r>
        <w:rPr>
          <w:spacing w:val="-15"/>
          <w:sz w:val="24"/>
        </w:rPr>
        <w:t> </w:t>
      </w:r>
      <w:r>
        <w:rPr>
          <w:sz w:val="24"/>
        </w:rPr>
        <w:t>1269-1278.</w:t>
      </w:r>
    </w:p>
    <w:p>
      <w:pPr>
        <w:pStyle w:val="ListParagraph"/>
        <w:numPr>
          <w:ilvl w:val="3"/>
          <w:numId w:val="3"/>
        </w:numPr>
        <w:tabs>
          <w:tab w:pos="2139" w:val="left" w:leader="none"/>
        </w:tabs>
        <w:spacing w:line="360" w:lineRule="auto" w:before="5" w:after="0"/>
        <w:ind w:left="2138" w:right="1698" w:hanging="360"/>
        <w:jc w:val="both"/>
        <w:rPr>
          <w:sz w:val="24"/>
        </w:rPr>
      </w:pPr>
      <w:r>
        <w:rPr>
          <w:sz w:val="24"/>
        </w:rPr>
        <w:t>Chávez-Corral, D. V., Velazco-Campos, M. R., Sanin, L. H., Levario-Carrillo, M., Aguirre-Rodríguez, A. A., &amp; Martínez, I. E. (2008). Relation Between  Levels of Folic acid, Vitamin B12 and Maternal Homocysteine with Neural  Tube Defects and Cleft Lip</w:t>
      </w:r>
      <w:r>
        <w:rPr>
          <w:i/>
          <w:sz w:val="24"/>
        </w:rPr>
        <w:t>. Int. J. Morphol.; </w:t>
      </w:r>
      <w:r>
        <w:rPr>
          <w:sz w:val="24"/>
        </w:rPr>
        <w:t>26 (4):</w:t>
      </w:r>
      <w:r>
        <w:rPr>
          <w:spacing w:val="-18"/>
          <w:sz w:val="24"/>
        </w:rPr>
        <w:t> </w:t>
      </w:r>
      <w:r>
        <w:rPr>
          <w:sz w:val="24"/>
        </w:rPr>
        <w:t>905-914.</w:t>
      </w:r>
    </w:p>
    <w:p>
      <w:pPr>
        <w:pStyle w:val="ListParagraph"/>
        <w:numPr>
          <w:ilvl w:val="3"/>
          <w:numId w:val="3"/>
        </w:numPr>
        <w:tabs>
          <w:tab w:pos="2139" w:val="left" w:leader="none"/>
        </w:tabs>
        <w:spacing w:line="360" w:lineRule="auto" w:before="5" w:after="0"/>
        <w:ind w:left="2138" w:right="1702" w:hanging="360"/>
        <w:jc w:val="both"/>
        <w:rPr>
          <w:sz w:val="24"/>
        </w:rPr>
      </w:pPr>
      <w:r>
        <w:rPr>
          <w:sz w:val="24"/>
        </w:rPr>
        <w:t>Oliva, M., Rodríguez, J. C., &amp; Silva, G. (2005). Estudio exploratorio de los problemas de salud humana derivados del uso de plaguicidas en Bella Vista, Estado de México, México</w:t>
      </w:r>
      <w:r>
        <w:rPr>
          <w:i/>
          <w:sz w:val="24"/>
        </w:rPr>
        <w:t>. Manejo Integrado de Plagas y Agroecología (Costa </w:t>
      </w:r>
      <w:r>
        <w:rPr>
          <w:i/>
          <w:sz w:val="24"/>
        </w:rPr>
        <w:t>Rica)</w:t>
      </w:r>
      <w:r>
        <w:rPr>
          <w:sz w:val="24"/>
        </w:rPr>
        <w:t>; 76:</w:t>
      </w:r>
      <w:r>
        <w:rPr>
          <w:spacing w:val="-7"/>
          <w:sz w:val="24"/>
        </w:rPr>
        <w:t> </w:t>
      </w:r>
      <w:r>
        <w:rPr>
          <w:sz w:val="24"/>
        </w:rPr>
        <w:t>71-80.</w:t>
      </w:r>
    </w:p>
    <w:p>
      <w:pPr>
        <w:pStyle w:val="ListParagraph"/>
        <w:numPr>
          <w:ilvl w:val="3"/>
          <w:numId w:val="3"/>
        </w:numPr>
        <w:tabs>
          <w:tab w:pos="2139" w:val="left" w:leader="none"/>
        </w:tabs>
        <w:spacing w:line="360" w:lineRule="auto" w:before="5" w:after="0"/>
        <w:ind w:left="2138" w:right="1696" w:hanging="360"/>
        <w:jc w:val="both"/>
        <w:rPr>
          <w:i/>
          <w:sz w:val="24"/>
        </w:rPr>
      </w:pPr>
      <w:r>
        <w:rPr>
          <w:sz w:val="24"/>
        </w:rPr>
        <w:t>González, B. S., López, M. A., Rico, M. A., &amp; Garduño, F. (2008). Oral clefts: a retrospective study of prevalence and predisposal factors in the State of Mexico</w:t>
      </w:r>
      <w:r>
        <w:rPr>
          <w:i/>
          <w:sz w:val="24"/>
        </w:rPr>
        <w:t>. Journal of Oral Sience</w:t>
      </w:r>
      <w:r>
        <w:rPr>
          <w:sz w:val="24"/>
        </w:rPr>
        <w:t>; 2(50):</w:t>
      </w:r>
      <w:r>
        <w:rPr>
          <w:spacing w:val="-11"/>
          <w:sz w:val="24"/>
        </w:rPr>
        <w:t> </w:t>
      </w:r>
      <w:r>
        <w:rPr>
          <w:sz w:val="24"/>
        </w:rPr>
        <w:t>123-129</w:t>
      </w:r>
      <w:r>
        <w:rPr>
          <w:i/>
          <w:sz w:val="24"/>
        </w:rPr>
        <w:t>.</w:t>
      </w:r>
    </w:p>
    <w:p>
      <w:pPr>
        <w:pStyle w:val="ListParagraph"/>
        <w:numPr>
          <w:ilvl w:val="3"/>
          <w:numId w:val="3"/>
        </w:numPr>
        <w:tabs>
          <w:tab w:pos="2139" w:val="left" w:leader="none"/>
        </w:tabs>
        <w:spacing w:line="360" w:lineRule="auto" w:before="5" w:after="0"/>
        <w:ind w:left="2138" w:right="1694" w:hanging="360"/>
        <w:jc w:val="both"/>
        <w:rPr>
          <w:sz w:val="24"/>
        </w:rPr>
      </w:pPr>
      <w:r>
        <w:rPr>
          <w:sz w:val="24"/>
        </w:rPr>
        <w:t>Gajski, G., Geric, M, Orescanin, V., &amp; Garaj-Vrhovac, V. (2013). Cytogenetic status of healthy Children assessed with the alkaline comet assay and the cytokionesis-block micronucleus cytome assay</w:t>
      </w:r>
      <w:r>
        <w:rPr>
          <w:i/>
          <w:sz w:val="24"/>
        </w:rPr>
        <w:t>. Mutation Research; </w:t>
      </w:r>
      <w:r>
        <w:rPr>
          <w:sz w:val="24"/>
        </w:rPr>
        <w:t>750: 55- 62.</w:t>
      </w:r>
    </w:p>
    <w:p>
      <w:pPr>
        <w:pStyle w:val="ListParagraph"/>
        <w:numPr>
          <w:ilvl w:val="3"/>
          <w:numId w:val="3"/>
        </w:numPr>
        <w:tabs>
          <w:tab w:pos="2139" w:val="left" w:leader="none"/>
        </w:tabs>
        <w:spacing w:line="360" w:lineRule="auto" w:before="3" w:after="0"/>
        <w:ind w:left="2138" w:right="1700" w:hanging="360"/>
        <w:jc w:val="both"/>
        <w:rPr>
          <w:sz w:val="24"/>
        </w:rPr>
      </w:pPr>
      <w:r>
        <w:rPr>
          <w:sz w:val="24"/>
        </w:rPr>
        <w:t>Ros-Llor, I., &amp; Lopez-Jornet, P. (2014). Cytogenetic analysis of oral mucosa cells induced by chlorhexidine, essential oils in ethanolic solution and triclosan mouthwashes</w:t>
      </w:r>
      <w:r>
        <w:rPr>
          <w:i/>
          <w:sz w:val="24"/>
        </w:rPr>
        <w:t>. Environmental Research</w:t>
      </w:r>
      <w:r>
        <w:rPr>
          <w:sz w:val="24"/>
        </w:rPr>
        <w:t>; 132:</w:t>
      </w:r>
      <w:r>
        <w:rPr>
          <w:spacing w:val="-15"/>
          <w:sz w:val="24"/>
        </w:rPr>
        <w:t> </w:t>
      </w:r>
      <w:r>
        <w:rPr>
          <w:sz w:val="24"/>
        </w:rPr>
        <w:t>140-145.</w:t>
      </w:r>
    </w:p>
    <w:p>
      <w:pPr>
        <w:pStyle w:val="ListParagraph"/>
        <w:numPr>
          <w:ilvl w:val="3"/>
          <w:numId w:val="3"/>
        </w:numPr>
        <w:tabs>
          <w:tab w:pos="2139" w:val="left" w:leader="none"/>
        </w:tabs>
        <w:spacing w:line="240" w:lineRule="auto" w:before="7" w:after="0"/>
        <w:ind w:left="2138" w:right="0" w:hanging="360"/>
        <w:jc w:val="left"/>
        <w:rPr>
          <w:sz w:val="24"/>
        </w:rPr>
      </w:pPr>
      <w:r>
        <w:rPr>
          <w:sz w:val="24"/>
        </w:rPr>
        <w:t>Lucero, L., Pastor, S., Durbán, R., Gómez, C., Parrón, T., Creus, A., &amp;</w:t>
      </w:r>
      <w:r>
        <w:rPr>
          <w:spacing w:val="-6"/>
          <w:sz w:val="24"/>
        </w:rPr>
        <w:t> </w:t>
      </w:r>
      <w:r>
        <w:rPr>
          <w:sz w:val="24"/>
        </w:rPr>
        <w:t>Marcos,</w:t>
      </w:r>
    </w:p>
    <w:p>
      <w:pPr>
        <w:pStyle w:val="BodyText"/>
        <w:spacing w:line="360" w:lineRule="auto" w:before="137"/>
        <w:ind w:left="2138" w:right="1700"/>
        <w:jc w:val="both"/>
      </w:pPr>
      <w:r>
        <w:rPr/>
        <w:t>R. (2000). Cytogenetic biomonitoring of Spanish greenhouses workers exposed to pesticides: micronuclei analysis in peripheral blood lymphocytes and buccal epitelial cells</w:t>
      </w:r>
      <w:r>
        <w:rPr>
          <w:i/>
        </w:rPr>
        <w:t>. Mutation Research</w:t>
      </w:r>
      <w:r>
        <w:rPr/>
        <w:t>; 464:</w:t>
      </w:r>
      <w:r>
        <w:rPr>
          <w:spacing w:val="-21"/>
        </w:rPr>
        <w:t> </w:t>
      </w:r>
      <w:r>
        <w:rPr/>
        <w:t>255-262.</w:t>
      </w:r>
    </w:p>
    <w:p>
      <w:pPr>
        <w:spacing w:after="0" w:line="360" w:lineRule="auto"/>
        <w:jc w:val="both"/>
        <w:sectPr>
          <w:pgSz w:w="12240" w:h="15840"/>
          <w:pgMar w:header="0" w:footer="599" w:top="1500" w:bottom="780" w:left="0" w:right="0"/>
        </w:sectPr>
      </w:pPr>
    </w:p>
    <w:p>
      <w:pPr>
        <w:pStyle w:val="BodyText"/>
        <w:spacing w:before="4"/>
        <w:rPr>
          <w:sz w:val="11"/>
        </w:rPr>
      </w:pPr>
    </w:p>
    <w:p>
      <w:pPr>
        <w:pStyle w:val="ListParagraph"/>
        <w:numPr>
          <w:ilvl w:val="3"/>
          <w:numId w:val="3"/>
        </w:numPr>
        <w:tabs>
          <w:tab w:pos="2139" w:val="left" w:leader="none"/>
        </w:tabs>
        <w:spacing w:line="360" w:lineRule="auto" w:before="69" w:after="0"/>
        <w:ind w:left="2138" w:right="1698" w:hanging="360"/>
        <w:jc w:val="both"/>
        <w:rPr>
          <w:sz w:val="24"/>
        </w:rPr>
      </w:pPr>
      <w:r>
        <w:rPr>
          <w:sz w:val="24"/>
        </w:rPr>
        <w:t>Pastor, S., Gutiérrez, S., Creus, A., Cebuska-Wasilewska, A., &amp; Marcos, R. (2001). Micronuclei in peripheral blood lymphocytes and buccal epithelial cells of Polish farmers exposed to pesticides. </w:t>
      </w:r>
      <w:r>
        <w:rPr>
          <w:i/>
          <w:sz w:val="24"/>
        </w:rPr>
        <w:t>Mutat. Res.; </w:t>
      </w:r>
      <w:r>
        <w:rPr>
          <w:sz w:val="24"/>
        </w:rPr>
        <w:t>495:</w:t>
      </w:r>
      <w:r>
        <w:rPr>
          <w:spacing w:val="-22"/>
          <w:sz w:val="24"/>
        </w:rPr>
        <w:t> </w:t>
      </w:r>
      <w:r>
        <w:rPr>
          <w:sz w:val="24"/>
        </w:rPr>
        <w:t>147–156.</w:t>
      </w:r>
    </w:p>
    <w:p>
      <w:pPr>
        <w:pStyle w:val="ListParagraph"/>
        <w:numPr>
          <w:ilvl w:val="3"/>
          <w:numId w:val="3"/>
        </w:numPr>
        <w:tabs>
          <w:tab w:pos="2139" w:val="left" w:leader="none"/>
        </w:tabs>
        <w:spacing w:line="360" w:lineRule="auto" w:before="5" w:after="0"/>
        <w:ind w:left="2138" w:right="1695" w:hanging="360"/>
        <w:jc w:val="both"/>
        <w:rPr>
          <w:sz w:val="24"/>
        </w:rPr>
      </w:pPr>
      <w:r>
        <w:rPr>
          <w:sz w:val="24"/>
        </w:rPr>
        <w:t>Rezende, E. F., Mendes-Costa, M. C., Campideli, F. J., &amp; Oliveira, R. A. (2011). Nuclear anomalies in the buccal cells of children under dental treatment</w:t>
      </w:r>
      <w:r>
        <w:rPr>
          <w:i/>
          <w:sz w:val="24"/>
        </w:rPr>
        <w:t>. RSBO</w:t>
      </w:r>
      <w:r>
        <w:rPr>
          <w:sz w:val="24"/>
        </w:rPr>
        <w:t>; 8 (2):</w:t>
      </w:r>
      <w:r>
        <w:rPr>
          <w:spacing w:val="-8"/>
          <w:sz w:val="24"/>
        </w:rPr>
        <w:t> </w:t>
      </w:r>
      <w:r>
        <w:rPr>
          <w:sz w:val="24"/>
        </w:rPr>
        <w:t>182-8.</w:t>
      </w:r>
    </w:p>
    <w:p>
      <w:pPr>
        <w:pStyle w:val="ListParagraph"/>
        <w:numPr>
          <w:ilvl w:val="3"/>
          <w:numId w:val="3"/>
        </w:numPr>
        <w:tabs>
          <w:tab w:pos="2271" w:val="left" w:leader="none"/>
        </w:tabs>
        <w:spacing w:line="360" w:lineRule="auto" w:before="7" w:after="0"/>
        <w:ind w:left="2138" w:right="1694" w:hanging="360"/>
        <w:jc w:val="both"/>
        <w:rPr>
          <w:sz w:val="24"/>
        </w:rPr>
      </w:pPr>
      <w:r>
        <w:rPr>
          <w:sz w:val="24"/>
        </w:rPr>
        <w:t>Cervantes-Ríos, E., Ortiz-Muñiz, R., Martínez-Hernández, A. L., Cabrera- Rojo, L., Graniel-Guerrero, J. &amp; Rodríguez-Cruz, L. (2012). Malnutrition and infection influence the peripheral blood reticulocyte micronuclei frequency in children. </w:t>
      </w:r>
      <w:r>
        <w:rPr>
          <w:i/>
          <w:sz w:val="24"/>
        </w:rPr>
        <w:t>Mutation Research; </w:t>
      </w:r>
      <w:r>
        <w:rPr>
          <w:sz w:val="24"/>
        </w:rPr>
        <w:t>731: 68–</w:t>
      </w:r>
      <w:r>
        <w:rPr>
          <w:spacing w:val="-13"/>
          <w:sz w:val="24"/>
        </w:rPr>
        <w:t> </w:t>
      </w:r>
      <w:r>
        <w:rPr>
          <w:sz w:val="24"/>
        </w:rPr>
        <w:t>74.</w:t>
      </w:r>
    </w:p>
    <w:p>
      <w:pPr>
        <w:pStyle w:val="ListParagraph"/>
        <w:numPr>
          <w:ilvl w:val="3"/>
          <w:numId w:val="3"/>
        </w:numPr>
        <w:tabs>
          <w:tab w:pos="2271" w:val="left" w:leader="none"/>
        </w:tabs>
        <w:spacing w:line="360" w:lineRule="auto" w:before="7" w:after="0"/>
        <w:ind w:left="2138" w:right="1695" w:hanging="360"/>
        <w:jc w:val="both"/>
        <w:rPr>
          <w:sz w:val="24"/>
        </w:rPr>
      </w:pPr>
      <w:r>
        <w:rPr>
          <w:sz w:val="24"/>
        </w:rPr>
        <w:t>Xin, F., Jian, L., Liu, X., Geng, Ch., Wang, W., Zhong, L.,… Chen, M. (2014). </w:t>
      </w:r>
      <w:hyperlink r:id="rId292">
        <w:r>
          <w:rPr>
            <w:sz w:val="24"/>
          </w:rPr>
          <w:t>Bisphenol A induces oxidative stress-associated DNA damage in INS-1 cells</w:t>
        </w:r>
      </w:hyperlink>
      <w:r>
        <w:rPr>
          <w:sz w:val="24"/>
        </w:rPr>
        <w:t>. </w:t>
      </w:r>
      <w:r>
        <w:rPr>
          <w:i/>
          <w:sz w:val="24"/>
        </w:rPr>
        <w:t>Genetic Toxicology and Environmental Mutagenesis</w:t>
      </w:r>
      <w:r>
        <w:rPr>
          <w:sz w:val="24"/>
        </w:rPr>
        <w:t>; 769:</w:t>
      </w:r>
      <w:r>
        <w:rPr>
          <w:spacing w:val="-21"/>
          <w:sz w:val="24"/>
        </w:rPr>
        <w:t> </w:t>
      </w:r>
      <w:r>
        <w:rPr>
          <w:sz w:val="24"/>
        </w:rPr>
        <w:t>29-33.</w:t>
      </w:r>
    </w:p>
    <w:p>
      <w:pPr>
        <w:pStyle w:val="ListParagraph"/>
        <w:numPr>
          <w:ilvl w:val="3"/>
          <w:numId w:val="3"/>
        </w:numPr>
        <w:tabs>
          <w:tab w:pos="2271" w:val="left" w:leader="none"/>
        </w:tabs>
        <w:spacing w:line="240" w:lineRule="auto" w:before="5" w:after="0"/>
        <w:ind w:left="2270" w:right="0" w:hanging="492"/>
        <w:jc w:val="left"/>
        <w:rPr>
          <w:sz w:val="24"/>
        </w:rPr>
      </w:pPr>
      <w:r>
        <w:rPr>
          <w:sz w:val="24"/>
        </w:rPr>
        <w:t>Tiwari, D., Kamble, J., Chilgunde, S., Patil, P., Maru, G., Kawle,</w:t>
      </w:r>
      <w:r>
        <w:rPr>
          <w:spacing w:val="5"/>
          <w:sz w:val="24"/>
        </w:rPr>
        <w:t> </w:t>
      </w:r>
      <w:r>
        <w:rPr>
          <w:sz w:val="24"/>
        </w:rPr>
        <w:t>D.,…Vanage,</w:t>
      </w:r>
    </w:p>
    <w:p>
      <w:pPr>
        <w:spacing w:line="357" w:lineRule="auto" w:before="139"/>
        <w:ind w:left="2138" w:right="1698" w:firstLine="0"/>
        <w:jc w:val="both"/>
        <w:rPr>
          <w:sz w:val="24"/>
        </w:rPr>
      </w:pPr>
      <w:r>
        <w:rPr>
          <w:sz w:val="24"/>
        </w:rPr>
        <w:t>G. (2012). </w:t>
      </w:r>
      <w:hyperlink r:id="rId289">
        <w:r>
          <w:rPr>
            <w:sz w:val="24"/>
          </w:rPr>
          <w:t>Clastogenic and mutagenic effects of bisphenol A: An endocrine</w:t>
        </w:r>
      </w:hyperlink>
      <w:r>
        <w:rPr>
          <w:sz w:val="24"/>
        </w:rPr>
        <w:t> </w:t>
      </w:r>
      <w:hyperlink r:id="rId289">
        <w:r>
          <w:rPr>
            <w:sz w:val="24"/>
          </w:rPr>
          <w:t>disruptor</w:t>
        </w:r>
      </w:hyperlink>
      <w:r>
        <w:rPr>
          <w:sz w:val="24"/>
        </w:rPr>
        <w:t>. </w:t>
      </w:r>
      <w:r>
        <w:rPr>
          <w:i/>
          <w:sz w:val="24"/>
        </w:rPr>
        <w:t>Genetic Toxicology and Environmental Mutagenesis</w:t>
      </w:r>
      <w:r>
        <w:rPr>
          <w:sz w:val="24"/>
        </w:rPr>
        <w:t>; 743: 83-90.</w:t>
      </w:r>
    </w:p>
    <w:p>
      <w:pPr>
        <w:pStyle w:val="ListParagraph"/>
        <w:numPr>
          <w:ilvl w:val="3"/>
          <w:numId w:val="3"/>
        </w:numPr>
        <w:tabs>
          <w:tab w:pos="2271" w:val="left" w:leader="none"/>
        </w:tabs>
        <w:spacing w:line="357" w:lineRule="auto" w:before="10" w:after="0"/>
        <w:ind w:left="2138" w:right="1696" w:hanging="360"/>
        <w:jc w:val="both"/>
        <w:rPr>
          <w:sz w:val="24"/>
        </w:rPr>
      </w:pPr>
      <w:r>
        <w:rPr>
          <w:sz w:val="24"/>
        </w:rPr>
        <w:t>Jindal, S., Chauhan, I., &amp; Kaur, H. G. (2013). Alterarion in buccal mucosal cells due to the effect of tobacco and alcohol by assessing the silver-stained nucleolar organizer regions and micronuclei. </w:t>
      </w:r>
      <w:r>
        <w:rPr>
          <w:i/>
          <w:sz w:val="24"/>
        </w:rPr>
        <w:t>J. Cytol.; </w:t>
      </w:r>
      <w:r>
        <w:rPr>
          <w:sz w:val="24"/>
        </w:rPr>
        <w:t>30 (3):</w:t>
      </w:r>
      <w:r>
        <w:rPr>
          <w:spacing w:val="-22"/>
          <w:sz w:val="24"/>
        </w:rPr>
        <w:t> </w:t>
      </w:r>
      <w:r>
        <w:rPr>
          <w:sz w:val="24"/>
        </w:rPr>
        <w:t>174-178.</w:t>
      </w:r>
    </w:p>
    <w:p>
      <w:pPr>
        <w:pStyle w:val="ListParagraph"/>
        <w:numPr>
          <w:ilvl w:val="3"/>
          <w:numId w:val="3"/>
        </w:numPr>
        <w:tabs>
          <w:tab w:pos="2271" w:val="left" w:leader="none"/>
        </w:tabs>
        <w:spacing w:line="240" w:lineRule="auto" w:before="10" w:after="0"/>
        <w:ind w:left="2270" w:right="0" w:hanging="492"/>
        <w:jc w:val="left"/>
        <w:rPr>
          <w:sz w:val="24"/>
        </w:rPr>
      </w:pPr>
      <w:r>
        <w:rPr>
          <w:sz w:val="24"/>
        </w:rPr>
        <w:t>Weichenthal,</w:t>
      </w:r>
      <w:r>
        <w:rPr>
          <w:spacing w:val="29"/>
          <w:sz w:val="24"/>
        </w:rPr>
        <w:t> </w:t>
      </w:r>
      <w:r>
        <w:rPr>
          <w:sz w:val="24"/>
        </w:rPr>
        <w:t>M.,</w:t>
      </w:r>
      <w:r>
        <w:rPr>
          <w:spacing w:val="30"/>
          <w:sz w:val="24"/>
        </w:rPr>
        <w:t> </w:t>
      </w:r>
      <w:r>
        <w:rPr>
          <w:sz w:val="24"/>
        </w:rPr>
        <w:t>Roser,</w:t>
      </w:r>
      <w:r>
        <w:rPr>
          <w:spacing w:val="29"/>
          <w:sz w:val="24"/>
        </w:rPr>
        <w:t> </w:t>
      </w:r>
      <w:r>
        <w:rPr>
          <w:sz w:val="24"/>
        </w:rPr>
        <w:t>M.,</w:t>
      </w:r>
      <w:r>
        <w:rPr>
          <w:spacing w:val="33"/>
          <w:sz w:val="24"/>
        </w:rPr>
        <w:t> </w:t>
      </w:r>
      <w:r>
        <w:rPr>
          <w:sz w:val="24"/>
        </w:rPr>
        <w:t>Ehlert,</w:t>
      </w:r>
      <w:r>
        <w:rPr>
          <w:spacing w:val="27"/>
          <w:sz w:val="24"/>
        </w:rPr>
        <w:t> </w:t>
      </w:r>
      <w:r>
        <w:rPr>
          <w:sz w:val="24"/>
        </w:rPr>
        <w:t>U.,</w:t>
      </w:r>
      <w:r>
        <w:rPr>
          <w:spacing w:val="29"/>
          <w:sz w:val="24"/>
        </w:rPr>
        <w:t> </w:t>
      </w:r>
      <w:r>
        <w:rPr>
          <w:sz w:val="24"/>
        </w:rPr>
        <w:t>Frenzer,</w:t>
      </w:r>
      <w:r>
        <w:rPr>
          <w:spacing w:val="29"/>
          <w:sz w:val="24"/>
        </w:rPr>
        <w:t> </w:t>
      </w:r>
      <w:r>
        <w:rPr>
          <w:sz w:val="24"/>
        </w:rPr>
        <w:t>S.,</w:t>
      </w:r>
      <w:r>
        <w:rPr>
          <w:spacing w:val="30"/>
          <w:sz w:val="24"/>
        </w:rPr>
        <w:t> </w:t>
      </w:r>
      <w:r>
        <w:rPr>
          <w:sz w:val="24"/>
        </w:rPr>
        <w:t>Breitbart,</w:t>
      </w:r>
      <w:r>
        <w:rPr>
          <w:spacing w:val="29"/>
          <w:sz w:val="24"/>
        </w:rPr>
        <w:t> </w:t>
      </w:r>
      <w:r>
        <w:rPr>
          <w:sz w:val="24"/>
        </w:rPr>
        <w:t>E.</w:t>
      </w:r>
      <w:r>
        <w:rPr>
          <w:spacing w:val="27"/>
          <w:sz w:val="24"/>
        </w:rPr>
        <w:t> </w:t>
      </w:r>
      <w:r>
        <w:rPr>
          <w:sz w:val="24"/>
        </w:rPr>
        <w:t>&amp;</w:t>
      </w:r>
      <w:r>
        <w:rPr>
          <w:spacing w:val="29"/>
          <w:sz w:val="24"/>
        </w:rPr>
        <w:t> </w:t>
      </w:r>
      <w:r>
        <w:rPr>
          <w:sz w:val="24"/>
        </w:rPr>
        <w:t>Riidiger,</w:t>
      </w:r>
    </w:p>
    <w:p>
      <w:pPr>
        <w:pStyle w:val="BodyText"/>
        <w:spacing w:line="360" w:lineRule="auto" w:before="137"/>
        <w:ind w:left="2138" w:right="1703"/>
        <w:jc w:val="both"/>
      </w:pPr>
      <w:r>
        <w:rPr/>
        <w:t>H.W. (1989). Increased numbers of spontaneous micronuclei in blood lymphocytes and cultures fibroblasts of individuals with familial cutaneous malignant melanoma. </w:t>
      </w:r>
      <w:r>
        <w:rPr>
          <w:i/>
        </w:rPr>
        <w:t>J. Cancer Res. Clin. Oncol.</w:t>
      </w:r>
      <w:r>
        <w:rPr/>
        <w:t>;  115: 26z1~268.</w:t>
      </w:r>
    </w:p>
    <w:p>
      <w:pPr>
        <w:pStyle w:val="ListParagraph"/>
        <w:numPr>
          <w:ilvl w:val="3"/>
          <w:numId w:val="3"/>
        </w:numPr>
        <w:tabs>
          <w:tab w:pos="2271" w:val="left" w:leader="none"/>
        </w:tabs>
        <w:spacing w:line="240" w:lineRule="auto" w:before="7" w:after="0"/>
        <w:ind w:left="2270" w:right="0" w:hanging="492"/>
        <w:jc w:val="left"/>
        <w:rPr>
          <w:sz w:val="24"/>
        </w:rPr>
      </w:pPr>
      <w:r>
        <w:rPr>
          <w:sz w:val="24"/>
        </w:rPr>
        <w:t>Bastos-Aires, D., Azevedo, A., Pereira, M. L., Pérez-Mongiovi, , D. &amp;</w:t>
      </w:r>
      <w:r>
        <w:rPr>
          <w:spacing w:val="-17"/>
          <w:sz w:val="24"/>
        </w:rPr>
        <w:t> </w:t>
      </w:r>
      <w:r>
        <w:rPr>
          <w:sz w:val="24"/>
        </w:rPr>
        <w:t>Teixeira,</w:t>
      </w:r>
    </w:p>
    <w:p>
      <w:pPr>
        <w:pStyle w:val="BodyText"/>
        <w:spacing w:line="360" w:lineRule="auto" w:before="137"/>
        <w:ind w:left="2138" w:right="1704"/>
        <w:jc w:val="both"/>
      </w:pPr>
      <w:r>
        <w:rPr/>
        <w:t>A. (2013). Preliminary study of micronuclei levels in oral exfoliated cells from patients with periodontitis. </w:t>
      </w:r>
      <w:r>
        <w:rPr>
          <w:i/>
        </w:rPr>
        <w:t>Journal of Dental Sciences</w:t>
      </w:r>
      <w:r>
        <w:rPr/>
        <w:t>; 8: 200-204.</w:t>
      </w:r>
    </w:p>
    <w:p>
      <w:pPr>
        <w:pStyle w:val="ListParagraph"/>
        <w:numPr>
          <w:ilvl w:val="3"/>
          <w:numId w:val="3"/>
        </w:numPr>
        <w:tabs>
          <w:tab w:pos="2271" w:val="left" w:leader="none"/>
        </w:tabs>
        <w:spacing w:line="360" w:lineRule="auto" w:before="5" w:after="0"/>
        <w:ind w:left="2138" w:right="1696" w:hanging="360"/>
        <w:jc w:val="both"/>
        <w:rPr>
          <w:sz w:val="24"/>
        </w:rPr>
      </w:pPr>
      <w:r>
        <w:rPr>
          <w:sz w:val="24"/>
        </w:rPr>
        <w:t>Ogura, R. Ikeda, N. Yuki, K. Morita, O. Saigo, K. Blackstock, C. Nishiyama, N. Kasamatsu, T. (2008). Genotoxicity studies on green tea catechin. </w:t>
      </w:r>
      <w:r>
        <w:rPr>
          <w:i/>
          <w:sz w:val="24"/>
        </w:rPr>
        <w:t>Food and </w:t>
      </w:r>
      <w:r>
        <w:rPr>
          <w:i/>
          <w:sz w:val="24"/>
        </w:rPr>
        <w:t>Chemical Toxicology</w:t>
      </w:r>
      <w:r>
        <w:rPr>
          <w:sz w:val="24"/>
        </w:rPr>
        <w:t>; 46:</w:t>
      </w:r>
      <w:r>
        <w:rPr>
          <w:spacing w:val="-12"/>
          <w:sz w:val="24"/>
        </w:rPr>
        <w:t> </w:t>
      </w:r>
      <w:r>
        <w:rPr>
          <w:sz w:val="24"/>
        </w:rPr>
        <w:t>2190–2200.</w:t>
      </w:r>
    </w:p>
    <w:p>
      <w:pPr>
        <w:spacing w:after="0" w:line="360" w:lineRule="auto"/>
        <w:jc w:val="both"/>
        <w:rPr>
          <w:sz w:val="24"/>
        </w:rPr>
        <w:sectPr>
          <w:pgSz w:w="12240" w:h="15840"/>
          <w:pgMar w:header="0" w:footer="599" w:top="1500" w:bottom="780" w:left="0" w:right="0"/>
        </w:sectPr>
      </w:pPr>
    </w:p>
    <w:p>
      <w:pPr>
        <w:pStyle w:val="BodyText"/>
        <w:spacing w:before="4"/>
        <w:rPr>
          <w:sz w:val="11"/>
        </w:rPr>
      </w:pPr>
    </w:p>
    <w:p>
      <w:pPr>
        <w:pStyle w:val="ListParagraph"/>
        <w:numPr>
          <w:ilvl w:val="3"/>
          <w:numId w:val="3"/>
        </w:numPr>
        <w:tabs>
          <w:tab w:pos="2271" w:val="left" w:leader="none"/>
        </w:tabs>
        <w:spacing w:line="360" w:lineRule="auto" w:before="69" w:after="0"/>
        <w:ind w:left="2138" w:right="1698" w:hanging="360"/>
        <w:jc w:val="both"/>
        <w:rPr>
          <w:sz w:val="24"/>
        </w:rPr>
      </w:pPr>
      <w:r>
        <w:rPr>
          <w:sz w:val="24"/>
        </w:rPr>
        <w:t>Fenech, M., &amp; Bonassi, S. (2011). The effect of age, gender, diet and lifestyle on DNA damage measured using micronucleus frequency in human peripheral blood lymphocytes</w:t>
      </w:r>
      <w:r>
        <w:rPr>
          <w:i/>
          <w:sz w:val="24"/>
        </w:rPr>
        <w:t>. Mutagenesis; </w:t>
      </w:r>
      <w:r>
        <w:rPr>
          <w:sz w:val="24"/>
        </w:rPr>
        <w:t>26:</w:t>
      </w:r>
      <w:r>
        <w:rPr>
          <w:spacing w:val="-11"/>
          <w:sz w:val="24"/>
        </w:rPr>
        <w:t> </w:t>
      </w:r>
      <w:r>
        <w:rPr>
          <w:sz w:val="24"/>
        </w:rPr>
        <w:t>43-49.</w:t>
      </w:r>
    </w:p>
    <w:p>
      <w:pPr>
        <w:spacing w:after="0" w:line="360" w:lineRule="auto"/>
        <w:jc w:val="both"/>
        <w:rPr>
          <w:sz w:val="24"/>
        </w:rPr>
        <w:sectPr>
          <w:pgSz w:w="12240" w:h="15840"/>
          <w:pgMar w:header="0" w:footer="599" w:top="1500" w:bottom="780" w:left="0" w:right="0"/>
        </w:sectPr>
      </w:pPr>
    </w:p>
    <w:p>
      <w:pPr>
        <w:pStyle w:val="BodyText"/>
        <w:spacing w:before="4"/>
        <w:rPr>
          <w:rFonts w:ascii="Times New Roman"/>
          <w:sz w:val="17"/>
        </w:rPr>
      </w:pPr>
      <w:r>
        <w:rPr/>
        <w:pict>
          <v:group style="position:absolute;margin-left:1.56pt;margin-top:160.919998pt;width:610.450pt;height:372.75pt;mso-position-horizontal-relative:page;mso-position-vertical-relative:page;z-index:3328" coordorigin="31,3218" coordsize="12209,7455">
            <v:shape style="position:absolute;left:31;top:3218;width:12209;height:7454" type="#_x0000_t75" stroked="false">
              <v:imagedata r:id="rId320" o:title=""/>
            </v:shape>
            <v:shape style="position:absolute;left:8416;top:4366;width:3382;height:660" type="#_x0000_t202" filled="false" stroked="false">
              <v:textbox inset="0,0,0,0">
                <w:txbxContent>
                  <w:p>
                    <w:pPr>
                      <w:spacing w:line="660" w:lineRule="exact" w:before="0"/>
                      <w:ind w:left="0" w:right="0" w:firstLine="0"/>
                      <w:jc w:val="left"/>
                      <w:rPr>
                        <w:sz w:val="66"/>
                      </w:rPr>
                    </w:pPr>
                    <w:r>
                      <w:rPr>
                        <w:color w:val="0EA09E"/>
                        <w:w w:val="89"/>
                        <w:sz w:val="66"/>
                        <w:shd w:fill="FFFFFF" w:color="auto" w:val="clear"/>
                      </w:rPr>
                      <w:t> </w:t>
                    </w:r>
                    <w:r>
                      <w:rPr>
                        <w:color w:val="0EA09E"/>
                        <w:sz w:val="66"/>
                        <w:shd w:fill="FFFFFF" w:color="auto" w:val="clear"/>
                      </w:rPr>
                      <w:t> </w:t>
                    </w:r>
                    <w:r>
                      <w:rPr>
                        <w:color w:val="0EA09E"/>
                        <w:w w:val="105"/>
                        <w:sz w:val="66"/>
                        <w:shd w:fill="FFFFFF" w:color="auto" w:val="clear"/>
                      </w:rPr>
                      <w:t>ANEXOS</w:t>
                    </w:r>
                  </w:p>
                </w:txbxContent>
              </v:textbox>
              <w10:wrap type="none"/>
            </v:shape>
            <w10:wrap type="none"/>
          </v:group>
        </w:pict>
      </w:r>
    </w:p>
    <w:p>
      <w:pPr>
        <w:spacing w:after="0"/>
        <w:rPr>
          <w:rFonts w:ascii="Times New Roman"/>
          <w:sz w:val="17"/>
        </w:rPr>
        <w:sectPr>
          <w:footerReference w:type="default" r:id="rId319"/>
          <w:pgSz w:w="12240" w:h="15840"/>
          <w:pgMar w:footer="0" w:header="0" w:top="1500" w:bottom="280" w:left="0" w:right="0"/>
        </w:sectPr>
      </w:pPr>
    </w:p>
    <w:p>
      <w:pPr>
        <w:pStyle w:val="BodyText"/>
        <w:spacing w:before="4"/>
        <w:rPr>
          <w:rFonts w:ascii="Times New Roman"/>
          <w:sz w:val="11"/>
        </w:rPr>
      </w:pPr>
      <w:r>
        <w:rPr/>
        <w:pict>
          <v:group style="position:absolute;margin-left:141.729996pt;margin-top:425.940033pt;width:20.45pt;height:14.2pt;mso-position-horizontal-relative:page;mso-position-vertical-relative:page;z-index:-337552" coordorigin="2835,8519" coordsize="409,284">
            <v:line style="position:absolute" from="2844,8529" to="3233,8529" stroked="true" strokeweight=".47998pt" strokecolor="#000000"/>
            <v:line style="position:absolute" from="2840,8524" to="2840,8797" stroked="true" strokeweight=".48pt" strokecolor="#000000"/>
            <v:line style="position:absolute" from="3238,8524" to="3238,8797" stroked="true" strokeweight=".48pt" strokecolor="#000000"/>
            <v:line style="position:absolute" from="2844,8793" to="3233,8793" stroked="true" strokeweight=".48001pt" strokecolor="#000000"/>
            <w10:wrap type="none"/>
          </v:group>
        </w:pict>
      </w:r>
      <w:r>
        <w:rPr/>
        <w:pict>
          <v:group style="position:absolute;margin-left:217.960007pt;margin-top:425.940033pt;width:23.55pt;height:14.2pt;mso-position-horizontal-relative:page;mso-position-vertical-relative:page;z-index:-337528" coordorigin="4359,8519" coordsize="471,284">
            <v:line style="position:absolute" from="4369,8529" to="4820,8529" stroked="true" strokeweight=".47998pt" strokecolor="#000000"/>
            <v:line style="position:absolute" from="4364,8524" to="4364,8797" stroked="true" strokeweight=".48pt" strokecolor="#000000"/>
            <v:line style="position:absolute" from="4825,8524" to="4825,8797" stroked="true" strokeweight=".48001pt" strokecolor="#000000"/>
            <v:line style="position:absolute" from="4369,8793" to="4820,8793" stroked="true" strokeweight=".48001pt" strokecolor="#000000"/>
            <w10:wrap type="none"/>
          </v:group>
        </w:pict>
      </w:r>
      <w:r>
        <w:rPr/>
        <w:pict>
          <v:group style="position:absolute;margin-left:281.799988pt;margin-top:425.940033pt;width:23.55pt;height:14.2pt;mso-position-horizontal-relative:page;mso-position-vertical-relative:page;z-index:-337504" coordorigin="5636,8519" coordsize="471,284">
            <v:line style="position:absolute" from="5646,8529" to="6097,8529" stroked="true" strokeweight=".47998pt" strokecolor="#000000"/>
            <v:line style="position:absolute" from="5641,8524" to="5641,8797" stroked="true" strokeweight=".47998pt" strokecolor="#000000"/>
            <v:line style="position:absolute" from="6102,8524" to="6102,8797" stroked="true" strokeweight=".48001pt" strokecolor="#000000"/>
            <v:line style="position:absolute" from="5646,8793" to="6097,8793" stroked="true" strokeweight=".48001pt" strokecolor="#000000"/>
            <w10:wrap type="none"/>
          </v:group>
        </w:pict>
      </w:r>
      <w:r>
        <w:rPr/>
        <w:pict>
          <v:group style="position:absolute;margin-left:171.970001pt;margin-top:515.339966pt;width:30.8pt;height:14.1pt;mso-position-horizontal-relative:page;mso-position-vertical-relative:page;z-index:-337480" coordorigin="3439,10307" coordsize="616,282">
            <v:line style="position:absolute" from="3449,10317" to="4045,10317" stroked="true" strokeweight=".48004pt" strokecolor="#000000"/>
            <v:line style="position:absolute" from="3444,10312" to="3444,10583" stroked="true" strokeweight=".48pt" strokecolor="#000000"/>
            <v:line style="position:absolute" from="4050,10312" to="4050,10583" stroked="true" strokeweight=".48pt" strokecolor="#000000"/>
            <v:line style="position:absolute" from="3449,10578" to="4045,10578" stroked="true" strokeweight=".47998pt" strokecolor="#000000"/>
            <w10:wrap type="none"/>
          </v:group>
        </w:pict>
      </w:r>
      <w:r>
        <w:rPr/>
        <w:pict>
          <v:group style="position:absolute;margin-left:287.799988pt;margin-top:515.339966pt;width:30.9pt;height:14.1pt;mso-position-horizontal-relative:page;mso-position-vertical-relative:page;z-index:-337456" coordorigin="5756,10307" coordsize="618,282">
            <v:line style="position:absolute" from="5766,10317" to="6363,10317" stroked="true" strokeweight=".48004pt" strokecolor="#000000"/>
            <v:line style="position:absolute" from="5761,10312" to="5761,10583" stroked="true" strokeweight=".47998pt" strokecolor="#000000"/>
            <v:line style="position:absolute" from="6368,10312" to="6368,10583" stroked="true" strokeweight=".48001pt" strokecolor="#000000"/>
            <v:line style="position:absolute" from="5766,10578" to="6363,10578" stroked="true" strokeweight=".47998pt" strokecolor="#000000"/>
            <w10:wrap type="none"/>
          </v:group>
        </w:pict>
      </w:r>
      <w:r>
        <w:rPr/>
        <w:pict>
          <v:group style="position:absolute;margin-left:320.579987pt;margin-top:541.619995pt;width:27.9pt;height:14.1pt;mso-position-horizontal-relative:page;mso-position-vertical-relative:page;z-index:-337432" coordorigin="6412,10832" coordsize="558,282">
            <v:line style="position:absolute" from="6421,10842" to="6959,10842" stroked="true" strokeweight=".47998pt" strokecolor="#000000"/>
            <v:line style="position:absolute" from="6417,10837" to="6417,11109" stroked="true" strokeweight=".47998pt" strokecolor="#000000"/>
            <v:line style="position:absolute" from="6964,10837" to="6964,11109" stroked="true" strokeweight=".48001pt" strokecolor="#000000"/>
            <v:line style="position:absolute" from="6421,11104" to="6959,11104" stroked="true" strokeweight=".47998pt" strokecolor="#000000"/>
            <w10:wrap type="none"/>
          </v:group>
        </w:pict>
      </w:r>
    </w:p>
    <w:p>
      <w:pPr>
        <w:pStyle w:val="Heading4"/>
        <w:numPr>
          <w:ilvl w:val="2"/>
          <w:numId w:val="3"/>
        </w:numPr>
        <w:tabs>
          <w:tab w:pos="2371" w:val="left" w:leader="none"/>
        </w:tabs>
        <w:spacing w:line="535" w:lineRule="auto" w:before="69" w:after="0"/>
        <w:ind w:left="1418" w:right="8286" w:firstLine="360"/>
        <w:jc w:val="left"/>
      </w:pPr>
      <w:r>
        <w:rPr/>
        <w:t>ANEXOS Anexo 1.</w:t>
      </w:r>
      <w:r>
        <w:rPr>
          <w:spacing w:val="-9"/>
        </w:rPr>
        <w:t> </w:t>
      </w:r>
      <w:r>
        <w:rPr/>
        <w:t>Cuestionario</w:t>
      </w:r>
    </w:p>
    <w:p>
      <w:pPr>
        <w:spacing w:before="5"/>
        <w:ind w:left="0" w:right="3083" w:firstLine="0"/>
        <w:jc w:val="right"/>
        <w:rPr>
          <w:sz w:val="22"/>
        </w:rPr>
      </w:pPr>
      <w:r>
        <w:rPr/>
        <w:pict>
          <v:group style="position:absolute;margin-left:466.225006pt;margin-top:-2.577124pt;width:61.75pt;height:19.75pt;mso-position-horizontal-relative:page;mso-position-vertical-relative:paragraph;z-index:3544" coordorigin="9325,-52" coordsize="1235,395">
            <v:rect style="position:absolute;left:9374;top:-2;width:1185;height:345" filled="true" fillcolor="#000000" stroked="false">
              <v:fill opacity="26214f" type="solid"/>
            </v:rect>
            <v:rect style="position:absolute;left:9332;top:-44;width:1185;height:345" filled="true" fillcolor="#ffffff" stroked="false">
              <v:fill type="solid"/>
            </v:rect>
            <v:rect style="position:absolute;left:9332;top:-44;width:1185;height:345" filled="false" stroked="true" strokeweight=".75pt" strokecolor="#000000"/>
            <w10:wrap type="none"/>
          </v:group>
        </w:pict>
      </w:r>
      <w:r>
        <w:rPr>
          <w:sz w:val="22"/>
        </w:rPr>
        <w:t>Folio:</w:t>
      </w:r>
    </w:p>
    <w:p>
      <w:pPr>
        <w:pStyle w:val="BodyText"/>
        <w:rPr>
          <w:sz w:val="20"/>
        </w:rPr>
      </w:pPr>
    </w:p>
    <w:p>
      <w:pPr>
        <w:pStyle w:val="BodyText"/>
        <w:spacing w:before="4"/>
        <w:rPr>
          <w:sz w:val="19"/>
        </w:rPr>
      </w:pPr>
    </w:p>
    <w:p>
      <w:pPr>
        <w:spacing w:before="0"/>
        <w:ind w:left="1606" w:right="1889" w:firstLine="0"/>
        <w:jc w:val="center"/>
        <w:rPr>
          <w:b/>
          <w:sz w:val="22"/>
        </w:rPr>
      </w:pPr>
      <w:r>
        <w:rPr>
          <w:b/>
          <w:sz w:val="22"/>
        </w:rPr>
        <w:t>CUESTIONARIO</w:t>
      </w:r>
    </w:p>
    <w:p>
      <w:pPr>
        <w:pStyle w:val="BodyText"/>
        <w:spacing w:before="5"/>
        <w:rPr>
          <w:b/>
          <w:sz w:val="17"/>
        </w:rPr>
      </w:pPr>
    </w:p>
    <w:p>
      <w:pPr>
        <w:spacing w:before="0"/>
        <w:ind w:left="1606" w:right="1888" w:firstLine="0"/>
        <w:jc w:val="center"/>
        <w:rPr>
          <w:sz w:val="22"/>
        </w:rPr>
      </w:pPr>
      <w:r>
        <w:rPr>
          <w:sz w:val="22"/>
        </w:rPr>
        <w:t>Proyecto: Identificación de Micronúcleos y Anormalidades Nucleares en Mucosa Bucal de Niños Expuestos y No Expuestos a Plaguicidas</w:t>
      </w:r>
    </w:p>
    <w:p>
      <w:pPr>
        <w:pStyle w:val="BodyText"/>
        <w:rPr>
          <w:sz w:val="20"/>
        </w:rPr>
      </w:pPr>
    </w:p>
    <w:p>
      <w:pPr>
        <w:pStyle w:val="BodyText"/>
        <w:spacing w:before="4"/>
        <w:rPr>
          <w:sz w:val="19"/>
        </w:rPr>
      </w:pPr>
    </w:p>
    <w:p>
      <w:pPr>
        <w:tabs>
          <w:tab w:pos="7166" w:val="left" w:leader="none"/>
          <w:tab w:pos="8516" w:val="left" w:leader="none"/>
          <w:tab w:pos="9066" w:val="left" w:leader="none"/>
          <w:tab w:pos="9796" w:val="left" w:leader="none"/>
        </w:tabs>
        <w:spacing w:before="0"/>
        <w:ind w:left="1418" w:right="1703" w:firstLine="0"/>
        <w:jc w:val="left"/>
        <w:rPr>
          <w:sz w:val="22"/>
        </w:rPr>
      </w:pPr>
      <w:r>
        <w:rPr/>
        <w:pict>
          <v:group style="position:absolute;margin-left:189.009995pt;margin-top:45.107906pt;width:29.1pt;height:14.1pt;mso-position-horizontal-relative:page;mso-position-vertical-relative:paragraph;z-index:-337600" coordorigin="3780,902" coordsize="582,282">
            <v:line style="position:absolute" from="3790,912" to="4352,912" stroked="true" strokeweight=".47998pt" strokecolor="#000000"/>
            <v:line style="position:absolute" from="3785,907" to="3785,1178" stroked="true" strokeweight=".48pt" strokecolor="#000000"/>
            <v:line style="position:absolute" from="4357,907" to="4357,1178" stroked="true" strokeweight=".48pt" strokecolor="#000000"/>
            <v:line style="position:absolute" from="3790,1174" to="4352,1174" stroked="true" strokeweight=".48001pt" strokecolor="#000000"/>
            <w10:wrap type="none"/>
          </v:group>
        </w:pict>
      </w:r>
      <w:r>
        <w:rPr/>
        <w:pict>
          <v:group style="position:absolute;margin-left:113.889999pt;margin-top:71.387909pt;width:27.75pt;height:14.1pt;mso-position-horizontal-relative:page;mso-position-vertical-relative:paragraph;z-index:-337576" coordorigin="2278,1428" coordsize="555,282">
            <v:line style="position:absolute" from="2288,1438" to="2823,1438" stroked="true" strokeweight=".47998pt" strokecolor="#000000"/>
            <v:line style="position:absolute" from="2283,1433" to="2283,1704" stroked="true" strokeweight=".48pt" strokecolor="#000000"/>
            <v:line style="position:absolute" from="2828,1433" to="2828,1704" stroked="true" strokeweight=".48001pt" strokecolor="#000000"/>
            <v:line style="position:absolute" from="2288,1699" to="2823,1699" stroked="true" strokeweight=".48001pt" strokecolor="#000000"/>
            <w10:wrap type="none"/>
          </v:group>
        </w:pict>
      </w:r>
      <w:r>
        <w:rPr>
          <w:sz w:val="22"/>
        </w:rPr>
        <w:t>Responsable:</w:t>
      </w:r>
      <w:r>
        <w:rPr>
          <w:sz w:val="22"/>
          <w:u w:val="single"/>
        </w:rPr>
        <w:tab/>
      </w:r>
      <w:r>
        <w:rPr>
          <w:sz w:val="22"/>
        </w:rPr>
        <w:t>Fecha:</w:t>
      </w:r>
      <w:r>
        <w:rPr>
          <w:sz w:val="22"/>
          <w:u w:val="single"/>
        </w:rPr>
        <w:t> </w:t>
        <w:tab/>
      </w:r>
      <w:r>
        <w:rPr>
          <w:sz w:val="22"/>
        </w:rPr>
        <w:t>/</w:t>
      </w:r>
      <w:r>
        <w:rPr>
          <w:sz w:val="22"/>
          <w:u w:val="single"/>
        </w:rPr>
        <w:t> </w:t>
        <w:tab/>
      </w:r>
      <w:r>
        <w:rPr>
          <w:sz w:val="22"/>
        </w:rPr>
        <w:t>/20</w:t>
      </w:r>
      <w:r>
        <w:rPr>
          <w:w w:val="100"/>
          <w:sz w:val="22"/>
          <w:u w:val="single"/>
        </w:rPr>
        <w:t> </w:t>
      </w:r>
      <w:r>
        <w:rPr>
          <w:sz w:val="22"/>
          <w:u w:val="single"/>
        </w:rPr>
        <w:tab/>
      </w:r>
    </w:p>
    <w:p>
      <w:pPr>
        <w:pStyle w:val="BodyText"/>
        <w:spacing w:before="7"/>
        <w:rPr>
          <w:sz w:val="17"/>
        </w:rPr>
      </w:pPr>
    </w:p>
    <w:tbl>
      <w:tblPr>
        <w:tblW w:w="0" w:type="auto"/>
        <w:jc w:val="left"/>
        <w:tblInd w:w="139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50"/>
        <w:gridCol w:w="461"/>
        <w:gridCol w:w="1102"/>
        <w:gridCol w:w="396"/>
        <w:gridCol w:w="1421"/>
        <w:gridCol w:w="399"/>
        <w:gridCol w:w="3951"/>
      </w:tblGrid>
      <w:tr>
        <w:trPr>
          <w:trHeight w:val="3540" w:hRule="exact"/>
        </w:trPr>
        <w:tc>
          <w:tcPr>
            <w:tcW w:w="9179" w:type="dxa"/>
            <w:gridSpan w:val="7"/>
            <w:shd w:val="clear" w:color="auto" w:fill="F1F1F1"/>
          </w:tcPr>
          <w:p>
            <w:pPr>
              <w:pStyle w:val="TableParagraph"/>
              <w:spacing w:line="248" w:lineRule="exact" w:before="0"/>
              <w:ind w:left="28" w:right="765"/>
              <w:jc w:val="left"/>
              <w:rPr>
                <w:b/>
                <w:sz w:val="22"/>
              </w:rPr>
            </w:pPr>
            <w:r>
              <w:rPr>
                <w:b/>
                <w:sz w:val="22"/>
              </w:rPr>
              <w:t>DATOS PERSONALES</w:t>
            </w:r>
          </w:p>
          <w:p>
            <w:pPr>
              <w:pStyle w:val="TableParagraph"/>
              <w:spacing w:before="3"/>
              <w:jc w:val="left"/>
              <w:rPr>
                <w:sz w:val="18"/>
              </w:rPr>
            </w:pPr>
          </w:p>
          <w:p>
            <w:pPr>
              <w:pStyle w:val="TableParagraph"/>
              <w:tabs>
                <w:tab w:pos="1458" w:val="left" w:leader="none"/>
                <w:tab w:pos="1768" w:val="left" w:leader="none"/>
                <w:tab w:pos="2782" w:val="left" w:leader="none"/>
              </w:tabs>
              <w:spacing w:before="0"/>
              <w:ind w:left="28" w:right="765"/>
              <w:jc w:val="left"/>
              <w:rPr>
                <w:sz w:val="22"/>
              </w:rPr>
            </w:pPr>
            <w:r>
              <w:rPr>
                <w:sz w:val="22"/>
              </w:rPr>
              <w:t>Edad:</w:t>
            </w:r>
            <w:r>
              <w:rPr>
                <w:sz w:val="22"/>
                <w:u w:val="single"/>
              </w:rPr>
              <w:t> </w:t>
              <w:tab/>
            </w:r>
            <w:r>
              <w:rPr>
                <w:sz w:val="22"/>
              </w:rPr>
              <w:tab/>
              <w:t>Sexo:</w:t>
            </w:r>
            <w:r>
              <w:rPr>
                <w:spacing w:val="8"/>
                <w:sz w:val="22"/>
              </w:rPr>
              <w:t> </w:t>
            </w:r>
            <w:r>
              <w:rPr>
                <w:sz w:val="22"/>
              </w:rPr>
              <w:t>F</w:t>
              <w:tab/>
              <w:t>M</w:t>
            </w:r>
          </w:p>
          <w:p>
            <w:pPr>
              <w:pStyle w:val="TableParagraph"/>
              <w:spacing w:before="8"/>
              <w:jc w:val="left"/>
              <w:rPr>
                <w:sz w:val="23"/>
              </w:rPr>
            </w:pPr>
          </w:p>
          <w:p>
            <w:pPr>
              <w:pStyle w:val="TableParagraph"/>
              <w:tabs>
                <w:tab w:pos="1645" w:val="left" w:leader="none"/>
                <w:tab w:pos="3172" w:val="left" w:leader="none"/>
                <w:tab w:pos="3272" w:val="left" w:leader="none"/>
                <w:tab w:pos="8411" w:val="left" w:leader="none"/>
              </w:tabs>
              <w:spacing w:line="491" w:lineRule="auto" w:before="0"/>
              <w:ind w:left="28" w:right="765"/>
              <w:jc w:val="left"/>
              <w:rPr>
                <w:sz w:val="22"/>
              </w:rPr>
            </w:pPr>
            <w:r>
              <w:rPr>
                <w:sz w:val="22"/>
              </w:rPr>
              <w:t>Estudia: No</w:t>
            </w:r>
            <w:r>
              <w:rPr>
                <w:spacing w:val="8"/>
                <w:sz w:val="22"/>
              </w:rPr>
              <w:t> </w:t>
            </w:r>
            <w:r>
              <w:rPr>
                <w:sz w:val="22"/>
              </w:rPr>
              <w:t>Si</w:t>
            </w:r>
            <w:r>
              <w:rPr>
                <w:spacing w:val="8"/>
                <w:sz w:val="22"/>
              </w:rPr>
              <w:t> </w:t>
            </w:r>
            <w:r>
              <w:rPr>
                <w:sz w:val="22"/>
              </w:rPr>
              <w:t>Grado</w:t>
            </w:r>
            <w:r>
              <w:rPr>
                <w:sz w:val="22"/>
                <w:u w:val="single"/>
              </w:rPr>
              <w:tab/>
              <w:tab/>
            </w:r>
            <w:r>
              <w:rPr>
                <w:sz w:val="22"/>
              </w:rPr>
              <w:t>Observaciones</w:t>
            </w:r>
            <w:r>
              <w:rPr>
                <w:spacing w:val="-2"/>
                <w:sz w:val="22"/>
              </w:rPr>
              <w:t> </w:t>
            </w:r>
            <w:r>
              <w:rPr>
                <w:w w:val="100"/>
                <w:sz w:val="22"/>
                <w:u w:val="single"/>
              </w:rPr>
              <w:t> </w:t>
            </w:r>
            <w:r>
              <w:rPr>
                <w:sz w:val="22"/>
                <w:u w:val="single"/>
              </w:rPr>
              <w:tab/>
            </w:r>
            <w:r>
              <w:rPr>
                <w:sz w:val="22"/>
              </w:rPr>
              <w:t> Estatura:</w:t>
            </w:r>
            <w:r>
              <w:rPr>
                <w:sz w:val="22"/>
                <w:u w:val="single"/>
              </w:rPr>
              <w:t> </w:t>
              <w:tab/>
            </w:r>
            <w:r>
              <w:rPr>
                <w:sz w:val="22"/>
              </w:rPr>
              <w:t>cm</w:t>
            </w:r>
            <w:r>
              <w:rPr>
                <w:spacing w:val="-3"/>
                <w:sz w:val="22"/>
              </w:rPr>
              <w:t> </w:t>
            </w:r>
            <w:r>
              <w:rPr>
                <w:sz w:val="22"/>
              </w:rPr>
              <w:t>Peso:</w:t>
            </w:r>
            <w:r>
              <w:rPr>
                <w:sz w:val="22"/>
                <w:u w:val="single"/>
              </w:rPr>
              <w:t> </w:t>
              <w:tab/>
            </w:r>
            <w:r>
              <w:rPr>
                <w:sz w:val="22"/>
              </w:rPr>
              <w:t>Kg</w:t>
            </w:r>
          </w:p>
          <w:p>
            <w:pPr>
              <w:pStyle w:val="TableParagraph"/>
              <w:tabs>
                <w:tab w:pos="8872" w:val="left" w:leader="none"/>
              </w:tabs>
              <w:spacing w:line="480" w:lineRule="auto" w:before="0"/>
              <w:ind w:left="28" w:right="304"/>
              <w:jc w:val="left"/>
              <w:rPr>
                <w:sz w:val="22"/>
              </w:rPr>
            </w:pPr>
            <w:r>
              <w:rPr>
                <w:sz w:val="22"/>
              </w:rPr>
              <w:t>Lugar de</w:t>
            </w:r>
            <w:r>
              <w:rPr>
                <w:spacing w:val="-3"/>
                <w:sz w:val="22"/>
              </w:rPr>
              <w:t> </w:t>
            </w:r>
            <w:r>
              <w:rPr>
                <w:sz w:val="22"/>
              </w:rPr>
              <w:t>residencia:</w:t>
            </w:r>
            <w:r>
              <w:rPr>
                <w:spacing w:val="-1"/>
                <w:sz w:val="22"/>
              </w:rPr>
              <w:t> </w:t>
            </w:r>
            <w:r>
              <w:rPr>
                <w:w w:val="100"/>
                <w:sz w:val="22"/>
                <w:u w:val="single"/>
              </w:rPr>
              <w:t> </w:t>
            </w:r>
            <w:r>
              <w:rPr>
                <w:sz w:val="22"/>
                <w:u w:val="single"/>
              </w:rPr>
              <w:tab/>
            </w:r>
            <w:r>
              <w:rPr>
                <w:sz w:val="22"/>
              </w:rPr>
              <w:t> Ocupación del padre y</w:t>
            </w:r>
            <w:r>
              <w:rPr>
                <w:spacing w:val="-6"/>
                <w:sz w:val="22"/>
              </w:rPr>
              <w:t> </w:t>
            </w:r>
            <w:r>
              <w:rPr>
                <w:sz w:val="22"/>
              </w:rPr>
              <w:t>madre:</w:t>
            </w:r>
          </w:p>
          <w:p>
            <w:pPr>
              <w:pStyle w:val="TableParagraph"/>
              <w:spacing w:before="20"/>
              <w:ind w:left="28" w:right="765"/>
              <w:jc w:val="left"/>
              <w:rPr>
                <w:sz w:val="22"/>
              </w:rPr>
            </w:pPr>
            <w:r>
              <w:rPr>
                <w:sz w:val="22"/>
              </w:rPr>
              <w:t>Profesionista  P M Empleado P  M Obrero  P</w:t>
            </w:r>
            <w:r>
              <w:rPr>
                <w:spacing w:val="60"/>
                <w:sz w:val="22"/>
              </w:rPr>
              <w:t> </w:t>
            </w:r>
            <w:r>
              <w:rPr>
                <w:sz w:val="22"/>
              </w:rPr>
              <w:t>M</w:t>
            </w:r>
          </w:p>
        </w:tc>
      </w:tr>
      <w:tr>
        <w:trPr>
          <w:trHeight w:val="310" w:hRule="exact"/>
        </w:trPr>
        <w:tc>
          <w:tcPr>
            <w:tcW w:w="1450" w:type="dxa"/>
            <w:tcBorders>
              <w:right w:val="single" w:sz="4" w:space="0" w:color="000000"/>
            </w:tcBorders>
            <w:shd w:val="clear" w:color="auto" w:fill="F1F1F1"/>
          </w:tcPr>
          <w:p>
            <w:pPr>
              <w:pStyle w:val="TableParagraph"/>
              <w:spacing w:before="5"/>
              <w:ind w:left="28"/>
              <w:jc w:val="left"/>
              <w:rPr>
                <w:sz w:val="22"/>
              </w:rPr>
            </w:pPr>
            <w:r>
              <w:rPr>
                <w:sz w:val="22"/>
              </w:rPr>
              <w:t>Comerciante</w:t>
            </w:r>
          </w:p>
        </w:tc>
        <w:tc>
          <w:tcPr>
            <w:tcW w:w="461" w:type="dxa"/>
            <w:tcBorders>
              <w:top w:val="single" w:sz="4" w:space="0" w:color="000000"/>
              <w:left w:val="single" w:sz="4" w:space="0" w:color="000000"/>
              <w:bottom w:val="single" w:sz="4" w:space="0" w:color="000000"/>
              <w:right w:val="single" w:sz="4" w:space="0" w:color="000000"/>
            </w:tcBorders>
            <w:shd w:val="clear" w:color="auto" w:fill="F1F1F1"/>
          </w:tcPr>
          <w:p>
            <w:pPr>
              <w:pStyle w:val="TableParagraph"/>
              <w:spacing w:before="0"/>
              <w:ind w:left="-1" w:right="-23"/>
              <w:jc w:val="left"/>
              <w:rPr>
                <w:sz w:val="22"/>
              </w:rPr>
            </w:pPr>
            <w:r>
              <w:rPr>
                <w:sz w:val="22"/>
              </w:rPr>
              <w:t>P </w:t>
            </w:r>
            <w:r>
              <w:rPr>
                <w:spacing w:val="2"/>
                <w:sz w:val="22"/>
              </w:rPr>
              <w:t> </w:t>
            </w:r>
            <w:r>
              <w:rPr>
                <w:sz w:val="22"/>
              </w:rPr>
              <w:t>M</w:t>
            </w:r>
          </w:p>
        </w:tc>
        <w:tc>
          <w:tcPr>
            <w:tcW w:w="1102" w:type="dxa"/>
            <w:tcBorders>
              <w:left w:val="single" w:sz="4" w:space="0" w:color="000000"/>
              <w:right w:val="single" w:sz="4" w:space="0" w:color="000000"/>
            </w:tcBorders>
            <w:shd w:val="clear" w:color="auto" w:fill="F1F1F1"/>
          </w:tcPr>
          <w:p>
            <w:pPr>
              <w:pStyle w:val="TableParagraph"/>
              <w:spacing w:before="5"/>
              <w:ind w:left="62"/>
              <w:jc w:val="left"/>
              <w:rPr>
                <w:sz w:val="22"/>
              </w:rPr>
            </w:pPr>
            <w:r>
              <w:rPr>
                <w:sz w:val="22"/>
              </w:rPr>
              <w:t>Floricultor</w:t>
            </w:r>
          </w:p>
        </w:tc>
        <w:tc>
          <w:tcPr>
            <w:tcW w:w="396" w:type="dxa"/>
            <w:tcBorders>
              <w:top w:val="single" w:sz="4" w:space="0" w:color="000000"/>
              <w:left w:val="single" w:sz="4" w:space="0" w:color="000000"/>
              <w:bottom w:val="single" w:sz="4" w:space="0" w:color="000000"/>
              <w:right w:val="single" w:sz="4" w:space="0" w:color="000000"/>
            </w:tcBorders>
            <w:shd w:val="clear" w:color="auto" w:fill="F1F1F1"/>
          </w:tcPr>
          <w:p>
            <w:pPr>
              <w:pStyle w:val="TableParagraph"/>
              <w:spacing w:before="0"/>
              <w:ind w:right="-24"/>
              <w:jc w:val="left"/>
              <w:rPr>
                <w:sz w:val="22"/>
              </w:rPr>
            </w:pPr>
            <w:r>
              <w:rPr>
                <w:sz w:val="22"/>
              </w:rPr>
              <w:t>P</w:t>
            </w:r>
            <w:r>
              <w:rPr>
                <w:spacing w:val="-1"/>
                <w:sz w:val="22"/>
              </w:rPr>
              <w:t> </w:t>
            </w:r>
            <w:r>
              <w:rPr>
                <w:sz w:val="22"/>
              </w:rPr>
              <w:t>M</w:t>
            </w:r>
          </w:p>
        </w:tc>
        <w:tc>
          <w:tcPr>
            <w:tcW w:w="1421" w:type="dxa"/>
            <w:tcBorders>
              <w:left w:val="single" w:sz="4" w:space="0" w:color="000000"/>
              <w:right w:val="single" w:sz="4" w:space="0" w:color="000000"/>
            </w:tcBorders>
            <w:shd w:val="clear" w:color="auto" w:fill="F1F1F1"/>
          </w:tcPr>
          <w:p>
            <w:pPr>
              <w:pStyle w:val="TableParagraph"/>
              <w:spacing w:before="5"/>
              <w:ind w:left="62"/>
              <w:jc w:val="left"/>
              <w:rPr>
                <w:sz w:val="22"/>
              </w:rPr>
            </w:pPr>
            <w:r>
              <w:rPr>
                <w:sz w:val="22"/>
              </w:rPr>
              <w:t>Ama de casa</w:t>
            </w:r>
          </w:p>
        </w:tc>
        <w:tc>
          <w:tcPr>
            <w:tcW w:w="399" w:type="dxa"/>
            <w:tcBorders>
              <w:top w:val="single" w:sz="4" w:space="0" w:color="000000"/>
              <w:left w:val="single" w:sz="4" w:space="0" w:color="000000"/>
              <w:bottom w:val="single" w:sz="4" w:space="0" w:color="000000"/>
              <w:right w:val="single" w:sz="4" w:space="0" w:color="000000"/>
            </w:tcBorders>
            <w:shd w:val="clear" w:color="auto" w:fill="F1F1F1"/>
          </w:tcPr>
          <w:p>
            <w:pPr>
              <w:pStyle w:val="TableParagraph"/>
              <w:spacing w:before="0"/>
              <w:ind w:left="-1" w:right="-22"/>
              <w:jc w:val="left"/>
              <w:rPr>
                <w:sz w:val="22"/>
              </w:rPr>
            </w:pPr>
            <w:r>
              <w:rPr>
                <w:sz w:val="22"/>
              </w:rPr>
              <w:t>P</w:t>
            </w:r>
            <w:r>
              <w:rPr>
                <w:spacing w:val="1"/>
                <w:sz w:val="22"/>
              </w:rPr>
              <w:t> </w:t>
            </w:r>
            <w:r>
              <w:rPr>
                <w:sz w:val="22"/>
              </w:rPr>
              <w:t>M</w:t>
            </w:r>
          </w:p>
        </w:tc>
        <w:tc>
          <w:tcPr>
            <w:tcW w:w="3951" w:type="dxa"/>
            <w:tcBorders>
              <w:left w:val="single" w:sz="4" w:space="0" w:color="000000"/>
            </w:tcBorders>
            <w:shd w:val="clear" w:color="auto" w:fill="F1F1F1"/>
          </w:tcPr>
          <w:p>
            <w:pPr/>
          </w:p>
        </w:tc>
      </w:tr>
    </w:tbl>
    <w:p>
      <w:pPr>
        <w:pStyle w:val="BodyText"/>
        <w:rPr>
          <w:sz w:val="20"/>
        </w:rPr>
      </w:pPr>
    </w:p>
    <w:p>
      <w:pPr>
        <w:pStyle w:val="BodyText"/>
        <w:rPr>
          <w:sz w:val="19"/>
        </w:rPr>
      </w:pPr>
    </w:p>
    <w:tbl>
      <w:tblPr>
        <w:tblW w:w="0" w:type="auto"/>
        <w:jc w:val="left"/>
        <w:tblInd w:w="138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04"/>
        <w:gridCol w:w="167"/>
        <w:gridCol w:w="2993"/>
        <w:gridCol w:w="121"/>
        <w:gridCol w:w="3033"/>
      </w:tblGrid>
      <w:tr>
        <w:trPr>
          <w:trHeight w:val="1820" w:hRule="exact"/>
        </w:trPr>
        <w:tc>
          <w:tcPr>
            <w:tcW w:w="9219" w:type="dxa"/>
            <w:gridSpan w:val="5"/>
            <w:shd w:val="clear" w:color="auto" w:fill="DBDBDB"/>
          </w:tcPr>
          <w:p>
            <w:pPr>
              <w:pStyle w:val="TableParagraph"/>
              <w:spacing w:line="248" w:lineRule="exact" w:before="0"/>
              <w:ind w:left="28"/>
              <w:jc w:val="left"/>
              <w:rPr>
                <w:b/>
                <w:sz w:val="22"/>
              </w:rPr>
            </w:pPr>
            <w:r>
              <w:rPr>
                <w:b/>
                <w:sz w:val="22"/>
              </w:rPr>
              <w:t>HÁBITOS HIGIÉNICOS DENTALES</w:t>
            </w:r>
          </w:p>
          <w:p>
            <w:pPr>
              <w:pStyle w:val="TableParagraph"/>
              <w:spacing w:before="0"/>
              <w:jc w:val="left"/>
              <w:rPr>
                <w:sz w:val="23"/>
              </w:rPr>
            </w:pPr>
          </w:p>
          <w:p>
            <w:pPr>
              <w:pStyle w:val="TableParagraph"/>
              <w:tabs>
                <w:tab w:pos="5168" w:val="left" w:leader="none"/>
                <w:tab w:pos="6526" w:val="left" w:leader="none"/>
              </w:tabs>
              <w:spacing w:line="499" w:lineRule="auto" w:before="1"/>
              <w:ind w:left="28" w:right="1652"/>
              <w:jc w:val="left"/>
              <w:rPr>
                <w:sz w:val="22"/>
              </w:rPr>
            </w:pPr>
            <w:r>
              <w:rPr>
                <w:sz w:val="22"/>
              </w:rPr>
              <w:t>Uso: Cepillo y pasta No Si  Enjuague bucal:</w:t>
            </w:r>
            <w:r>
              <w:rPr>
                <w:spacing w:val="16"/>
                <w:sz w:val="22"/>
              </w:rPr>
              <w:t> </w:t>
            </w:r>
            <w:r>
              <w:rPr>
                <w:sz w:val="22"/>
              </w:rPr>
              <w:t>No</w:t>
            </w:r>
            <w:r>
              <w:rPr>
                <w:spacing w:val="-1"/>
                <w:sz w:val="22"/>
              </w:rPr>
              <w:t> </w:t>
            </w:r>
            <w:r>
              <w:rPr>
                <w:sz w:val="22"/>
              </w:rPr>
              <w:t>Si</w:t>
              <w:tab/>
            </w:r>
            <w:r>
              <w:rPr>
                <w:sz w:val="22"/>
                <w:u w:val="single"/>
              </w:rPr>
              <w:t>con</w:t>
            </w:r>
            <w:r>
              <w:rPr>
                <w:spacing w:val="-1"/>
                <w:sz w:val="22"/>
                <w:u w:val="single"/>
              </w:rPr>
              <w:t> </w:t>
            </w:r>
            <w:r>
              <w:rPr>
                <w:sz w:val="22"/>
                <w:u w:val="single"/>
              </w:rPr>
              <w:t>alcoho</w:t>
            </w:r>
            <w:r>
              <w:rPr>
                <w:sz w:val="22"/>
              </w:rPr>
              <w:t>l</w:t>
              <w:tab/>
            </w:r>
            <w:r>
              <w:rPr>
                <w:sz w:val="22"/>
                <w:u w:val="single"/>
              </w:rPr>
              <w:t>sin</w:t>
            </w:r>
            <w:r>
              <w:rPr>
                <w:spacing w:val="-4"/>
                <w:sz w:val="22"/>
                <w:u w:val="single"/>
              </w:rPr>
              <w:t> </w:t>
            </w:r>
            <w:r>
              <w:rPr>
                <w:sz w:val="22"/>
                <w:u w:val="single"/>
              </w:rPr>
              <w:t>alcohol</w:t>
            </w:r>
            <w:r>
              <w:rPr>
                <w:w w:val="100"/>
                <w:sz w:val="22"/>
              </w:rPr>
              <w:t> </w:t>
            </w:r>
            <w:r>
              <w:rPr>
                <w:sz w:val="22"/>
              </w:rPr>
              <w:t>Ha acudido a consulta dental en este último mes:   No</w:t>
            </w:r>
            <w:r>
              <w:rPr>
                <w:spacing w:val="-3"/>
                <w:sz w:val="22"/>
              </w:rPr>
              <w:t> </w:t>
            </w:r>
            <w:r>
              <w:rPr>
                <w:sz w:val="22"/>
              </w:rPr>
              <w:t>Si</w:t>
            </w:r>
          </w:p>
        </w:tc>
      </w:tr>
      <w:tr>
        <w:trPr>
          <w:trHeight w:val="307" w:hRule="exact"/>
        </w:trPr>
        <w:tc>
          <w:tcPr>
            <w:tcW w:w="2904" w:type="dxa"/>
            <w:vMerge w:val="restart"/>
            <w:shd w:val="clear" w:color="auto" w:fill="DBDBDB"/>
          </w:tcPr>
          <w:p>
            <w:pPr>
              <w:pStyle w:val="TableParagraph"/>
              <w:spacing w:line="240" w:lineRule="exact" w:before="0"/>
              <w:ind w:left="28"/>
              <w:jc w:val="left"/>
              <w:rPr>
                <w:sz w:val="22"/>
              </w:rPr>
            </w:pPr>
            <w:r>
              <w:rPr>
                <w:sz w:val="22"/>
              </w:rPr>
              <w:t>Tratamiento realizado</w:t>
            </w:r>
          </w:p>
        </w:tc>
        <w:tc>
          <w:tcPr>
            <w:tcW w:w="167" w:type="dxa"/>
            <w:tcBorders>
              <w:top w:val="single" w:sz="4" w:space="0" w:color="000000"/>
              <w:bottom w:val="single" w:sz="4" w:space="0" w:color="000000"/>
              <w:right w:val="single" w:sz="4" w:space="0" w:color="000000"/>
            </w:tcBorders>
            <w:shd w:val="clear" w:color="auto" w:fill="DDD9C3"/>
          </w:tcPr>
          <w:p>
            <w:pPr/>
          </w:p>
        </w:tc>
        <w:tc>
          <w:tcPr>
            <w:tcW w:w="2993" w:type="dxa"/>
            <w:tcBorders>
              <w:top w:val="single" w:sz="4" w:space="0" w:color="000000"/>
              <w:left w:val="thinThickMediumGap" w:sz="23" w:space="0" w:color="DDD9C3"/>
              <w:bottom w:val="single" w:sz="4" w:space="0" w:color="000000"/>
              <w:right w:val="single" w:sz="4" w:space="0" w:color="000000"/>
            </w:tcBorders>
            <w:shd w:val="clear" w:color="auto" w:fill="DBDBDB"/>
          </w:tcPr>
          <w:p>
            <w:pPr>
              <w:pStyle w:val="TableParagraph"/>
              <w:spacing w:before="4"/>
              <w:ind w:left="148"/>
              <w:jc w:val="left"/>
              <w:rPr>
                <w:sz w:val="22"/>
              </w:rPr>
            </w:pPr>
            <w:r>
              <w:rPr>
                <w:sz w:val="22"/>
              </w:rPr>
              <w:t>Limpieza dental o ninguno</w:t>
            </w:r>
          </w:p>
        </w:tc>
        <w:tc>
          <w:tcPr>
            <w:tcW w:w="121" w:type="dxa"/>
            <w:tcBorders>
              <w:top w:val="single" w:sz="4" w:space="0" w:color="000000"/>
              <w:left w:val="single" w:sz="4" w:space="0" w:color="000000"/>
              <w:bottom w:val="single" w:sz="4" w:space="0" w:color="000000"/>
            </w:tcBorders>
            <w:shd w:val="clear" w:color="auto" w:fill="DDD9C3"/>
          </w:tcPr>
          <w:p>
            <w:pPr/>
          </w:p>
        </w:tc>
        <w:tc>
          <w:tcPr>
            <w:tcW w:w="3033" w:type="dxa"/>
            <w:tcBorders>
              <w:top w:val="single" w:sz="4" w:space="0" w:color="000000"/>
              <w:bottom w:val="single" w:sz="4" w:space="0" w:color="000000"/>
              <w:right w:val="single" w:sz="4" w:space="0" w:color="000000"/>
            </w:tcBorders>
            <w:shd w:val="clear" w:color="auto" w:fill="DBDBDB"/>
          </w:tcPr>
          <w:p>
            <w:pPr>
              <w:pStyle w:val="TableParagraph"/>
              <w:spacing w:before="4"/>
              <w:ind w:left="83"/>
              <w:jc w:val="left"/>
              <w:rPr>
                <w:sz w:val="22"/>
              </w:rPr>
            </w:pPr>
            <w:r>
              <w:rPr>
                <w:sz w:val="22"/>
              </w:rPr>
              <w:t>Obturación amalgama/resina</w:t>
            </w:r>
          </w:p>
        </w:tc>
      </w:tr>
      <w:tr>
        <w:trPr>
          <w:trHeight w:val="442" w:hRule="exact"/>
        </w:trPr>
        <w:tc>
          <w:tcPr>
            <w:tcW w:w="2904" w:type="dxa"/>
            <w:vMerge/>
            <w:shd w:val="clear" w:color="auto" w:fill="DBDBDB"/>
          </w:tcPr>
          <w:p>
            <w:pPr/>
          </w:p>
        </w:tc>
        <w:tc>
          <w:tcPr>
            <w:tcW w:w="167" w:type="dxa"/>
            <w:tcBorders>
              <w:top w:val="single" w:sz="4" w:space="0" w:color="000000"/>
            </w:tcBorders>
          </w:tcPr>
          <w:p>
            <w:pPr/>
          </w:p>
        </w:tc>
        <w:tc>
          <w:tcPr>
            <w:tcW w:w="2993" w:type="dxa"/>
            <w:tcBorders>
              <w:top w:val="single" w:sz="4" w:space="0" w:color="000000"/>
            </w:tcBorders>
          </w:tcPr>
          <w:p>
            <w:pPr/>
          </w:p>
        </w:tc>
        <w:tc>
          <w:tcPr>
            <w:tcW w:w="121" w:type="dxa"/>
            <w:tcBorders>
              <w:top w:val="single" w:sz="4" w:space="0" w:color="000000"/>
            </w:tcBorders>
          </w:tcPr>
          <w:p>
            <w:pPr/>
          </w:p>
        </w:tc>
        <w:tc>
          <w:tcPr>
            <w:tcW w:w="3033" w:type="dxa"/>
            <w:tcBorders>
              <w:top w:val="single" w:sz="4" w:space="0" w:color="000000"/>
            </w:tcBorders>
          </w:tcPr>
          <w:p>
            <w:pPr/>
          </w:p>
        </w:tc>
      </w:tr>
      <w:tr>
        <w:trPr>
          <w:trHeight w:val="254" w:hRule="exact"/>
        </w:trPr>
        <w:tc>
          <w:tcPr>
            <w:tcW w:w="9219" w:type="dxa"/>
            <w:gridSpan w:val="5"/>
            <w:shd w:val="clear" w:color="auto" w:fill="DBDBDB"/>
          </w:tcPr>
          <w:p>
            <w:pPr/>
          </w:p>
        </w:tc>
      </w:tr>
      <w:tr>
        <w:trPr>
          <w:trHeight w:val="252" w:hRule="exact"/>
        </w:trPr>
        <w:tc>
          <w:tcPr>
            <w:tcW w:w="9219" w:type="dxa"/>
            <w:gridSpan w:val="5"/>
            <w:shd w:val="clear" w:color="auto" w:fill="D1D1D1"/>
          </w:tcPr>
          <w:p>
            <w:pPr/>
          </w:p>
        </w:tc>
      </w:tr>
    </w:tbl>
    <w:p>
      <w:pPr>
        <w:spacing w:after="0"/>
        <w:sectPr>
          <w:pgSz w:w="12240" w:h="15840"/>
          <w:pgMar w:header="0" w:footer="0" w:top="1500" w:bottom="780" w:left="0" w:right="0"/>
        </w:sectPr>
      </w:pPr>
    </w:p>
    <w:p>
      <w:pPr>
        <w:pStyle w:val="BodyText"/>
        <w:rPr>
          <w:rFonts w:ascii="Times New Roman"/>
          <w:sz w:val="20"/>
        </w:rPr>
      </w:pPr>
      <w:r>
        <w:rPr/>
        <w:pict>
          <v:group style="position:absolute;margin-left:69.503998pt;margin-top:97.699997pt;width:462.7pt;height:364.85pt;mso-position-horizontal-relative:page;mso-position-vertical-relative:page;z-index:-336976" coordorigin="1390,1954" coordsize="9254,7297">
            <v:shape style="position:absolute;left:1390;top:1954;width:9179;height:2506" coordorigin="1390,1954" coordsize="9179,2506" path="m10569,4186l1390,4186,1390,4460,10569,4460,10569,4186m10569,1954l1390,1954,1390,2208,1390,2460,1390,2712,1390,3101,1390,3461,1390,3824,1390,4186,10569,4186,10569,3824,10569,3461,10569,3101,10569,2712,10569,2460,10569,2208,10569,1954e" filled="true" fillcolor="#bebebe" stroked="false">
              <v:path arrowok="t"/>
              <v:fill type="solid"/>
            </v:shape>
            <v:line style="position:absolute" from="3327,4191" to="3862,4191" stroked="true" strokeweight=".48pt" strokecolor="#000000"/>
            <v:line style="position:absolute" from="3322,4186" to="3322,4457" stroked="true" strokeweight=".48pt" strokecolor="#000000"/>
            <v:line style="position:absolute" from="3867,4186" to="3867,4457" stroked="true" strokeweight=".48pt" strokecolor="#000000"/>
            <v:line style="position:absolute" from="3327,4452" to="3862,4452" stroked="true" strokeweight=".48pt" strokecolor="#000000"/>
            <v:rect style="position:absolute;left:1390;top:4460;width:2775;height:362" filled="true" fillcolor="#bebebe" stroked="false">
              <v:fill type="solid"/>
            </v:rect>
            <v:line style="position:absolute" from="3315,4510" to="3850,4510" stroked="true" strokeweight=".48pt" strokecolor="#000000"/>
            <v:line style="position:absolute" from="3310,4505" to="3310,4779" stroked="true" strokeweight=".48pt" strokecolor="#000000"/>
            <v:line style="position:absolute" from="3855,4505" to="3855,4779" stroked="true" strokeweight=".48pt" strokecolor="#000000"/>
            <v:line style="position:absolute" from="3315,4774" to="3850,4774" stroked="true" strokeweight=".48pt" strokecolor="#000000"/>
            <v:shape style="position:absolute;left:1390;top:4808;width:9179;height:4444" coordorigin="1390,4808" coordsize="9179,4444" path="m6047,4808l5943,4808,4391,4808,4287,4808,4287,5195,6047,5195,6047,4808m7672,4808l7569,4808,6159,4808,6056,4808,6056,5195,6159,5195,7569,5195,7672,5195,7672,4808m10569,5595l4165,5595,4165,5257,4165,4918,1390,4918,1390,5257,1390,5595,1390,5958,1390,6320,1390,6680,1390,6954,1390,7208,1390,7479,1390,7734,1390,7986,1390,8240,2110,8240,2110,8493,1390,8493,1390,8745,1390,8999,1390,9251,6387,9251,6387,8999,6387,8745,3658,8745,3658,8493,3658,8493,3658,8240,3658,8240,3658,7986,3658,7734,10569,7734,10569,7479,10569,7208,10569,6954,10569,6680,10569,6320,10569,5958,10569,5595e" filled="true" fillcolor="#bebebe" stroked="false">
              <v:path arrowok="t"/>
              <v:fill type="solid"/>
            </v:shape>
            <v:line style="position:absolute" from="4287,4803" to="6047,4803" stroked="true" strokeweight=".48pt" strokecolor="#000000"/>
            <v:line style="position:absolute" from="6056,4803" to="7672,4803" stroked="true" strokeweight=".48pt" strokecolor="#000000"/>
            <v:line style="position:absolute" from="4283,4798" to="4283,5204" stroked="true" strokeweight=".48pt" strokecolor="#000000"/>
            <v:line style="position:absolute" from="4287,5199" to="6047,5199" stroked="true" strokeweight=".48001pt" strokecolor="#000000"/>
            <v:line style="position:absolute" from="6051,4798" to="6051,5204" stroked="true" strokeweight=".48001pt" strokecolor="#000000"/>
            <v:line style="position:absolute" from="6056,5199" to="7672,5199" stroked="true" strokeweight=".48001pt" strokecolor="#000000"/>
            <v:line style="position:absolute" from="7677,4798" to="7677,5204" stroked="true" strokeweight=".47998pt" strokecolor="#000000"/>
            <v:shape style="position:absolute;left:3780;top:7818;width:6864;height:1431" coordorigin="3780,7818" coordsize="6864,1431" path="m5533,7818l3780,7818,3780,8399,5533,8399,5533,7818m7470,7818l5543,7818,5543,8399,5646,8399,7367,8399,7470,8399,7470,7818m8140,8958l8037,8958,6613,8958,6510,8958,6510,9249,6613,9249,8037,9249,8140,9249,8140,8958m9057,7818l7480,7818,7480,8399,9057,8399,9057,7818m9443,8958l9340,8958,8253,8958,8149,8958,8149,9249,8253,9249,9340,9249,9443,9249,9443,8958m10644,7818l9067,7818,9067,8399,9170,8399,10540,8399,10644,8399,10644,7818e" filled="true" fillcolor="#bebebe" stroked="false">
              <v:path arrowok="t"/>
              <v:fill type="solid"/>
            </v:shape>
            <v:shape style="position:absolute;left:3316;top:4191;width:546;height:275" type="#_x0000_t202" filled="false" stroked="false">
              <v:textbox inset="0,0,0,0">
                <w:txbxContent>
                  <w:p>
                    <w:pPr>
                      <w:spacing w:before="2"/>
                      <w:ind w:left="10" w:right="-18" w:firstLine="0"/>
                      <w:jc w:val="left"/>
                      <w:rPr>
                        <w:sz w:val="22"/>
                      </w:rPr>
                    </w:pPr>
                    <w:r>
                      <w:rPr>
                        <w:sz w:val="22"/>
                      </w:rPr>
                      <w:t>No</w:t>
                    </w:r>
                    <w:r>
                      <w:rPr>
                        <w:spacing w:val="-4"/>
                        <w:sz w:val="22"/>
                      </w:rPr>
                      <w:t> </w:t>
                    </w:r>
                    <w:r>
                      <w:rPr>
                        <w:sz w:val="22"/>
                      </w:rPr>
                      <w:t>Si</w:t>
                    </w:r>
                  </w:p>
                </w:txbxContent>
              </v:textbox>
              <w10:wrap type="none"/>
            </v:shape>
            <v:shape style="position:absolute;left:3316;top:4465;width:546;height:345" type="#_x0000_t202" filled="false" stroked="false">
              <v:textbox inset="0,0,0,0">
                <w:txbxContent>
                  <w:p>
                    <w:pPr>
                      <w:spacing w:before="50"/>
                      <w:ind w:left="-2" w:right="-10" w:firstLine="0"/>
                      <w:jc w:val="left"/>
                      <w:rPr>
                        <w:sz w:val="22"/>
                      </w:rPr>
                    </w:pPr>
                    <w:r>
                      <w:rPr>
                        <w:sz w:val="22"/>
                      </w:rPr>
                      <w:t>No Si</w:t>
                    </w:r>
                  </w:p>
                </w:txbxContent>
              </v:textbox>
              <w10:wrap type="none"/>
            </v:shape>
            <v:shape style="position:absolute;left:4226;top:4810;width:1826;height:390" type="#_x0000_t202" filled="false" stroked="false">
              <v:textbox inset="0,0,0,0">
                <w:txbxContent>
                  <w:p>
                    <w:pPr>
                      <w:spacing w:line="248" w:lineRule="exact" w:before="0"/>
                      <w:ind w:left="205" w:right="0" w:firstLine="0"/>
                      <w:jc w:val="left"/>
                      <w:rPr>
                        <w:sz w:val="22"/>
                      </w:rPr>
                    </w:pPr>
                    <w:r>
                      <w:rPr>
                        <w:sz w:val="22"/>
                      </w:rPr>
                      <w:t>Término medio</w:t>
                    </w:r>
                  </w:p>
                </w:txbxContent>
              </v:textbox>
              <w10:wrap type="none"/>
            </v:shape>
            <v:shape style="position:absolute;left:6051;top:4810;width:1626;height:390" type="#_x0000_t202" filled="false" stroked="false">
              <v:textbox inset="0,0,0,0">
                <w:txbxContent>
                  <w:p>
                    <w:pPr>
                      <w:spacing w:before="44"/>
                      <w:ind w:left="107" w:right="0" w:firstLine="0"/>
                      <w:jc w:val="left"/>
                      <w:rPr>
                        <w:sz w:val="22"/>
                      </w:rPr>
                    </w:pPr>
                    <w:r>
                      <w:rPr>
                        <w:sz w:val="22"/>
                      </w:rPr>
                      <w:t>Bien cocida</w:t>
                    </w:r>
                  </w:p>
                </w:txbxContent>
              </v:textbox>
              <w10:wrap type="none"/>
            </v:shape>
            <v:shape style="position:absolute;left:1419;top:1977;width:3927;height:476" type="#_x0000_t202" filled="false" stroked="false">
              <v:textbox inset="0,0,0,0">
                <w:txbxContent>
                  <w:p>
                    <w:pPr>
                      <w:spacing w:line="226" w:lineRule="exact" w:before="0"/>
                      <w:ind w:left="0" w:right="-18" w:firstLine="0"/>
                      <w:jc w:val="left"/>
                      <w:rPr>
                        <w:b/>
                        <w:sz w:val="22"/>
                      </w:rPr>
                    </w:pPr>
                    <w:r>
                      <w:rPr>
                        <w:b/>
                        <w:sz w:val="22"/>
                      </w:rPr>
                      <w:t>HABITOS ALIMENTICIOS</w:t>
                    </w:r>
                  </w:p>
                  <w:p>
                    <w:pPr>
                      <w:spacing w:line="248" w:lineRule="exact" w:before="1"/>
                      <w:ind w:left="0" w:right="-18" w:firstLine="0"/>
                      <w:jc w:val="left"/>
                      <w:rPr>
                        <w:b/>
                        <w:sz w:val="22"/>
                      </w:rPr>
                    </w:pPr>
                    <w:r>
                      <w:rPr>
                        <w:b/>
                        <w:sz w:val="22"/>
                      </w:rPr>
                      <w:t>En esta última semana ha consumido</w:t>
                    </w:r>
                  </w:p>
                </w:txbxContent>
              </v:textbox>
              <w10:wrap type="none"/>
            </v:shape>
            <v:shape style="position:absolute;left:1419;top:2783;width:2032;height:4153" type="#_x0000_t202" filled="false" stroked="false">
              <v:textbox inset="0,0,0,0">
                <w:txbxContent>
                  <w:p>
                    <w:pPr>
                      <w:spacing w:line="226" w:lineRule="exact" w:before="0"/>
                      <w:ind w:left="0" w:right="255" w:firstLine="0"/>
                      <w:jc w:val="left"/>
                      <w:rPr>
                        <w:b/>
                        <w:sz w:val="22"/>
                      </w:rPr>
                    </w:pPr>
                    <w:r>
                      <w:rPr>
                        <w:b/>
                        <w:sz w:val="22"/>
                      </w:rPr>
                      <w:t>Alimentos:</w:t>
                    </w:r>
                  </w:p>
                  <w:p>
                    <w:pPr>
                      <w:spacing w:line="343" w:lineRule="auto" w:before="100"/>
                      <w:ind w:left="0" w:right="255" w:firstLine="0"/>
                      <w:jc w:val="left"/>
                      <w:rPr>
                        <w:sz w:val="22"/>
                      </w:rPr>
                    </w:pPr>
                    <w:r>
                      <w:rPr>
                        <w:sz w:val="22"/>
                      </w:rPr>
                      <w:t>Enlatados: Embutidos: Frutas y verduras: Pescado</w:t>
                    </w:r>
                  </w:p>
                  <w:p>
                    <w:pPr>
                      <w:spacing w:line="216" w:lineRule="exact" w:before="0"/>
                      <w:ind w:left="0" w:right="255" w:firstLine="0"/>
                      <w:jc w:val="left"/>
                      <w:rPr>
                        <w:sz w:val="22"/>
                      </w:rPr>
                    </w:pPr>
                    <w:r>
                      <w:rPr>
                        <w:sz w:val="22"/>
                      </w:rPr>
                      <w:t>Carne:</w:t>
                    </w:r>
                  </w:p>
                  <w:p>
                    <w:pPr>
                      <w:spacing w:before="148"/>
                      <w:ind w:left="0" w:right="-19" w:firstLine="0"/>
                      <w:jc w:val="left"/>
                      <w:rPr>
                        <w:sz w:val="22"/>
                      </w:rPr>
                    </w:pPr>
                    <w:r>
                      <w:rPr>
                        <w:sz w:val="22"/>
                      </w:rPr>
                      <w:t>Cocción de la carne</w:t>
                    </w:r>
                  </w:p>
                  <w:p>
                    <w:pPr>
                      <w:spacing w:before="83"/>
                      <w:ind w:left="0" w:right="255" w:firstLine="0"/>
                      <w:jc w:val="left"/>
                      <w:rPr>
                        <w:b/>
                        <w:sz w:val="22"/>
                      </w:rPr>
                    </w:pPr>
                    <w:r>
                      <w:rPr>
                        <w:b/>
                        <w:sz w:val="22"/>
                      </w:rPr>
                      <w:t>Bebidas:</w:t>
                    </w:r>
                  </w:p>
                  <w:p>
                    <w:pPr>
                      <w:spacing w:line="343" w:lineRule="auto" w:before="97"/>
                      <w:ind w:left="0" w:right="1486" w:firstLine="0"/>
                      <w:jc w:val="left"/>
                      <w:rPr>
                        <w:sz w:val="22"/>
                      </w:rPr>
                    </w:pPr>
                    <w:r>
                      <w:rPr>
                        <w:sz w:val="22"/>
                      </w:rPr>
                      <w:t>Té: Café:</w:t>
                    </w:r>
                  </w:p>
                  <w:p>
                    <w:pPr>
                      <w:spacing w:before="3"/>
                      <w:ind w:left="0" w:right="255" w:firstLine="0"/>
                      <w:jc w:val="left"/>
                      <w:rPr>
                        <w:sz w:val="22"/>
                      </w:rPr>
                    </w:pPr>
                    <w:r>
                      <w:rPr>
                        <w:sz w:val="22"/>
                      </w:rPr>
                      <w:t>Café con leche:</w:t>
                    </w:r>
                  </w:p>
                  <w:p>
                    <w:pPr>
                      <w:spacing w:line="248" w:lineRule="exact" w:before="107"/>
                      <w:ind w:left="0" w:right="-19" w:firstLine="0"/>
                      <w:jc w:val="left"/>
                      <w:rPr>
                        <w:sz w:val="22"/>
                      </w:rPr>
                    </w:pPr>
                    <w:r>
                      <w:rPr>
                        <w:sz w:val="22"/>
                      </w:rPr>
                      <w:t>Consumo de tabaco:</w:t>
                    </w:r>
                  </w:p>
                </w:txbxContent>
              </v:textbox>
              <w10:wrap type="none"/>
            </v:shape>
            <v:shape style="position:absolute;left:1419;top:7243;width:1639;height:221" type="#_x0000_t202" filled="false" stroked="false">
              <v:textbox inset="0,0,0,0">
                <w:txbxContent>
                  <w:p>
                    <w:pPr>
                      <w:spacing w:line="221" w:lineRule="exact" w:before="0"/>
                      <w:ind w:left="0" w:right="-20" w:firstLine="0"/>
                      <w:jc w:val="left"/>
                      <w:rPr>
                        <w:sz w:val="22"/>
                      </w:rPr>
                    </w:pPr>
                    <w:r>
                      <w:rPr>
                        <w:sz w:val="22"/>
                      </w:rPr>
                      <w:t>Fumador pasivo:</w:t>
                    </w:r>
                  </w:p>
                </w:txbxContent>
              </v:textbox>
              <w10:wrap type="none"/>
            </v:shape>
            <v:shape style="position:absolute;left:1419;top:7759;width:1753;height:221" type="#_x0000_t202" filled="false" stroked="false">
              <v:textbox inset="0,0,0,0">
                <w:txbxContent>
                  <w:p>
                    <w:pPr>
                      <w:spacing w:line="221" w:lineRule="exact" w:before="0"/>
                      <w:ind w:left="0" w:right="-17" w:firstLine="0"/>
                      <w:jc w:val="left"/>
                      <w:rPr>
                        <w:sz w:val="22"/>
                      </w:rPr>
                    </w:pPr>
                    <w:r>
                      <w:rPr>
                        <w:sz w:val="22"/>
                      </w:rPr>
                      <w:t>Donde bebe agua</w:t>
                    </w:r>
                  </w:p>
                </w:txbxContent>
              </v:textbox>
              <w10:wrap type="none"/>
            </v:shape>
            <v:shape style="position:absolute;left:1419;top:9024;width:4463;height:221" type="#_x0000_t202" filled="false" stroked="false">
              <v:textbox inset="0,0,0,0">
                <w:txbxContent>
                  <w:p>
                    <w:pPr>
                      <w:spacing w:line="221" w:lineRule="exact" w:before="0"/>
                      <w:ind w:left="0" w:right="-11" w:firstLine="0"/>
                      <w:jc w:val="left"/>
                      <w:rPr>
                        <w:sz w:val="22"/>
                      </w:rPr>
                    </w:pPr>
                    <w:r>
                      <w:rPr>
                        <w:sz w:val="22"/>
                      </w:rPr>
                      <w:t>¿Lava frutas y verduras para consumirlas</w:t>
                    </w:r>
                    <w:r>
                      <w:rPr>
                        <w:spacing w:val="-10"/>
                        <w:sz w:val="22"/>
                      </w:rPr>
                      <w:t> </w:t>
                    </w:r>
                    <w:r>
                      <w:rPr>
                        <w:sz w:val="22"/>
                      </w:rPr>
                      <w:t>con</w:t>
                    </w:r>
                  </w:p>
                </w:txbxContent>
              </v:textbox>
              <w10:wrap type="none"/>
            </v:shape>
            <v:shape style="position:absolute;left:3322;top:3106;width:546;height:262" type="#_x0000_t202" filled="true" fillcolor="#bebebe" stroked="true" strokeweight=".48pt" strokecolor="#000000">
              <v:textbox inset="0,0,0,0">
                <w:txbxContent>
                  <w:p>
                    <w:pPr>
                      <w:spacing w:line="251" w:lineRule="exact" w:before="0"/>
                      <w:ind w:left="-1" w:right="-11" w:firstLine="0"/>
                      <w:jc w:val="left"/>
                      <w:rPr>
                        <w:sz w:val="22"/>
                      </w:rPr>
                    </w:pPr>
                    <w:r>
                      <w:rPr>
                        <w:sz w:val="22"/>
                      </w:rPr>
                      <w:t>No Si</w:t>
                    </w:r>
                  </w:p>
                </w:txbxContent>
              </v:textbox>
              <v:fill type="solid"/>
              <w10:wrap type="none"/>
            </v:shape>
            <v:shape style="position:absolute;left:3322;top:3466;width:546;height:262" type="#_x0000_t202" filled="true" fillcolor="#bebebe" stroked="true" strokeweight=".48pt" strokecolor="#000000">
              <v:textbox inset="0,0,0,0">
                <w:txbxContent>
                  <w:p>
                    <w:pPr>
                      <w:spacing w:line="251" w:lineRule="exact" w:before="0"/>
                      <w:ind w:left="-1" w:right="-11" w:firstLine="0"/>
                      <w:jc w:val="left"/>
                      <w:rPr>
                        <w:sz w:val="22"/>
                      </w:rPr>
                    </w:pPr>
                    <w:r>
                      <w:rPr>
                        <w:sz w:val="22"/>
                      </w:rPr>
                      <w:t>No Si</w:t>
                    </w:r>
                  </w:p>
                </w:txbxContent>
              </v:textbox>
              <v:fill type="solid"/>
              <w10:wrap type="none"/>
            </v:shape>
            <v:shape style="position:absolute;left:3322;top:3828;width:546;height:262" type="#_x0000_t202" filled="true" fillcolor="#bebebe" stroked="true" strokeweight=".48pt" strokecolor="#000000">
              <v:textbox inset="0,0,0,0">
                <w:txbxContent>
                  <w:p>
                    <w:pPr>
                      <w:spacing w:line="251" w:lineRule="exact" w:before="0"/>
                      <w:ind w:left="-1" w:right="-11" w:firstLine="0"/>
                      <w:jc w:val="left"/>
                      <w:rPr>
                        <w:sz w:val="22"/>
                      </w:rPr>
                    </w:pPr>
                    <w:r>
                      <w:rPr>
                        <w:sz w:val="22"/>
                      </w:rPr>
                      <w:t>No Si</w:t>
                    </w:r>
                  </w:p>
                </w:txbxContent>
              </v:textbox>
              <v:fill type="solid"/>
              <w10:wrap type="none"/>
            </v:shape>
            <v:shape style="position:absolute;left:3269;top:5600;width:548;height:262" type="#_x0000_t202" filled="true" fillcolor="#bebebe" stroked="true" strokeweight=".48pt" strokecolor="#000000">
              <v:textbox inset="0,0,0,0">
                <w:txbxContent>
                  <w:p>
                    <w:pPr>
                      <w:spacing w:line="251" w:lineRule="exact" w:before="0"/>
                      <w:ind w:left="0" w:right="-8" w:firstLine="0"/>
                      <w:jc w:val="left"/>
                      <w:rPr>
                        <w:sz w:val="22"/>
                      </w:rPr>
                    </w:pPr>
                    <w:r>
                      <w:rPr>
                        <w:sz w:val="22"/>
                      </w:rPr>
                      <w:t>No</w:t>
                    </w:r>
                    <w:r>
                      <w:rPr>
                        <w:spacing w:val="-2"/>
                        <w:sz w:val="22"/>
                      </w:rPr>
                      <w:t> </w:t>
                    </w:r>
                    <w:r>
                      <w:rPr>
                        <w:sz w:val="22"/>
                      </w:rPr>
                      <w:t>Si</w:t>
                    </w:r>
                  </w:p>
                </w:txbxContent>
              </v:textbox>
              <v:fill type="solid"/>
              <w10:wrap type="none"/>
            </v:shape>
            <v:shape style="position:absolute;left:3296;top:5963;width:548;height:262" type="#_x0000_t202" filled="true" fillcolor="#bebebe" stroked="true" strokeweight=".48pt" strokecolor="#000000">
              <v:textbox inset="0,0,0,0">
                <w:txbxContent>
                  <w:p>
                    <w:pPr>
                      <w:spacing w:line="251" w:lineRule="exact" w:before="0"/>
                      <w:ind w:left="0" w:right="-10" w:firstLine="0"/>
                      <w:jc w:val="left"/>
                      <w:rPr>
                        <w:sz w:val="22"/>
                      </w:rPr>
                    </w:pPr>
                    <w:r>
                      <w:rPr>
                        <w:sz w:val="22"/>
                      </w:rPr>
                      <w:t>No Si</w:t>
                    </w:r>
                  </w:p>
                </w:txbxContent>
              </v:textbox>
              <v:fill type="solid"/>
              <w10:wrap type="none"/>
            </v:shape>
            <v:shape style="position:absolute;left:3260;top:6325;width:548;height:262" type="#_x0000_t202" filled="true" fillcolor="#bebebe" stroked="true" strokeweight=".48pt" strokecolor="#000000">
              <v:textbox inset="0,0,0,0">
                <w:txbxContent>
                  <w:p>
                    <w:pPr>
                      <w:spacing w:line="251" w:lineRule="exact" w:before="0"/>
                      <w:ind w:left="-1" w:right="-7" w:firstLine="0"/>
                      <w:jc w:val="left"/>
                      <w:rPr>
                        <w:sz w:val="22"/>
                      </w:rPr>
                    </w:pPr>
                    <w:r>
                      <w:rPr>
                        <w:sz w:val="22"/>
                      </w:rPr>
                      <w:t>No</w:t>
                    </w:r>
                    <w:r>
                      <w:rPr>
                        <w:spacing w:val="-2"/>
                        <w:sz w:val="22"/>
                      </w:rPr>
                      <w:t> </w:t>
                    </w:r>
                    <w:r>
                      <w:rPr>
                        <w:sz w:val="22"/>
                      </w:rPr>
                      <w:t>Si</w:t>
                    </w:r>
                  </w:p>
                </w:txbxContent>
              </v:textbox>
              <v:fill type="solid"/>
              <w10:wrap type="none"/>
            </v:shape>
            <v:shape style="position:absolute;left:3516;top:6685;width:548;height:262" type="#_x0000_t202" filled="true" fillcolor="#bebebe" stroked="true" strokeweight=".48pt" strokecolor="#000000">
              <v:textbox inset="0,0,0,0">
                <w:txbxContent>
                  <w:p>
                    <w:pPr>
                      <w:spacing w:line="251" w:lineRule="exact" w:before="0"/>
                      <w:ind w:left="0" w:right="-10" w:firstLine="0"/>
                      <w:jc w:val="left"/>
                      <w:rPr>
                        <w:sz w:val="22"/>
                      </w:rPr>
                    </w:pPr>
                    <w:r>
                      <w:rPr>
                        <w:sz w:val="22"/>
                      </w:rPr>
                      <w:t>No Si</w:t>
                    </w:r>
                  </w:p>
                </w:txbxContent>
              </v:textbox>
              <v:fill type="solid"/>
              <w10:wrap type="none"/>
            </v:shape>
            <v:shape style="position:absolute;left:3125;top:7213;width:545;height:262" type="#_x0000_t202" filled="true" fillcolor="#bebebe" stroked="true" strokeweight=".48pt" strokecolor="#000000">
              <v:textbox inset="0,0,0,0">
                <w:txbxContent>
                  <w:p>
                    <w:pPr>
                      <w:spacing w:line="251" w:lineRule="exact" w:before="0"/>
                      <w:ind w:left="0" w:right="-11" w:firstLine="0"/>
                      <w:jc w:val="left"/>
                      <w:rPr>
                        <w:sz w:val="22"/>
                      </w:rPr>
                    </w:pPr>
                    <w:r>
                      <w:rPr>
                        <w:sz w:val="22"/>
                      </w:rPr>
                      <w:t>No</w:t>
                    </w:r>
                    <w:r>
                      <w:rPr>
                        <w:spacing w:val="-2"/>
                        <w:sz w:val="22"/>
                      </w:rPr>
                      <w:t> </w:t>
                    </w:r>
                    <w:r>
                      <w:rPr>
                        <w:sz w:val="22"/>
                      </w:rPr>
                      <w:t>Si</w:t>
                    </w:r>
                  </w:p>
                </w:txbxContent>
              </v:textbox>
              <v:fill type="solid"/>
              <w10:wrap type="none"/>
            </v:shape>
            <w10:wrap type="none"/>
          </v:group>
        </w:pict>
      </w:r>
      <w:r>
        <w:rPr/>
        <w:pict>
          <v:group style="position:absolute;margin-left:297.279999pt;margin-top:512.940002pt;width:27.9pt;height:14.1pt;mso-position-horizontal-relative:page;mso-position-vertical-relative:page;z-index:-336952" coordorigin="5946,10259" coordsize="558,282">
            <v:line style="position:absolute" from="5955,10269" to="6493,10269" stroked="true" strokeweight=".47998pt" strokecolor="#000000"/>
            <v:line style="position:absolute" from="5951,10264" to="5951,10535" stroked="true" strokeweight=".48001pt" strokecolor="#000000"/>
            <v:line style="position:absolute" from="6498,10264" to="6498,10535" stroked="true" strokeweight=".48001pt" strokecolor="#000000"/>
            <v:line style="position:absolute" from="5955,10530" to="6493,10530" stroked="true" strokeweight=".47998pt" strokecolor="#000000"/>
            <w10:wrap type="none"/>
          </v:group>
        </w:pict>
      </w:r>
      <w:r>
        <w:rPr/>
        <w:pict>
          <v:group style="position:absolute;margin-left:324.179993pt;margin-top:533.339966pt;width:31pt;height:14.1pt;mso-position-horizontal-relative:page;mso-position-vertical-relative:page;z-index:-336928" coordorigin="6484,10667" coordsize="620,282">
            <v:line style="position:absolute" from="6493,10677" to="7093,10677" stroked="true" strokeweight=".48004pt" strokecolor="#000000"/>
            <v:line style="position:absolute" from="6489,10672" to="6489,10943" stroked="true" strokeweight=".47998pt" strokecolor="#000000"/>
            <v:line style="position:absolute" from="7098,10672" to="7098,10943" stroked="true" strokeweight=".48001pt" strokecolor="#000000"/>
            <v:line style="position:absolute" from="6493,10938" to="7093,10938" stroked="true" strokeweight=".47998pt" strokecolor="#000000"/>
            <w10:wrap type="none"/>
          </v:group>
        </w:pict>
      </w:r>
      <w:r>
        <w:rPr/>
        <w:pict>
          <v:group style="position:absolute;margin-left:303.399994pt;margin-top:553.860046pt;width:27.9pt;height:14.2pt;mso-position-horizontal-relative:page;mso-position-vertical-relative:page;z-index:-336904" coordorigin="6068,11077" coordsize="558,284">
            <v:line style="position:absolute" from="6078,11087" to="6616,11087" stroked="true" strokeweight=".47998pt" strokecolor="#000000"/>
            <v:line style="position:absolute" from="6073,11082" to="6073,11356" stroked="true" strokeweight=".48001pt" strokecolor="#000000"/>
            <v:line style="position:absolute" from="6621,11082" to="6621,11356" stroked="true" strokeweight=".48001pt" strokecolor="#000000"/>
            <v:line style="position:absolute" from="6078,11351" to="6616,11351" stroked="true" strokeweight=".47998pt" strokecolor="#000000"/>
            <w10:wrap type="none"/>
          </v:group>
        </w:pict>
      </w:r>
      <w:r>
        <w:rPr/>
        <w:pict>
          <v:group style="position:absolute;margin-left:451.410004pt;margin-top:577.5pt;width:27.75pt;height:14.25pt;mso-position-horizontal-relative:page;mso-position-vertical-relative:page;z-index:-336880" coordorigin="9028,11550" coordsize="555,285">
            <v:line style="position:absolute" from="9038,11560" to="9573,11560" stroked="true" strokeweight=".47998pt" strokecolor="#000000"/>
            <v:line style="position:absolute" from="9033,11555" to="9033,11829" stroked="true" strokeweight=".47998pt" strokecolor="#000000"/>
            <v:line style="position:absolute" from="9578,11555" to="9578,11829" stroked="true" strokeweight=".48001pt" strokecolor="#000000"/>
            <v:line style="position:absolute" from="9038,11824" to="9573,11824" stroked="true" strokeweight=".47998pt" strokecolor="#000000"/>
            <w10:wrap type="none"/>
          </v:group>
        </w:pict>
      </w:r>
      <w:r>
        <w:rPr/>
        <w:pict>
          <v:group style="position:absolute;margin-left:213.520004pt;margin-top:661.769958pt;width:27.9pt;height:14.1pt;mso-position-horizontal-relative:page;mso-position-vertical-relative:page;z-index:-336856" coordorigin="4270,13235" coordsize="558,282">
            <v:line style="position:absolute" from="4280,13245" to="4818,13245" stroked="true" strokeweight=".48004pt" strokecolor="#000000"/>
            <v:line style="position:absolute" from="4275,13240" to="4275,13512" stroked="true" strokeweight=".48pt" strokecolor="#000000"/>
            <v:line style="position:absolute" from="4823,13240" to="4823,13512" stroked="true" strokeweight=".48pt" strokecolor="#000000"/>
            <v:line style="position:absolute" from="4280,13507" to="4818,13507" stroked="true" strokeweight=".47998pt" strokecolor="#000000"/>
            <w10:wrap type="none"/>
          </v:group>
        </w:pict>
      </w:r>
      <w:r>
        <w:rPr/>
        <w:pict>
          <v:group style="position:absolute;margin-left:279.639984pt;margin-top:688.050049pt;width:27.75pt;height:14.1pt;mso-position-horizontal-relative:page;mso-position-vertical-relative:page;z-index:-336832" coordorigin="5593,13761" coordsize="555,282">
            <v:line style="position:absolute" from="5603,13771" to="6138,13771" stroked="true" strokeweight=".47998pt" strokecolor="#000000"/>
            <v:line style="position:absolute" from="5598,13766" to="5598,14037" stroked="true" strokeweight=".47998pt" strokecolor="#000000"/>
            <v:line style="position:absolute" from="6143,13766" to="6143,14037" stroked="true" strokeweight=".48001pt" strokecolor="#000000"/>
            <v:line style="position:absolute" from="5603,14032" to="6138,14032" stroked="true" strokeweight=".48004pt" strokecolor="#000000"/>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5"/>
        </w:rPr>
      </w:pPr>
    </w:p>
    <w:tbl>
      <w:tblPr>
        <w:tblW w:w="0" w:type="auto"/>
        <w:jc w:val="left"/>
        <w:tblInd w:w="3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6"/>
        <w:gridCol w:w="123"/>
        <w:gridCol w:w="1248"/>
        <w:gridCol w:w="913"/>
        <w:gridCol w:w="1024"/>
        <w:gridCol w:w="199"/>
        <w:gridCol w:w="473"/>
        <w:gridCol w:w="917"/>
        <w:gridCol w:w="386"/>
        <w:gridCol w:w="1163"/>
      </w:tblGrid>
      <w:tr>
        <w:trPr>
          <w:trHeight w:val="670" w:hRule="exact"/>
        </w:trPr>
        <w:tc>
          <w:tcPr>
            <w:tcW w:w="1816" w:type="dxa"/>
            <w:gridSpan w:val="3"/>
            <w:shd w:val="clear" w:color="auto" w:fill="BEBEBE"/>
          </w:tcPr>
          <w:p>
            <w:pPr>
              <w:pStyle w:val="TableParagraph"/>
              <w:spacing w:before="35"/>
              <w:ind w:left="282"/>
              <w:jc w:val="left"/>
              <w:rPr>
                <w:sz w:val="22"/>
              </w:rPr>
            </w:pPr>
            <w:r>
              <w:rPr>
                <w:sz w:val="22"/>
              </w:rPr>
              <w:t>Agua potable</w:t>
            </w:r>
          </w:p>
        </w:tc>
        <w:tc>
          <w:tcPr>
            <w:tcW w:w="1937" w:type="dxa"/>
            <w:gridSpan w:val="2"/>
            <w:shd w:val="clear" w:color="auto" w:fill="BEBEBE"/>
          </w:tcPr>
          <w:p>
            <w:pPr>
              <w:pStyle w:val="TableParagraph"/>
              <w:spacing w:line="276" w:lineRule="auto" w:before="35"/>
              <w:ind w:left="105"/>
              <w:jc w:val="left"/>
              <w:rPr>
                <w:sz w:val="22"/>
              </w:rPr>
            </w:pPr>
            <w:r>
              <w:rPr>
                <w:sz w:val="22"/>
              </w:rPr>
              <w:t>Deposito cerrado herméticamente</w:t>
            </w:r>
          </w:p>
        </w:tc>
        <w:tc>
          <w:tcPr>
            <w:tcW w:w="1589" w:type="dxa"/>
            <w:gridSpan w:val="3"/>
            <w:shd w:val="clear" w:color="auto" w:fill="BEBEBE"/>
          </w:tcPr>
          <w:p>
            <w:pPr>
              <w:pStyle w:val="TableParagraph"/>
              <w:spacing w:before="35"/>
              <w:ind w:left="177"/>
              <w:jc w:val="left"/>
              <w:rPr>
                <w:sz w:val="22"/>
              </w:rPr>
            </w:pPr>
            <w:r>
              <w:rPr>
                <w:sz w:val="22"/>
              </w:rPr>
              <w:t>Embotellada</w:t>
            </w:r>
          </w:p>
        </w:tc>
        <w:tc>
          <w:tcPr>
            <w:tcW w:w="1549" w:type="dxa"/>
            <w:gridSpan w:val="2"/>
            <w:shd w:val="clear" w:color="auto" w:fill="BEBEBE"/>
          </w:tcPr>
          <w:p>
            <w:pPr>
              <w:pStyle w:val="TableParagraph"/>
              <w:spacing w:before="35"/>
              <w:ind w:left="103"/>
              <w:jc w:val="left"/>
              <w:rPr>
                <w:sz w:val="22"/>
              </w:rPr>
            </w:pPr>
            <w:r>
              <w:rPr>
                <w:sz w:val="22"/>
              </w:rPr>
              <w:t>Pozo</w:t>
            </w:r>
          </w:p>
        </w:tc>
      </w:tr>
      <w:tr>
        <w:trPr>
          <w:trHeight w:val="299" w:hRule="exact"/>
        </w:trPr>
        <w:tc>
          <w:tcPr>
            <w:tcW w:w="446" w:type="dxa"/>
            <w:tcBorders>
              <w:left w:val="nil"/>
              <w:bottom w:val="nil"/>
              <w:right w:val="nil"/>
            </w:tcBorders>
          </w:tcPr>
          <w:p>
            <w:pPr/>
          </w:p>
        </w:tc>
        <w:tc>
          <w:tcPr>
            <w:tcW w:w="123" w:type="dxa"/>
            <w:tcBorders>
              <w:left w:val="nil"/>
              <w:bottom w:val="nil"/>
              <w:right w:val="nil"/>
            </w:tcBorders>
          </w:tcPr>
          <w:p>
            <w:pPr/>
          </w:p>
        </w:tc>
        <w:tc>
          <w:tcPr>
            <w:tcW w:w="2161" w:type="dxa"/>
            <w:gridSpan w:val="2"/>
            <w:tcBorders>
              <w:left w:val="nil"/>
              <w:bottom w:val="nil"/>
              <w:right w:val="nil"/>
            </w:tcBorders>
          </w:tcPr>
          <w:p>
            <w:pPr/>
          </w:p>
        </w:tc>
        <w:tc>
          <w:tcPr>
            <w:tcW w:w="1223" w:type="dxa"/>
            <w:gridSpan w:val="2"/>
            <w:tcBorders>
              <w:left w:val="nil"/>
              <w:bottom w:val="nil"/>
              <w:right w:val="nil"/>
            </w:tcBorders>
          </w:tcPr>
          <w:p>
            <w:pPr/>
          </w:p>
        </w:tc>
        <w:tc>
          <w:tcPr>
            <w:tcW w:w="1776" w:type="dxa"/>
            <w:gridSpan w:val="3"/>
            <w:tcBorders>
              <w:left w:val="nil"/>
              <w:bottom w:val="nil"/>
              <w:right w:val="nil"/>
            </w:tcBorders>
          </w:tcPr>
          <w:p>
            <w:pPr/>
          </w:p>
        </w:tc>
        <w:tc>
          <w:tcPr>
            <w:tcW w:w="1163" w:type="dxa"/>
            <w:tcBorders>
              <w:left w:val="nil"/>
              <w:bottom w:val="nil"/>
              <w:right w:val="nil"/>
            </w:tcBorders>
          </w:tcPr>
          <w:p>
            <w:pPr/>
          </w:p>
        </w:tc>
      </w:tr>
      <w:tr>
        <w:trPr>
          <w:trHeight w:val="209" w:hRule="exact"/>
        </w:trPr>
        <w:tc>
          <w:tcPr>
            <w:tcW w:w="2730" w:type="dxa"/>
            <w:gridSpan w:val="4"/>
            <w:vMerge w:val="restart"/>
            <w:tcBorders>
              <w:top w:val="nil"/>
              <w:left w:val="nil"/>
              <w:right w:val="nil"/>
            </w:tcBorders>
            <w:shd w:val="clear" w:color="auto" w:fill="BEBEBE"/>
          </w:tcPr>
          <w:p>
            <w:pPr/>
          </w:p>
        </w:tc>
        <w:tc>
          <w:tcPr>
            <w:tcW w:w="1223" w:type="dxa"/>
            <w:gridSpan w:val="2"/>
            <w:tcBorders>
              <w:top w:val="nil"/>
              <w:left w:val="nil"/>
              <w:right w:val="nil"/>
            </w:tcBorders>
          </w:tcPr>
          <w:p>
            <w:pPr/>
          </w:p>
        </w:tc>
        <w:tc>
          <w:tcPr>
            <w:tcW w:w="1776" w:type="dxa"/>
            <w:gridSpan w:val="3"/>
            <w:tcBorders>
              <w:top w:val="nil"/>
              <w:left w:val="nil"/>
              <w:right w:val="nil"/>
            </w:tcBorders>
          </w:tcPr>
          <w:p>
            <w:pPr/>
          </w:p>
        </w:tc>
        <w:tc>
          <w:tcPr>
            <w:tcW w:w="1163" w:type="dxa"/>
            <w:tcBorders>
              <w:top w:val="nil"/>
              <w:left w:val="nil"/>
              <w:bottom w:val="nil"/>
              <w:right w:val="nil"/>
            </w:tcBorders>
          </w:tcPr>
          <w:p>
            <w:pPr/>
          </w:p>
        </w:tc>
      </w:tr>
      <w:tr>
        <w:trPr>
          <w:trHeight w:val="300" w:hRule="exact"/>
        </w:trPr>
        <w:tc>
          <w:tcPr>
            <w:tcW w:w="2730" w:type="dxa"/>
            <w:gridSpan w:val="4"/>
            <w:vMerge/>
            <w:tcBorders>
              <w:left w:val="nil"/>
              <w:bottom w:val="nil"/>
              <w:right w:val="nil"/>
            </w:tcBorders>
            <w:shd w:val="clear" w:color="auto" w:fill="BEBEBE"/>
          </w:tcPr>
          <w:p>
            <w:pPr/>
          </w:p>
        </w:tc>
        <w:tc>
          <w:tcPr>
            <w:tcW w:w="1696" w:type="dxa"/>
            <w:gridSpan w:val="3"/>
            <w:shd w:val="clear" w:color="auto" w:fill="BEBEBE"/>
          </w:tcPr>
          <w:p>
            <w:pPr>
              <w:pStyle w:val="TableParagraph"/>
              <w:spacing w:line="251" w:lineRule="exact" w:before="0"/>
              <w:ind w:left="219"/>
              <w:jc w:val="left"/>
              <w:rPr>
                <w:sz w:val="22"/>
              </w:rPr>
            </w:pPr>
            <w:r>
              <w:rPr>
                <w:sz w:val="22"/>
              </w:rPr>
              <w:t>Agua + jabón</w:t>
            </w:r>
          </w:p>
        </w:tc>
        <w:tc>
          <w:tcPr>
            <w:tcW w:w="1304" w:type="dxa"/>
            <w:gridSpan w:val="2"/>
            <w:shd w:val="clear" w:color="auto" w:fill="BEBEBE"/>
          </w:tcPr>
          <w:p>
            <w:pPr>
              <w:pStyle w:val="TableParagraph"/>
              <w:spacing w:line="251" w:lineRule="exact" w:before="0"/>
              <w:ind w:left="388"/>
              <w:jc w:val="left"/>
              <w:rPr>
                <w:sz w:val="22"/>
              </w:rPr>
            </w:pPr>
            <w:r>
              <w:rPr>
                <w:sz w:val="22"/>
              </w:rPr>
              <w:t>Agua</w:t>
            </w:r>
          </w:p>
        </w:tc>
        <w:tc>
          <w:tcPr>
            <w:tcW w:w="1163" w:type="dxa"/>
            <w:tcBorders>
              <w:top w:val="nil"/>
              <w:bottom w:val="nil"/>
              <w:right w:val="nil"/>
            </w:tcBorders>
          </w:tcPr>
          <w:p>
            <w:pPr/>
          </w:p>
        </w:tc>
      </w:tr>
    </w:tbl>
    <w:p>
      <w:pPr>
        <w:pStyle w:val="BodyText"/>
        <w:rPr>
          <w:rFonts w:ascii="Times New Roman"/>
          <w:sz w:val="20"/>
        </w:rPr>
      </w:pPr>
    </w:p>
    <w:p>
      <w:pPr>
        <w:pStyle w:val="BodyText"/>
        <w:spacing w:before="4"/>
        <w:rPr>
          <w:rFonts w:ascii="Times New Roman"/>
          <w:sz w:val="23"/>
        </w:rPr>
      </w:pPr>
    </w:p>
    <w:tbl>
      <w:tblPr>
        <w:tblW w:w="0" w:type="auto"/>
        <w:jc w:val="left"/>
        <w:tblInd w:w="138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990"/>
        <w:gridCol w:w="872"/>
        <w:gridCol w:w="1136"/>
        <w:gridCol w:w="1133"/>
        <w:gridCol w:w="2085"/>
      </w:tblGrid>
      <w:tr>
        <w:trPr>
          <w:trHeight w:val="2725" w:hRule="exact"/>
        </w:trPr>
        <w:tc>
          <w:tcPr>
            <w:tcW w:w="9216" w:type="dxa"/>
            <w:gridSpan w:val="5"/>
            <w:shd w:val="clear" w:color="auto" w:fill="F1F1F1"/>
          </w:tcPr>
          <w:p>
            <w:pPr>
              <w:pStyle w:val="TableParagraph"/>
              <w:spacing w:line="248" w:lineRule="exact" w:before="0"/>
              <w:ind w:left="28" w:right="3338"/>
              <w:jc w:val="left"/>
              <w:rPr>
                <w:b/>
                <w:sz w:val="22"/>
              </w:rPr>
            </w:pPr>
            <w:r>
              <w:rPr>
                <w:b/>
                <w:sz w:val="22"/>
              </w:rPr>
              <w:t>ANTECEDENTES PATOLÓGICOS</w:t>
            </w:r>
          </w:p>
          <w:p>
            <w:pPr>
              <w:pStyle w:val="TableParagraph"/>
              <w:spacing w:before="0"/>
              <w:jc w:val="left"/>
              <w:rPr>
                <w:rFonts w:ascii="Times New Roman"/>
                <w:sz w:val="23"/>
              </w:rPr>
            </w:pPr>
          </w:p>
          <w:p>
            <w:pPr>
              <w:pStyle w:val="TableParagraph"/>
              <w:spacing w:line="388" w:lineRule="auto" w:before="1"/>
              <w:ind w:left="28" w:right="3338"/>
              <w:jc w:val="left"/>
              <w:rPr>
                <w:sz w:val="22"/>
              </w:rPr>
            </w:pPr>
            <w:r>
              <w:rPr>
                <w:sz w:val="22"/>
              </w:rPr>
              <w:t>Consumo de medicamentos en el último mes: No Si Consumo de vitaminas o suplementos alimenticios: No Si En su familia han tenido problemas de cáncer:  No Si</w:t>
            </w:r>
          </w:p>
          <w:p>
            <w:pPr>
              <w:pStyle w:val="TableParagraph"/>
              <w:spacing w:before="68"/>
              <w:ind w:left="28"/>
              <w:jc w:val="left"/>
              <w:rPr>
                <w:sz w:val="22"/>
              </w:rPr>
            </w:pPr>
            <w:r>
              <w:rPr>
                <w:sz w:val="22"/>
              </w:rPr>
              <w:t>Usted ha presentado un aborto, niño prematuro, bajo peso o muerto al nacer: No Si</w:t>
            </w:r>
          </w:p>
        </w:tc>
      </w:tr>
      <w:tr>
        <w:trPr>
          <w:trHeight w:val="260" w:hRule="exact"/>
        </w:trPr>
        <w:tc>
          <w:tcPr>
            <w:tcW w:w="9216" w:type="dxa"/>
            <w:gridSpan w:val="5"/>
            <w:shd w:val="clear" w:color="auto" w:fill="D9D9D9"/>
          </w:tcPr>
          <w:p>
            <w:pPr>
              <w:pStyle w:val="TableParagraph"/>
              <w:spacing w:line="248" w:lineRule="exact" w:before="0"/>
              <w:ind w:left="28" w:right="3338"/>
              <w:jc w:val="left"/>
              <w:rPr>
                <w:b/>
                <w:sz w:val="22"/>
              </w:rPr>
            </w:pPr>
            <w:r>
              <w:rPr>
                <w:b/>
                <w:sz w:val="22"/>
              </w:rPr>
              <w:t>EXPOSICIÓN</w:t>
            </w:r>
          </w:p>
        </w:tc>
      </w:tr>
      <w:tr>
        <w:trPr>
          <w:trHeight w:val="304" w:hRule="exact"/>
        </w:trPr>
        <w:tc>
          <w:tcPr>
            <w:tcW w:w="3990" w:type="dxa"/>
            <w:vMerge w:val="restart"/>
            <w:shd w:val="clear" w:color="auto" w:fill="D9D9D9"/>
          </w:tcPr>
          <w:p>
            <w:pPr>
              <w:pStyle w:val="TableParagraph"/>
              <w:spacing w:line="242" w:lineRule="exact" w:before="0"/>
              <w:ind w:left="28"/>
              <w:jc w:val="left"/>
              <w:rPr>
                <w:sz w:val="22"/>
              </w:rPr>
            </w:pPr>
            <w:r>
              <w:rPr>
                <w:sz w:val="22"/>
              </w:rPr>
              <w:t>Años viviendo en su comunidad</w:t>
            </w:r>
          </w:p>
          <w:p>
            <w:pPr>
              <w:pStyle w:val="TableParagraph"/>
              <w:spacing w:before="10"/>
              <w:jc w:val="left"/>
              <w:rPr>
                <w:rFonts w:ascii="Times New Roman"/>
                <w:sz w:val="22"/>
              </w:rPr>
            </w:pPr>
          </w:p>
          <w:p>
            <w:pPr>
              <w:pStyle w:val="TableParagraph"/>
              <w:spacing w:before="0"/>
              <w:ind w:left="28"/>
              <w:jc w:val="left"/>
              <w:rPr>
                <w:sz w:val="22"/>
              </w:rPr>
            </w:pPr>
            <w:r>
              <w:rPr>
                <w:sz w:val="22"/>
              </w:rPr>
              <w:t>¿Vive en una zona florícola? No Si</w:t>
            </w:r>
          </w:p>
        </w:tc>
        <w:tc>
          <w:tcPr>
            <w:tcW w:w="872" w:type="dxa"/>
            <w:tcBorders>
              <w:top w:val="single" w:sz="4" w:space="0" w:color="000000"/>
              <w:left w:val="single" w:sz="4" w:space="0" w:color="000000"/>
              <w:bottom w:val="single" w:sz="4" w:space="0" w:color="000000"/>
              <w:right w:val="single" w:sz="4" w:space="0" w:color="000000"/>
            </w:tcBorders>
            <w:shd w:val="clear" w:color="auto" w:fill="D9D9D9"/>
          </w:tcPr>
          <w:p>
            <w:pPr>
              <w:pStyle w:val="TableParagraph"/>
              <w:spacing w:before="1"/>
              <w:ind w:left="159"/>
              <w:jc w:val="left"/>
              <w:rPr>
                <w:sz w:val="22"/>
              </w:rPr>
            </w:pPr>
            <w:r>
              <w:rPr>
                <w:sz w:val="22"/>
              </w:rPr>
              <w:t>1 año</w:t>
            </w:r>
          </w:p>
        </w:tc>
        <w:tc>
          <w:tcPr>
            <w:tcW w:w="1136" w:type="dxa"/>
            <w:tcBorders>
              <w:top w:val="single" w:sz="4" w:space="0" w:color="000000"/>
              <w:left w:val="single" w:sz="4" w:space="0" w:color="000000"/>
              <w:bottom w:val="single" w:sz="4" w:space="0" w:color="000000"/>
              <w:right w:val="single" w:sz="4" w:space="0" w:color="000000"/>
            </w:tcBorders>
            <w:shd w:val="clear" w:color="auto" w:fill="D9D9D9"/>
          </w:tcPr>
          <w:p>
            <w:pPr>
              <w:pStyle w:val="TableParagraph"/>
              <w:spacing w:before="1"/>
              <w:ind w:left="230"/>
              <w:jc w:val="left"/>
              <w:rPr>
                <w:sz w:val="22"/>
              </w:rPr>
            </w:pPr>
            <w:r>
              <w:rPr>
                <w:sz w:val="22"/>
              </w:rPr>
              <w:t>2 años</w:t>
            </w:r>
          </w:p>
        </w:tc>
        <w:tc>
          <w:tcPr>
            <w:tcW w:w="1133" w:type="dxa"/>
            <w:tcBorders>
              <w:top w:val="single" w:sz="4" w:space="0" w:color="000000"/>
              <w:left w:val="single" w:sz="4" w:space="0" w:color="000000"/>
              <w:bottom w:val="single" w:sz="4" w:space="0" w:color="000000"/>
              <w:right w:val="single" w:sz="4" w:space="0" w:color="000000"/>
            </w:tcBorders>
            <w:shd w:val="clear" w:color="auto" w:fill="D9D9D9"/>
          </w:tcPr>
          <w:p>
            <w:pPr>
              <w:pStyle w:val="TableParagraph"/>
              <w:spacing w:before="1"/>
              <w:ind w:left="230"/>
              <w:jc w:val="left"/>
              <w:rPr>
                <w:sz w:val="22"/>
              </w:rPr>
            </w:pPr>
            <w:r>
              <w:rPr>
                <w:sz w:val="22"/>
              </w:rPr>
              <w:t>5 años</w:t>
            </w:r>
          </w:p>
        </w:tc>
        <w:tc>
          <w:tcPr>
            <w:tcW w:w="2085" w:type="dxa"/>
            <w:tcBorders>
              <w:top w:val="single" w:sz="4" w:space="0" w:color="000000"/>
              <w:left w:val="single" w:sz="4" w:space="0" w:color="000000"/>
              <w:bottom w:val="single" w:sz="4" w:space="0" w:color="000000"/>
              <w:right w:val="single" w:sz="4" w:space="0" w:color="000000"/>
            </w:tcBorders>
            <w:shd w:val="clear" w:color="auto" w:fill="D9D9D9"/>
          </w:tcPr>
          <w:p>
            <w:pPr>
              <w:pStyle w:val="TableParagraph"/>
              <w:spacing w:before="1"/>
              <w:ind w:left="427"/>
              <w:jc w:val="left"/>
              <w:rPr>
                <w:sz w:val="22"/>
              </w:rPr>
            </w:pPr>
            <w:r>
              <w:rPr>
                <w:sz w:val="22"/>
              </w:rPr>
              <w:t>Toda su vida</w:t>
            </w:r>
          </w:p>
        </w:tc>
      </w:tr>
      <w:tr>
        <w:trPr>
          <w:trHeight w:val="468" w:hRule="exact"/>
        </w:trPr>
        <w:tc>
          <w:tcPr>
            <w:tcW w:w="3990" w:type="dxa"/>
            <w:vMerge/>
            <w:shd w:val="clear" w:color="auto" w:fill="D9D9D9"/>
          </w:tcPr>
          <w:p>
            <w:pPr/>
          </w:p>
        </w:tc>
        <w:tc>
          <w:tcPr>
            <w:tcW w:w="5226" w:type="dxa"/>
            <w:gridSpan w:val="4"/>
            <w:tcBorders>
              <w:top w:val="single" w:sz="4" w:space="0" w:color="000000"/>
            </w:tcBorders>
          </w:tcPr>
          <w:p>
            <w:pPr/>
          </w:p>
        </w:tc>
      </w:tr>
      <w:tr>
        <w:trPr>
          <w:trHeight w:val="778" w:hRule="exact"/>
        </w:trPr>
        <w:tc>
          <w:tcPr>
            <w:tcW w:w="9216" w:type="dxa"/>
            <w:gridSpan w:val="5"/>
            <w:shd w:val="clear" w:color="auto" w:fill="D9D9D9"/>
          </w:tcPr>
          <w:p>
            <w:pPr>
              <w:pStyle w:val="TableParagraph"/>
              <w:spacing w:before="6"/>
              <w:jc w:val="left"/>
              <w:rPr>
                <w:rFonts w:ascii="Times New Roman"/>
                <w:sz w:val="22"/>
              </w:rPr>
            </w:pPr>
          </w:p>
          <w:p>
            <w:pPr>
              <w:pStyle w:val="TableParagraph"/>
              <w:spacing w:before="0"/>
              <w:ind w:left="28" w:right="3338"/>
              <w:jc w:val="left"/>
              <w:rPr>
                <w:sz w:val="22"/>
              </w:rPr>
            </w:pPr>
            <w:r>
              <w:rPr>
                <w:sz w:val="22"/>
              </w:rPr>
              <w:t>¿Existe un invernadero cerca de su casa? No Si</w:t>
            </w:r>
          </w:p>
        </w:tc>
      </w:tr>
    </w:tbl>
    <w:p>
      <w:pPr>
        <w:spacing w:after="0"/>
        <w:jc w:val="left"/>
        <w:rPr>
          <w:sz w:val="22"/>
        </w:rPr>
        <w:sectPr>
          <w:footerReference w:type="default" r:id="rId321"/>
          <w:pgSz w:w="12240" w:h="15840"/>
          <w:pgMar w:footer="534" w:header="0" w:top="1500" w:bottom="720" w:left="0" w:right="0"/>
          <w:pgNumType w:start="130"/>
        </w:sectPr>
      </w:pPr>
    </w:p>
    <w:p>
      <w:pPr>
        <w:pStyle w:val="BodyText"/>
        <w:spacing w:before="4"/>
        <w:rPr>
          <w:rFonts w:ascii="Times New Roman"/>
          <w:sz w:val="17"/>
        </w:rPr>
      </w:pPr>
    </w:p>
    <w:p>
      <w:pPr>
        <w:spacing w:before="0"/>
        <w:ind w:left="1418" w:right="-17" w:firstLine="0"/>
        <w:jc w:val="left"/>
        <w:rPr>
          <w:sz w:val="22"/>
        </w:rPr>
      </w:pPr>
      <w:r>
        <w:rPr/>
        <w:pict>
          <v:group style="position:absolute;margin-left:69.503998pt;margin-top:-2.192117pt;width:463.2pt;height:335.6pt;mso-position-horizontal-relative:page;mso-position-vertical-relative:paragraph;z-index:-336736" coordorigin="1390,-44" coordsize="9264,6712">
            <v:shape style="position:absolute;left:1390;top:2;width:9179;height:1032" coordorigin="1390,2" coordsize="9179,1032" path="m4306,2l1390,2,1390,254,1390,509,1390,761,4306,761,4306,509,4306,254,4306,2m10569,761l1390,761,1390,1034,10569,1034,10569,761e" filled="true" fillcolor="#d9d9d9" stroked="false">
              <v:path arrowok="t"/>
              <v:fill type="solid"/>
            </v:shape>
            <v:line style="position:absolute" from="4842,766" to="5379,766" stroked="true" strokeweight=".48pt" strokecolor="#000000"/>
            <v:line style="position:absolute" from="4837,761" to="4837,1032" stroked="true" strokeweight=".48pt" strokecolor="#000000"/>
            <v:line style="position:absolute" from="5384,761" to="5384,1032" stroked="true" strokeweight=".47998pt" strokecolor="#000000"/>
            <v:line style="position:absolute" from="4842,1027" to="5379,1027" stroked="true" strokeweight=".48pt" strokecolor="#000000"/>
            <v:shape style="position:absolute;left:1390;top:1034;width:9179;height:4614" coordorigin="1390,1034" coordsize="9179,4614" path="m10569,3584l1390,3584,1390,3857,1390,4109,1390,4364,1390,4616,1390,4868,1390,5122,1390,5374,1390,5648,10569,5648,10569,5374,10569,5122,5744,5122,5744,4868,5744,4616,5744,4364,10569,4364,10569,4109,10569,3857,10569,3584m10569,3331l1390,3331,1390,3584,10569,3584,10569,3331m10569,2551l5286,2551,5286,2299,5286,2299,5286,2045,5286,1793,5346,1793,5346,1541,5346,1286,5346,1034,1390,1034,1390,1286,1390,1541,1390,1793,1390,2045,1390,2299,2110,2299,2110,2551,1390,2551,1390,2806,1390,3058,1390,3331,10569,3331,10569,3058,10569,2806,10569,2551e" filled="true" fillcolor="#d9d9d9" stroked="false">
              <v:path arrowok="t"/>
              <v:fill type="solid"/>
            </v:shape>
            <v:line style="position:absolute" from="8466,5379" to="9002,5379" stroked="true" strokeweight=".48001pt" strokecolor="#000000"/>
            <v:line style="position:absolute" from="8461,5374" to="8461,5645" stroked="true" strokeweight=".48001pt" strokecolor="#000000"/>
            <v:line style="position:absolute" from="9007,5374" to="9007,5645" stroked="true" strokeweight=".47998pt" strokecolor="#000000"/>
            <v:line style="position:absolute" from="8466,5641" to="9002,5641" stroked="true" strokeweight=".48001pt" strokecolor="#000000"/>
            <v:shape style="position:absolute;left:1390;top:5648;width:9179;height:768" coordorigin="1390,5648" coordsize="9179,768" path="m10569,5648l1390,5648,1390,5900,1390,6416,10569,6416,10569,5900,10569,5648e" filled="true" fillcolor="#d9d9d9" stroked="false">
              <v:path arrowok="t"/>
              <v:fill type="solid"/>
            </v:shape>
            <v:line style="position:absolute" from="9122,5905" to="9662,5905" stroked="true" strokeweight=".47998pt" strokecolor="#000000"/>
            <v:line style="position:absolute" from="9117,5900" to="9117,6173" stroked="true" strokeweight=".48001pt" strokecolor="#000000"/>
            <v:line style="position:absolute" from="9667,5900" to="9667,6173" stroked="true" strokeweight=".48001pt" strokecolor="#000000"/>
            <v:line style="position:absolute" from="9122,6169" to="9662,6169" stroked="true" strokeweight=".48001pt" strokecolor="#000000"/>
            <v:shape style="position:absolute;left:1390;top:-29;width:9235;height:6698" coordorigin="1390,-29" coordsize="9235,6698" path="m9064,-29l8961,-29,4532,-29,4429,-29,4429,382,9064,382,9064,-29m10569,6416l1390,6416,1390,6668,10569,6668,10569,6416m10624,-29l10521,-29,9177,-29,9074,-29,9074,382,10624,382,10624,-29e" filled="true" fillcolor="#d9d9d9" stroked="false">
              <v:path arrowok="t"/>
              <v:fill type="solid"/>
            </v:shape>
            <v:line style="position:absolute" from="4429,-34" to="9064,-34" stroked="true" strokeweight=".48pt" strokecolor="#000000"/>
            <v:line style="position:absolute" from="9074,-34" to="10624,-34" stroked="true" strokeweight=".48pt" strokecolor="#000000"/>
            <v:line style="position:absolute" from="4424,-39" to="4424,391" stroked="true" strokeweight=".48pt" strokecolor="#000000"/>
            <v:line style="position:absolute" from="4429,386" to="9064,386" stroked="true" strokeweight=".48pt" strokecolor="#000000"/>
            <v:line style="position:absolute" from="9069,-39" to="9069,391" stroked="true" strokeweight=".48001pt" strokecolor="#000000"/>
            <v:line style="position:absolute" from="9074,386" to="10624,386" stroked="true" strokeweight=".48pt" strokecolor="#000000"/>
            <v:line style="position:absolute" from="10629,-39" to="10629,391" stroked="true" strokeweight=".47998pt" strokecolor="#000000"/>
            <v:shape style="position:absolute;left:5468;top:1246;width:5176;height:581" coordorigin="5468,1246" coordsize="5176,581" path="m8118,1246l8015,1246,5571,1246,5468,1246,5468,1826,5571,1826,8015,1826,8118,1826,8118,1246m10643,1246l10540,1246,8231,1246,8128,1246,8128,1826,8231,1826,10540,1826,10643,1826,10643,1246e" filled="true" fillcolor="#d9d9d9" stroked="false">
              <v:path arrowok="t"/>
              <v:fill type="solid"/>
            </v:shape>
            <v:line style="position:absolute" from="5468,1241" to="8118,1241" stroked="true" strokeweight=".48001pt" strokecolor="#000000"/>
            <v:line style="position:absolute" from="8128,1241" to="10643,1241" stroked="true" strokeweight=".48001pt" strokecolor="#000000"/>
            <v:line style="position:absolute" from="5463,1236" to="5463,1838" stroked="true" strokeweight=".47998pt" strokecolor="#000000"/>
            <v:line style="position:absolute" from="5468,1834" to="8118,1834" stroked="true" strokeweight=".48001pt" strokecolor="#000000"/>
            <v:line style="position:absolute" from="8123,1236" to="8123,1838" stroked="true" strokeweight=".47998pt" strokecolor="#000000"/>
            <v:line style="position:absolute" from="8128,1834" to="10643,1834" stroked="true" strokeweight=".48001pt" strokecolor="#000000"/>
            <v:line style="position:absolute" from="10648,1236" to="10648,1838" stroked="true" strokeweight=".47998pt" strokecolor="#000000"/>
            <v:shape style="position:absolute;left:5408;top:1867;width:5236;height:411" coordorigin="5408,1867" coordsize="5236,411" path="m8159,1867l8056,1867,5509,1867,5408,1867,5408,2278,8159,2278,8159,1867m10643,1867l10540,1867,8272,1867,8169,1867,8169,2278,10643,2278,10643,1867e" filled="true" fillcolor="#d9d9d9" stroked="false">
              <v:path arrowok="t"/>
              <v:fill type="solid"/>
            </v:shape>
            <v:line style="position:absolute" from="5406,1862" to="8157,1862" stroked="true" strokeweight=".48pt" strokecolor="#000000"/>
            <v:line style="position:absolute" from="8166,1862" to="10643,1862" stroked="true" strokeweight=".48pt" strokecolor="#000000"/>
            <v:line style="position:absolute" from="5401,1858" to="5401,2287" stroked="true" strokeweight=".47998pt" strokecolor="#000000"/>
            <v:line style="position:absolute" from="5406,2282" to="8157,2282" stroked="true" strokeweight=".48pt" strokecolor="#000000"/>
            <v:line style="position:absolute" from="8161,1858" to="8161,2287" stroked="true" strokeweight=".48001pt" strokecolor="#000000"/>
            <v:line style="position:absolute" from="8166,2282" to="10643,2282" stroked="true" strokeweight=".48pt" strokecolor="#000000"/>
            <v:line style="position:absolute" from="10648,1858" to="10648,2287" stroked="true" strokeweight=".47998pt" strokecolor="#000000"/>
            <v:shape style="position:absolute;left:5867;top:4467;width:4777;height:291" coordorigin="5867,4467" coordsize="4777,291" path="m8284,4467l8181,4467,5970,4467,5867,4467,5867,4757,5970,4757,8181,4757,8284,4757,8284,4467m10643,4467l10540,4467,8397,4467,8293,4467,8293,4757,8397,4757,10540,4757,10643,4757,10643,4467e" filled="true" fillcolor="#d9d9d9" stroked="false">
              <v:path arrowok="t"/>
              <v:fill type="solid"/>
            </v:shape>
            <w10:wrap type="none"/>
          </v:group>
        </w:pict>
      </w:r>
      <w:r>
        <w:rPr>
          <w:sz w:val="22"/>
        </w:rPr>
        <w:t>¿Qué distancia?</w:t>
      </w:r>
    </w:p>
    <w:p>
      <w:pPr>
        <w:tabs>
          <w:tab w:pos="5240" w:val="left" w:leader="none"/>
        </w:tabs>
        <w:spacing w:before="168"/>
        <w:ind w:left="1418" w:right="0" w:firstLine="0"/>
        <w:jc w:val="left"/>
        <w:rPr>
          <w:sz w:val="22"/>
        </w:rPr>
      </w:pPr>
      <w:r>
        <w:rPr/>
        <w:br w:type="column"/>
      </w:r>
      <w:r>
        <w:rPr>
          <w:sz w:val="22"/>
        </w:rPr>
        <w:t>30 mts, 50</w:t>
      </w:r>
      <w:r>
        <w:rPr>
          <w:spacing w:val="-2"/>
          <w:sz w:val="22"/>
        </w:rPr>
        <w:t> </w:t>
      </w:r>
      <w:r>
        <w:rPr>
          <w:sz w:val="22"/>
        </w:rPr>
        <w:t>mts,100</w:t>
      </w:r>
      <w:r>
        <w:rPr>
          <w:spacing w:val="-4"/>
          <w:sz w:val="22"/>
        </w:rPr>
        <w:t> </w:t>
      </w:r>
      <w:r>
        <w:rPr>
          <w:sz w:val="22"/>
        </w:rPr>
        <w:t>mts</w:t>
        <w:tab/>
        <w:t>2 km o</w:t>
      </w:r>
      <w:r>
        <w:rPr>
          <w:spacing w:val="-1"/>
          <w:sz w:val="22"/>
        </w:rPr>
        <w:t> </w:t>
      </w:r>
      <w:r>
        <w:rPr>
          <w:sz w:val="22"/>
        </w:rPr>
        <w:t>+</w:t>
      </w:r>
    </w:p>
    <w:p>
      <w:pPr>
        <w:spacing w:after="0"/>
        <w:jc w:val="left"/>
        <w:rPr>
          <w:sz w:val="22"/>
        </w:rPr>
        <w:sectPr>
          <w:pgSz w:w="12240" w:h="15840"/>
          <w:pgMar w:header="0" w:footer="534" w:top="1500" w:bottom="780" w:left="0" w:right="0"/>
          <w:cols w:num="2" w:equalWidth="0">
            <w:col w:w="3023" w:space="1161"/>
            <w:col w:w="8056"/>
          </w:cols>
        </w:sectPr>
      </w:pPr>
    </w:p>
    <w:p>
      <w:pPr>
        <w:pStyle w:val="BodyText"/>
        <w:rPr>
          <w:sz w:val="20"/>
        </w:rPr>
      </w:pPr>
    </w:p>
    <w:p>
      <w:pPr>
        <w:pStyle w:val="BodyText"/>
        <w:spacing w:before="5"/>
        <w:rPr>
          <w:sz w:val="18"/>
        </w:rPr>
      </w:pPr>
    </w:p>
    <w:p>
      <w:pPr>
        <w:spacing w:after="0"/>
        <w:rPr>
          <w:sz w:val="18"/>
        </w:rPr>
        <w:sectPr>
          <w:type w:val="continuous"/>
          <w:pgSz w:w="12240" w:h="15840"/>
          <w:pgMar w:top="1420" w:bottom="280" w:left="0" w:right="0"/>
        </w:sectPr>
      </w:pPr>
    </w:p>
    <w:p>
      <w:pPr>
        <w:spacing w:line="489" w:lineRule="auto" w:before="73"/>
        <w:ind w:left="1418" w:right="-9" w:firstLine="0"/>
        <w:jc w:val="left"/>
        <w:rPr>
          <w:sz w:val="22"/>
        </w:rPr>
      </w:pPr>
      <w:r>
        <w:rPr>
          <w:sz w:val="22"/>
        </w:rPr>
        <w:t>¿Ha trabajado en un invernadero? No Si Con que frecuencia:</w:t>
      </w:r>
    </w:p>
    <w:p>
      <w:pPr>
        <w:pStyle w:val="BodyText"/>
        <w:rPr>
          <w:sz w:val="22"/>
        </w:rPr>
      </w:pPr>
      <w:r>
        <w:rPr/>
        <w:br w:type="column"/>
      </w:r>
      <w:r>
        <w:rPr>
          <w:sz w:val="22"/>
        </w:rPr>
      </w:r>
    </w:p>
    <w:p>
      <w:pPr>
        <w:pStyle w:val="BodyText"/>
        <w:spacing w:before="7"/>
        <w:rPr>
          <w:sz w:val="25"/>
        </w:rPr>
      </w:pPr>
    </w:p>
    <w:p>
      <w:pPr>
        <w:spacing w:before="1"/>
        <w:ind w:left="1065" w:right="196" w:firstLine="0"/>
        <w:jc w:val="center"/>
        <w:rPr>
          <w:sz w:val="22"/>
        </w:rPr>
      </w:pPr>
      <w:r>
        <w:rPr>
          <w:sz w:val="22"/>
        </w:rPr>
        <w:t>Diario</w:t>
      </w:r>
    </w:p>
    <w:p>
      <w:pPr>
        <w:pStyle w:val="ListParagraph"/>
        <w:numPr>
          <w:ilvl w:val="0"/>
          <w:numId w:val="31"/>
        </w:numPr>
        <w:tabs>
          <w:tab w:pos="1056" w:val="left" w:leader="none"/>
        </w:tabs>
        <w:spacing w:line="240" w:lineRule="auto" w:before="37" w:after="0"/>
        <w:ind w:left="1056" w:right="0" w:hanging="185"/>
        <w:jc w:val="center"/>
        <w:rPr>
          <w:sz w:val="22"/>
        </w:rPr>
      </w:pPr>
      <w:r>
        <w:rPr>
          <w:sz w:val="22"/>
        </w:rPr>
        <w:t>v. x sem</w:t>
      </w:r>
    </w:p>
    <w:p>
      <w:pPr>
        <w:pStyle w:val="BodyText"/>
        <w:rPr>
          <w:sz w:val="22"/>
        </w:rPr>
      </w:pPr>
      <w:r>
        <w:rPr/>
        <w:br w:type="column"/>
      </w:r>
      <w:r>
        <w:rPr>
          <w:sz w:val="22"/>
        </w:rPr>
      </w:r>
    </w:p>
    <w:p>
      <w:pPr>
        <w:pStyle w:val="BodyText"/>
        <w:spacing w:before="7"/>
        <w:rPr>
          <w:sz w:val="25"/>
        </w:rPr>
      </w:pPr>
    </w:p>
    <w:p>
      <w:pPr>
        <w:spacing w:line="276" w:lineRule="auto" w:before="1"/>
        <w:ind w:left="1558" w:right="2334" w:hanging="140"/>
        <w:jc w:val="left"/>
        <w:rPr>
          <w:sz w:val="22"/>
        </w:rPr>
      </w:pPr>
      <w:r>
        <w:rPr>
          <w:sz w:val="22"/>
        </w:rPr>
        <w:t>1 v. x mes 1 x año</w:t>
      </w:r>
    </w:p>
    <w:p>
      <w:pPr>
        <w:spacing w:after="0" w:line="276" w:lineRule="auto"/>
        <w:jc w:val="left"/>
        <w:rPr>
          <w:sz w:val="22"/>
        </w:rPr>
        <w:sectPr>
          <w:type w:val="continuous"/>
          <w:pgSz w:w="12240" w:h="15840"/>
          <w:pgMar w:top="1420" w:bottom="280" w:left="0" w:right="0"/>
          <w:cols w:num="3" w:equalWidth="0">
            <w:col w:w="5380" w:space="40"/>
            <w:col w:w="1877" w:space="168"/>
            <w:col w:w="4775"/>
          </w:cols>
        </w:sectPr>
      </w:pPr>
    </w:p>
    <w:p>
      <w:pPr>
        <w:spacing w:line="220" w:lineRule="exact" w:before="0"/>
        <w:ind w:left="1418" w:right="-20" w:firstLine="0"/>
        <w:jc w:val="left"/>
        <w:rPr>
          <w:sz w:val="22"/>
        </w:rPr>
      </w:pPr>
      <w:r>
        <w:rPr>
          <w:sz w:val="22"/>
        </w:rPr>
        <w:t>Trabaja:</w:t>
      </w:r>
    </w:p>
    <w:p>
      <w:pPr>
        <w:tabs>
          <w:tab w:pos="4088" w:val="left" w:leader="none"/>
        </w:tabs>
        <w:spacing w:before="41"/>
        <w:ind w:left="1418" w:right="0" w:firstLine="0"/>
        <w:jc w:val="left"/>
        <w:rPr>
          <w:sz w:val="22"/>
        </w:rPr>
      </w:pPr>
      <w:r>
        <w:rPr/>
        <w:br w:type="column"/>
      </w:r>
      <w:r>
        <w:rPr>
          <w:sz w:val="22"/>
        </w:rPr>
        <w:t>Dentro</w:t>
      </w:r>
      <w:r>
        <w:rPr>
          <w:spacing w:val="-1"/>
          <w:sz w:val="22"/>
        </w:rPr>
        <w:t> </w:t>
      </w:r>
      <w:r>
        <w:rPr>
          <w:sz w:val="22"/>
        </w:rPr>
        <w:t>del</w:t>
      </w:r>
      <w:r>
        <w:rPr>
          <w:spacing w:val="-4"/>
          <w:sz w:val="22"/>
        </w:rPr>
        <w:t> </w:t>
      </w:r>
      <w:r>
        <w:rPr>
          <w:sz w:val="22"/>
        </w:rPr>
        <w:t>invernadero</w:t>
        <w:tab/>
        <w:t>Fuera del invernadero</w:t>
      </w:r>
    </w:p>
    <w:p>
      <w:pPr>
        <w:spacing w:after="0"/>
        <w:jc w:val="left"/>
        <w:rPr>
          <w:sz w:val="22"/>
        </w:rPr>
        <w:sectPr>
          <w:type w:val="continuous"/>
          <w:pgSz w:w="12240" w:h="15840"/>
          <w:pgMar w:top="1420" w:bottom="280" w:left="0" w:right="0"/>
          <w:cols w:num="2" w:equalWidth="0">
            <w:col w:w="2226" w:space="2015"/>
            <w:col w:w="7999"/>
          </w:cols>
        </w:sectPr>
      </w:pPr>
    </w:p>
    <w:p>
      <w:pPr>
        <w:pStyle w:val="BodyText"/>
        <w:rPr>
          <w:sz w:val="20"/>
        </w:rPr>
      </w:pPr>
    </w:p>
    <w:p>
      <w:pPr>
        <w:pStyle w:val="BodyText"/>
        <w:spacing w:before="5"/>
        <w:rPr>
          <w:sz w:val="17"/>
        </w:rPr>
      </w:pPr>
    </w:p>
    <w:p>
      <w:pPr>
        <w:tabs>
          <w:tab w:pos="9539" w:val="left" w:leader="none"/>
        </w:tabs>
        <w:spacing w:before="0"/>
        <w:ind w:left="1418" w:right="1703" w:firstLine="0"/>
        <w:jc w:val="left"/>
        <w:rPr>
          <w:sz w:val="22"/>
        </w:rPr>
      </w:pPr>
      <w:r>
        <w:rPr>
          <w:sz w:val="22"/>
        </w:rPr>
        <w:t>¿Qué actividad</w:t>
      </w:r>
      <w:r>
        <w:rPr>
          <w:spacing w:val="-12"/>
          <w:sz w:val="22"/>
        </w:rPr>
        <w:t> </w:t>
      </w:r>
      <w:r>
        <w:rPr>
          <w:sz w:val="22"/>
        </w:rPr>
        <w:t>realiza?</w:t>
      </w:r>
      <w:r>
        <w:rPr>
          <w:w w:val="100"/>
          <w:sz w:val="22"/>
          <w:u w:val="single"/>
        </w:rPr>
        <w:t> </w:t>
      </w:r>
      <w:r>
        <w:rPr>
          <w:sz w:val="22"/>
          <w:u w:val="single"/>
        </w:rPr>
        <w:tab/>
      </w:r>
    </w:p>
    <w:p>
      <w:pPr>
        <w:pStyle w:val="BodyText"/>
        <w:spacing w:before="6"/>
        <w:rPr>
          <w:sz w:val="16"/>
        </w:rPr>
      </w:pPr>
    </w:p>
    <w:p>
      <w:pPr>
        <w:spacing w:before="73"/>
        <w:ind w:left="1418" w:right="1703" w:firstLine="0"/>
        <w:jc w:val="left"/>
        <w:rPr>
          <w:sz w:val="22"/>
        </w:rPr>
      </w:pPr>
      <w:r>
        <w:rPr/>
        <w:pict>
          <v:shape style="position:absolute;margin-left:227.809998pt;margin-top:3.527888pt;width:24.4pt;height:13.1pt;mso-position-horizontal-relative:page;mso-position-vertical-relative:paragraph;z-index:4240" type="#_x0000_t202" filled="true" fillcolor="#d9d9d9" stroked="true" strokeweight=".48pt" strokecolor="#000000">
            <v:textbox inset="0,0,0,0">
              <w:txbxContent>
                <w:p>
                  <w:pPr>
                    <w:spacing w:line="251" w:lineRule="exact" w:before="0"/>
                    <w:ind w:left="0" w:right="-9" w:firstLine="0"/>
                    <w:jc w:val="left"/>
                    <w:rPr>
                      <w:sz w:val="22"/>
                    </w:rPr>
                  </w:pPr>
                  <w:r>
                    <w:rPr>
                      <w:sz w:val="22"/>
                    </w:rPr>
                    <w:t>NoSi</w:t>
                  </w:r>
                </w:p>
              </w:txbxContent>
            </v:textbox>
            <v:fill type="solid"/>
            <w10:wrap type="none"/>
          </v:shape>
        </w:pict>
      </w:r>
      <w:r>
        <w:rPr>
          <w:sz w:val="22"/>
        </w:rPr>
        <w:t>¿Ha aplicado algún plaguicida?</w:t>
      </w:r>
    </w:p>
    <w:p>
      <w:pPr>
        <w:pStyle w:val="BodyText"/>
        <w:spacing w:before="5"/>
        <w:rPr>
          <w:sz w:val="17"/>
        </w:rPr>
      </w:pPr>
    </w:p>
    <w:p>
      <w:pPr>
        <w:spacing w:before="72"/>
        <w:ind w:left="1418" w:right="1703" w:firstLine="0"/>
        <w:jc w:val="left"/>
        <w:rPr>
          <w:sz w:val="22"/>
        </w:rPr>
      </w:pPr>
      <w:r>
        <w:rPr/>
        <w:pict>
          <v:shape style="position:absolute;margin-left:331.869995pt;margin-top:3.47789pt;width:27.4pt;height:13.1pt;mso-position-horizontal-relative:page;mso-position-vertical-relative:paragraph;z-index:4264" type="#_x0000_t202" filled="true" fillcolor="#d9d9d9" stroked="true" strokeweight=".48001pt" strokecolor="#000000">
            <v:textbox inset="0,0,0,0">
              <w:txbxContent>
                <w:p>
                  <w:pPr>
                    <w:spacing w:line="251" w:lineRule="exact" w:before="0"/>
                    <w:ind w:left="-1" w:right="-7" w:firstLine="0"/>
                    <w:jc w:val="left"/>
                    <w:rPr>
                      <w:sz w:val="22"/>
                    </w:rPr>
                  </w:pPr>
                  <w:r>
                    <w:rPr>
                      <w:sz w:val="22"/>
                    </w:rPr>
                    <w:t>No</w:t>
                  </w:r>
                  <w:r>
                    <w:rPr>
                      <w:spacing w:val="-2"/>
                      <w:sz w:val="22"/>
                    </w:rPr>
                    <w:t> </w:t>
                  </w:r>
                  <w:r>
                    <w:rPr>
                      <w:sz w:val="22"/>
                    </w:rPr>
                    <w:t>Si</w:t>
                  </w:r>
                </w:p>
              </w:txbxContent>
            </v:textbox>
            <v:fill type="solid"/>
            <w10:wrap type="none"/>
          </v:shape>
        </w:pict>
      </w:r>
      <w:r>
        <w:rPr>
          <w:sz w:val="22"/>
        </w:rPr>
        <w:t>¿Usa alguna protección cuando aplica el plaguicida?</w:t>
      </w:r>
    </w:p>
    <w:p>
      <w:pPr>
        <w:pStyle w:val="BodyText"/>
        <w:spacing w:before="6"/>
        <w:rPr>
          <w:sz w:val="16"/>
        </w:rPr>
      </w:pPr>
    </w:p>
    <w:p>
      <w:pPr>
        <w:spacing w:before="73"/>
        <w:ind w:left="1418" w:right="1703" w:firstLine="0"/>
        <w:jc w:val="left"/>
        <w:rPr>
          <w:sz w:val="22"/>
        </w:rPr>
      </w:pPr>
      <w:r>
        <w:rPr>
          <w:sz w:val="22"/>
        </w:rPr>
        <w:t>¿Donde coloca la ropa que usa en el invernadero?</w:t>
      </w:r>
    </w:p>
    <w:p>
      <w:pPr>
        <w:pStyle w:val="BodyText"/>
        <w:rPr>
          <w:sz w:val="20"/>
        </w:rPr>
      </w:pPr>
    </w:p>
    <w:p>
      <w:pPr>
        <w:pStyle w:val="BodyText"/>
        <w:rPr>
          <w:sz w:val="20"/>
        </w:rPr>
      </w:pPr>
    </w:p>
    <w:p>
      <w:pPr>
        <w:pStyle w:val="BodyText"/>
        <w:rPr>
          <w:sz w:val="20"/>
        </w:rPr>
      </w:pPr>
    </w:p>
    <w:p>
      <w:pPr>
        <w:pStyle w:val="BodyText"/>
        <w:spacing w:before="5"/>
        <w:rPr>
          <w:sz w:val="22"/>
        </w:rPr>
      </w:pPr>
    </w:p>
    <w:p>
      <w:pPr>
        <w:spacing w:before="73"/>
        <w:ind w:left="1418" w:right="1703" w:firstLine="0"/>
        <w:jc w:val="left"/>
        <w:rPr>
          <w:sz w:val="22"/>
        </w:rPr>
      </w:pPr>
      <w:r>
        <w:rPr/>
        <w:pict>
          <v:shape style="position:absolute;margin-left:290.027008pt;margin-top:-44.892128pt;width:240.75pt;height:113.1pt;mso-position-horizontal-relative:page;mso-position-vertical-relative:paragraph;z-index:4288"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83"/>
                    <w:gridCol w:w="2316"/>
                  </w:tblGrid>
                  <w:tr>
                    <w:trPr>
                      <w:trHeight w:val="347" w:hRule="exact"/>
                    </w:trPr>
                    <w:tc>
                      <w:tcPr>
                        <w:tcW w:w="2483" w:type="dxa"/>
                        <w:shd w:val="clear" w:color="auto" w:fill="D9D9D9"/>
                      </w:tcPr>
                      <w:p>
                        <w:pPr>
                          <w:pStyle w:val="TableParagraph"/>
                          <w:spacing w:before="44"/>
                          <w:ind w:left="414"/>
                          <w:jc w:val="left"/>
                          <w:rPr>
                            <w:sz w:val="22"/>
                          </w:rPr>
                        </w:pPr>
                        <w:r>
                          <w:rPr>
                            <w:sz w:val="22"/>
                          </w:rPr>
                          <w:t>Fuera de su casa</w:t>
                        </w:r>
                      </w:p>
                    </w:tc>
                    <w:tc>
                      <w:tcPr>
                        <w:tcW w:w="2316" w:type="dxa"/>
                        <w:shd w:val="clear" w:color="auto" w:fill="D9D9D9"/>
                      </w:tcPr>
                      <w:p>
                        <w:pPr>
                          <w:pStyle w:val="TableParagraph"/>
                          <w:spacing w:before="44"/>
                          <w:ind w:left="280"/>
                          <w:jc w:val="left"/>
                          <w:rPr>
                            <w:sz w:val="22"/>
                          </w:rPr>
                        </w:pPr>
                        <w:r>
                          <w:rPr>
                            <w:sz w:val="22"/>
                          </w:rPr>
                          <w:t>Dentro de su casa</w:t>
                        </w:r>
                      </w:p>
                    </w:tc>
                  </w:tr>
                  <w:tr>
                    <w:trPr>
                      <w:trHeight w:val="360" w:hRule="exact"/>
                    </w:trPr>
                    <w:tc>
                      <w:tcPr>
                        <w:tcW w:w="4800" w:type="dxa"/>
                        <w:gridSpan w:val="2"/>
                        <w:tcBorders>
                          <w:left w:val="nil"/>
                          <w:bottom w:val="nil"/>
                          <w:right w:val="nil"/>
                        </w:tcBorders>
                      </w:tcPr>
                      <w:p>
                        <w:pPr/>
                      </w:p>
                    </w:tc>
                  </w:tr>
                  <w:tr>
                    <w:trPr>
                      <w:trHeight w:val="1546" w:hRule="exact"/>
                    </w:trPr>
                    <w:tc>
                      <w:tcPr>
                        <w:tcW w:w="4800" w:type="dxa"/>
                        <w:gridSpan w:val="2"/>
                        <w:tcBorders>
                          <w:top w:val="nil"/>
                          <w:left w:val="nil"/>
                          <w:bottom w:val="nil"/>
                          <w:right w:val="nil"/>
                        </w:tcBorders>
                        <w:shd w:val="clear" w:color="auto" w:fill="D9D9D9"/>
                      </w:tcPr>
                      <w:p>
                        <w:pPr>
                          <w:pStyle w:val="TableParagraph"/>
                          <w:spacing w:before="6"/>
                          <w:jc w:val="left"/>
                          <w:rPr>
                            <w:sz w:val="22"/>
                          </w:rPr>
                        </w:pPr>
                      </w:p>
                      <w:p>
                        <w:pPr>
                          <w:pStyle w:val="TableParagraph"/>
                          <w:spacing w:before="0"/>
                          <w:ind w:left="-46"/>
                          <w:jc w:val="left"/>
                          <w:rPr>
                            <w:sz w:val="22"/>
                          </w:rPr>
                        </w:pPr>
                        <w:r>
                          <w:rPr>
                            <w:sz w:val="22"/>
                          </w:rPr>
                          <w:t>ad dentro del invernadero? No Si</w:t>
                        </w:r>
                      </w:p>
                      <w:p>
                        <w:pPr>
                          <w:pStyle w:val="TableParagraph"/>
                          <w:spacing w:before="10"/>
                          <w:jc w:val="left"/>
                          <w:rPr>
                            <w:sz w:val="23"/>
                          </w:rPr>
                        </w:pPr>
                      </w:p>
                      <w:p>
                        <w:pPr>
                          <w:pStyle w:val="TableParagraph"/>
                          <w:spacing w:before="0"/>
                          <w:ind w:left="-20"/>
                          <w:jc w:val="left"/>
                          <w:rPr>
                            <w:sz w:val="22"/>
                          </w:rPr>
                        </w:pPr>
                        <w:r>
                          <w:rPr>
                            <w:sz w:val="22"/>
                          </w:rPr>
                          <w:t>va junto con la de toda la familia? No Si</w:t>
                        </w:r>
                      </w:p>
                      <w:p>
                        <w:pPr>
                          <w:pStyle w:val="TableParagraph"/>
                          <w:spacing w:before="9"/>
                          <w:jc w:val="left"/>
                          <w:rPr>
                            <w:sz w:val="21"/>
                          </w:rPr>
                        </w:pPr>
                      </w:p>
                      <w:p>
                        <w:pPr>
                          <w:pStyle w:val="TableParagraph"/>
                          <w:spacing w:before="0"/>
                          <w:ind w:left="-46"/>
                          <w:jc w:val="left"/>
                          <w:rPr>
                            <w:sz w:val="22"/>
                          </w:rPr>
                        </w:pPr>
                        <w:r>
                          <w:rPr>
                            <w:w w:val="100"/>
                            <w:sz w:val="22"/>
                          </w:rPr>
                          <w:t>?</w:t>
                        </w:r>
                      </w:p>
                    </w:tc>
                  </w:tr>
                </w:tbl>
                <w:p>
                  <w:pPr>
                    <w:pStyle w:val="BodyText"/>
                  </w:pPr>
                </w:p>
              </w:txbxContent>
            </v:textbox>
            <w10:wrap type="none"/>
          </v:shape>
        </w:pict>
      </w:r>
      <w:r>
        <w:rPr>
          <w:sz w:val="22"/>
        </w:rPr>
        <w:t>¿Se baña después de realizar alguna activid</w:t>
      </w:r>
    </w:p>
    <w:p>
      <w:pPr>
        <w:pStyle w:val="BodyText"/>
        <w:spacing w:before="6"/>
        <w:rPr>
          <w:sz w:val="17"/>
        </w:rPr>
      </w:pPr>
    </w:p>
    <w:p>
      <w:pPr>
        <w:spacing w:before="73"/>
        <w:ind w:left="1418" w:right="1703" w:firstLine="0"/>
        <w:jc w:val="left"/>
        <w:rPr>
          <w:sz w:val="22"/>
        </w:rPr>
      </w:pPr>
      <w:r>
        <w:rPr>
          <w:sz w:val="22"/>
        </w:rPr>
        <w:t>La ropa que  se usa en el invernadero, ¿la la</w:t>
      </w:r>
    </w:p>
    <w:p>
      <w:pPr>
        <w:pStyle w:val="BodyText"/>
        <w:spacing w:before="5"/>
        <w:rPr>
          <w:sz w:val="15"/>
        </w:rPr>
      </w:pPr>
    </w:p>
    <w:p>
      <w:pPr>
        <w:spacing w:before="73"/>
        <w:ind w:left="1418" w:right="1703" w:firstLine="0"/>
        <w:jc w:val="left"/>
        <w:rPr>
          <w:sz w:val="22"/>
        </w:rPr>
      </w:pPr>
      <w:r>
        <w:rPr>
          <w:sz w:val="22"/>
        </w:rPr>
        <w:t>¿Qué hace con el (los) envase (es) vacío (s)</w:t>
      </w:r>
    </w:p>
    <w:p>
      <w:pPr>
        <w:pStyle w:val="BodyText"/>
        <w:spacing w:before="5"/>
        <w:rPr>
          <w:sz w:val="16"/>
        </w:rPr>
      </w:pPr>
    </w:p>
    <w:tbl>
      <w:tblPr>
        <w:tblW w:w="0" w:type="auto"/>
        <w:jc w:val="left"/>
        <w:tblInd w:w="30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23"/>
        <w:gridCol w:w="1524"/>
        <w:gridCol w:w="1560"/>
        <w:gridCol w:w="1561"/>
        <w:gridCol w:w="1418"/>
      </w:tblGrid>
      <w:tr>
        <w:trPr>
          <w:trHeight w:val="881" w:hRule="exact"/>
        </w:trPr>
        <w:tc>
          <w:tcPr>
            <w:tcW w:w="1523" w:type="dxa"/>
            <w:shd w:val="clear" w:color="auto" w:fill="D9D9D9"/>
          </w:tcPr>
          <w:p>
            <w:pPr>
              <w:pStyle w:val="TableParagraph"/>
              <w:spacing w:line="276" w:lineRule="auto" w:before="0"/>
              <w:ind w:left="125" w:right="124" w:hanging="1"/>
              <w:rPr>
                <w:sz w:val="22"/>
              </w:rPr>
            </w:pPr>
            <w:r>
              <w:rPr>
                <w:sz w:val="22"/>
              </w:rPr>
              <w:t>Los utiliza para guardar cosas</w:t>
            </w:r>
          </w:p>
        </w:tc>
        <w:tc>
          <w:tcPr>
            <w:tcW w:w="1524" w:type="dxa"/>
            <w:shd w:val="clear" w:color="auto" w:fill="D9D9D9"/>
          </w:tcPr>
          <w:p>
            <w:pPr>
              <w:pStyle w:val="TableParagraph"/>
              <w:spacing w:line="276" w:lineRule="auto" w:before="0"/>
              <w:ind w:left="376" w:right="98" w:hanging="264"/>
              <w:jc w:val="left"/>
              <w:rPr>
                <w:sz w:val="22"/>
              </w:rPr>
            </w:pPr>
            <w:r>
              <w:rPr>
                <w:sz w:val="22"/>
              </w:rPr>
              <w:t>Almacena en su casa</w:t>
            </w:r>
          </w:p>
        </w:tc>
        <w:tc>
          <w:tcPr>
            <w:tcW w:w="1560" w:type="dxa"/>
            <w:shd w:val="clear" w:color="auto" w:fill="D9D9D9"/>
          </w:tcPr>
          <w:p>
            <w:pPr>
              <w:pStyle w:val="TableParagraph"/>
              <w:spacing w:line="276" w:lineRule="auto" w:before="0"/>
              <w:ind w:left="151" w:right="149" w:hanging="2"/>
              <w:rPr>
                <w:sz w:val="22"/>
              </w:rPr>
            </w:pPr>
            <w:r>
              <w:rPr>
                <w:sz w:val="22"/>
              </w:rPr>
              <w:t>Tira en el camión de la basura</w:t>
            </w:r>
          </w:p>
        </w:tc>
        <w:tc>
          <w:tcPr>
            <w:tcW w:w="1561" w:type="dxa"/>
            <w:shd w:val="clear" w:color="auto" w:fill="D9D9D9"/>
          </w:tcPr>
          <w:p>
            <w:pPr>
              <w:pStyle w:val="TableParagraph"/>
              <w:tabs>
                <w:tab w:pos="723" w:val="left" w:leader="none"/>
                <w:tab w:pos="1206" w:val="left" w:leader="none"/>
              </w:tabs>
              <w:spacing w:line="276" w:lineRule="auto" w:before="0"/>
              <w:ind w:left="105" w:right="97"/>
              <w:jc w:val="left"/>
              <w:rPr>
                <w:sz w:val="22"/>
              </w:rPr>
            </w:pPr>
            <w:r>
              <w:rPr>
                <w:sz w:val="22"/>
              </w:rPr>
              <w:t>Tira</w:t>
              <w:tab/>
              <w:t>en</w:t>
              <w:tab/>
              <w:t>un contenedor especial</w:t>
            </w:r>
          </w:p>
        </w:tc>
        <w:tc>
          <w:tcPr>
            <w:tcW w:w="1418" w:type="dxa"/>
            <w:shd w:val="clear" w:color="auto" w:fill="D9D9D9"/>
          </w:tcPr>
          <w:p>
            <w:pPr>
              <w:pStyle w:val="TableParagraph"/>
              <w:spacing w:line="251" w:lineRule="exact" w:before="0"/>
              <w:ind w:left="343"/>
              <w:jc w:val="left"/>
              <w:rPr>
                <w:sz w:val="22"/>
              </w:rPr>
            </w:pPr>
            <w:r>
              <w:rPr>
                <w:sz w:val="22"/>
              </w:rPr>
              <w:t>Quema</w:t>
            </w:r>
          </w:p>
        </w:tc>
      </w:tr>
    </w:tbl>
    <w:p>
      <w:pPr>
        <w:pStyle w:val="BodyText"/>
        <w:spacing w:before="5"/>
        <w:rPr>
          <w:sz w:val="29"/>
        </w:rPr>
      </w:pPr>
    </w:p>
    <w:p>
      <w:pPr>
        <w:pStyle w:val="BodyText"/>
        <w:spacing w:before="70"/>
        <w:ind w:left="1418" w:right="1703"/>
      </w:pPr>
      <w:r>
        <w:rPr/>
        <w:t>OBSERVACIONES</w:t>
      </w:r>
    </w:p>
    <w:p>
      <w:pPr>
        <w:pStyle w:val="BodyText"/>
        <w:rPr>
          <w:sz w:val="20"/>
        </w:rPr>
      </w:pPr>
    </w:p>
    <w:p>
      <w:pPr>
        <w:pStyle w:val="BodyText"/>
        <w:spacing w:before="3"/>
        <w:rPr>
          <w:sz w:val="16"/>
        </w:rPr>
      </w:pPr>
      <w:r>
        <w:rPr/>
        <w:pict>
          <v:group style="position:absolute;margin-left:70.543999pt;margin-top:11.327987pt;width:441.1pt;height:.8pt;mso-position-horizontal-relative:page;mso-position-vertical-relative:paragraph;z-index:4144;mso-wrap-distance-left:0;mso-wrap-distance-right:0" coordorigin="1411,227" coordsize="8822,16">
            <v:line style="position:absolute" from="1419,235" to="6220,235" stroked="true" strokeweight=".756pt" strokecolor="#000000"/>
            <v:line style="position:absolute" from="6224,235" to="10225,235" stroked="true" strokeweight=".756pt" strokecolor="#000000"/>
            <w10:wrap type="topAndBottom"/>
          </v:group>
        </w:pict>
      </w:r>
    </w:p>
    <w:p>
      <w:pPr>
        <w:pStyle w:val="BodyText"/>
        <w:rPr>
          <w:sz w:val="20"/>
        </w:rPr>
      </w:pPr>
    </w:p>
    <w:p>
      <w:pPr>
        <w:pStyle w:val="BodyText"/>
        <w:spacing w:before="2"/>
        <w:rPr>
          <w:sz w:val="14"/>
        </w:rPr>
      </w:pPr>
      <w:r>
        <w:rPr/>
        <w:pict>
          <v:line style="position:absolute;mso-position-horizontal-relative:page;mso-position-vertical-relative:paragraph;z-index:4168;mso-wrap-distance-left:0;mso-wrap-distance-right:0" from="70.944pt,10.530981pt" to="524.352022pt,10.530981pt" stroked="true" strokeweight=".756pt" strokecolor="#000000">
            <w10:wrap type="topAndBottom"/>
          </v:line>
        </w:pict>
      </w:r>
      <w:r>
        <w:rPr/>
        <w:pict>
          <v:group style="position:absolute;margin-left:70.543999pt;margin-top:30.770981pt;width:427.8pt;height:.8pt;mso-position-horizontal-relative:page;mso-position-vertical-relative:paragraph;z-index:4192;mso-wrap-distance-left:0;mso-wrap-distance-right:0" coordorigin="1411,615" coordsize="8556,16">
            <v:line style="position:absolute" from="1419,623" to="6220,623" stroked="true" strokeweight=".756pt" strokecolor="#000000"/>
            <v:line style="position:absolute" from="6224,623" to="9958,623" stroked="true" strokeweight=".756pt" strokecolor="#000000"/>
            <w10:wrap type="topAndBottom"/>
          </v:group>
        </w:pict>
      </w:r>
    </w:p>
    <w:p>
      <w:pPr>
        <w:pStyle w:val="BodyText"/>
        <w:spacing w:before="6"/>
        <w:rPr>
          <w:sz w:val="28"/>
        </w:rPr>
      </w:pPr>
    </w:p>
    <w:p>
      <w:pPr>
        <w:spacing w:after="0"/>
        <w:rPr>
          <w:sz w:val="28"/>
        </w:rPr>
        <w:sectPr>
          <w:type w:val="continuous"/>
          <w:pgSz w:w="12240" w:h="15840"/>
          <w:pgMar w:top="1420" w:bottom="280" w:left="0" w:right="0"/>
        </w:sectPr>
      </w:pPr>
    </w:p>
    <w:p>
      <w:pPr>
        <w:pStyle w:val="BodyText"/>
        <w:spacing w:before="1"/>
        <w:rPr>
          <w:sz w:val="11"/>
        </w:rPr>
      </w:pPr>
    </w:p>
    <w:p>
      <w:pPr>
        <w:pStyle w:val="Heading4"/>
        <w:spacing w:before="70"/>
        <w:ind w:left="1418" w:right="1839"/>
      </w:pPr>
      <w:r>
        <w:rPr/>
        <w:t>Anexo 2. Conteo individual de micronúcleos y alteraciones nucleares de niños expuestos</w:t>
      </w:r>
    </w:p>
    <w:p>
      <w:pPr>
        <w:pStyle w:val="BodyText"/>
        <w:spacing w:before="4"/>
        <w:rPr>
          <w:b/>
        </w:rPr>
      </w:pPr>
    </w:p>
    <w:tbl>
      <w:tblPr>
        <w:tblW w:w="0" w:type="auto"/>
        <w:jc w:val="left"/>
        <w:tblInd w:w="13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27"/>
        <w:gridCol w:w="1094"/>
        <w:gridCol w:w="1246"/>
        <w:gridCol w:w="1115"/>
        <w:gridCol w:w="1044"/>
        <w:gridCol w:w="1043"/>
        <w:gridCol w:w="1055"/>
        <w:gridCol w:w="1132"/>
        <w:gridCol w:w="991"/>
      </w:tblGrid>
      <w:tr>
        <w:trPr>
          <w:trHeight w:val="518" w:hRule="exact"/>
        </w:trPr>
        <w:tc>
          <w:tcPr>
            <w:tcW w:w="1027" w:type="dxa"/>
            <w:vMerge w:val="restart"/>
            <w:tcBorders>
              <w:right w:val="dotted" w:sz="4" w:space="0" w:color="000000"/>
            </w:tcBorders>
          </w:tcPr>
          <w:p>
            <w:pPr>
              <w:pStyle w:val="TableParagraph"/>
              <w:spacing w:before="10"/>
              <w:jc w:val="left"/>
              <w:rPr>
                <w:b/>
                <w:sz w:val="31"/>
              </w:rPr>
            </w:pPr>
          </w:p>
          <w:p>
            <w:pPr>
              <w:pStyle w:val="TableParagraph"/>
              <w:spacing w:before="0"/>
              <w:ind w:left="290"/>
              <w:jc w:val="left"/>
              <w:rPr>
                <w:rFonts w:ascii="Calibri" w:hAnsi="Calibri"/>
                <w:b/>
                <w:sz w:val="22"/>
              </w:rPr>
            </w:pPr>
            <w:r>
              <w:rPr>
                <w:rFonts w:ascii="Calibri" w:hAnsi="Calibri"/>
                <w:b/>
                <w:sz w:val="22"/>
              </w:rPr>
              <w:t>Niño</w:t>
            </w:r>
          </w:p>
        </w:tc>
        <w:tc>
          <w:tcPr>
            <w:tcW w:w="1094" w:type="dxa"/>
            <w:vMerge w:val="restart"/>
            <w:tcBorders>
              <w:left w:val="dotted" w:sz="4" w:space="0" w:color="000000"/>
              <w:right w:val="dotted" w:sz="4" w:space="0" w:color="000000"/>
            </w:tcBorders>
          </w:tcPr>
          <w:p>
            <w:pPr>
              <w:pStyle w:val="TableParagraph"/>
              <w:spacing w:before="10"/>
              <w:jc w:val="left"/>
              <w:rPr>
                <w:b/>
                <w:sz w:val="31"/>
              </w:rPr>
            </w:pPr>
          </w:p>
          <w:p>
            <w:pPr>
              <w:pStyle w:val="TableParagraph"/>
              <w:spacing w:before="0"/>
              <w:ind w:left="352" w:right="354"/>
              <w:rPr>
                <w:rFonts w:ascii="Calibri"/>
                <w:b/>
                <w:sz w:val="22"/>
              </w:rPr>
            </w:pPr>
            <w:r>
              <w:rPr>
                <w:rFonts w:ascii="Calibri"/>
                <w:b/>
                <w:sz w:val="22"/>
              </w:rPr>
              <w:t>MN</w:t>
            </w:r>
          </w:p>
        </w:tc>
        <w:tc>
          <w:tcPr>
            <w:tcW w:w="6635" w:type="dxa"/>
            <w:gridSpan w:val="6"/>
            <w:tcBorders>
              <w:left w:val="dotted" w:sz="4" w:space="0" w:color="000000"/>
              <w:bottom w:val="dotted" w:sz="4" w:space="0" w:color="000000"/>
              <w:right w:val="dotted" w:sz="4" w:space="0" w:color="000000"/>
            </w:tcBorders>
          </w:tcPr>
          <w:p>
            <w:pPr>
              <w:pStyle w:val="TableParagraph"/>
              <w:spacing w:line="268" w:lineRule="exact" w:before="0"/>
              <w:ind w:left="2059"/>
              <w:jc w:val="left"/>
              <w:rPr>
                <w:rFonts w:ascii="Calibri"/>
                <w:b/>
                <w:sz w:val="22"/>
              </w:rPr>
            </w:pPr>
            <w:r>
              <w:rPr>
                <w:rFonts w:ascii="Calibri"/>
                <w:b/>
                <w:sz w:val="22"/>
              </w:rPr>
              <w:t>ALTERACIONES NUCLEARES</w:t>
            </w:r>
          </w:p>
        </w:tc>
        <w:tc>
          <w:tcPr>
            <w:tcW w:w="991" w:type="dxa"/>
            <w:vMerge w:val="restart"/>
            <w:tcBorders>
              <w:left w:val="dotted" w:sz="4" w:space="0" w:color="000000"/>
            </w:tcBorders>
          </w:tcPr>
          <w:p>
            <w:pPr>
              <w:pStyle w:val="TableParagraph"/>
              <w:spacing w:before="10"/>
              <w:jc w:val="left"/>
              <w:rPr>
                <w:b/>
                <w:sz w:val="31"/>
              </w:rPr>
            </w:pPr>
          </w:p>
          <w:p>
            <w:pPr>
              <w:pStyle w:val="TableParagraph"/>
              <w:spacing w:before="0"/>
              <w:ind w:left="297"/>
              <w:jc w:val="left"/>
              <w:rPr>
                <w:rFonts w:ascii="Calibri"/>
                <w:b/>
                <w:sz w:val="22"/>
              </w:rPr>
            </w:pPr>
            <w:r>
              <w:rPr>
                <w:rFonts w:ascii="Calibri"/>
                <w:b/>
                <w:sz w:val="22"/>
              </w:rPr>
              <w:t>TAN</w:t>
            </w:r>
          </w:p>
        </w:tc>
      </w:tr>
      <w:tr>
        <w:trPr>
          <w:trHeight w:val="518" w:hRule="exact"/>
        </w:trPr>
        <w:tc>
          <w:tcPr>
            <w:tcW w:w="1027" w:type="dxa"/>
            <w:vMerge/>
            <w:tcBorders>
              <w:bottom w:val="dotted" w:sz="4" w:space="0" w:color="000000"/>
              <w:right w:val="dotted" w:sz="4" w:space="0" w:color="000000"/>
            </w:tcBorders>
          </w:tcPr>
          <w:p>
            <w:pPr/>
          </w:p>
        </w:tc>
        <w:tc>
          <w:tcPr>
            <w:tcW w:w="1094" w:type="dxa"/>
            <w:vMerge/>
            <w:tcBorders>
              <w:left w:val="dotted" w:sz="4" w:space="0" w:color="000000"/>
              <w:bottom w:val="dotted" w:sz="4" w:space="0" w:color="000000"/>
              <w:right w:val="dotted" w:sz="4" w:space="0" w:color="000000"/>
            </w:tcBorders>
          </w:tcPr>
          <w:p>
            <w:pPr/>
          </w:p>
        </w:tc>
        <w:tc>
          <w:tcPr>
            <w:tcW w:w="1246" w:type="dxa"/>
            <w:tcBorders>
              <w:top w:val="dotted" w:sz="4" w:space="0" w:color="000000"/>
              <w:left w:val="dotted" w:sz="4" w:space="0" w:color="000000"/>
              <w:bottom w:val="dotted" w:sz="4" w:space="0" w:color="000000"/>
              <w:right w:val="nil"/>
            </w:tcBorders>
          </w:tcPr>
          <w:p>
            <w:pPr>
              <w:pStyle w:val="TableParagraph"/>
              <w:spacing w:line="268" w:lineRule="exact" w:before="0"/>
              <w:ind w:left="495" w:right="437"/>
              <w:rPr>
                <w:rFonts w:ascii="Calibri"/>
                <w:b/>
                <w:sz w:val="22"/>
              </w:rPr>
            </w:pPr>
            <w:r>
              <w:rPr>
                <w:rFonts w:ascii="Calibri"/>
                <w:b/>
                <w:sz w:val="22"/>
              </w:rPr>
              <w:t>BN</w:t>
            </w:r>
          </w:p>
        </w:tc>
        <w:tc>
          <w:tcPr>
            <w:tcW w:w="1115" w:type="dxa"/>
            <w:tcBorders>
              <w:top w:val="dotted" w:sz="4" w:space="0" w:color="000000"/>
              <w:left w:val="nil"/>
              <w:bottom w:val="dotted" w:sz="4" w:space="0" w:color="000000"/>
              <w:right w:val="nil"/>
            </w:tcBorders>
          </w:tcPr>
          <w:p>
            <w:pPr>
              <w:pStyle w:val="TableParagraph"/>
              <w:spacing w:line="268" w:lineRule="exact" w:before="0"/>
              <w:ind w:left="480"/>
              <w:jc w:val="left"/>
              <w:rPr>
                <w:rFonts w:ascii="Calibri"/>
                <w:b/>
                <w:sz w:val="22"/>
              </w:rPr>
            </w:pPr>
            <w:r>
              <w:rPr>
                <w:rFonts w:ascii="Calibri"/>
                <w:b/>
                <w:sz w:val="22"/>
              </w:rPr>
              <w:t>NL</w:t>
            </w:r>
          </w:p>
        </w:tc>
        <w:tc>
          <w:tcPr>
            <w:tcW w:w="1044" w:type="dxa"/>
            <w:tcBorders>
              <w:top w:val="dotted" w:sz="4" w:space="0" w:color="000000"/>
              <w:left w:val="nil"/>
              <w:bottom w:val="dotted" w:sz="4" w:space="0" w:color="000000"/>
              <w:right w:val="nil"/>
            </w:tcBorders>
          </w:tcPr>
          <w:p>
            <w:pPr>
              <w:pStyle w:val="TableParagraph"/>
              <w:spacing w:line="268" w:lineRule="exact" w:before="0"/>
              <w:ind w:left="376" w:right="393"/>
              <w:rPr>
                <w:rFonts w:ascii="Calibri"/>
                <w:b/>
                <w:sz w:val="22"/>
              </w:rPr>
            </w:pPr>
            <w:r>
              <w:rPr>
                <w:rFonts w:ascii="Calibri"/>
                <w:b/>
                <w:sz w:val="22"/>
              </w:rPr>
              <w:t>PC</w:t>
            </w:r>
          </w:p>
        </w:tc>
        <w:tc>
          <w:tcPr>
            <w:tcW w:w="1043" w:type="dxa"/>
            <w:tcBorders>
              <w:top w:val="dotted" w:sz="4" w:space="0" w:color="000000"/>
              <w:left w:val="nil"/>
              <w:bottom w:val="dotted" w:sz="4" w:space="0" w:color="000000"/>
              <w:right w:val="nil"/>
            </w:tcBorders>
          </w:tcPr>
          <w:p>
            <w:pPr>
              <w:pStyle w:val="TableParagraph"/>
              <w:spacing w:line="268" w:lineRule="exact" w:before="0"/>
              <w:ind w:left="414"/>
              <w:jc w:val="left"/>
              <w:rPr>
                <w:rFonts w:ascii="Calibri"/>
                <w:b/>
                <w:sz w:val="22"/>
              </w:rPr>
            </w:pPr>
            <w:r>
              <w:rPr>
                <w:rFonts w:ascii="Calibri"/>
                <w:b/>
                <w:sz w:val="22"/>
              </w:rPr>
              <w:t>CC</w:t>
            </w:r>
          </w:p>
        </w:tc>
        <w:tc>
          <w:tcPr>
            <w:tcW w:w="1055" w:type="dxa"/>
            <w:tcBorders>
              <w:top w:val="dotted" w:sz="4" w:space="0" w:color="000000"/>
              <w:left w:val="nil"/>
              <w:bottom w:val="dotted" w:sz="4" w:space="0" w:color="000000"/>
              <w:right w:val="nil"/>
            </w:tcBorders>
          </w:tcPr>
          <w:p>
            <w:pPr>
              <w:pStyle w:val="TableParagraph"/>
              <w:spacing w:line="268" w:lineRule="exact" w:before="0"/>
              <w:ind w:right="416"/>
              <w:jc w:val="right"/>
              <w:rPr>
                <w:rFonts w:ascii="Calibri"/>
                <w:b/>
                <w:sz w:val="22"/>
              </w:rPr>
            </w:pPr>
            <w:r>
              <w:rPr>
                <w:rFonts w:ascii="Calibri"/>
                <w:b/>
                <w:sz w:val="22"/>
              </w:rPr>
              <w:t>CR</w:t>
            </w:r>
          </w:p>
        </w:tc>
        <w:tc>
          <w:tcPr>
            <w:tcW w:w="1132" w:type="dxa"/>
            <w:tcBorders>
              <w:top w:val="dotted" w:sz="4" w:space="0" w:color="000000"/>
              <w:left w:val="nil"/>
              <w:bottom w:val="dotted" w:sz="4" w:space="0" w:color="000000"/>
              <w:right w:val="dotted" w:sz="4" w:space="0" w:color="000000"/>
            </w:tcBorders>
          </w:tcPr>
          <w:p>
            <w:pPr>
              <w:pStyle w:val="TableParagraph"/>
              <w:spacing w:line="268" w:lineRule="exact" w:before="0"/>
              <w:ind w:left="419"/>
              <w:jc w:val="left"/>
              <w:rPr>
                <w:rFonts w:ascii="Calibri"/>
                <w:b/>
                <w:sz w:val="22"/>
              </w:rPr>
            </w:pPr>
            <w:r>
              <w:rPr>
                <w:rFonts w:ascii="Calibri"/>
                <w:b/>
                <w:sz w:val="22"/>
              </w:rPr>
              <w:t>CL</w:t>
            </w:r>
          </w:p>
        </w:tc>
        <w:tc>
          <w:tcPr>
            <w:tcW w:w="991" w:type="dxa"/>
            <w:vMerge/>
            <w:tcBorders>
              <w:left w:val="dotted" w:sz="4" w:space="0" w:color="000000"/>
              <w:bottom w:val="dotted" w:sz="4" w:space="0" w:color="000000"/>
            </w:tcBorders>
          </w:tcPr>
          <w:p>
            <w:pPr/>
          </w:p>
        </w:tc>
      </w:tr>
      <w:tr>
        <w:trPr>
          <w:trHeight w:val="413" w:hRule="exact"/>
        </w:trPr>
        <w:tc>
          <w:tcPr>
            <w:tcW w:w="1027" w:type="dxa"/>
            <w:tcBorders>
              <w:top w:val="dotted" w:sz="4" w:space="0" w:color="000000"/>
              <w:bottom w:val="nil"/>
              <w:right w:val="dotted" w:sz="4" w:space="0" w:color="000000"/>
            </w:tcBorders>
          </w:tcPr>
          <w:p>
            <w:pPr>
              <w:pStyle w:val="TableParagraph"/>
              <w:spacing w:line="268" w:lineRule="exact" w:before="0"/>
              <w:ind w:left="1"/>
              <w:rPr>
                <w:rFonts w:ascii="Calibri"/>
                <w:sz w:val="22"/>
              </w:rPr>
            </w:pPr>
            <w:r>
              <w:rPr>
                <w:rFonts w:ascii="Calibri"/>
                <w:w w:val="100"/>
                <w:sz w:val="22"/>
              </w:rPr>
              <w:t>1</w:t>
            </w:r>
          </w:p>
        </w:tc>
        <w:tc>
          <w:tcPr>
            <w:tcW w:w="1094" w:type="dxa"/>
            <w:tcBorders>
              <w:top w:val="dotted" w:sz="4" w:space="0" w:color="000000"/>
              <w:left w:val="dotted" w:sz="4" w:space="0" w:color="000000"/>
              <w:bottom w:val="nil"/>
              <w:right w:val="nil"/>
            </w:tcBorders>
          </w:tcPr>
          <w:p>
            <w:pPr>
              <w:pStyle w:val="TableParagraph"/>
              <w:spacing w:line="268" w:lineRule="exact" w:before="0"/>
              <w:ind w:right="1"/>
              <w:rPr>
                <w:rFonts w:ascii="Calibri"/>
                <w:sz w:val="22"/>
              </w:rPr>
            </w:pPr>
            <w:r>
              <w:rPr>
                <w:rFonts w:ascii="Calibri"/>
                <w:w w:val="100"/>
                <w:sz w:val="22"/>
              </w:rPr>
              <w:t>0</w:t>
            </w:r>
          </w:p>
        </w:tc>
        <w:tc>
          <w:tcPr>
            <w:tcW w:w="1246" w:type="dxa"/>
            <w:tcBorders>
              <w:top w:val="dotted" w:sz="4" w:space="0" w:color="000000"/>
              <w:left w:val="nil"/>
              <w:bottom w:val="nil"/>
              <w:right w:val="nil"/>
            </w:tcBorders>
          </w:tcPr>
          <w:p>
            <w:pPr>
              <w:pStyle w:val="TableParagraph"/>
              <w:spacing w:line="268" w:lineRule="exact" w:before="0"/>
              <w:ind w:left="4"/>
              <w:rPr>
                <w:rFonts w:ascii="Calibri"/>
                <w:sz w:val="22"/>
              </w:rPr>
            </w:pPr>
            <w:r>
              <w:rPr>
                <w:rFonts w:ascii="Calibri"/>
                <w:w w:val="100"/>
                <w:sz w:val="22"/>
              </w:rPr>
              <w:t>2</w:t>
            </w:r>
          </w:p>
        </w:tc>
        <w:tc>
          <w:tcPr>
            <w:tcW w:w="1115" w:type="dxa"/>
            <w:tcBorders>
              <w:top w:val="dotted" w:sz="4" w:space="0" w:color="000000"/>
              <w:left w:val="nil"/>
              <w:bottom w:val="nil"/>
              <w:right w:val="nil"/>
            </w:tcBorders>
          </w:tcPr>
          <w:p>
            <w:pPr>
              <w:pStyle w:val="TableParagraph"/>
              <w:spacing w:line="268" w:lineRule="exact" w:before="0"/>
              <w:ind w:left="514"/>
              <w:jc w:val="left"/>
              <w:rPr>
                <w:rFonts w:ascii="Calibri"/>
                <w:sz w:val="22"/>
              </w:rPr>
            </w:pPr>
            <w:r>
              <w:rPr>
                <w:rFonts w:ascii="Calibri"/>
                <w:w w:val="100"/>
                <w:sz w:val="22"/>
              </w:rPr>
              <w:t>8</w:t>
            </w:r>
          </w:p>
        </w:tc>
        <w:tc>
          <w:tcPr>
            <w:tcW w:w="1044" w:type="dxa"/>
            <w:tcBorders>
              <w:top w:val="dotted" w:sz="4" w:space="0" w:color="000000"/>
              <w:left w:val="nil"/>
              <w:bottom w:val="nil"/>
              <w:right w:val="nil"/>
            </w:tcBorders>
          </w:tcPr>
          <w:p>
            <w:pPr>
              <w:pStyle w:val="TableParagraph"/>
              <w:spacing w:line="268" w:lineRule="exact" w:before="0"/>
              <w:ind w:right="15"/>
              <w:rPr>
                <w:rFonts w:ascii="Calibri"/>
                <w:sz w:val="22"/>
              </w:rPr>
            </w:pPr>
            <w:r>
              <w:rPr>
                <w:rFonts w:ascii="Calibri"/>
                <w:w w:val="100"/>
                <w:sz w:val="22"/>
              </w:rPr>
              <w:t>8</w:t>
            </w:r>
          </w:p>
        </w:tc>
        <w:tc>
          <w:tcPr>
            <w:tcW w:w="1043" w:type="dxa"/>
            <w:tcBorders>
              <w:top w:val="dotted" w:sz="4" w:space="0" w:color="000000"/>
              <w:left w:val="nil"/>
              <w:bottom w:val="nil"/>
              <w:right w:val="nil"/>
            </w:tcBorders>
          </w:tcPr>
          <w:p>
            <w:pPr>
              <w:pStyle w:val="TableParagraph"/>
              <w:spacing w:line="268" w:lineRule="exact" w:before="0"/>
              <w:ind w:left="474"/>
              <w:jc w:val="left"/>
              <w:rPr>
                <w:rFonts w:ascii="Calibri"/>
                <w:sz w:val="22"/>
              </w:rPr>
            </w:pPr>
            <w:r>
              <w:rPr>
                <w:rFonts w:ascii="Calibri"/>
                <w:w w:val="100"/>
                <w:sz w:val="22"/>
              </w:rPr>
              <w:t>5</w:t>
            </w:r>
          </w:p>
        </w:tc>
        <w:tc>
          <w:tcPr>
            <w:tcW w:w="1055" w:type="dxa"/>
            <w:tcBorders>
              <w:top w:val="dotted" w:sz="4" w:space="0" w:color="000000"/>
              <w:left w:val="nil"/>
              <w:bottom w:val="nil"/>
              <w:right w:val="nil"/>
            </w:tcBorders>
          </w:tcPr>
          <w:p>
            <w:pPr>
              <w:pStyle w:val="TableParagraph"/>
              <w:spacing w:line="268" w:lineRule="exact" w:before="0"/>
              <w:ind w:right="441"/>
              <w:jc w:val="right"/>
              <w:rPr>
                <w:rFonts w:ascii="Calibri"/>
                <w:sz w:val="22"/>
              </w:rPr>
            </w:pPr>
            <w:r>
              <w:rPr>
                <w:rFonts w:ascii="Calibri"/>
                <w:w w:val="100"/>
                <w:sz w:val="22"/>
              </w:rPr>
              <w:t>0</w:t>
            </w:r>
          </w:p>
        </w:tc>
        <w:tc>
          <w:tcPr>
            <w:tcW w:w="1132" w:type="dxa"/>
            <w:tcBorders>
              <w:top w:val="dotted" w:sz="4" w:space="0" w:color="000000"/>
              <w:left w:val="nil"/>
              <w:bottom w:val="nil"/>
              <w:right w:val="nil"/>
            </w:tcBorders>
          </w:tcPr>
          <w:p>
            <w:pPr>
              <w:pStyle w:val="TableParagraph"/>
              <w:spacing w:line="268" w:lineRule="exact" w:before="0"/>
              <w:ind w:right="1"/>
              <w:rPr>
                <w:rFonts w:ascii="Calibri"/>
                <w:sz w:val="22"/>
              </w:rPr>
            </w:pPr>
            <w:r>
              <w:rPr>
                <w:rFonts w:ascii="Calibri"/>
                <w:w w:val="100"/>
                <w:sz w:val="22"/>
              </w:rPr>
              <w:t>7</w:t>
            </w:r>
          </w:p>
        </w:tc>
        <w:tc>
          <w:tcPr>
            <w:tcW w:w="991" w:type="dxa"/>
            <w:tcBorders>
              <w:top w:val="dotted" w:sz="4" w:space="0" w:color="000000"/>
              <w:left w:val="nil"/>
              <w:bottom w:val="nil"/>
            </w:tcBorders>
          </w:tcPr>
          <w:p>
            <w:pPr>
              <w:pStyle w:val="TableParagraph"/>
              <w:spacing w:line="268" w:lineRule="exact" w:before="0"/>
              <w:ind w:left="365" w:right="358"/>
              <w:rPr>
                <w:rFonts w:ascii="Calibri"/>
                <w:sz w:val="22"/>
              </w:rPr>
            </w:pPr>
            <w:r>
              <w:rPr>
                <w:rFonts w:ascii="Calibri"/>
                <w:sz w:val="22"/>
              </w:rPr>
              <w:t>30</w:t>
            </w:r>
          </w:p>
        </w:tc>
      </w:tr>
      <w:tr>
        <w:trPr>
          <w:trHeight w:val="509" w:hRule="exact"/>
        </w:trPr>
        <w:tc>
          <w:tcPr>
            <w:tcW w:w="1027" w:type="dxa"/>
            <w:tcBorders>
              <w:top w:val="nil"/>
              <w:bottom w:val="nil"/>
              <w:right w:val="dotted" w:sz="4" w:space="0" w:color="000000"/>
            </w:tcBorders>
          </w:tcPr>
          <w:p>
            <w:pPr>
              <w:pStyle w:val="TableParagraph"/>
              <w:ind w:left="1"/>
              <w:rPr>
                <w:rFonts w:ascii="Calibri"/>
                <w:sz w:val="22"/>
              </w:rPr>
            </w:pPr>
            <w:r>
              <w:rPr>
                <w:rFonts w:ascii="Calibri"/>
                <w:w w:val="100"/>
                <w:sz w:val="22"/>
              </w:rPr>
              <w:t>2</w:t>
            </w:r>
          </w:p>
        </w:tc>
        <w:tc>
          <w:tcPr>
            <w:tcW w:w="1094" w:type="dxa"/>
            <w:tcBorders>
              <w:top w:val="nil"/>
              <w:left w:val="dotted" w:sz="4" w:space="0" w:color="000000"/>
              <w:bottom w:val="nil"/>
              <w:right w:val="nil"/>
            </w:tcBorders>
          </w:tcPr>
          <w:p>
            <w:pPr>
              <w:pStyle w:val="TableParagraph"/>
              <w:ind w:right="1"/>
              <w:rPr>
                <w:rFonts w:ascii="Calibri"/>
                <w:sz w:val="22"/>
              </w:rPr>
            </w:pPr>
            <w:r>
              <w:rPr>
                <w:rFonts w:ascii="Calibri"/>
                <w:w w:val="100"/>
                <w:sz w:val="22"/>
              </w:rPr>
              <w:t>0</w:t>
            </w:r>
          </w:p>
        </w:tc>
        <w:tc>
          <w:tcPr>
            <w:tcW w:w="1246" w:type="dxa"/>
            <w:tcBorders>
              <w:top w:val="nil"/>
              <w:left w:val="nil"/>
              <w:bottom w:val="nil"/>
              <w:right w:val="nil"/>
            </w:tcBorders>
          </w:tcPr>
          <w:p>
            <w:pPr>
              <w:pStyle w:val="TableParagraph"/>
              <w:ind w:left="4"/>
              <w:rPr>
                <w:rFonts w:ascii="Calibri"/>
                <w:sz w:val="22"/>
              </w:rPr>
            </w:pPr>
            <w:r>
              <w:rPr>
                <w:rFonts w:ascii="Calibri"/>
                <w:w w:val="100"/>
                <w:sz w:val="22"/>
              </w:rPr>
              <w:t>1</w:t>
            </w:r>
          </w:p>
        </w:tc>
        <w:tc>
          <w:tcPr>
            <w:tcW w:w="1115" w:type="dxa"/>
            <w:tcBorders>
              <w:top w:val="nil"/>
              <w:left w:val="nil"/>
              <w:bottom w:val="nil"/>
              <w:right w:val="nil"/>
            </w:tcBorders>
          </w:tcPr>
          <w:p>
            <w:pPr>
              <w:pStyle w:val="TableParagraph"/>
              <w:ind w:left="456"/>
              <w:jc w:val="left"/>
              <w:rPr>
                <w:rFonts w:ascii="Calibri"/>
                <w:sz w:val="22"/>
              </w:rPr>
            </w:pPr>
            <w:r>
              <w:rPr>
                <w:rFonts w:ascii="Calibri"/>
                <w:sz w:val="22"/>
              </w:rPr>
              <w:t>21</w:t>
            </w:r>
          </w:p>
        </w:tc>
        <w:tc>
          <w:tcPr>
            <w:tcW w:w="1044" w:type="dxa"/>
            <w:tcBorders>
              <w:top w:val="nil"/>
              <w:left w:val="nil"/>
              <w:bottom w:val="nil"/>
              <w:right w:val="nil"/>
            </w:tcBorders>
          </w:tcPr>
          <w:p>
            <w:pPr>
              <w:pStyle w:val="TableParagraph"/>
              <w:ind w:right="15"/>
              <w:rPr>
                <w:rFonts w:ascii="Calibri"/>
                <w:sz w:val="22"/>
              </w:rPr>
            </w:pPr>
            <w:r>
              <w:rPr>
                <w:rFonts w:ascii="Calibri"/>
                <w:w w:val="100"/>
                <w:sz w:val="22"/>
              </w:rPr>
              <w:t>5</w:t>
            </w:r>
          </w:p>
        </w:tc>
        <w:tc>
          <w:tcPr>
            <w:tcW w:w="1043" w:type="dxa"/>
            <w:tcBorders>
              <w:top w:val="nil"/>
              <w:left w:val="nil"/>
              <w:bottom w:val="nil"/>
              <w:right w:val="nil"/>
            </w:tcBorders>
          </w:tcPr>
          <w:p>
            <w:pPr>
              <w:pStyle w:val="TableParagraph"/>
              <w:ind w:left="474"/>
              <w:jc w:val="left"/>
              <w:rPr>
                <w:rFonts w:ascii="Calibri"/>
                <w:sz w:val="22"/>
              </w:rPr>
            </w:pPr>
            <w:r>
              <w:rPr>
                <w:rFonts w:ascii="Calibri"/>
                <w:w w:val="100"/>
                <w:sz w:val="22"/>
              </w:rPr>
              <w:t>3</w:t>
            </w:r>
          </w:p>
        </w:tc>
        <w:tc>
          <w:tcPr>
            <w:tcW w:w="1055" w:type="dxa"/>
            <w:tcBorders>
              <w:top w:val="nil"/>
              <w:left w:val="nil"/>
              <w:bottom w:val="nil"/>
              <w:right w:val="nil"/>
            </w:tcBorders>
          </w:tcPr>
          <w:p>
            <w:pPr>
              <w:pStyle w:val="TableParagraph"/>
              <w:ind w:right="441"/>
              <w:jc w:val="right"/>
              <w:rPr>
                <w:rFonts w:ascii="Calibri"/>
                <w:sz w:val="22"/>
              </w:rPr>
            </w:pPr>
            <w:r>
              <w:rPr>
                <w:rFonts w:ascii="Calibri"/>
                <w:w w:val="100"/>
                <w:sz w:val="22"/>
              </w:rPr>
              <w:t>5</w:t>
            </w:r>
          </w:p>
        </w:tc>
        <w:tc>
          <w:tcPr>
            <w:tcW w:w="1132" w:type="dxa"/>
            <w:tcBorders>
              <w:top w:val="nil"/>
              <w:left w:val="nil"/>
              <w:bottom w:val="nil"/>
              <w:right w:val="nil"/>
            </w:tcBorders>
          </w:tcPr>
          <w:p>
            <w:pPr>
              <w:pStyle w:val="TableParagraph"/>
              <w:ind w:right="1"/>
              <w:rPr>
                <w:rFonts w:ascii="Calibri"/>
                <w:sz w:val="22"/>
              </w:rPr>
            </w:pPr>
            <w:r>
              <w:rPr>
                <w:rFonts w:ascii="Calibri"/>
                <w:w w:val="100"/>
                <w:sz w:val="22"/>
              </w:rPr>
              <w:t>4</w:t>
            </w:r>
          </w:p>
        </w:tc>
        <w:tc>
          <w:tcPr>
            <w:tcW w:w="991" w:type="dxa"/>
            <w:tcBorders>
              <w:top w:val="nil"/>
              <w:left w:val="nil"/>
              <w:bottom w:val="nil"/>
            </w:tcBorders>
          </w:tcPr>
          <w:p>
            <w:pPr>
              <w:pStyle w:val="TableParagraph"/>
              <w:ind w:left="365" w:right="358"/>
              <w:rPr>
                <w:rFonts w:ascii="Calibri"/>
                <w:sz w:val="22"/>
              </w:rPr>
            </w:pPr>
            <w:r>
              <w:rPr>
                <w:rFonts w:ascii="Calibri"/>
                <w:sz w:val="22"/>
              </w:rPr>
              <w:t>39</w:t>
            </w:r>
          </w:p>
        </w:tc>
      </w:tr>
      <w:tr>
        <w:trPr>
          <w:trHeight w:val="509" w:hRule="exact"/>
        </w:trPr>
        <w:tc>
          <w:tcPr>
            <w:tcW w:w="1027" w:type="dxa"/>
            <w:tcBorders>
              <w:top w:val="nil"/>
              <w:bottom w:val="nil"/>
              <w:right w:val="dotted" w:sz="4" w:space="0" w:color="000000"/>
            </w:tcBorders>
          </w:tcPr>
          <w:p>
            <w:pPr>
              <w:pStyle w:val="TableParagraph"/>
              <w:ind w:left="1"/>
              <w:rPr>
                <w:rFonts w:ascii="Calibri"/>
                <w:sz w:val="22"/>
              </w:rPr>
            </w:pPr>
            <w:r>
              <w:rPr>
                <w:rFonts w:ascii="Calibri"/>
                <w:w w:val="100"/>
                <w:sz w:val="22"/>
              </w:rPr>
              <w:t>3</w:t>
            </w:r>
          </w:p>
        </w:tc>
        <w:tc>
          <w:tcPr>
            <w:tcW w:w="1094" w:type="dxa"/>
            <w:tcBorders>
              <w:top w:val="nil"/>
              <w:left w:val="dotted" w:sz="4" w:space="0" w:color="000000"/>
              <w:bottom w:val="nil"/>
              <w:right w:val="nil"/>
            </w:tcBorders>
          </w:tcPr>
          <w:p>
            <w:pPr>
              <w:pStyle w:val="TableParagraph"/>
              <w:ind w:right="1"/>
              <w:rPr>
                <w:rFonts w:ascii="Calibri"/>
                <w:sz w:val="22"/>
              </w:rPr>
            </w:pPr>
            <w:r>
              <w:rPr>
                <w:rFonts w:ascii="Calibri"/>
                <w:w w:val="100"/>
                <w:sz w:val="22"/>
              </w:rPr>
              <w:t>1</w:t>
            </w:r>
          </w:p>
        </w:tc>
        <w:tc>
          <w:tcPr>
            <w:tcW w:w="1246" w:type="dxa"/>
            <w:tcBorders>
              <w:top w:val="nil"/>
              <w:left w:val="nil"/>
              <w:bottom w:val="nil"/>
              <w:right w:val="nil"/>
            </w:tcBorders>
          </w:tcPr>
          <w:p>
            <w:pPr>
              <w:pStyle w:val="TableParagraph"/>
              <w:ind w:left="4"/>
              <w:rPr>
                <w:rFonts w:ascii="Calibri"/>
                <w:sz w:val="22"/>
              </w:rPr>
            </w:pPr>
            <w:r>
              <w:rPr>
                <w:rFonts w:ascii="Calibri"/>
                <w:w w:val="100"/>
                <w:sz w:val="22"/>
              </w:rPr>
              <w:t>3</w:t>
            </w:r>
          </w:p>
        </w:tc>
        <w:tc>
          <w:tcPr>
            <w:tcW w:w="1115" w:type="dxa"/>
            <w:tcBorders>
              <w:top w:val="nil"/>
              <w:left w:val="nil"/>
              <w:bottom w:val="nil"/>
              <w:right w:val="nil"/>
            </w:tcBorders>
          </w:tcPr>
          <w:p>
            <w:pPr>
              <w:pStyle w:val="TableParagraph"/>
              <w:ind w:left="514"/>
              <w:jc w:val="left"/>
              <w:rPr>
                <w:rFonts w:ascii="Calibri"/>
                <w:sz w:val="22"/>
              </w:rPr>
            </w:pPr>
            <w:r>
              <w:rPr>
                <w:rFonts w:ascii="Calibri"/>
                <w:w w:val="100"/>
                <w:sz w:val="22"/>
              </w:rPr>
              <w:t>4</w:t>
            </w:r>
          </w:p>
        </w:tc>
        <w:tc>
          <w:tcPr>
            <w:tcW w:w="1044" w:type="dxa"/>
            <w:tcBorders>
              <w:top w:val="nil"/>
              <w:left w:val="nil"/>
              <w:bottom w:val="nil"/>
              <w:right w:val="nil"/>
            </w:tcBorders>
          </w:tcPr>
          <w:p>
            <w:pPr>
              <w:pStyle w:val="TableParagraph"/>
              <w:ind w:right="15"/>
              <w:rPr>
                <w:rFonts w:ascii="Calibri"/>
                <w:sz w:val="22"/>
              </w:rPr>
            </w:pPr>
            <w:r>
              <w:rPr>
                <w:rFonts w:ascii="Calibri"/>
                <w:w w:val="100"/>
                <w:sz w:val="22"/>
              </w:rPr>
              <w:t>2</w:t>
            </w:r>
          </w:p>
        </w:tc>
        <w:tc>
          <w:tcPr>
            <w:tcW w:w="1043" w:type="dxa"/>
            <w:tcBorders>
              <w:top w:val="nil"/>
              <w:left w:val="nil"/>
              <w:bottom w:val="nil"/>
              <w:right w:val="nil"/>
            </w:tcBorders>
          </w:tcPr>
          <w:p>
            <w:pPr>
              <w:pStyle w:val="TableParagraph"/>
              <w:ind w:left="474"/>
              <w:jc w:val="left"/>
              <w:rPr>
                <w:rFonts w:ascii="Calibri"/>
                <w:sz w:val="22"/>
              </w:rPr>
            </w:pPr>
            <w:r>
              <w:rPr>
                <w:rFonts w:ascii="Calibri"/>
                <w:w w:val="100"/>
                <w:sz w:val="22"/>
              </w:rPr>
              <w:t>7</w:t>
            </w:r>
          </w:p>
        </w:tc>
        <w:tc>
          <w:tcPr>
            <w:tcW w:w="1055" w:type="dxa"/>
            <w:tcBorders>
              <w:top w:val="nil"/>
              <w:left w:val="nil"/>
              <w:bottom w:val="nil"/>
              <w:right w:val="nil"/>
            </w:tcBorders>
          </w:tcPr>
          <w:p>
            <w:pPr>
              <w:pStyle w:val="TableParagraph"/>
              <w:ind w:right="441"/>
              <w:jc w:val="right"/>
              <w:rPr>
                <w:rFonts w:ascii="Calibri"/>
                <w:sz w:val="22"/>
              </w:rPr>
            </w:pPr>
            <w:r>
              <w:rPr>
                <w:rFonts w:ascii="Calibri"/>
                <w:w w:val="100"/>
                <w:sz w:val="22"/>
              </w:rPr>
              <w:t>0</w:t>
            </w:r>
          </w:p>
        </w:tc>
        <w:tc>
          <w:tcPr>
            <w:tcW w:w="1132" w:type="dxa"/>
            <w:tcBorders>
              <w:top w:val="nil"/>
              <w:left w:val="nil"/>
              <w:bottom w:val="nil"/>
              <w:right w:val="nil"/>
            </w:tcBorders>
          </w:tcPr>
          <w:p>
            <w:pPr>
              <w:pStyle w:val="TableParagraph"/>
              <w:ind w:right="1"/>
              <w:rPr>
                <w:rFonts w:ascii="Calibri"/>
                <w:sz w:val="22"/>
              </w:rPr>
            </w:pPr>
            <w:r>
              <w:rPr>
                <w:rFonts w:ascii="Calibri"/>
                <w:w w:val="100"/>
                <w:sz w:val="22"/>
              </w:rPr>
              <w:t>0</w:t>
            </w:r>
          </w:p>
        </w:tc>
        <w:tc>
          <w:tcPr>
            <w:tcW w:w="991" w:type="dxa"/>
            <w:tcBorders>
              <w:top w:val="nil"/>
              <w:left w:val="nil"/>
              <w:bottom w:val="nil"/>
            </w:tcBorders>
          </w:tcPr>
          <w:p>
            <w:pPr>
              <w:pStyle w:val="TableParagraph"/>
              <w:ind w:left="365" w:right="358"/>
              <w:rPr>
                <w:rFonts w:ascii="Calibri"/>
                <w:sz w:val="22"/>
              </w:rPr>
            </w:pPr>
            <w:r>
              <w:rPr>
                <w:rFonts w:ascii="Calibri"/>
                <w:sz w:val="22"/>
              </w:rPr>
              <w:t>16</w:t>
            </w:r>
          </w:p>
        </w:tc>
      </w:tr>
      <w:tr>
        <w:trPr>
          <w:trHeight w:val="509" w:hRule="exact"/>
        </w:trPr>
        <w:tc>
          <w:tcPr>
            <w:tcW w:w="1027" w:type="dxa"/>
            <w:tcBorders>
              <w:top w:val="nil"/>
              <w:bottom w:val="nil"/>
              <w:right w:val="dotted" w:sz="4" w:space="0" w:color="000000"/>
            </w:tcBorders>
          </w:tcPr>
          <w:p>
            <w:pPr>
              <w:pStyle w:val="TableParagraph"/>
              <w:ind w:left="1"/>
              <w:rPr>
                <w:rFonts w:ascii="Calibri"/>
                <w:sz w:val="22"/>
              </w:rPr>
            </w:pPr>
            <w:r>
              <w:rPr>
                <w:rFonts w:ascii="Calibri"/>
                <w:w w:val="100"/>
                <w:sz w:val="22"/>
              </w:rPr>
              <w:t>4</w:t>
            </w:r>
          </w:p>
        </w:tc>
        <w:tc>
          <w:tcPr>
            <w:tcW w:w="1094" w:type="dxa"/>
            <w:tcBorders>
              <w:top w:val="nil"/>
              <w:left w:val="dotted" w:sz="4" w:space="0" w:color="000000"/>
              <w:bottom w:val="nil"/>
              <w:right w:val="nil"/>
            </w:tcBorders>
          </w:tcPr>
          <w:p>
            <w:pPr>
              <w:pStyle w:val="TableParagraph"/>
              <w:ind w:right="1"/>
              <w:rPr>
                <w:rFonts w:ascii="Calibri"/>
                <w:sz w:val="22"/>
              </w:rPr>
            </w:pPr>
            <w:r>
              <w:rPr>
                <w:rFonts w:ascii="Calibri"/>
                <w:w w:val="100"/>
                <w:sz w:val="22"/>
              </w:rPr>
              <w:t>1</w:t>
            </w:r>
          </w:p>
        </w:tc>
        <w:tc>
          <w:tcPr>
            <w:tcW w:w="1246" w:type="dxa"/>
            <w:tcBorders>
              <w:top w:val="nil"/>
              <w:left w:val="nil"/>
              <w:bottom w:val="nil"/>
              <w:right w:val="nil"/>
            </w:tcBorders>
          </w:tcPr>
          <w:p>
            <w:pPr>
              <w:pStyle w:val="TableParagraph"/>
              <w:ind w:left="4"/>
              <w:rPr>
                <w:rFonts w:ascii="Calibri"/>
                <w:sz w:val="22"/>
              </w:rPr>
            </w:pPr>
            <w:r>
              <w:rPr>
                <w:rFonts w:ascii="Calibri"/>
                <w:w w:val="100"/>
                <w:sz w:val="22"/>
              </w:rPr>
              <w:t>5</w:t>
            </w:r>
          </w:p>
        </w:tc>
        <w:tc>
          <w:tcPr>
            <w:tcW w:w="1115" w:type="dxa"/>
            <w:tcBorders>
              <w:top w:val="nil"/>
              <w:left w:val="nil"/>
              <w:bottom w:val="nil"/>
              <w:right w:val="nil"/>
            </w:tcBorders>
          </w:tcPr>
          <w:p>
            <w:pPr>
              <w:pStyle w:val="TableParagraph"/>
              <w:ind w:left="514"/>
              <w:jc w:val="left"/>
              <w:rPr>
                <w:rFonts w:ascii="Calibri"/>
                <w:sz w:val="22"/>
              </w:rPr>
            </w:pPr>
            <w:r>
              <w:rPr>
                <w:rFonts w:ascii="Calibri"/>
                <w:w w:val="100"/>
                <w:sz w:val="22"/>
              </w:rPr>
              <w:t>8</w:t>
            </w:r>
          </w:p>
        </w:tc>
        <w:tc>
          <w:tcPr>
            <w:tcW w:w="1044" w:type="dxa"/>
            <w:tcBorders>
              <w:top w:val="nil"/>
              <w:left w:val="nil"/>
              <w:bottom w:val="nil"/>
              <w:right w:val="nil"/>
            </w:tcBorders>
          </w:tcPr>
          <w:p>
            <w:pPr>
              <w:pStyle w:val="TableParagraph"/>
              <w:ind w:right="15"/>
              <w:rPr>
                <w:rFonts w:ascii="Calibri"/>
                <w:sz w:val="22"/>
              </w:rPr>
            </w:pPr>
            <w:r>
              <w:rPr>
                <w:rFonts w:ascii="Calibri"/>
                <w:w w:val="100"/>
                <w:sz w:val="22"/>
              </w:rPr>
              <w:t>2</w:t>
            </w:r>
          </w:p>
        </w:tc>
        <w:tc>
          <w:tcPr>
            <w:tcW w:w="1043" w:type="dxa"/>
            <w:tcBorders>
              <w:top w:val="nil"/>
              <w:left w:val="nil"/>
              <w:bottom w:val="nil"/>
              <w:right w:val="nil"/>
            </w:tcBorders>
          </w:tcPr>
          <w:p>
            <w:pPr>
              <w:pStyle w:val="TableParagraph"/>
              <w:ind w:left="474"/>
              <w:jc w:val="left"/>
              <w:rPr>
                <w:rFonts w:ascii="Calibri"/>
                <w:sz w:val="22"/>
              </w:rPr>
            </w:pPr>
            <w:r>
              <w:rPr>
                <w:rFonts w:ascii="Calibri"/>
                <w:w w:val="100"/>
                <w:sz w:val="22"/>
              </w:rPr>
              <w:t>2</w:t>
            </w:r>
          </w:p>
        </w:tc>
        <w:tc>
          <w:tcPr>
            <w:tcW w:w="1055" w:type="dxa"/>
            <w:tcBorders>
              <w:top w:val="nil"/>
              <w:left w:val="nil"/>
              <w:bottom w:val="nil"/>
              <w:right w:val="nil"/>
            </w:tcBorders>
          </w:tcPr>
          <w:p>
            <w:pPr>
              <w:pStyle w:val="TableParagraph"/>
              <w:ind w:right="441"/>
              <w:jc w:val="right"/>
              <w:rPr>
                <w:rFonts w:ascii="Calibri"/>
                <w:sz w:val="22"/>
              </w:rPr>
            </w:pPr>
            <w:r>
              <w:rPr>
                <w:rFonts w:ascii="Calibri"/>
                <w:w w:val="100"/>
                <w:sz w:val="22"/>
              </w:rPr>
              <w:t>1</w:t>
            </w:r>
          </w:p>
        </w:tc>
        <w:tc>
          <w:tcPr>
            <w:tcW w:w="1132" w:type="dxa"/>
            <w:tcBorders>
              <w:top w:val="nil"/>
              <w:left w:val="nil"/>
              <w:bottom w:val="nil"/>
              <w:right w:val="nil"/>
            </w:tcBorders>
          </w:tcPr>
          <w:p>
            <w:pPr>
              <w:pStyle w:val="TableParagraph"/>
              <w:ind w:right="1"/>
              <w:rPr>
                <w:rFonts w:ascii="Calibri"/>
                <w:sz w:val="22"/>
              </w:rPr>
            </w:pPr>
            <w:r>
              <w:rPr>
                <w:rFonts w:ascii="Calibri"/>
                <w:w w:val="100"/>
                <w:sz w:val="22"/>
              </w:rPr>
              <w:t>2</w:t>
            </w:r>
          </w:p>
        </w:tc>
        <w:tc>
          <w:tcPr>
            <w:tcW w:w="991" w:type="dxa"/>
            <w:tcBorders>
              <w:top w:val="nil"/>
              <w:left w:val="nil"/>
              <w:bottom w:val="nil"/>
            </w:tcBorders>
          </w:tcPr>
          <w:p>
            <w:pPr>
              <w:pStyle w:val="TableParagraph"/>
              <w:ind w:left="365" w:right="358"/>
              <w:rPr>
                <w:rFonts w:ascii="Calibri"/>
                <w:sz w:val="22"/>
              </w:rPr>
            </w:pPr>
            <w:r>
              <w:rPr>
                <w:rFonts w:ascii="Calibri"/>
                <w:sz w:val="22"/>
              </w:rPr>
              <w:t>20</w:t>
            </w:r>
          </w:p>
        </w:tc>
      </w:tr>
      <w:tr>
        <w:trPr>
          <w:trHeight w:val="509" w:hRule="exact"/>
        </w:trPr>
        <w:tc>
          <w:tcPr>
            <w:tcW w:w="1027" w:type="dxa"/>
            <w:tcBorders>
              <w:top w:val="nil"/>
              <w:bottom w:val="nil"/>
              <w:right w:val="dotted" w:sz="4" w:space="0" w:color="000000"/>
            </w:tcBorders>
          </w:tcPr>
          <w:p>
            <w:pPr>
              <w:pStyle w:val="TableParagraph"/>
              <w:ind w:left="1"/>
              <w:rPr>
                <w:rFonts w:ascii="Calibri"/>
                <w:sz w:val="22"/>
              </w:rPr>
            </w:pPr>
            <w:r>
              <w:rPr>
                <w:rFonts w:ascii="Calibri"/>
                <w:w w:val="100"/>
                <w:sz w:val="22"/>
              </w:rPr>
              <w:t>5</w:t>
            </w:r>
          </w:p>
        </w:tc>
        <w:tc>
          <w:tcPr>
            <w:tcW w:w="1094" w:type="dxa"/>
            <w:tcBorders>
              <w:top w:val="nil"/>
              <w:left w:val="dotted" w:sz="4" w:space="0" w:color="000000"/>
              <w:bottom w:val="nil"/>
              <w:right w:val="nil"/>
            </w:tcBorders>
          </w:tcPr>
          <w:p>
            <w:pPr>
              <w:pStyle w:val="TableParagraph"/>
              <w:ind w:right="1"/>
              <w:rPr>
                <w:rFonts w:ascii="Calibri"/>
                <w:sz w:val="22"/>
              </w:rPr>
            </w:pPr>
            <w:r>
              <w:rPr>
                <w:rFonts w:ascii="Calibri"/>
                <w:w w:val="100"/>
                <w:sz w:val="22"/>
              </w:rPr>
              <w:t>0</w:t>
            </w:r>
          </w:p>
        </w:tc>
        <w:tc>
          <w:tcPr>
            <w:tcW w:w="1246" w:type="dxa"/>
            <w:tcBorders>
              <w:top w:val="nil"/>
              <w:left w:val="nil"/>
              <w:bottom w:val="nil"/>
              <w:right w:val="nil"/>
            </w:tcBorders>
          </w:tcPr>
          <w:p>
            <w:pPr>
              <w:pStyle w:val="TableParagraph"/>
              <w:ind w:left="4"/>
              <w:rPr>
                <w:rFonts w:ascii="Calibri"/>
                <w:sz w:val="22"/>
              </w:rPr>
            </w:pPr>
            <w:r>
              <w:rPr>
                <w:rFonts w:ascii="Calibri"/>
                <w:w w:val="100"/>
                <w:sz w:val="22"/>
              </w:rPr>
              <w:t>2</w:t>
            </w:r>
          </w:p>
        </w:tc>
        <w:tc>
          <w:tcPr>
            <w:tcW w:w="1115" w:type="dxa"/>
            <w:tcBorders>
              <w:top w:val="nil"/>
              <w:left w:val="nil"/>
              <w:bottom w:val="nil"/>
              <w:right w:val="nil"/>
            </w:tcBorders>
          </w:tcPr>
          <w:p>
            <w:pPr>
              <w:pStyle w:val="TableParagraph"/>
              <w:ind w:left="456"/>
              <w:jc w:val="left"/>
              <w:rPr>
                <w:rFonts w:ascii="Calibri"/>
                <w:sz w:val="22"/>
              </w:rPr>
            </w:pPr>
            <w:r>
              <w:rPr>
                <w:rFonts w:ascii="Calibri"/>
                <w:sz w:val="22"/>
              </w:rPr>
              <w:t>24</w:t>
            </w:r>
          </w:p>
        </w:tc>
        <w:tc>
          <w:tcPr>
            <w:tcW w:w="1044" w:type="dxa"/>
            <w:tcBorders>
              <w:top w:val="nil"/>
              <w:left w:val="nil"/>
              <w:bottom w:val="nil"/>
              <w:right w:val="nil"/>
            </w:tcBorders>
          </w:tcPr>
          <w:p>
            <w:pPr>
              <w:pStyle w:val="TableParagraph"/>
              <w:ind w:right="15"/>
              <w:rPr>
                <w:rFonts w:ascii="Calibri"/>
                <w:sz w:val="22"/>
              </w:rPr>
            </w:pPr>
            <w:r>
              <w:rPr>
                <w:rFonts w:ascii="Calibri"/>
                <w:w w:val="100"/>
                <w:sz w:val="22"/>
              </w:rPr>
              <w:t>7</w:t>
            </w:r>
          </w:p>
        </w:tc>
        <w:tc>
          <w:tcPr>
            <w:tcW w:w="1043" w:type="dxa"/>
            <w:tcBorders>
              <w:top w:val="nil"/>
              <w:left w:val="nil"/>
              <w:bottom w:val="nil"/>
              <w:right w:val="nil"/>
            </w:tcBorders>
          </w:tcPr>
          <w:p>
            <w:pPr>
              <w:pStyle w:val="TableParagraph"/>
              <w:ind w:left="474"/>
              <w:jc w:val="left"/>
              <w:rPr>
                <w:rFonts w:ascii="Calibri"/>
                <w:sz w:val="22"/>
              </w:rPr>
            </w:pPr>
            <w:r>
              <w:rPr>
                <w:rFonts w:ascii="Calibri"/>
                <w:w w:val="100"/>
                <w:sz w:val="22"/>
              </w:rPr>
              <w:t>3</w:t>
            </w:r>
          </w:p>
        </w:tc>
        <w:tc>
          <w:tcPr>
            <w:tcW w:w="1055" w:type="dxa"/>
            <w:tcBorders>
              <w:top w:val="nil"/>
              <w:left w:val="nil"/>
              <w:bottom w:val="nil"/>
              <w:right w:val="nil"/>
            </w:tcBorders>
          </w:tcPr>
          <w:p>
            <w:pPr>
              <w:pStyle w:val="TableParagraph"/>
              <w:ind w:right="441"/>
              <w:jc w:val="right"/>
              <w:rPr>
                <w:rFonts w:ascii="Calibri"/>
                <w:sz w:val="22"/>
              </w:rPr>
            </w:pPr>
            <w:r>
              <w:rPr>
                <w:rFonts w:ascii="Calibri"/>
                <w:w w:val="100"/>
                <w:sz w:val="22"/>
              </w:rPr>
              <w:t>0</w:t>
            </w:r>
          </w:p>
        </w:tc>
        <w:tc>
          <w:tcPr>
            <w:tcW w:w="1132" w:type="dxa"/>
            <w:tcBorders>
              <w:top w:val="nil"/>
              <w:left w:val="nil"/>
              <w:bottom w:val="nil"/>
              <w:right w:val="nil"/>
            </w:tcBorders>
          </w:tcPr>
          <w:p>
            <w:pPr>
              <w:pStyle w:val="TableParagraph"/>
              <w:ind w:right="1"/>
              <w:rPr>
                <w:rFonts w:ascii="Calibri"/>
                <w:sz w:val="22"/>
              </w:rPr>
            </w:pPr>
            <w:r>
              <w:rPr>
                <w:rFonts w:ascii="Calibri"/>
                <w:w w:val="100"/>
                <w:sz w:val="22"/>
              </w:rPr>
              <w:t>6</w:t>
            </w:r>
          </w:p>
        </w:tc>
        <w:tc>
          <w:tcPr>
            <w:tcW w:w="991" w:type="dxa"/>
            <w:tcBorders>
              <w:top w:val="nil"/>
              <w:left w:val="nil"/>
              <w:bottom w:val="nil"/>
            </w:tcBorders>
          </w:tcPr>
          <w:p>
            <w:pPr>
              <w:pStyle w:val="TableParagraph"/>
              <w:ind w:left="365" w:right="358"/>
              <w:rPr>
                <w:rFonts w:ascii="Calibri"/>
                <w:sz w:val="22"/>
              </w:rPr>
            </w:pPr>
            <w:r>
              <w:rPr>
                <w:rFonts w:ascii="Calibri"/>
                <w:sz w:val="22"/>
              </w:rPr>
              <w:t>42</w:t>
            </w:r>
          </w:p>
        </w:tc>
      </w:tr>
      <w:tr>
        <w:trPr>
          <w:trHeight w:val="509" w:hRule="exact"/>
        </w:trPr>
        <w:tc>
          <w:tcPr>
            <w:tcW w:w="1027" w:type="dxa"/>
            <w:tcBorders>
              <w:top w:val="nil"/>
              <w:bottom w:val="nil"/>
              <w:right w:val="dotted" w:sz="4" w:space="0" w:color="000000"/>
            </w:tcBorders>
          </w:tcPr>
          <w:p>
            <w:pPr>
              <w:pStyle w:val="TableParagraph"/>
              <w:ind w:left="1"/>
              <w:rPr>
                <w:rFonts w:ascii="Calibri"/>
                <w:sz w:val="22"/>
              </w:rPr>
            </w:pPr>
            <w:r>
              <w:rPr>
                <w:rFonts w:ascii="Calibri"/>
                <w:w w:val="100"/>
                <w:sz w:val="22"/>
              </w:rPr>
              <w:t>6</w:t>
            </w:r>
          </w:p>
        </w:tc>
        <w:tc>
          <w:tcPr>
            <w:tcW w:w="1094" w:type="dxa"/>
            <w:tcBorders>
              <w:top w:val="nil"/>
              <w:left w:val="dotted" w:sz="4" w:space="0" w:color="000000"/>
              <w:bottom w:val="nil"/>
              <w:right w:val="nil"/>
            </w:tcBorders>
          </w:tcPr>
          <w:p>
            <w:pPr>
              <w:pStyle w:val="TableParagraph"/>
              <w:ind w:right="1"/>
              <w:rPr>
                <w:rFonts w:ascii="Calibri"/>
                <w:sz w:val="22"/>
              </w:rPr>
            </w:pPr>
            <w:r>
              <w:rPr>
                <w:rFonts w:ascii="Calibri"/>
                <w:w w:val="100"/>
                <w:sz w:val="22"/>
              </w:rPr>
              <w:t>1</w:t>
            </w:r>
          </w:p>
        </w:tc>
        <w:tc>
          <w:tcPr>
            <w:tcW w:w="1246" w:type="dxa"/>
            <w:tcBorders>
              <w:top w:val="nil"/>
              <w:left w:val="nil"/>
              <w:bottom w:val="nil"/>
              <w:right w:val="nil"/>
            </w:tcBorders>
          </w:tcPr>
          <w:p>
            <w:pPr>
              <w:pStyle w:val="TableParagraph"/>
              <w:ind w:left="4"/>
              <w:rPr>
                <w:rFonts w:ascii="Calibri"/>
                <w:sz w:val="22"/>
              </w:rPr>
            </w:pPr>
            <w:r>
              <w:rPr>
                <w:rFonts w:ascii="Calibri"/>
                <w:w w:val="100"/>
                <w:sz w:val="22"/>
              </w:rPr>
              <w:t>7</w:t>
            </w:r>
          </w:p>
        </w:tc>
        <w:tc>
          <w:tcPr>
            <w:tcW w:w="1115" w:type="dxa"/>
            <w:tcBorders>
              <w:top w:val="nil"/>
              <w:left w:val="nil"/>
              <w:bottom w:val="nil"/>
              <w:right w:val="nil"/>
            </w:tcBorders>
          </w:tcPr>
          <w:p>
            <w:pPr>
              <w:pStyle w:val="TableParagraph"/>
              <w:ind w:left="514"/>
              <w:jc w:val="left"/>
              <w:rPr>
                <w:rFonts w:ascii="Calibri"/>
                <w:sz w:val="22"/>
              </w:rPr>
            </w:pPr>
            <w:r>
              <w:rPr>
                <w:rFonts w:ascii="Calibri"/>
                <w:w w:val="100"/>
                <w:sz w:val="22"/>
              </w:rPr>
              <w:t>8</w:t>
            </w:r>
          </w:p>
        </w:tc>
        <w:tc>
          <w:tcPr>
            <w:tcW w:w="1044" w:type="dxa"/>
            <w:tcBorders>
              <w:top w:val="nil"/>
              <w:left w:val="nil"/>
              <w:bottom w:val="nil"/>
              <w:right w:val="nil"/>
            </w:tcBorders>
          </w:tcPr>
          <w:p>
            <w:pPr>
              <w:pStyle w:val="TableParagraph"/>
              <w:ind w:left="376" w:right="392"/>
              <w:rPr>
                <w:rFonts w:ascii="Calibri"/>
                <w:sz w:val="22"/>
              </w:rPr>
            </w:pPr>
            <w:r>
              <w:rPr>
                <w:rFonts w:ascii="Calibri"/>
                <w:sz w:val="22"/>
              </w:rPr>
              <w:t>11</w:t>
            </w:r>
          </w:p>
        </w:tc>
        <w:tc>
          <w:tcPr>
            <w:tcW w:w="1043" w:type="dxa"/>
            <w:tcBorders>
              <w:top w:val="nil"/>
              <w:left w:val="nil"/>
              <w:bottom w:val="nil"/>
              <w:right w:val="nil"/>
            </w:tcBorders>
          </w:tcPr>
          <w:p>
            <w:pPr>
              <w:pStyle w:val="TableParagraph"/>
              <w:ind w:left="419"/>
              <w:jc w:val="left"/>
              <w:rPr>
                <w:rFonts w:ascii="Calibri"/>
                <w:sz w:val="22"/>
              </w:rPr>
            </w:pPr>
            <w:r>
              <w:rPr>
                <w:rFonts w:ascii="Calibri"/>
                <w:sz w:val="22"/>
              </w:rPr>
              <w:t>15</w:t>
            </w:r>
          </w:p>
        </w:tc>
        <w:tc>
          <w:tcPr>
            <w:tcW w:w="1055" w:type="dxa"/>
            <w:tcBorders>
              <w:top w:val="nil"/>
              <w:left w:val="nil"/>
              <w:bottom w:val="nil"/>
              <w:right w:val="nil"/>
            </w:tcBorders>
          </w:tcPr>
          <w:p>
            <w:pPr>
              <w:pStyle w:val="TableParagraph"/>
              <w:ind w:right="441"/>
              <w:jc w:val="right"/>
              <w:rPr>
                <w:rFonts w:ascii="Calibri"/>
                <w:sz w:val="22"/>
              </w:rPr>
            </w:pPr>
            <w:r>
              <w:rPr>
                <w:rFonts w:ascii="Calibri"/>
                <w:w w:val="100"/>
                <w:sz w:val="22"/>
              </w:rPr>
              <w:t>5</w:t>
            </w:r>
          </w:p>
        </w:tc>
        <w:tc>
          <w:tcPr>
            <w:tcW w:w="1132" w:type="dxa"/>
            <w:tcBorders>
              <w:top w:val="nil"/>
              <w:left w:val="nil"/>
              <w:bottom w:val="nil"/>
              <w:right w:val="nil"/>
            </w:tcBorders>
          </w:tcPr>
          <w:p>
            <w:pPr>
              <w:pStyle w:val="TableParagraph"/>
              <w:ind w:left="450"/>
              <w:jc w:val="left"/>
              <w:rPr>
                <w:rFonts w:ascii="Calibri"/>
                <w:sz w:val="22"/>
              </w:rPr>
            </w:pPr>
            <w:r>
              <w:rPr>
                <w:rFonts w:ascii="Calibri"/>
                <w:sz w:val="22"/>
              </w:rPr>
              <w:t>15</w:t>
            </w:r>
          </w:p>
        </w:tc>
        <w:tc>
          <w:tcPr>
            <w:tcW w:w="991" w:type="dxa"/>
            <w:tcBorders>
              <w:top w:val="nil"/>
              <w:left w:val="nil"/>
              <w:bottom w:val="nil"/>
            </w:tcBorders>
          </w:tcPr>
          <w:p>
            <w:pPr>
              <w:pStyle w:val="TableParagraph"/>
              <w:ind w:left="365" w:right="358"/>
              <w:rPr>
                <w:rFonts w:ascii="Calibri"/>
                <w:sz w:val="22"/>
              </w:rPr>
            </w:pPr>
            <w:r>
              <w:rPr>
                <w:rFonts w:ascii="Calibri"/>
                <w:sz w:val="22"/>
              </w:rPr>
              <w:t>61</w:t>
            </w:r>
          </w:p>
        </w:tc>
      </w:tr>
      <w:tr>
        <w:trPr>
          <w:trHeight w:val="509" w:hRule="exact"/>
        </w:trPr>
        <w:tc>
          <w:tcPr>
            <w:tcW w:w="1027" w:type="dxa"/>
            <w:tcBorders>
              <w:top w:val="nil"/>
              <w:bottom w:val="nil"/>
              <w:right w:val="dotted" w:sz="4" w:space="0" w:color="000000"/>
            </w:tcBorders>
          </w:tcPr>
          <w:p>
            <w:pPr>
              <w:pStyle w:val="TableParagraph"/>
              <w:ind w:left="1"/>
              <w:rPr>
                <w:rFonts w:ascii="Calibri"/>
                <w:sz w:val="22"/>
              </w:rPr>
            </w:pPr>
            <w:r>
              <w:rPr>
                <w:rFonts w:ascii="Calibri"/>
                <w:w w:val="100"/>
                <w:sz w:val="22"/>
              </w:rPr>
              <w:t>7</w:t>
            </w:r>
          </w:p>
        </w:tc>
        <w:tc>
          <w:tcPr>
            <w:tcW w:w="1094" w:type="dxa"/>
            <w:tcBorders>
              <w:top w:val="nil"/>
              <w:left w:val="dotted" w:sz="4" w:space="0" w:color="000000"/>
              <w:bottom w:val="nil"/>
              <w:right w:val="nil"/>
            </w:tcBorders>
          </w:tcPr>
          <w:p>
            <w:pPr>
              <w:pStyle w:val="TableParagraph"/>
              <w:ind w:right="1"/>
              <w:rPr>
                <w:rFonts w:ascii="Calibri"/>
                <w:sz w:val="22"/>
              </w:rPr>
            </w:pPr>
            <w:r>
              <w:rPr>
                <w:rFonts w:ascii="Calibri"/>
                <w:w w:val="100"/>
                <w:sz w:val="22"/>
              </w:rPr>
              <w:t>1</w:t>
            </w:r>
          </w:p>
        </w:tc>
        <w:tc>
          <w:tcPr>
            <w:tcW w:w="1246" w:type="dxa"/>
            <w:tcBorders>
              <w:top w:val="nil"/>
              <w:left w:val="nil"/>
              <w:bottom w:val="nil"/>
              <w:right w:val="nil"/>
            </w:tcBorders>
          </w:tcPr>
          <w:p>
            <w:pPr>
              <w:pStyle w:val="TableParagraph"/>
              <w:ind w:left="4"/>
              <w:rPr>
                <w:rFonts w:ascii="Calibri"/>
                <w:sz w:val="22"/>
              </w:rPr>
            </w:pPr>
            <w:r>
              <w:rPr>
                <w:rFonts w:ascii="Calibri"/>
                <w:w w:val="100"/>
                <w:sz w:val="22"/>
              </w:rPr>
              <w:t>7</w:t>
            </w:r>
          </w:p>
        </w:tc>
        <w:tc>
          <w:tcPr>
            <w:tcW w:w="1115" w:type="dxa"/>
            <w:tcBorders>
              <w:top w:val="nil"/>
              <w:left w:val="nil"/>
              <w:bottom w:val="nil"/>
              <w:right w:val="nil"/>
            </w:tcBorders>
          </w:tcPr>
          <w:p>
            <w:pPr>
              <w:pStyle w:val="TableParagraph"/>
              <w:ind w:left="514"/>
              <w:jc w:val="left"/>
              <w:rPr>
                <w:rFonts w:ascii="Calibri"/>
                <w:sz w:val="22"/>
              </w:rPr>
            </w:pPr>
            <w:r>
              <w:rPr>
                <w:rFonts w:ascii="Calibri"/>
                <w:w w:val="100"/>
                <w:sz w:val="22"/>
              </w:rPr>
              <w:t>6</w:t>
            </w:r>
          </w:p>
        </w:tc>
        <w:tc>
          <w:tcPr>
            <w:tcW w:w="1044" w:type="dxa"/>
            <w:tcBorders>
              <w:top w:val="nil"/>
              <w:left w:val="nil"/>
              <w:bottom w:val="nil"/>
              <w:right w:val="nil"/>
            </w:tcBorders>
          </w:tcPr>
          <w:p>
            <w:pPr>
              <w:pStyle w:val="TableParagraph"/>
              <w:ind w:right="15"/>
              <w:rPr>
                <w:rFonts w:ascii="Calibri"/>
                <w:sz w:val="22"/>
              </w:rPr>
            </w:pPr>
            <w:r>
              <w:rPr>
                <w:rFonts w:ascii="Calibri"/>
                <w:w w:val="100"/>
                <w:sz w:val="22"/>
              </w:rPr>
              <w:t>0</w:t>
            </w:r>
          </w:p>
        </w:tc>
        <w:tc>
          <w:tcPr>
            <w:tcW w:w="1043" w:type="dxa"/>
            <w:tcBorders>
              <w:top w:val="nil"/>
              <w:left w:val="nil"/>
              <w:bottom w:val="nil"/>
              <w:right w:val="nil"/>
            </w:tcBorders>
          </w:tcPr>
          <w:p>
            <w:pPr>
              <w:pStyle w:val="TableParagraph"/>
              <w:ind w:left="474"/>
              <w:jc w:val="left"/>
              <w:rPr>
                <w:rFonts w:ascii="Calibri"/>
                <w:sz w:val="22"/>
              </w:rPr>
            </w:pPr>
            <w:r>
              <w:rPr>
                <w:rFonts w:ascii="Calibri"/>
                <w:w w:val="100"/>
                <w:sz w:val="22"/>
              </w:rPr>
              <w:t>1</w:t>
            </w:r>
          </w:p>
        </w:tc>
        <w:tc>
          <w:tcPr>
            <w:tcW w:w="1055" w:type="dxa"/>
            <w:tcBorders>
              <w:top w:val="nil"/>
              <w:left w:val="nil"/>
              <w:bottom w:val="nil"/>
              <w:right w:val="nil"/>
            </w:tcBorders>
          </w:tcPr>
          <w:p>
            <w:pPr>
              <w:pStyle w:val="TableParagraph"/>
              <w:ind w:right="441"/>
              <w:jc w:val="right"/>
              <w:rPr>
                <w:rFonts w:ascii="Calibri"/>
                <w:sz w:val="22"/>
              </w:rPr>
            </w:pPr>
            <w:r>
              <w:rPr>
                <w:rFonts w:ascii="Calibri"/>
                <w:w w:val="100"/>
                <w:sz w:val="22"/>
              </w:rPr>
              <w:t>0</w:t>
            </w:r>
          </w:p>
        </w:tc>
        <w:tc>
          <w:tcPr>
            <w:tcW w:w="1132" w:type="dxa"/>
            <w:tcBorders>
              <w:top w:val="nil"/>
              <w:left w:val="nil"/>
              <w:bottom w:val="nil"/>
              <w:right w:val="nil"/>
            </w:tcBorders>
          </w:tcPr>
          <w:p>
            <w:pPr>
              <w:pStyle w:val="TableParagraph"/>
              <w:ind w:right="1"/>
              <w:rPr>
                <w:rFonts w:ascii="Calibri"/>
                <w:sz w:val="22"/>
              </w:rPr>
            </w:pPr>
            <w:r>
              <w:rPr>
                <w:rFonts w:ascii="Calibri"/>
                <w:w w:val="100"/>
                <w:sz w:val="22"/>
              </w:rPr>
              <w:t>2</w:t>
            </w:r>
          </w:p>
        </w:tc>
        <w:tc>
          <w:tcPr>
            <w:tcW w:w="991" w:type="dxa"/>
            <w:tcBorders>
              <w:top w:val="nil"/>
              <w:left w:val="nil"/>
              <w:bottom w:val="nil"/>
            </w:tcBorders>
          </w:tcPr>
          <w:p>
            <w:pPr>
              <w:pStyle w:val="TableParagraph"/>
              <w:ind w:left="365" w:right="358"/>
              <w:rPr>
                <w:rFonts w:ascii="Calibri"/>
                <w:sz w:val="22"/>
              </w:rPr>
            </w:pPr>
            <w:r>
              <w:rPr>
                <w:rFonts w:ascii="Calibri"/>
                <w:sz w:val="22"/>
              </w:rPr>
              <w:t>16</w:t>
            </w:r>
          </w:p>
        </w:tc>
      </w:tr>
      <w:tr>
        <w:trPr>
          <w:trHeight w:val="509" w:hRule="exact"/>
        </w:trPr>
        <w:tc>
          <w:tcPr>
            <w:tcW w:w="1027" w:type="dxa"/>
            <w:tcBorders>
              <w:top w:val="nil"/>
              <w:bottom w:val="nil"/>
              <w:right w:val="dotted" w:sz="4" w:space="0" w:color="000000"/>
            </w:tcBorders>
          </w:tcPr>
          <w:p>
            <w:pPr>
              <w:pStyle w:val="TableParagraph"/>
              <w:ind w:left="1"/>
              <w:rPr>
                <w:rFonts w:ascii="Calibri"/>
                <w:sz w:val="22"/>
              </w:rPr>
            </w:pPr>
            <w:r>
              <w:rPr>
                <w:rFonts w:ascii="Calibri"/>
                <w:w w:val="100"/>
                <w:sz w:val="22"/>
              </w:rPr>
              <w:t>8</w:t>
            </w:r>
          </w:p>
        </w:tc>
        <w:tc>
          <w:tcPr>
            <w:tcW w:w="1094" w:type="dxa"/>
            <w:tcBorders>
              <w:top w:val="nil"/>
              <w:left w:val="dotted" w:sz="4" w:space="0" w:color="000000"/>
              <w:bottom w:val="nil"/>
              <w:right w:val="nil"/>
            </w:tcBorders>
          </w:tcPr>
          <w:p>
            <w:pPr>
              <w:pStyle w:val="TableParagraph"/>
              <w:ind w:right="1"/>
              <w:rPr>
                <w:rFonts w:ascii="Calibri"/>
                <w:sz w:val="22"/>
              </w:rPr>
            </w:pPr>
            <w:r>
              <w:rPr>
                <w:rFonts w:ascii="Calibri"/>
                <w:w w:val="100"/>
                <w:sz w:val="22"/>
              </w:rPr>
              <w:t>0</w:t>
            </w:r>
          </w:p>
        </w:tc>
        <w:tc>
          <w:tcPr>
            <w:tcW w:w="1246" w:type="dxa"/>
            <w:tcBorders>
              <w:top w:val="nil"/>
              <w:left w:val="nil"/>
              <w:bottom w:val="nil"/>
              <w:right w:val="nil"/>
            </w:tcBorders>
          </w:tcPr>
          <w:p>
            <w:pPr>
              <w:pStyle w:val="TableParagraph"/>
              <w:ind w:left="4"/>
              <w:rPr>
                <w:rFonts w:ascii="Calibri"/>
                <w:sz w:val="22"/>
              </w:rPr>
            </w:pPr>
            <w:r>
              <w:rPr>
                <w:rFonts w:ascii="Calibri"/>
                <w:w w:val="100"/>
                <w:sz w:val="22"/>
              </w:rPr>
              <w:t>3</w:t>
            </w:r>
          </w:p>
        </w:tc>
        <w:tc>
          <w:tcPr>
            <w:tcW w:w="1115" w:type="dxa"/>
            <w:tcBorders>
              <w:top w:val="nil"/>
              <w:left w:val="nil"/>
              <w:bottom w:val="nil"/>
              <w:right w:val="nil"/>
            </w:tcBorders>
          </w:tcPr>
          <w:p>
            <w:pPr>
              <w:pStyle w:val="TableParagraph"/>
              <w:ind w:left="514"/>
              <w:jc w:val="left"/>
              <w:rPr>
                <w:rFonts w:ascii="Calibri"/>
                <w:sz w:val="22"/>
              </w:rPr>
            </w:pPr>
            <w:r>
              <w:rPr>
                <w:rFonts w:ascii="Calibri"/>
                <w:w w:val="100"/>
                <w:sz w:val="22"/>
              </w:rPr>
              <w:t>1</w:t>
            </w:r>
          </w:p>
        </w:tc>
        <w:tc>
          <w:tcPr>
            <w:tcW w:w="1044" w:type="dxa"/>
            <w:tcBorders>
              <w:top w:val="nil"/>
              <w:left w:val="nil"/>
              <w:bottom w:val="nil"/>
              <w:right w:val="nil"/>
            </w:tcBorders>
          </w:tcPr>
          <w:p>
            <w:pPr>
              <w:pStyle w:val="TableParagraph"/>
              <w:ind w:left="376" w:right="392"/>
              <w:rPr>
                <w:rFonts w:ascii="Calibri"/>
                <w:sz w:val="22"/>
              </w:rPr>
            </w:pPr>
            <w:r>
              <w:rPr>
                <w:rFonts w:ascii="Calibri"/>
                <w:sz w:val="22"/>
              </w:rPr>
              <w:t>17</w:t>
            </w:r>
          </w:p>
        </w:tc>
        <w:tc>
          <w:tcPr>
            <w:tcW w:w="1043" w:type="dxa"/>
            <w:tcBorders>
              <w:top w:val="nil"/>
              <w:left w:val="nil"/>
              <w:bottom w:val="nil"/>
              <w:right w:val="nil"/>
            </w:tcBorders>
          </w:tcPr>
          <w:p>
            <w:pPr>
              <w:pStyle w:val="TableParagraph"/>
              <w:ind w:left="474"/>
              <w:jc w:val="left"/>
              <w:rPr>
                <w:rFonts w:ascii="Calibri"/>
                <w:sz w:val="22"/>
              </w:rPr>
            </w:pPr>
            <w:r>
              <w:rPr>
                <w:rFonts w:ascii="Calibri"/>
                <w:w w:val="100"/>
                <w:sz w:val="22"/>
              </w:rPr>
              <w:t>3</w:t>
            </w:r>
          </w:p>
        </w:tc>
        <w:tc>
          <w:tcPr>
            <w:tcW w:w="1055" w:type="dxa"/>
            <w:tcBorders>
              <w:top w:val="nil"/>
              <w:left w:val="nil"/>
              <w:bottom w:val="nil"/>
              <w:right w:val="nil"/>
            </w:tcBorders>
          </w:tcPr>
          <w:p>
            <w:pPr>
              <w:pStyle w:val="TableParagraph"/>
              <w:ind w:right="441"/>
              <w:jc w:val="right"/>
              <w:rPr>
                <w:rFonts w:ascii="Calibri"/>
                <w:sz w:val="22"/>
              </w:rPr>
            </w:pPr>
            <w:r>
              <w:rPr>
                <w:rFonts w:ascii="Calibri"/>
                <w:w w:val="100"/>
                <w:sz w:val="22"/>
              </w:rPr>
              <w:t>1</w:t>
            </w:r>
          </w:p>
        </w:tc>
        <w:tc>
          <w:tcPr>
            <w:tcW w:w="1132" w:type="dxa"/>
            <w:tcBorders>
              <w:top w:val="nil"/>
              <w:left w:val="nil"/>
              <w:bottom w:val="nil"/>
              <w:right w:val="nil"/>
            </w:tcBorders>
          </w:tcPr>
          <w:p>
            <w:pPr>
              <w:pStyle w:val="TableParagraph"/>
              <w:ind w:left="450"/>
              <w:jc w:val="left"/>
              <w:rPr>
                <w:rFonts w:ascii="Calibri"/>
                <w:sz w:val="22"/>
              </w:rPr>
            </w:pPr>
            <w:r>
              <w:rPr>
                <w:rFonts w:ascii="Calibri"/>
                <w:sz w:val="22"/>
              </w:rPr>
              <w:t>22</w:t>
            </w:r>
          </w:p>
        </w:tc>
        <w:tc>
          <w:tcPr>
            <w:tcW w:w="991" w:type="dxa"/>
            <w:tcBorders>
              <w:top w:val="nil"/>
              <w:left w:val="nil"/>
              <w:bottom w:val="nil"/>
            </w:tcBorders>
          </w:tcPr>
          <w:p>
            <w:pPr>
              <w:pStyle w:val="TableParagraph"/>
              <w:ind w:left="365" w:right="358"/>
              <w:rPr>
                <w:rFonts w:ascii="Calibri"/>
                <w:sz w:val="22"/>
              </w:rPr>
            </w:pPr>
            <w:r>
              <w:rPr>
                <w:rFonts w:ascii="Calibri"/>
                <w:sz w:val="22"/>
              </w:rPr>
              <w:t>47</w:t>
            </w:r>
          </w:p>
        </w:tc>
      </w:tr>
      <w:tr>
        <w:trPr>
          <w:trHeight w:val="509" w:hRule="exact"/>
        </w:trPr>
        <w:tc>
          <w:tcPr>
            <w:tcW w:w="1027" w:type="dxa"/>
            <w:tcBorders>
              <w:top w:val="nil"/>
              <w:bottom w:val="nil"/>
              <w:right w:val="dotted" w:sz="4" w:space="0" w:color="000000"/>
            </w:tcBorders>
          </w:tcPr>
          <w:p>
            <w:pPr>
              <w:pStyle w:val="TableParagraph"/>
              <w:ind w:left="1"/>
              <w:rPr>
                <w:rFonts w:ascii="Calibri"/>
                <w:sz w:val="22"/>
              </w:rPr>
            </w:pPr>
            <w:r>
              <w:rPr>
                <w:rFonts w:ascii="Calibri"/>
                <w:w w:val="100"/>
                <w:sz w:val="22"/>
              </w:rPr>
              <w:t>9</w:t>
            </w:r>
          </w:p>
        </w:tc>
        <w:tc>
          <w:tcPr>
            <w:tcW w:w="1094" w:type="dxa"/>
            <w:tcBorders>
              <w:top w:val="nil"/>
              <w:left w:val="dotted" w:sz="4" w:space="0" w:color="000000"/>
              <w:bottom w:val="nil"/>
              <w:right w:val="nil"/>
            </w:tcBorders>
          </w:tcPr>
          <w:p>
            <w:pPr>
              <w:pStyle w:val="TableParagraph"/>
              <w:ind w:right="1"/>
              <w:rPr>
                <w:rFonts w:ascii="Calibri"/>
                <w:sz w:val="22"/>
              </w:rPr>
            </w:pPr>
            <w:r>
              <w:rPr>
                <w:rFonts w:ascii="Calibri"/>
                <w:w w:val="100"/>
                <w:sz w:val="22"/>
              </w:rPr>
              <w:t>0</w:t>
            </w:r>
          </w:p>
        </w:tc>
        <w:tc>
          <w:tcPr>
            <w:tcW w:w="1246" w:type="dxa"/>
            <w:tcBorders>
              <w:top w:val="nil"/>
              <w:left w:val="nil"/>
              <w:bottom w:val="nil"/>
              <w:right w:val="nil"/>
            </w:tcBorders>
          </w:tcPr>
          <w:p>
            <w:pPr>
              <w:pStyle w:val="TableParagraph"/>
              <w:ind w:left="4"/>
              <w:rPr>
                <w:rFonts w:ascii="Calibri"/>
                <w:sz w:val="22"/>
              </w:rPr>
            </w:pPr>
            <w:r>
              <w:rPr>
                <w:rFonts w:ascii="Calibri"/>
                <w:w w:val="100"/>
                <w:sz w:val="22"/>
              </w:rPr>
              <w:t>3</w:t>
            </w:r>
          </w:p>
        </w:tc>
        <w:tc>
          <w:tcPr>
            <w:tcW w:w="1115" w:type="dxa"/>
            <w:tcBorders>
              <w:top w:val="nil"/>
              <w:left w:val="nil"/>
              <w:bottom w:val="nil"/>
              <w:right w:val="nil"/>
            </w:tcBorders>
          </w:tcPr>
          <w:p>
            <w:pPr>
              <w:pStyle w:val="TableParagraph"/>
              <w:ind w:left="514"/>
              <w:jc w:val="left"/>
              <w:rPr>
                <w:rFonts w:ascii="Calibri"/>
                <w:sz w:val="22"/>
              </w:rPr>
            </w:pPr>
            <w:r>
              <w:rPr>
                <w:rFonts w:ascii="Calibri"/>
                <w:w w:val="100"/>
                <w:sz w:val="22"/>
              </w:rPr>
              <w:t>6</w:t>
            </w:r>
          </w:p>
        </w:tc>
        <w:tc>
          <w:tcPr>
            <w:tcW w:w="1044" w:type="dxa"/>
            <w:tcBorders>
              <w:top w:val="nil"/>
              <w:left w:val="nil"/>
              <w:bottom w:val="nil"/>
              <w:right w:val="nil"/>
            </w:tcBorders>
          </w:tcPr>
          <w:p>
            <w:pPr>
              <w:pStyle w:val="TableParagraph"/>
              <w:ind w:right="15"/>
              <w:rPr>
                <w:rFonts w:ascii="Calibri"/>
                <w:sz w:val="22"/>
              </w:rPr>
            </w:pPr>
            <w:r>
              <w:rPr>
                <w:rFonts w:ascii="Calibri"/>
                <w:w w:val="100"/>
                <w:sz w:val="22"/>
              </w:rPr>
              <w:t>1</w:t>
            </w:r>
          </w:p>
        </w:tc>
        <w:tc>
          <w:tcPr>
            <w:tcW w:w="1043" w:type="dxa"/>
            <w:tcBorders>
              <w:top w:val="nil"/>
              <w:left w:val="nil"/>
              <w:bottom w:val="nil"/>
              <w:right w:val="nil"/>
            </w:tcBorders>
          </w:tcPr>
          <w:p>
            <w:pPr>
              <w:pStyle w:val="TableParagraph"/>
              <w:ind w:left="419"/>
              <w:jc w:val="left"/>
              <w:rPr>
                <w:rFonts w:ascii="Calibri"/>
                <w:sz w:val="22"/>
              </w:rPr>
            </w:pPr>
            <w:r>
              <w:rPr>
                <w:rFonts w:ascii="Calibri"/>
                <w:sz w:val="22"/>
              </w:rPr>
              <w:t>13</w:t>
            </w:r>
          </w:p>
        </w:tc>
        <w:tc>
          <w:tcPr>
            <w:tcW w:w="1055" w:type="dxa"/>
            <w:tcBorders>
              <w:top w:val="nil"/>
              <w:left w:val="nil"/>
              <w:bottom w:val="nil"/>
              <w:right w:val="nil"/>
            </w:tcBorders>
          </w:tcPr>
          <w:p>
            <w:pPr>
              <w:pStyle w:val="TableParagraph"/>
              <w:ind w:right="441"/>
              <w:jc w:val="right"/>
              <w:rPr>
                <w:rFonts w:ascii="Calibri"/>
                <w:sz w:val="22"/>
              </w:rPr>
            </w:pPr>
            <w:r>
              <w:rPr>
                <w:rFonts w:ascii="Calibri"/>
                <w:w w:val="100"/>
                <w:sz w:val="22"/>
              </w:rPr>
              <w:t>0</w:t>
            </w:r>
          </w:p>
        </w:tc>
        <w:tc>
          <w:tcPr>
            <w:tcW w:w="1132" w:type="dxa"/>
            <w:tcBorders>
              <w:top w:val="nil"/>
              <w:left w:val="nil"/>
              <w:bottom w:val="nil"/>
              <w:right w:val="nil"/>
            </w:tcBorders>
          </w:tcPr>
          <w:p>
            <w:pPr>
              <w:pStyle w:val="TableParagraph"/>
              <w:ind w:left="450"/>
              <w:jc w:val="left"/>
              <w:rPr>
                <w:rFonts w:ascii="Calibri"/>
                <w:sz w:val="22"/>
              </w:rPr>
            </w:pPr>
            <w:r>
              <w:rPr>
                <w:rFonts w:ascii="Calibri"/>
                <w:sz w:val="22"/>
              </w:rPr>
              <w:t>12</w:t>
            </w:r>
          </w:p>
        </w:tc>
        <w:tc>
          <w:tcPr>
            <w:tcW w:w="991" w:type="dxa"/>
            <w:tcBorders>
              <w:top w:val="nil"/>
              <w:left w:val="nil"/>
              <w:bottom w:val="nil"/>
            </w:tcBorders>
          </w:tcPr>
          <w:p>
            <w:pPr>
              <w:pStyle w:val="TableParagraph"/>
              <w:ind w:left="365" w:right="358"/>
              <w:rPr>
                <w:rFonts w:ascii="Calibri"/>
                <w:sz w:val="22"/>
              </w:rPr>
            </w:pPr>
            <w:r>
              <w:rPr>
                <w:rFonts w:ascii="Calibri"/>
                <w:sz w:val="22"/>
              </w:rPr>
              <w:t>35</w:t>
            </w:r>
          </w:p>
        </w:tc>
      </w:tr>
      <w:tr>
        <w:trPr>
          <w:trHeight w:val="509" w:hRule="exact"/>
        </w:trPr>
        <w:tc>
          <w:tcPr>
            <w:tcW w:w="1027" w:type="dxa"/>
            <w:tcBorders>
              <w:top w:val="nil"/>
              <w:bottom w:val="nil"/>
              <w:right w:val="dotted" w:sz="4" w:space="0" w:color="000000"/>
            </w:tcBorders>
          </w:tcPr>
          <w:p>
            <w:pPr>
              <w:pStyle w:val="TableParagraph"/>
              <w:ind w:left="148" w:right="148"/>
              <w:rPr>
                <w:rFonts w:ascii="Calibri"/>
                <w:sz w:val="22"/>
              </w:rPr>
            </w:pPr>
            <w:r>
              <w:rPr>
                <w:rFonts w:ascii="Calibri"/>
                <w:sz w:val="22"/>
              </w:rPr>
              <w:t>10</w:t>
            </w:r>
          </w:p>
        </w:tc>
        <w:tc>
          <w:tcPr>
            <w:tcW w:w="1094" w:type="dxa"/>
            <w:tcBorders>
              <w:top w:val="nil"/>
              <w:left w:val="dotted" w:sz="4" w:space="0" w:color="000000"/>
              <w:bottom w:val="nil"/>
              <w:right w:val="nil"/>
            </w:tcBorders>
          </w:tcPr>
          <w:p>
            <w:pPr>
              <w:pStyle w:val="TableParagraph"/>
              <w:ind w:right="1"/>
              <w:rPr>
                <w:rFonts w:ascii="Calibri"/>
                <w:sz w:val="22"/>
              </w:rPr>
            </w:pPr>
            <w:r>
              <w:rPr>
                <w:rFonts w:ascii="Calibri"/>
                <w:w w:val="100"/>
                <w:sz w:val="22"/>
              </w:rPr>
              <w:t>0</w:t>
            </w:r>
          </w:p>
        </w:tc>
        <w:tc>
          <w:tcPr>
            <w:tcW w:w="1246" w:type="dxa"/>
            <w:tcBorders>
              <w:top w:val="nil"/>
              <w:left w:val="nil"/>
              <w:bottom w:val="nil"/>
              <w:right w:val="nil"/>
            </w:tcBorders>
          </w:tcPr>
          <w:p>
            <w:pPr>
              <w:pStyle w:val="TableParagraph"/>
              <w:ind w:left="4"/>
              <w:rPr>
                <w:rFonts w:ascii="Calibri"/>
                <w:sz w:val="22"/>
              </w:rPr>
            </w:pPr>
            <w:r>
              <w:rPr>
                <w:rFonts w:ascii="Calibri"/>
                <w:w w:val="100"/>
                <w:sz w:val="22"/>
              </w:rPr>
              <w:t>3</w:t>
            </w:r>
          </w:p>
        </w:tc>
        <w:tc>
          <w:tcPr>
            <w:tcW w:w="1115" w:type="dxa"/>
            <w:tcBorders>
              <w:top w:val="nil"/>
              <w:left w:val="nil"/>
              <w:bottom w:val="nil"/>
              <w:right w:val="nil"/>
            </w:tcBorders>
          </w:tcPr>
          <w:p>
            <w:pPr>
              <w:pStyle w:val="TableParagraph"/>
              <w:ind w:left="456"/>
              <w:jc w:val="left"/>
              <w:rPr>
                <w:rFonts w:ascii="Calibri"/>
                <w:sz w:val="22"/>
              </w:rPr>
            </w:pPr>
            <w:r>
              <w:rPr>
                <w:rFonts w:ascii="Calibri"/>
                <w:sz w:val="22"/>
              </w:rPr>
              <w:t>21</w:t>
            </w:r>
          </w:p>
        </w:tc>
        <w:tc>
          <w:tcPr>
            <w:tcW w:w="1044" w:type="dxa"/>
            <w:tcBorders>
              <w:top w:val="nil"/>
              <w:left w:val="nil"/>
              <w:bottom w:val="nil"/>
              <w:right w:val="nil"/>
            </w:tcBorders>
          </w:tcPr>
          <w:p>
            <w:pPr>
              <w:pStyle w:val="TableParagraph"/>
              <w:ind w:left="376" w:right="392"/>
              <w:rPr>
                <w:rFonts w:ascii="Calibri"/>
                <w:sz w:val="22"/>
              </w:rPr>
            </w:pPr>
            <w:r>
              <w:rPr>
                <w:rFonts w:ascii="Calibri"/>
                <w:sz w:val="22"/>
              </w:rPr>
              <w:t>10</w:t>
            </w:r>
          </w:p>
        </w:tc>
        <w:tc>
          <w:tcPr>
            <w:tcW w:w="1043" w:type="dxa"/>
            <w:tcBorders>
              <w:top w:val="nil"/>
              <w:left w:val="nil"/>
              <w:bottom w:val="nil"/>
              <w:right w:val="nil"/>
            </w:tcBorders>
          </w:tcPr>
          <w:p>
            <w:pPr>
              <w:pStyle w:val="TableParagraph"/>
              <w:ind w:left="419"/>
              <w:jc w:val="left"/>
              <w:rPr>
                <w:rFonts w:ascii="Calibri"/>
                <w:sz w:val="22"/>
              </w:rPr>
            </w:pPr>
            <w:r>
              <w:rPr>
                <w:rFonts w:ascii="Calibri"/>
                <w:sz w:val="22"/>
              </w:rPr>
              <w:t>10</w:t>
            </w:r>
          </w:p>
        </w:tc>
        <w:tc>
          <w:tcPr>
            <w:tcW w:w="1055" w:type="dxa"/>
            <w:tcBorders>
              <w:top w:val="nil"/>
              <w:left w:val="nil"/>
              <w:bottom w:val="nil"/>
              <w:right w:val="nil"/>
            </w:tcBorders>
          </w:tcPr>
          <w:p>
            <w:pPr>
              <w:pStyle w:val="TableParagraph"/>
              <w:ind w:right="441"/>
              <w:jc w:val="right"/>
              <w:rPr>
                <w:rFonts w:ascii="Calibri"/>
                <w:sz w:val="22"/>
              </w:rPr>
            </w:pPr>
            <w:r>
              <w:rPr>
                <w:rFonts w:ascii="Calibri"/>
                <w:w w:val="100"/>
                <w:sz w:val="22"/>
              </w:rPr>
              <w:t>0</w:t>
            </w:r>
          </w:p>
        </w:tc>
        <w:tc>
          <w:tcPr>
            <w:tcW w:w="1132" w:type="dxa"/>
            <w:tcBorders>
              <w:top w:val="nil"/>
              <w:left w:val="nil"/>
              <w:bottom w:val="nil"/>
              <w:right w:val="nil"/>
            </w:tcBorders>
          </w:tcPr>
          <w:p>
            <w:pPr>
              <w:pStyle w:val="TableParagraph"/>
              <w:ind w:left="450"/>
              <w:jc w:val="left"/>
              <w:rPr>
                <w:rFonts w:ascii="Calibri"/>
                <w:sz w:val="22"/>
              </w:rPr>
            </w:pPr>
            <w:r>
              <w:rPr>
                <w:rFonts w:ascii="Calibri"/>
                <w:sz w:val="22"/>
              </w:rPr>
              <w:t>11</w:t>
            </w:r>
          </w:p>
        </w:tc>
        <w:tc>
          <w:tcPr>
            <w:tcW w:w="991" w:type="dxa"/>
            <w:tcBorders>
              <w:top w:val="nil"/>
              <w:left w:val="nil"/>
              <w:bottom w:val="nil"/>
            </w:tcBorders>
          </w:tcPr>
          <w:p>
            <w:pPr>
              <w:pStyle w:val="TableParagraph"/>
              <w:ind w:left="365" w:right="358"/>
              <w:rPr>
                <w:rFonts w:ascii="Calibri"/>
                <w:sz w:val="22"/>
              </w:rPr>
            </w:pPr>
            <w:r>
              <w:rPr>
                <w:rFonts w:ascii="Calibri"/>
                <w:sz w:val="22"/>
              </w:rPr>
              <w:t>55</w:t>
            </w:r>
          </w:p>
        </w:tc>
      </w:tr>
      <w:tr>
        <w:trPr>
          <w:trHeight w:val="509" w:hRule="exact"/>
        </w:trPr>
        <w:tc>
          <w:tcPr>
            <w:tcW w:w="1027" w:type="dxa"/>
            <w:tcBorders>
              <w:top w:val="nil"/>
              <w:bottom w:val="nil"/>
              <w:right w:val="dotted" w:sz="4" w:space="0" w:color="000000"/>
            </w:tcBorders>
          </w:tcPr>
          <w:p>
            <w:pPr>
              <w:pStyle w:val="TableParagraph"/>
              <w:ind w:left="148" w:right="148"/>
              <w:rPr>
                <w:rFonts w:ascii="Calibri"/>
                <w:sz w:val="22"/>
              </w:rPr>
            </w:pPr>
            <w:r>
              <w:rPr>
                <w:rFonts w:ascii="Calibri"/>
                <w:sz w:val="22"/>
              </w:rPr>
              <w:t>11</w:t>
            </w:r>
          </w:p>
        </w:tc>
        <w:tc>
          <w:tcPr>
            <w:tcW w:w="1094" w:type="dxa"/>
            <w:tcBorders>
              <w:top w:val="nil"/>
              <w:left w:val="dotted" w:sz="4" w:space="0" w:color="000000"/>
              <w:bottom w:val="nil"/>
              <w:right w:val="nil"/>
            </w:tcBorders>
          </w:tcPr>
          <w:p>
            <w:pPr>
              <w:pStyle w:val="TableParagraph"/>
              <w:ind w:right="1"/>
              <w:rPr>
                <w:rFonts w:ascii="Calibri"/>
                <w:sz w:val="22"/>
              </w:rPr>
            </w:pPr>
            <w:r>
              <w:rPr>
                <w:rFonts w:ascii="Calibri"/>
                <w:w w:val="100"/>
                <w:sz w:val="22"/>
              </w:rPr>
              <w:t>0</w:t>
            </w:r>
          </w:p>
        </w:tc>
        <w:tc>
          <w:tcPr>
            <w:tcW w:w="1246" w:type="dxa"/>
            <w:tcBorders>
              <w:top w:val="nil"/>
              <w:left w:val="nil"/>
              <w:bottom w:val="nil"/>
              <w:right w:val="nil"/>
            </w:tcBorders>
          </w:tcPr>
          <w:p>
            <w:pPr>
              <w:pStyle w:val="TableParagraph"/>
              <w:ind w:left="4"/>
              <w:rPr>
                <w:rFonts w:ascii="Calibri"/>
                <w:sz w:val="22"/>
              </w:rPr>
            </w:pPr>
            <w:r>
              <w:rPr>
                <w:rFonts w:ascii="Calibri"/>
                <w:w w:val="100"/>
                <w:sz w:val="22"/>
              </w:rPr>
              <w:t>1</w:t>
            </w:r>
          </w:p>
        </w:tc>
        <w:tc>
          <w:tcPr>
            <w:tcW w:w="1115" w:type="dxa"/>
            <w:tcBorders>
              <w:top w:val="nil"/>
              <w:left w:val="nil"/>
              <w:bottom w:val="nil"/>
              <w:right w:val="nil"/>
            </w:tcBorders>
          </w:tcPr>
          <w:p>
            <w:pPr>
              <w:pStyle w:val="TableParagraph"/>
              <w:ind w:left="456"/>
              <w:jc w:val="left"/>
              <w:rPr>
                <w:rFonts w:ascii="Calibri"/>
                <w:sz w:val="22"/>
              </w:rPr>
            </w:pPr>
            <w:r>
              <w:rPr>
                <w:rFonts w:ascii="Calibri"/>
                <w:sz w:val="22"/>
              </w:rPr>
              <w:t>11</w:t>
            </w:r>
          </w:p>
        </w:tc>
        <w:tc>
          <w:tcPr>
            <w:tcW w:w="1044" w:type="dxa"/>
            <w:tcBorders>
              <w:top w:val="nil"/>
              <w:left w:val="nil"/>
              <w:bottom w:val="nil"/>
              <w:right w:val="nil"/>
            </w:tcBorders>
          </w:tcPr>
          <w:p>
            <w:pPr>
              <w:pStyle w:val="TableParagraph"/>
              <w:ind w:left="376" w:right="392"/>
              <w:rPr>
                <w:rFonts w:ascii="Calibri"/>
                <w:sz w:val="22"/>
              </w:rPr>
            </w:pPr>
            <w:r>
              <w:rPr>
                <w:rFonts w:ascii="Calibri"/>
                <w:sz w:val="22"/>
              </w:rPr>
              <w:t>18</w:t>
            </w:r>
          </w:p>
        </w:tc>
        <w:tc>
          <w:tcPr>
            <w:tcW w:w="1043" w:type="dxa"/>
            <w:tcBorders>
              <w:top w:val="nil"/>
              <w:left w:val="nil"/>
              <w:bottom w:val="nil"/>
              <w:right w:val="nil"/>
            </w:tcBorders>
          </w:tcPr>
          <w:p>
            <w:pPr>
              <w:pStyle w:val="TableParagraph"/>
              <w:ind w:left="474"/>
              <w:jc w:val="left"/>
              <w:rPr>
                <w:rFonts w:ascii="Calibri"/>
                <w:sz w:val="22"/>
              </w:rPr>
            </w:pPr>
            <w:r>
              <w:rPr>
                <w:rFonts w:ascii="Calibri"/>
                <w:w w:val="100"/>
                <w:sz w:val="22"/>
              </w:rPr>
              <w:t>7</w:t>
            </w:r>
          </w:p>
        </w:tc>
        <w:tc>
          <w:tcPr>
            <w:tcW w:w="1055" w:type="dxa"/>
            <w:tcBorders>
              <w:top w:val="nil"/>
              <w:left w:val="nil"/>
              <w:bottom w:val="nil"/>
              <w:right w:val="nil"/>
            </w:tcBorders>
          </w:tcPr>
          <w:p>
            <w:pPr>
              <w:pStyle w:val="TableParagraph"/>
              <w:ind w:right="441"/>
              <w:jc w:val="right"/>
              <w:rPr>
                <w:rFonts w:ascii="Calibri"/>
                <w:sz w:val="22"/>
              </w:rPr>
            </w:pPr>
            <w:r>
              <w:rPr>
                <w:rFonts w:ascii="Calibri"/>
                <w:w w:val="100"/>
                <w:sz w:val="22"/>
              </w:rPr>
              <w:t>0</w:t>
            </w:r>
          </w:p>
        </w:tc>
        <w:tc>
          <w:tcPr>
            <w:tcW w:w="1132" w:type="dxa"/>
            <w:tcBorders>
              <w:top w:val="nil"/>
              <w:left w:val="nil"/>
              <w:bottom w:val="nil"/>
              <w:right w:val="nil"/>
            </w:tcBorders>
          </w:tcPr>
          <w:p>
            <w:pPr>
              <w:pStyle w:val="TableParagraph"/>
              <w:ind w:right="1"/>
              <w:rPr>
                <w:rFonts w:ascii="Calibri"/>
                <w:sz w:val="22"/>
              </w:rPr>
            </w:pPr>
            <w:r>
              <w:rPr>
                <w:rFonts w:ascii="Calibri"/>
                <w:w w:val="100"/>
                <w:sz w:val="22"/>
              </w:rPr>
              <w:t>3</w:t>
            </w:r>
          </w:p>
        </w:tc>
        <w:tc>
          <w:tcPr>
            <w:tcW w:w="991" w:type="dxa"/>
            <w:tcBorders>
              <w:top w:val="nil"/>
              <w:left w:val="nil"/>
              <w:bottom w:val="nil"/>
            </w:tcBorders>
          </w:tcPr>
          <w:p>
            <w:pPr>
              <w:pStyle w:val="TableParagraph"/>
              <w:ind w:left="365" w:right="358"/>
              <w:rPr>
                <w:rFonts w:ascii="Calibri"/>
                <w:sz w:val="22"/>
              </w:rPr>
            </w:pPr>
            <w:r>
              <w:rPr>
                <w:rFonts w:ascii="Calibri"/>
                <w:sz w:val="22"/>
              </w:rPr>
              <w:t>40</w:t>
            </w:r>
          </w:p>
        </w:tc>
      </w:tr>
      <w:tr>
        <w:trPr>
          <w:trHeight w:val="509" w:hRule="exact"/>
        </w:trPr>
        <w:tc>
          <w:tcPr>
            <w:tcW w:w="1027" w:type="dxa"/>
            <w:tcBorders>
              <w:top w:val="nil"/>
              <w:bottom w:val="nil"/>
              <w:right w:val="dotted" w:sz="4" w:space="0" w:color="000000"/>
            </w:tcBorders>
          </w:tcPr>
          <w:p>
            <w:pPr>
              <w:pStyle w:val="TableParagraph"/>
              <w:ind w:left="148" w:right="148"/>
              <w:rPr>
                <w:rFonts w:ascii="Calibri"/>
                <w:sz w:val="22"/>
              </w:rPr>
            </w:pPr>
            <w:r>
              <w:rPr>
                <w:rFonts w:ascii="Calibri"/>
                <w:sz w:val="22"/>
              </w:rPr>
              <w:t>12</w:t>
            </w:r>
          </w:p>
        </w:tc>
        <w:tc>
          <w:tcPr>
            <w:tcW w:w="1094" w:type="dxa"/>
            <w:tcBorders>
              <w:top w:val="nil"/>
              <w:left w:val="dotted" w:sz="4" w:space="0" w:color="000000"/>
              <w:bottom w:val="nil"/>
              <w:right w:val="nil"/>
            </w:tcBorders>
          </w:tcPr>
          <w:p>
            <w:pPr>
              <w:pStyle w:val="TableParagraph"/>
              <w:ind w:right="1"/>
              <w:rPr>
                <w:rFonts w:ascii="Calibri"/>
                <w:sz w:val="22"/>
              </w:rPr>
            </w:pPr>
            <w:r>
              <w:rPr>
                <w:rFonts w:ascii="Calibri"/>
                <w:w w:val="100"/>
                <w:sz w:val="22"/>
              </w:rPr>
              <w:t>0</w:t>
            </w:r>
          </w:p>
        </w:tc>
        <w:tc>
          <w:tcPr>
            <w:tcW w:w="1246" w:type="dxa"/>
            <w:tcBorders>
              <w:top w:val="nil"/>
              <w:left w:val="nil"/>
              <w:bottom w:val="nil"/>
              <w:right w:val="nil"/>
            </w:tcBorders>
          </w:tcPr>
          <w:p>
            <w:pPr>
              <w:pStyle w:val="TableParagraph"/>
              <w:ind w:left="4"/>
              <w:rPr>
                <w:rFonts w:ascii="Calibri"/>
                <w:sz w:val="22"/>
              </w:rPr>
            </w:pPr>
            <w:r>
              <w:rPr>
                <w:rFonts w:ascii="Calibri"/>
                <w:w w:val="100"/>
                <w:sz w:val="22"/>
              </w:rPr>
              <w:t>4</w:t>
            </w:r>
          </w:p>
        </w:tc>
        <w:tc>
          <w:tcPr>
            <w:tcW w:w="1115" w:type="dxa"/>
            <w:tcBorders>
              <w:top w:val="nil"/>
              <w:left w:val="nil"/>
              <w:bottom w:val="nil"/>
              <w:right w:val="nil"/>
            </w:tcBorders>
          </w:tcPr>
          <w:p>
            <w:pPr>
              <w:pStyle w:val="TableParagraph"/>
              <w:ind w:left="456"/>
              <w:jc w:val="left"/>
              <w:rPr>
                <w:rFonts w:ascii="Calibri"/>
                <w:sz w:val="22"/>
              </w:rPr>
            </w:pPr>
            <w:r>
              <w:rPr>
                <w:rFonts w:ascii="Calibri"/>
                <w:sz w:val="22"/>
              </w:rPr>
              <w:t>10</w:t>
            </w:r>
          </w:p>
        </w:tc>
        <w:tc>
          <w:tcPr>
            <w:tcW w:w="1044" w:type="dxa"/>
            <w:tcBorders>
              <w:top w:val="nil"/>
              <w:left w:val="nil"/>
              <w:bottom w:val="nil"/>
              <w:right w:val="nil"/>
            </w:tcBorders>
          </w:tcPr>
          <w:p>
            <w:pPr>
              <w:pStyle w:val="TableParagraph"/>
              <w:ind w:right="15"/>
              <w:rPr>
                <w:rFonts w:ascii="Calibri"/>
                <w:sz w:val="22"/>
              </w:rPr>
            </w:pPr>
            <w:r>
              <w:rPr>
                <w:rFonts w:ascii="Calibri"/>
                <w:w w:val="100"/>
                <w:sz w:val="22"/>
              </w:rPr>
              <w:t>2</w:t>
            </w:r>
          </w:p>
        </w:tc>
        <w:tc>
          <w:tcPr>
            <w:tcW w:w="1043" w:type="dxa"/>
            <w:tcBorders>
              <w:top w:val="nil"/>
              <w:left w:val="nil"/>
              <w:bottom w:val="nil"/>
              <w:right w:val="nil"/>
            </w:tcBorders>
          </w:tcPr>
          <w:p>
            <w:pPr>
              <w:pStyle w:val="TableParagraph"/>
              <w:ind w:left="419"/>
              <w:jc w:val="left"/>
              <w:rPr>
                <w:rFonts w:ascii="Calibri"/>
                <w:sz w:val="22"/>
              </w:rPr>
            </w:pPr>
            <w:r>
              <w:rPr>
                <w:rFonts w:ascii="Calibri"/>
                <w:sz w:val="22"/>
              </w:rPr>
              <w:t>10</w:t>
            </w:r>
          </w:p>
        </w:tc>
        <w:tc>
          <w:tcPr>
            <w:tcW w:w="1055" w:type="dxa"/>
            <w:tcBorders>
              <w:top w:val="nil"/>
              <w:left w:val="nil"/>
              <w:bottom w:val="nil"/>
              <w:right w:val="nil"/>
            </w:tcBorders>
          </w:tcPr>
          <w:p>
            <w:pPr>
              <w:pStyle w:val="TableParagraph"/>
              <w:ind w:right="441"/>
              <w:jc w:val="right"/>
              <w:rPr>
                <w:rFonts w:ascii="Calibri"/>
                <w:sz w:val="22"/>
              </w:rPr>
            </w:pPr>
            <w:r>
              <w:rPr>
                <w:rFonts w:ascii="Calibri"/>
                <w:w w:val="100"/>
                <w:sz w:val="22"/>
              </w:rPr>
              <w:t>0</w:t>
            </w:r>
          </w:p>
        </w:tc>
        <w:tc>
          <w:tcPr>
            <w:tcW w:w="1132" w:type="dxa"/>
            <w:tcBorders>
              <w:top w:val="nil"/>
              <w:left w:val="nil"/>
              <w:bottom w:val="nil"/>
              <w:right w:val="nil"/>
            </w:tcBorders>
          </w:tcPr>
          <w:p>
            <w:pPr>
              <w:pStyle w:val="TableParagraph"/>
              <w:ind w:right="1"/>
              <w:rPr>
                <w:rFonts w:ascii="Calibri"/>
                <w:sz w:val="22"/>
              </w:rPr>
            </w:pPr>
            <w:r>
              <w:rPr>
                <w:rFonts w:ascii="Calibri"/>
                <w:w w:val="100"/>
                <w:sz w:val="22"/>
              </w:rPr>
              <w:t>5</w:t>
            </w:r>
          </w:p>
        </w:tc>
        <w:tc>
          <w:tcPr>
            <w:tcW w:w="991" w:type="dxa"/>
            <w:tcBorders>
              <w:top w:val="nil"/>
              <w:left w:val="nil"/>
              <w:bottom w:val="nil"/>
            </w:tcBorders>
          </w:tcPr>
          <w:p>
            <w:pPr>
              <w:pStyle w:val="TableParagraph"/>
              <w:ind w:left="365" w:right="358"/>
              <w:rPr>
                <w:rFonts w:ascii="Calibri"/>
                <w:sz w:val="22"/>
              </w:rPr>
            </w:pPr>
            <w:r>
              <w:rPr>
                <w:rFonts w:ascii="Calibri"/>
                <w:sz w:val="22"/>
              </w:rPr>
              <w:t>31</w:t>
            </w:r>
          </w:p>
        </w:tc>
      </w:tr>
      <w:tr>
        <w:trPr>
          <w:trHeight w:val="509" w:hRule="exact"/>
        </w:trPr>
        <w:tc>
          <w:tcPr>
            <w:tcW w:w="1027" w:type="dxa"/>
            <w:tcBorders>
              <w:top w:val="nil"/>
              <w:bottom w:val="nil"/>
              <w:right w:val="dotted" w:sz="4" w:space="0" w:color="000000"/>
            </w:tcBorders>
          </w:tcPr>
          <w:p>
            <w:pPr>
              <w:pStyle w:val="TableParagraph"/>
              <w:ind w:left="148" w:right="148"/>
              <w:rPr>
                <w:rFonts w:ascii="Calibri"/>
                <w:sz w:val="22"/>
              </w:rPr>
            </w:pPr>
            <w:r>
              <w:rPr>
                <w:rFonts w:ascii="Calibri"/>
                <w:sz w:val="22"/>
              </w:rPr>
              <w:t>13</w:t>
            </w:r>
          </w:p>
        </w:tc>
        <w:tc>
          <w:tcPr>
            <w:tcW w:w="1094" w:type="dxa"/>
            <w:tcBorders>
              <w:top w:val="nil"/>
              <w:left w:val="dotted" w:sz="4" w:space="0" w:color="000000"/>
              <w:bottom w:val="nil"/>
              <w:right w:val="nil"/>
            </w:tcBorders>
          </w:tcPr>
          <w:p>
            <w:pPr>
              <w:pStyle w:val="TableParagraph"/>
              <w:ind w:right="1"/>
              <w:rPr>
                <w:rFonts w:ascii="Calibri"/>
                <w:sz w:val="22"/>
              </w:rPr>
            </w:pPr>
            <w:r>
              <w:rPr>
                <w:rFonts w:ascii="Calibri"/>
                <w:w w:val="100"/>
                <w:sz w:val="22"/>
              </w:rPr>
              <w:t>0</w:t>
            </w:r>
          </w:p>
        </w:tc>
        <w:tc>
          <w:tcPr>
            <w:tcW w:w="1246" w:type="dxa"/>
            <w:tcBorders>
              <w:top w:val="nil"/>
              <w:left w:val="nil"/>
              <w:bottom w:val="nil"/>
              <w:right w:val="nil"/>
            </w:tcBorders>
          </w:tcPr>
          <w:p>
            <w:pPr>
              <w:pStyle w:val="TableParagraph"/>
              <w:ind w:left="4"/>
              <w:rPr>
                <w:rFonts w:ascii="Calibri"/>
                <w:sz w:val="22"/>
              </w:rPr>
            </w:pPr>
            <w:r>
              <w:rPr>
                <w:rFonts w:ascii="Calibri"/>
                <w:w w:val="100"/>
                <w:sz w:val="22"/>
              </w:rPr>
              <w:t>0</w:t>
            </w:r>
          </w:p>
        </w:tc>
        <w:tc>
          <w:tcPr>
            <w:tcW w:w="1115" w:type="dxa"/>
            <w:tcBorders>
              <w:top w:val="nil"/>
              <w:left w:val="nil"/>
              <w:bottom w:val="nil"/>
              <w:right w:val="nil"/>
            </w:tcBorders>
          </w:tcPr>
          <w:p>
            <w:pPr>
              <w:pStyle w:val="TableParagraph"/>
              <w:ind w:left="456"/>
              <w:jc w:val="left"/>
              <w:rPr>
                <w:rFonts w:ascii="Calibri"/>
                <w:sz w:val="22"/>
              </w:rPr>
            </w:pPr>
            <w:r>
              <w:rPr>
                <w:rFonts w:ascii="Calibri"/>
                <w:sz w:val="22"/>
              </w:rPr>
              <w:t>35</w:t>
            </w:r>
          </w:p>
        </w:tc>
        <w:tc>
          <w:tcPr>
            <w:tcW w:w="1044" w:type="dxa"/>
            <w:tcBorders>
              <w:top w:val="nil"/>
              <w:left w:val="nil"/>
              <w:bottom w:val="nil"/>
              <w:right w:val="nil"/>
            </w:tcBorders>
          </w:tcPr>
          <w:p>
            <w:pPr>
              <w:pStyle w:val="TableParagraph"/>
              <w:ind w:right="15"/>
              <w:rPr>
                <w:rFonts w:ascii="Calibri"/>
                <w:sz w:val="22"/>
              </w:rPr>
            </w:pPr>
            <w:r>
              <w:rPr>
                <w:rFonts w:ascii="Calibri"/>
                <w:w w:val="100"/>
                <w:sz w:val="22"/>
              </w:rPr>
              <w:t>3</w:t>
            </w:r>
          </w:p>
        </w:tc>
        <w:tc>
          <w:tcPr>
            <w:tcW w:w="1043" w:type="dxa"/>
            <w:tcBorders>
              <w:top w:val="nil"/>
              <w:left w:val="nil"/>
              <w:bottom w:val="nil"/>
              <w:right w:val="nil"/>
            </w:tcBorders>
          </w:tcPr>
          <w:p>
            <w:pPr>
              <w:pStyle w:val="TableParagraph"/>
              <w:ind w:left="474"/>
              <w:jc w:val="left"/>
              <w:rPr>
                <w:rFonts w:ascii="Calibri"/>
                <w:sz w:val="22"/>
              </w:rPr>
            </w:pPr>
            <w:r>
              <w:rPr>
                <w:rFonts w:ascii="Calibri"/>
                <w:w w:val="100"/>
                <w:sz w:val="22"/>
              </w:rPr>
              <w:t>1</w:t>
            </w:r>
          </w:p>
        </w:tc>
        <w:tc>
          <w:tcPr>
            <w:tcW w:w="1055" w:type="dxa"/>
            <w:tcBorders>
              <w:top w:val="nil"/>
              <w:left w:val="nil"/>
              <w:bottom w:val="nil"/>
              <w:right w:val="nil"/>
            </w:tcBorders>
          </w:tcPr>
          <w:p>
            <w:pPr>
              <w:pStyle w:val="TableParagraph"/>
              <w:ind w:right="441"/>
              <w:jc w:val="right"/>
              <w:rPr>
                <w:rFonts w:ascii="Calibri"/>
                <w:sz w:val="22"/>
              </w:rPr>
            </w:pPr>
            <w:r>
              <w:rPr>
                <w:rFonts w:ascii="Calibri"/>
                <w:w w:val="100"/>
                <w:sz w:val="22"/>
              </w:rPr>
              <w:t>0</w:t>
            </w:r>
          </w:p>
        </w:tc>
        <w:tc>
          <w:tcPr>
            <w:tcW w:w="1132" w:type="dxa"/>
            <w:tcBorders>
              <w:top w:val="nil"/>
              <w:left w:val="nil"/>
              <w:bottom w:val="nil"/>
              <w:right w:val="nil"/>
            </w:tcBorders>
          </w:tcPr>
          <w:p>
            <w:pPr>
              <w:pStyle w:val="TableParagraph"/>
              <w:ind w:left="450"/>
              <w:jc w:val="left"/>
              <w:rPr>
                <w:rFonts w:ascii="Calibri"/>
                <w:sz w:val="22"/>
              </w:rPr>
            </w:pPr>
            <w:r>
              <w:rPr>
                <w:rFonts w:ascii="Calibri"/>
                <w:sz w:val="22"/>
              </w:rPr>
              <w:t>14</w:t>
            </w:r>
          </w:p>
        </w:tc>
        <w:tc>
          <w:tcPr>
            <w:tcW w:w="991" w:type="dxa"/>
            <w:tcBorders>
              <w:top w:val="nil"/>
              <w:left w:val="nil"/>
              <w:bottom w:val="nil"/>
            </w:tcBorders>
          </w:tcPr>
          <w:p>
            <w:pPr>
              <w:pStyle w:val="TableParagraph"/>
              <w:ind w:left="365" w:right="358"/>
              <w:rPr>
                <w:rFonts w:ascii="Calibri"/>
                <w:sz w:val="22"/>
              </w:rPr>
            </w:pPr>
            <w:r>
              <w:rPr>
                <w:rFonts w:ascii="Calibri"/>
                <w:sz w:val="22"/>
              </w:rPr>
              <w:t>53</w:t>
            </w:r>
          </w:p>
        </w:tc>
      </w:tr>
      <w:tr>
        <w:trPr>
          <w:trHeight w:val="509" w:hRule="exact"/>
        </w:trPr>
        <w:tc>
          <w:tcPr>
            <w:tcW w:w="1027" w:type="dxa"/>
            <w:tcBorders>
              <w:top w:val="nil"/>
              <w:bottom w:val="nil"/>
              <w:right w:val="dotted" w:sz="4" w:space="0" w:color="000000"/>
            </w:tcBorders>
          </w:tcPr>
          <w:p>
            <w:pPr>
              <w:pStyle w:val="TableParagraph"/>
              <w:ind w:left="148" w:right="148"/>
              <w:rPr>
                <w:rFonts w:ascii="Calibri"/>
                <w:sz w:val="22"/>
              </w:rPr>
            </w:pPr>
            <w:r>
              <w:rPr>
                <w:rFonts w:ascii="Calibri"/>
                <w:sz w:val="22"/>
              </w:rPr>
              <w:t>14</w:t>
            </w:r>
          </w:p>
        </w:tc>
        <w:tc>
          <w:tcPr>
            <w:tcW w:w="1094" w:type="dxa"/>
            <w:tcBorders>
              <w:top w:val="nil"/>
              <w:left w:val="dotted" w:sz="4" w:space="0" w:color="000000"/>
              <w:bottom w:val="nil"/>
              <w:right w:val="nil"/>
            </w:tcBorders>
          </w:tcPr>
          <w:p>
            <w:pPr>
              <w:pStyle w:val="TableParagraph"/>
              <w:ind w:right="1"/>
              <w:rPr>
                <w:rFonts w:ascii="Calibri"/>
                <w:sz w:val="22"/>
              </w:rPr>
            </w:pPr>
            <w:r>
              <w:rPr>
                <w:rFonts w:ascii="Calibri"/>
                <w:w w:val="100"/>
                <w:sz w:val="22"/>
              </w:rPr>
              <w:t>0</w:t>
            </w:r>
          </w:p>
        </w:tc>
        <w:tc>
          <w:tcPr>
            <w:tcW w:w="1246" w:type="dxa"/>
            <w:tcBorders>
              <w:top w:val="nil"/>
              <w:left w:val="nil"/>
              <w:bottom w:val="nil"/>
              <w:right w:val="nil"/>
            </w:tcBorders>
          </w:tcPr>
          <w:p>
            <w:pPr>
              <w:pStyle w:val="TableParagraph"/>
              <w:ind w:left="4"/>
              <w:rPr>
                <w:rFonts w:ascii="Calibri"/>
                <w:sz w:val="22"/>
              </w:rPr>
            </w:pPr>
            <w:r>
              <w:rPr>
                <w:rFonts w:ascii="Calibri"/>
                <w:w w:val="100"/>
                <w:sz w:val="22"/>
              </w:rPr>
              <w:t>3</w:t>
            </w:r>
          </w:p>
        </w:tc>
        <w:tc>
          <w:tcPr>
            <w:tcW w:w="1115" w:type="dxa"/>
            <w:tcBorders>
              <w:top w:val="nil"/>
              <w:left w:val="nil"/>
              <w:bottom w:val="nil"/>
              <w:right w:val="nil"/>
            </w:tcBorders>
          </w:tcPr>
          <w:p>
            <w:pPr>
              <w:pStyle w:val="TableParagraph"/>
              <w:ind w:left="514"/>
              <w:jc w:val="left"/>
              <w:rPr>
                <w:rFonts w:ascii="Calibri"/>
                <w:sz w:val="22"/>
              </w:rPr>
            </w:pPr>
            <w:r>
              <w:rPr>
                <w:rFonts w:ascii="Calibri"/>
                <w:w w:val="100"/>
                <w:sz w:val="22"/>
              </w:rPr>
              <w:t>8</w:t>
            </w:r>
          </w:p>
        </w:tc>
        <w:tc>
          <w:tcPr>
            <w:tcW w:w="1044" w:type="dxa"/>
            <w:tcBorders>
              <w:top w:val="nil"/>
              <w:left w:val="nil"/>
              <w:bottom w:val="nil"/>
              <w:right w:val="nil"/>
            </w:tcBorders>
          </w:tcPr>
          <w:p>
            <w:pPr>
              <w:pStyle w:val="TableParagraph"/>
              <w:ind w:left="376" w:right="392"/>
              <w:rPr>
                <w:rFonts w:ascii="Calibri"/>
                <w:sz w:val="22"/>
              </w:rPr>
            </w:pPr>
            <w:r>
              <w:rPr>
                <w:rFonts w:ascii="Calibri"/>
                <w:sz w:val="22"/>
              </w:rPr>
              <w:t>18</w:t>
            </w:r>
          </w:p>
        </w:tc>
        <w:tc>
          <w:tcPr>
            <w:tcW w:w="1043" w:type="dxa"/>
            <w:tcBorders>
              <w:top w:val="nil"/>
              <w:left w:val="nil"/>
              <w:bottom w:val="nil"/>
              <w:right w:val="nil"/>
            </w:tcBorders>
          </w:tcPr>
          <w:p>
            <w:pPr>
              <w:pStyle w:val="TableParagraph"/>
              <w:ind w:left="474"/>
              <w:jc w:val="left"/>
              <w:rPr>
                <w:rFonts w:ascii="Calibri"/>
                <w:sz w:val="22"/>
              </w:rPr>
            </w:pPr>
            <w:r>
              <w:rPr>
                <w:rFonts w:ascii="Calibri"/>
                <w:w w:val="100"/>
                <w:sz w:val="22"/>
              </w:rPr>
              <w:t>2</w:t>
            </w:r>
          </w:p>
        </w:tc>
        <w:tc>
          <w:tcPr>
            <w:tcW w:w="1055" w:type="dxa"/>
            <w:tcBorders>
              <w:top w:val="nil"/>
              <w:left w:val="nil"/>
              <w:bottom w:val="nil"/>
              <w:right w:val="nil"/>
            </w:tcBorders>
          </w:tcPr>
          <w:p>
            <w:pPr>
              <w:pStyle w:val="TableParagraph"/>
              <w:ind w:right="441"/>
              <w:jc w:val="right"/>
              <w:rPr>
                <w:rFonts w:ascii="Calibri"/>
                <w:sz w:val="22"/>
              </w:rPr>
            </w:pPr>
            <w:r>
              <w:rPr>
                <w:rFonts w:ascii="Calibri"/>
                <w:w w:val="100"/>
                <w:sz w:val="22"/>
              </w:rPr>
              <w:t>0</w:t>
            </w:r>
          </w:p>
        </w:tc>
        <w:tc>
          <w:tcPr>
            <w:tcW w:w="1132" w:type="dxa"/>
            <w:tcBorders>
              <w:top w:val="nil"/>
              <w:left w:val="nil"/>
              <w:bottom w:val="nil"/>
              <w:right w:val="nil"/>
            </w:tcBorders>
          </w:tcPr>
          <w:p>
            <w:pPr>
              <w:pStyle w:val="TableParagraph"/>
              <w:ind w:right="1"/>
              <w:rPr>
                <w:rFonts w:ascii="Calibri"/>
                <w:sz w:val="22"/>
              </w:rPr>
            </w:pPr>
            <w:r>
              <w:rPr>
                <w:rFonts w:ascii="Calibri"/>
                <w:w w:val="100"/>
                <w:sz w:val="22"/>
              </w:rPr>
              <w:t>9</w:t>
            </w:r>
          </w:p>
        </w:tc>
        <w:tc>
          <w:tcPr>
            <w:tcW w:w="991" w:type="dxa"/>
            <w:tcBorders>
              <w:top w:val="nil"/>
              <w:left w:val="nil"/>
              <w:bottom w:val="nil"/>
            </w:tcBorders>
          </w:tcPr>
          <w:p>
            <w:pPr>
              <w:pStyle w:val="TableParagraph"/>
              <w:ind w:left="365" w:right="358"/>
              <w:rPr>
                <w:rFonts w:ascii="Calibri"/>
                <w:sz w:val="22"/>
              </w:rPr>
            </w:pPr>
            <w:r>
              <w:rPr>
                <w:rFonts w:ascii="Calibri"/>
                <w:sz w:val="22"/>
              </w:rPr>
              <w:t>40</w:t>
            </w:r>
          </w:p>
        </w:tc>
      </w:tr>
      <w:tr>
        <w:trPr>
          <w:trHeight w:val="509" w:hRule="exact"/>
        </w:trPr>
        <w:tc>
          <w:tcPr>
            <w:tcW w:w="1027" w:type="dxa"/>
            <w:tcBorders>
              <w:top w:val="nil"/>
              <w:bottom w:val="nil"/>
              <w:right w:val="dotted" w:sz="4" w:space="0" w:color="000000"/>
            </w:tcBorders>
          </w:tcPr>
          <w:p>
            <w:pPr>
              <w:pStyle w:val="TableParagraph"/>
              <w:ind w:left="148" w:right="148"/>
              <w:rPr>
                <w:rFonts w:ascii="Calibri"/>
                <w:sz w:val="22"/>
              </w:rPr>
            </w:pPr>
            <w:r>
              <w:rPr>
                <w:rFonts w:ascii="Calibri"/>
                <w:sz w:val="22"/>
              </w:rPr>
              <w:t>15</w:t>
            </w:r>
          </w:p>
        </w:tc>
        <w:tc>
          <w:tcPr>
            <w:tcW w:w="1094" w:type="dxa"/>
            <w:tcBorders>
              <w:top w:val="nil"/>
              <w:left w:val="dotted" w:sz="4" w:space="0" w:color="000000"/>
              <w:bottom w:val="nil"/>
              <w:right w:val="nil"/>
            </w:tcBorders>
          </w:tcPr>
          <w:p>
            <w:pPr>
              <w:pStyle w:val="TableParagraph"/>
              <w:ind w:right="1"/>
              <w:rPr>
                <w:rFonts w:ascii="Calibri"/>
                <w:sz w:val="22"/>
              </w:rPr>
            </w:pPr>
            <w:r>
              <w:rPr>
                <w:rFonts w:ascii="Calibri"/>
                <w:w w:val="100"/>
                <w:sz w:val="22"/>
              </w:rPr>
              <w:t>1</w:t>
            </w:r>
          </w:p>
        </w:tc>
        <w:tc>
          <w:tcPr>
            <w:tcW w:w="1246" w:type="dxa"/>
            <w:tcBorders>
              <w:top w:val="nil"/>
              <w:left w:val="nil"/>
              <w:bottom w:val="nil"/>
              <w:right w:val="nil"/>
            </w:tcBorders>
          </w:tcPr>
          <w:p>
            <w:pPr>
              <w:pStyle w:val="TableParagraph"/>
              <w:ind w:left="4"/>
              <w:rPr>
                <w:rFonts w:ascii="Calibri"/>
                <w:sz w:val="22"/>
              </w:rPr>
            </w:pPr>
            <w:r>
              <w:rPr>
                <w:rFonts w:ascii="Calibri"/>
                <w:w w:val="100"/>
                <w:sz w:val="22"/>
              </w:rPr>
              <w:t>1</w:t>
            </w:r>
          </w:p>
        </w:tc>
        <w:tc>
          <w:tcPr>
            <w:tcW w:w="1115" w:type="dxa"/>
            <w:tcBorders>
              <w:top w:val="nil"/>
              <w:left w:val="nil"/>
              <w:bottom w:val="nil"/>
              <w:right w:val="nil"/>
            </w:tcBorders>
          </w:tcPr>
          <w:p>
            <w:pPr>
              <w:pStyle w:val="TableParagraph"/>
              <w:ind w:left="456"/>
              <w:jc w:val="left"/>
              <w:rPr>
                <w:rFonts w:ascii="Calibri"/>
                <w:sz w:val="22"/>
              </w:rPr>
            </w:pPr>
            <w:r>
              <w:rPr>
                <w:rFonts w:ascii="Calibri"/>
                <w:sz w:val="22"/>
              </w:rPr>
              <w:t>10</w:t>
            </w:r>
          </w:p>
        </w:tc>
        <w:tc>
          <w:tcPr>
            <w:tcW w:w="1044" w:type="dxa"/>
            <w:tcBorders>
              <w:top w:val="nil"/>
              <w:left w:val="nil"/>
              <w:bottom w:val="nil"/>
              <w:right w:val="nil"/>
            </w:tcBorders>
          </w:tcPr>
          <w:p>
            <w:pPr>
              <w:pStyle w:val="TableParagraph"/>
              <w:ind w:left="376" w:right="392"/>
              <w:rPr>
                <w:rFonts w:ascii="Calibri"/>
                <w:sz w:val="22"/>
              </w:rPr>
            </w:pPr>
            <w:r>
              <w:rPr>
                <w:rFonts w:ascii="Calibri"/>
                <w:sz w:val="22"/>
              </w:rPr>
              <w:t>11</w:t>
            </w:r>
          </w:p>
        </w:tc>
        <w:tc>
          <w:tcPr>
            <w:tcW w:w="1043" w:type="dxa"/>
            <w:tcBorders>
              <w:top w:val="nil"/>
              <w:left w:val="nil"/>
              <w:bottom w:val="nil"/>
              <w:right w:val="nil"/>
            </w:tcBorders>
          </w:tcPr>
          <w:p>
            <w:pPr>
              <w:pStyle w:val="TableParagraph"/>
              <w:ind w:left="474"/>
              <w:jc w:val="left"/>
              <w:rPr>
                <w:rFonts w:ascii="Calibri"/>
                <w:sz w:val="22"/>
              </w:rPr>
            </w:pPr>
            <w:r>
              <w:rPr>
                <w:rFonts w:ascii="Calibri"/>
                <w:w w:val="100"/>
                <w:sz w:val="22"/>
              </w:rPr>
              <w:t>0</w:t>
            </w:r>
          </w:p>
        </w:tc>
        <w:tc>
          <w:tcPr>
            <w:tcW w:w="1055" w:type="dxa"/>
            <w:tcBorders>
              <w:top w:val="nil"/>
              <w:left w:val="nil"/>
              <w:bottom w:val="nil"/>
              <w:right w:val="nil"/>
            </w:tcBorders>
          </w:tcPr>
          <w:p>
            <w:pPr>
              <w:pStyle w:val="TableParagraph"/>
              <w:ind w:right="441"/>
              <w:jc w:val="right"/>
              <w:rPr>
                <w:rFonts w:ascii="Calibri"/>
                <w:sz w:val="22"/>
              </w:rPr>
            </w:pPr>
            <w:r>
              <w:rPr>
                <w:rFonts w:ascii="Calibri"/>
                <w:w w:val="100"/>
                <w:sz w:val="22"/>
              </w:rPr>
              <w:t>2</w:t>
            </w:r>
          </w:p>
        </w:tc>
        <w:tc>
          <w:tcPr>
            <w:tcW w:w="1132" w:type="dxa"/>
            <w:tcBorders>
              <w:top w:val="nil"/>
              <w:left w:val="nil"/>
              <w:bottom w:val="nil"/>
              <w:right w:val="nil"/>
            </w:tcBorders>
          </w:tcPr>
          <w:p>
            <w:pPr>
              <w:pStyle w:val="TableParagraph"/>
              <w:ind w:left="450"/>
              <w:jc w:val="left"/>
              <w:rPr>
                <w:rFonts w:ascii="Calibri"/>
                <w:sz w:val="22"/>
              </w:rPr>
            </w:pPr>
            <w:r>
              <w:rPr>
                <w:rFonts w:ascii="Calibri"/>
                <w:sz w:val="22"/>
              </w:rPr>
              <w:t>25</w:t>
            </w:r>
          </w:p>
        </w:tc>
        <w:tc>
          <w:tcPr>
            <w:tcW w:w="991" w:type="dxa"/>
            <w:tcBorders>
              <w:top w:val="nil"/>
              <w:left w:val="nil"/>
              <w:bottom w:val="nil"/>
            </w:tcBorders>
          </w:tcPr>
          <w:p>
            <w:pPr>
              <w:pStyle w:val="TableParagraph"/>
              <w:ind w:left="365" w:right="358"/>
              <w:rPr>
                <w:rFonts w:ascii="Calibri"/>
                <w:sz w:val="22"/>
              </w:rPr>
            </w:pPr>
            <w:r>
              <w:rPr>
                <w:rFonts w:ascii="Calibri"/>
                <w:sz w:val="22"/>
              </w:rPr>
              <w:t>49</w:t>
            </w:r>
          </w:p>
        </w:tc>
      </w:tr>
      <w:tr>
        <w:trPr>
          <w:trHeight w:val="510" w:hRule="exact"/>
        </w:trPr>
        <w:tc>
          <w:tcPr>
            <w:tcW w:w="1027" w:type="dxa"/>
            <w:tcBorders>
              <w:top w:val="nil"/>
              <w:bottom w:val="nil"/>
              <w:right w:val="dotted" w:sz="4" w:space="0" w:color="000000"/>
            </w:tcBorders>
          </w:tcPr>
          <w:p>
            <w:pPr>
              <w:pStyle w:val="TableParagraph"/>
              <w:ind w:left="148" w:right="148"/>
              <w:rPr>
                <w:rFonts w:ascii="Calibri"/>
                <w:sz w:val="22"/>
              </w:rPr>
            </w:pPr>
            <w:r>
              <w:rPr>
                <w:rFonts w:ascii="Calibri"/>
                <w:sz w:val="22"/>
              </w:rPr>
              <w:t>16</w:t>
            </w:r>
          </w:p>
        </w:tc>
        <w:tc>
          <w:tcPr>
            <w:tcW w:w="1094" w:type="dxa"/>
            <w:tcBorders>
              <w:top w:val="nil"/>
              <w:left w:val="dotted" w:sz="4" w:space="0" w:color="000000"/>
              <w:bottom w:val="nil"/>
              <w:right w:val="nil"/>
            </w:tcBorders>
          </w:tcPr>
          <w:p>
            <w:pPr>
              <w:pStyle w:val="TableParagraph"/>
              <w:ind w:right="1"/>
              <w:rPr>
                <w:rFonts w:ascii="Calibri"/>
                <w:sz w:val="22"/>
              </w:rPr>
            </w:pPr>
            <w:r>
              <w:rPr>
                <w:rFonts w:ascii="Calibri"/>
                <w:w w:val="100"/>
                <w:sz w:val="22"/>
              </w:rPr>
              <w:t>0</w:t>
            </w:r>
          </w:p>
        </w:tc>
        <w:tc>
          <w:tcPr>
            <w:tcW w:w="1246" w:type="dxa"/>
            <w:tcBorders>
              <w:top w:val="nil"/>
              <w:left w:val="nil"/>
              <w:bottom w:val="nil"/>
              <w:right w:val="nil"/>
            </w:tcBorders>
          </w:tcPr>
          <w:p>
            <w:pPr>
              <w:pStyle w:val="TableParagraph"/>
              <w:ind w:left="4"/>
              <w:rPr>
                <w:rFonts w:ascii="Calibri"/>
                <w:sz w:val="22"/>
              </w:rPr>
            </w:pPr>
            <w:r>
              <w:rPr>
                <w:rFonts w:ascii="Calibri"/>
                <w:w w:val="100"/>
                <w:sz w:val="22"/>
              </w:rPr>
              <w:t>3</w:t>
            </w:r>
          </w:p>
        </w:tc>
        <w:tc>
          <w:tcPr>
            <w:tcW w:w="1115" w:type="dxa"/>
            <w:tcBorders>
              <w:top w:val="nil"/>
              <w:left w:val="nil"/>
              <w:bottom w:val="nil"/>
              <w:right w:val="nil"/>
            </w:tcBorders>
          </w:tcPr>
          <w:p>
            <w:pPr>
              <w:pStyle w:val="TableParagraph"/>
              <w:ind w:left="456"/>
              <w:jc w:val="left"/>
              <w:rPr>
                <w:rFonts w:ascii="Calibri"/>
                <w:sz w:val="22"/>
              </w:rPr>
            </w:pPr>
            <w:r>
              <w:rPr>
                <w:rFonts w:ascii="Calibri"/>
                <w:sz w:val="22"/>
              </w:rPr>
              <w:t>40</w:t>
            </w:r>
          </w:p>
        </w:tc>
        <w:tc>
          <w:tcPr>
            <w:tcW w:w="1044" w:type="dxa"/>
            <w:tcBorders>
              <w:top w:val="nil"/>
              <w:left w:val="nil"/>
              <w:bottom w:val="nil"/>
              <w:right w:val="nil"/>
            </w:tcBorders>
          </w:tcPr>
          <w:p>
            <w:pPr>
              <w:pStyle w:val="TableParagraph"/>
              <w:ind w:right="15"/>
              <w:rPr>
                <w:rFonts w:ascii="Calibri"/>
                <w:sz w:val="22"/>
              </w:rPr>
            </w:pPr>
            <w:r>
              <w:rPr>
                <w:rFonts w:ascii="Calibri"/>
                <w:w w:val="100"/>
                <w:sz w:val="22"/>
              </w:rPr>
              <w:t>8</w:t>
            </w:r>
          </w:p>
        </w:tc>
        <w:tc>
          <w:tcPr>
            <w:tcW w:w="1043" w:type="dxa"/>
            <w:tcBorders>
              <w:top w:val="nil"/>
              <w:left w:val="nil"/>
              <w:bottom w:val="nil"/>
              <w:right w:val="nil"/>
            </w:tcBorders>
          </w:tcPr>
          <w:p>
            <w:pPr>
              <w:pStyle w:val="TableParagraph"/>
              <w:ind w:left="474"/>
              <w:jc w:val="left"/>
              <w:rPr>
                <w:rFonts w:ascii="Calibri"/>
                <w:sz w:val="22"/>
              </w:rPr>
            </w:pPr>
            <w:r>
              <w:rPr>
                <w:rFonts w:ascii="Calibri"/>
                <w:w w:val="100"/>
                <w:sz w:val="22"/>
              </w:rPr>
              <w:t>1</w:t>
            </w:r>
          </w:p>
        </w:tc>
        <w:tc>
          <w:tcPr>
            <w:tcW w:w="1055" w:type="dxa"/>
            <w:tcBorders>
              <w:top w:val="nil"/>
              <w:left w:val="nil"/>
              <w:bottom w:val="nil"/>
              <w:right w:val="nil"/>
            </w:tcBorders>
          </w:tcPr>
          <w:p>
            <w:pPr>
              <w:pStyle w:val="TableParagraph"/>
              <w:ind w:right="441"/>
              <w:jc w:val="right"/>
              <w:rPr>
                <w:rFonts w:ascii="Calibri"/>
                <w:sz w:val="22"/>
              </w:rPr>
            </w:pPr>
            <w:r>
              <w:rPr>
                <w:rFonts w:ascii="Calibri"/>
                <w:w w:val="100"/>
                <w:sz w:val="22"/>
              </w:rPr>
              <w:t>0</w:t>
            </w:r>
          </w:p>
        </w:tc>
        <w:tc>
          <w:tcPr>
            <w:tcW w:w="1132" w:type="dxa"/>
            <w:tcBorders>
              <w:top w:val="nil"/>
              <w:left w:val="nil"/>
              <w:bottom w:val="nil"/>
              <w:right w:val="nil"/>
            </w:tcBorders>
          </w:tcPr>
          <w:p>
            <w:pPr>
              <w:pStyle w:val="TableParagraph"/>
              <w:ind w:right="1"/>
              <w:rPr>
                <w:rFonts w:ascii="Calibri"/>
                <w:sz w:val="22"/>
              </w:rPr>
            </w:pPr>
            <w:r>
              <w:rPr>
                <w:rFonts w:ascii="Calibri"/>
                <w:w w:val="100"/>
                <w:sz w:val="22"/>
              </w:rPr>
              <w:t>0</w:t>
            </w:r>
          </w:p>
        </w:tc>
        <w:tc>
          <w:tcPr>
            <w:tcW w:w="991" w:type="dxa"/>
            <w:tcBorders>
              <w:top w:val="nil"/>
              <w:left w:val="nil"/>
              <w:bottom w:val="nil"/>
            </w:tcBorders>
          </w:tcPr>
          <w:p>
            <w:pPr>
              <w:pStyle w:val="TableParagraph"/>
              <w:ind w:left="365" w:right="358"/>
              <w:rPr>
                <w:rFonts w:ascii="Calibri"/>
                <w:sz w:val="22"/>
              </w:rPr>
            </w:pPr>
            <w:r>
              <w:rPr>
                <w:rFonts w:ascii="Calibri"/>
                <w:sz w:val="22"/>
              </w:rPr>
              <w:t>52</w:t>
            </w:r>
          </w:p>
        </w:tc>
      </w:tr>
      <w:tr>
        <w:trPr>
          <w:trHeight w:val="510" w:hRule="exact"/>
        </w:trPr>
        <w:tc>
          <w:tcPr>
            <w:tcW w:w="1027" w:type="dxa"/>
            <w:tcBorders>
              <w:top w:val="nil"/>
              <w:bottom w:val="nil"/>
              <w:right w:val="dotted" w:sz="4" w:space="0" w:color="000000"/>
            </w:tcBorders>
          </w:tcPr>
          <w:p>
            <w:pPr>
              <w:pStyle w:val="TableParagraph"/>
              <w:spacing w:before="101"/>
              <w:ind w:left="148" w:right="148"/>
              <w:rPr>
                <w:rFonts w:ascii="Calibri"/>
                <w:sz w:val="22"/>
              </w:rPr>
            </w:pPr>
            <w:r>
              <w:rPr>
                <w:rFonts w:ascii="Calibri"/>
                <w:sz w:val="22"/>
              </w:rPr>
              <w:t>17</w:t>
            </w:r>
          </w:p>
        </w:tc>
        <w:tc>
          <w:tcPr>
            <w:tcW w:w="1094" w:type="dxa"/>
            <w:tcBorders>
              <w:top w:val="nil"/>
              <w:left w:val="dotted" w:sz="4" w:space="0" w:color="000000"/>
              <w:bottom w:val="nil"/>
              <w:right w:val="nil"/>
            </w:tcBorders>
          </w:tcPr>
          <w:p>
            <w:pPr>
              <w:pStyle w:val="TableParagraph"/>
              <w:spacing w:before="101"/>
              <w:ind w:right="1"/>
              <w:rPr>
                <w:rFonts w:ascii="Calibri"/>
                <w:sz w:val="22"/>
              </w:rPr>
            </w:pPr>
            <w:r>
              <w:rPr>
                <w:rFonts w:ascii="Calibri"/>
                <w:w w:val="100"/>
                <w:sz w:val="22"/>
              </w:rPr>
              <w:t>0</w:t>
            </w:r>
          </w:p>
        </w:tc>
        <w:tc>
          <w:tcPr>
            <w:tcW w:w="1246" w:type="dxa"/>
            <w:tcBorders>
              <w:top w:val="nil"/>
              <w:left w:val="nil"/>
              <w:bottom w:val="nil"/>
              <w:right w:val="nil"/>
            </w:tcBorders>
          </w:tcPr>
          <w:p>
            <w:pPr>
              <w:pStyle w:val="TableParagraph"/>
              <w:spacing w:before="101"/>
              <w:ind w:left="4"/>
              <w:rPr>
                <w:rFonts w:ascii="Calibri"/>
                <w:sz w:val="22"/>
              </w:rPr>
            </w:pPr>
            <w:r>
              <w:rPr>
                <w:rFonts w:ascii="Calibri"/>
                <w:w w:val="100"/>
                <w:sz w:val="22"/>
              </w:rPr>
              <w:t>2</w:t>
            </w:r>
          </w:p>
        </w:tc>
        <w:tc>
          <w:tcPr>
            <w:tcW w:w="1115" w:type="dxa"/>
            <w:tcBorders>
              <w:top w:val="nil"/>
              <w:left w:val="nil"/>
              <w:bottom w:val="nil"/>
              <w:right w:val="nil"/>
            </w:tcBorders>
          </w:tcPr>
          <w:p>
            <w:pPr>
              <w:pStyle w:val="TableParagraph"/>
              <w:spacing w:before="101"/>
              <w:ind w:left="456"/>
              <w:jc w:val="left"/>
              <w:rPr>
                <w:rFonts w:ascii="Calibri"/>
                <w:sz w:val="22"/>
              </w:rPr>
            </w:pPr>
            <w:r>
              <w:rPr>
                <w:rFonts w:ascii="Calibri"/>
                <w:sz w:val="22"/>
              </w:rPr>
              <w:t>35</w:t>
            </w:r>
          </w:p>
        </w:tc>
        <w:tc>
          <w:tcPr>
            <w:tcW w:w="1044" w:type="dxa"/>
            <w:tcBorders>
              <w:top w:val="nil"/>
              <w:left w:val="nil"/>
              <w:bottom w:val="nil"/>
              <w:right w:val="nil"/>
            </w:tcBorders>
          </w:tcPr>
          <w:p>
            <w:pPr>
              <w:pStyle w:val="TableParagraph"/>
              <w:spacing w:before="101"/>
              <w:ind w:left="376" w:right="392"/>
              <w:rPr>
                <w:rFonts w:ascii="Calibri"/>
                <w:sz w:val="22"/>
              </w:rPr>
            </w:pPr>
            <w:r>
              <w:rPr>
                <w:rFonts w:ascii="Calibri"/>
                <w:sz w:val="22"/>
              </w:rPr>
              <w:t>17</w:t>
            </w:r>
          </w:p>
        </w:tc>
        <w:tc>
          <w:tcPr>
            <w:tcW w:w="1043" w:type="dxa"/>
            <w:tcBorders>
              <w:top w:val="nil"/>
              <w:left w:val="nil"/>
              <w:bottom w:val="nil"/>
              <w:right w:val="nil"/>
            </w:tcBorders>
          </w:tcPr>
          <w:p>
            <w:pPr>
              <w:pStyle w:val="TableParagraph"/>
              <w:spacing w:before="101"/>
              <w:ind w:left="474"/>
              <w:jc w:val="left"/>
              <w:rPr>
                <w:rFonts w:ascii="Calibri"/>
                <w:sz w:val="22"/>
              </w:rPr>
            </w:pPr>
            <w:r>
              <w:rPr>
                <w:rFonts w:ascii="Calibri"/>
                <w:w w:val="100"/>
                <w:sz w:val="22"/>
              </w:rPr>
              <w:t>0</w:t>
            </w:r>
          </w:p>
        </w:tc>
        <w:tc>
          <w:tcPr>
            <w:tcW w:w="1055" w:type="dxa"/>
            <w:tcBorders>
              <w:top w:val="nil"/>
              <w:left w:val="nil"/>
              <w:bottom w:val="nil"/>
              <w:right w:val="nil"/>
            </w:tcBorders>
          </w:tcPr>
          <w:p>
            <w:pPr>
              <w:pStyle w:val="TableParagraph"/>
              <w:spacing w:before="101"/>
              <w:ind w:right="441"/>
              <w:jc w:val="right"/>
              <w:rPr>
                <w:rFonts w:ascii="Calibri"/>
                <w:sz w:val="22"/>
              </w:rPr>
            </w:pPr>
            <w:r>
              <w:rPr>
                <w:rFonts w:ascii="Calibri"/>
                <w:w w:val="100"/>
                <w:sz w:val="22"/>
              </w:rPr>
              <w:t>1</w:t>
            </w:r>
          </w:p>
        </w:tc>
        <w:tc>
          <w:tcPr>
            <w:tcW w:w="1132" w:type="dxa"/>
            <w:tcBorders>
              <w:top w:val="nil"/>
              <w:left w:val="nil"/>
              <w:bottom w:val="nil"/>
              <w:right w:val="nil"/>
            </w:tcBorders>
          </w:tcPr>
          <w:p>
            <w:pPr>
              <w:pStyle w:val="TableParagraph"/>
              <w:spacing w:before="101"/>
              <w:ind w:right="1"/>
              <w:rPr>
                <w:rFonts w:ascii="Calibri"/>
                <w:sz w:val="22"/>
              </w:rPr>
            </w:pPr>
            <w:r>
              <w:rPr>
                <w:rFonts w:ascii="Calibri"/>
                <w:w w:val="100"/>
                <w:sz w:val="22"/>
              </w:rPr>
              <w:t>8</w:t>
            </w:r>
          </w:p>
        </w:tc>
        <w:tc>
          <w:tcPr>
            <w:tcW w:w="991" w:type="dxa"/>
            <w:tcBorders>
              <w:top w:val="nil"/>
              <w:left w:val="nil"/>
              <w:bottom w:val="nil"/>
            </w:tcBorders>
          </w:tcPr>
          <w:p>
            <w:pPr>
              <w:pStyle w:val="TableParagraph"/>
              <w:spacing w:before="101"/>
              <w:ind w:left="365" w:right="358"/>
              <w:rPr>
                <w:rFonts w:ascii="Calibri"/>
                <w:sz w:val="22"/>
              </w:rPr>
            </w:pPr>
            <w:r>
              <w:rPr>
                <w:rFonts w:ascii="Calibri"/>
                <w:sz w:val="22"/>
              </w:rPr>
              <w:t>63</w:t>
            </w:r>
          </w:p>
        </w:tc>
      </w:tr>
      <w:tr>
        <w:trPr>
          <w:trHeight w:val="509" w:hRule="exact"/>
        </w:trPr>
        <w:tc>
          <w:tcPr>
            <w:tcW w:w="1027" w:type="dxa"/>
            <w:tcBorders>
              <w:top w:val="nil"/>
              <w:bottom w:val="nil"/>
              <w:right w:val="dotted" w:sz="4" w:space="0" w:color="000000"/>
            </w:tcBorders>
          </w:tcPr>
          <w:p>
            <w:pPr>
              <w:pStyle w:val="TableParagraph"/>
              <w:ind w:left="148" w:right="148"/>
              <w:rPr>
                <w:rFonts w:ascii="Calibri"/>
                <w:sz w:val="22"/>
              </w:rPr>
            </w:pPr>
            <w:r>
              <w:rPr>
                <w:rFonts w:ascii="Calibri"/>
                <w:sz w:val="22"/>
              </w:rPr>
              <w:t>18</w:t>
            </w:r>
          </w:p>
        </w:tc>
        <w:tc>
          <w:tcPr>
            <w:tcW w:w="1094" w:type="dxa"/>
            <w:tcBorders>
              <w:top w:val="nil"/>
              <w:left w:val="dotted" w:sz="4" w:space="0" w:color="000000"/>
              <w:bottom w:val="nil"/>
              <w:right w:val="nil"/>
            </w:tcBorders>
          </w:tcPr>
          <w:p>
            <w:pPr>
              <w:pStyle w:val="TableParagraph"/>
              <w:ind w:right="1"/>
              <w:rPr>
                <w:rFonts w:ascii="Calibri"/>
                <w:sz w:val="22"/>
              </w:rPr>
            </w:pPr>
            <w:r>
              <w:rPr>
                <w:rFonts w:ascii="Calibri"/>
                <w:w w:val="100"/>
                <w:sz w:val="22"/>
              </w:rPr>
              <w:t>1</w:t>
            </w:r>
          </w:p>
        </w:tc>
        <w:tc>
          <w:tcPr>
            <w:tcW w:w="1246" w:type="dxa"/>
            <w:tcBorders>
              <w:top w:val="nil"/>
              <w:left w:val="nil"/>
              <w:bottom w:val="nil"/>
              <w:right w:val="nil"/>
            </w:tcBorders>
          </w:tcPr>
          <w:p>
            <w:pPr>
              <w:pStyle w:val="TableParagraph"/>
              <w:ind w:left="4"/>
              <w:rPr>
                <w:rFonts w:ascii="Calibri"/>
                <w:sz w:val="22"/>
              </w:rPr>
            </w:pPr>
            <w:r>
              <w:rPr>
                <w:rFonts w:ascii="Calibri"/>
                <w:w w:val="100"/>
                <w:sz w:val="22"/>
              </w:rPr>
              <w:t>2</w:t>
            </w:r>
          </w:p>
        </w:tc>
        <w:tc>
          <w:tcPr>
            <w:tcW w:w="1115" w:type="dxa"/>
            <w:tcBorders>
              <w:top w:val="nil"/>
              <w:left w:val="nil"/>
              <w:bottom w:val="nil"/>
              <w:right w:val="nil"/>
            </w:tcBorders>
          </w:tcPr>
          <w:p>
            <w:pPr>
              <w:pStyle w:val="TableParagraph"/>
              <w:ind w:left="514"/>
              <w:jc w:val="left"/>
              <w:rPr>
                <w:rFonts w:ascii="Calibri"/>
                <w:sz w:val="22"/>
              </w:rPr>
            </w:pPr>
            <w:r>
              <w:rPr>
                <w:rFonts w:ascii="Calibri"/>
                <w:w w:val="100"/>
                <w:sz w:val="22"/>
              </w:rPr>
              <w:t>3</w:t>
            </w:r>
          </w:p>
        </w:tc>
        <w:tc>
          <w:tcPr>
            <w:tcW w:w="1044" w:type="dxa"/>
            <w:tcBorders>
              <w:top w:val="nil"/>
              <w:left w:val="nil"/>
              <w:bottom w:val="nil"/>
              <w:right w:val="nil"/>
            </w:tcBorders>
          </w:tcPr>
          <w:p>
            <w:pPr>
              <w:pStyle w:val="TableParagraph"/>
              <w:ind w:right="15"/>
              <w:rPr>
                <w:rFonts w:ascii="Calibri"/>
                <w:sz w:val="22"/>
              </w:rPr>
            </w:pPr>
            <w:r>
              <w:rPr>
                <w:rFonts w:ascii="Calibri"/>
                <w:w w:val="100"/>
                <w:sz w:val="22"/>
              </w:rPr>
              <w:t>0</w:t>
            </w:r>
          </w:p>
        </w:tc>
        <w:tc>
          <w:tcPr>
            <w:tcW w:w="1043" w:type="dxa"/>
            <w:tcBorders>
              <w:top w:val="nil"/>
              <w:left w:val="nil"/>
              <w:bottom w:val="nil"/>
              <w:right w:val="nil"/>
            </w:tcBorders>
          </w:tcPr>
          <w:p>
            <w:pPr>
              <w:pStyle w:val="TableParagraph"/>
              <w:ind w:left="474"/>
              <w:jc w:val="left"/>
              <w:rPr>
                <w:rFonts w:ascii="Calibri"/>
                <w:sz w:val="22"/>
              </w:rPr>
            </w:pPr>
            <w:r>
              <w:rPr>
                <w:rFonts w:ascii="Calibri"/>
                <w:w w:val="100"/>
                <w:sz w:val="22"/>
              </w:rPr>
              <w:t>0</w:t>
            </w:r>
          </w:p>
        </w:tc>
        <w:tc>
          <w:tcPr>
            <w:tcW w:w="1055" w:type="dxa"/>
            <w:tcBorders>
              <w:top w:val="nil"/>
              <w:left w:val="nil"/>
              <w:bottom w:val="nil"/>
              <w:right w:val="nil"/>
            </w:tcBorders>
          </w:tcPr>
          <w:p>
            <w:pPr>
              <w:pStyle w:val="TableParagraph"/>
              <w:ind w:right="441"/>
              <w:jc w:val="right"/>
              <w:rPr>
                <w:rFonts w:ascii="Calibri"/>
                <w:sz w:val="22"/>
              </w:rPr>
            </w:pPr>
            <w:r>
              <w:rPr>
                <w:rFonts w:ascii="Calibri"/>
                <w:w w:val="100"/>
                <w:sz w:val="22"/>
              </w:rPr>
              <w:t>0</w:t>
            </w:r>
          </w:p>
        </w:tc>
        <w:tc>
          <w:tcPr>
            <w:tcW w:w="1132" w:type="dxa"/>
            <w:tcBorders>
              <w:top w:val="nil"/>
              <w:left w:val="nil"/>
              <w:bottom w:val="nil"/>
              <w:right w:val="nil"/>
            </w:tcBorders>
          </w:tcPr>
          <w:p>
            <w:pPr>
              <w:pStyle w:val="TableParagraph"/>
              <w:ind w:left="450"/>
              <w:jc w:val="left"/>
              <w:rPr>
                <w:rFonts w:ascii="Calibri"/>
                <w:sz w:val="22"/>
              </w:rPr>
            </w:pPr>
            <w:r>
              <w:rPr>
                <w:rFonts w:ascii="Calibri"/>
                <w:sz w:val="22"/>
              </w:rPr>
              <w:t>27</w:t>
            </w:r>
          </w:p>
        </w:tc>
        <w:tc>
          <w:tcPr>
            <w:tcW w:w="991" w:type="dxa"/>
            <w:tcBorders>
              <w:top w:val="nil"/>
              <w:left w:val="nil"/>
              <w:bottom w:val="nil"/>
            </w:tcBorders>
          </w:tcPr>
          <w:p>
            <w:pPr>
              <w:pStyle w:val="TableParagraph"/>
              <w:ind w:left="365" w:right="358"/>
              <w:rPr>
                <w:rFonts w:ascii="Calibri"/>
                <w:sz w:val="22"/>
              </w:rPr>
            </w:pPr>
            <w:r>
              <w:rPr>
                <w:rFonts w:ascii="Calibri"/>
                <w:sz w:val="22"/>
              </w:rPr>
              <w:t>32</w:t>
            </w:r>
          </w:p>
        </w:tc>
      </w:tr>
      <w:tr>
        <w:trPr>
          <w:trHeight w:val="509" w:hRule="exact"/>
        </w:trPr>
        <w:tc>
          <w:tcPr>
            <w:tcW w:w="1027" w:type="dxa"/>
            <w:tcBorders>
              <w:top w:val="nil"/>
              <w:bottom w:val="nil"/>
              <w:right w:val="dotted" w:sz="4" w:space="0" w:color="000000"/>
            </w:tcBorders>
          </w:tcPr>
          <w:p>
            <w:pPr>
              <w:pStyle w:val="TableParagraph"/>
              <w:ind w:left="148" w:right="148"/>
              <w:rPr>
                <w:rFonts w:ascii="Calibri"/>
                <w:sz w:val="22"/>
              </w:rPr>
            </w:pPr>
            <w:r>
              <w:rPr>
                <w:rFonts w:ascii="Calibri"/>
                <w:sz w:val="22"/>
              </w:rPr>
              <w:t>19</w:t>
            </w:r>
          </w:p>
        </w:tc>
        <w:tc>
          <w:tcPr>
            <w:tcW w:w="1094" w:type="dxa"/>
            <w:tcBorders>
              <w:top w:val="nil"/>
              <w:left w:val="dotted" w:sz="4" w:space="0" w:color="000000"/>
              <w:bottom w:val="nil"/>
              <w:right w:val="nil"/>
            </w:tcBorders>
          </w:tcPr>
          <w:p>
            <w:pPr>
              <w:pStyle w:val="TableParagraph"/>
              <w:ind w:right="1"/>
              <w:rPr>
                <w:rFonts w:ascii="Calibri"/>
                <w:sz w:val="22"/>
              </w:rPr>
            </w:pPr>
            <w:r>
              <w:rPr>
                <w:rFonts w:ascii="Calibri"/>
                <w:w w:val="100"/>
                <w:sz w:val="22"/>
              </w:rPr>
              <w:t>0</w:t>
            </w:r>
          </w:p>
        </w:tc>
        <w:tc>
          <w:tcPr>
            <w:tcW w:w="1246" w:type="dxa"/>
            <w:tcBorders>
              <w:top w:val="nil"/>
              <w:left w:val="nil"/>
              <w:bottom w:val="nil"/>
              <w:right w:val="nil"/>
            </w:tcBorders>
          </w:tcPr>
          <w:p>
            <w:pPr>
              <w:pStyle w:val="TableParagraph"/>
              <w:ind w:left="4"/>
              <w:rPr>
                <w:rFonts w:ascii="Calibri"/>
                <w:sz w:val="22"/>
              </w:rPr>
            </w:pPr>
            <w:r>
              <w:rPr>
                <w:rFonts w:ascii="Calibri"/>
                <w:w w:val="100"/>
                <w:sz w:val="22"/>
              </w:rPr>
              <w:t>8</w:t>
            </w:r>
          </w:p>
        </w:tc>
        <w:tc>
          <w:tcPr>
            <w:tcW w:w="1115" w:type="dxa"/>
            <w:tcBorders>
              <w:top w:val="nil"/>
              <w:left w:val="nil"/>
              <w:bottom w:val="nil"/>
              <w:right w:val="nil"/>
            </w:tcBorders>
          </w:tcPr>
          <w:p>
            <w:pPr>
              <w:pStyle w:val="TableParagraph"/>
              <w:ind w:left="456"/>
              <w:jc w:val="left"/>
              <w:rPr>
                <w:rFonts w:ascii="Calibri"/>
                <w:sz w:val="22"/>
              </w:rPr>
            </w:pPr>
            <w:r>
              <w:rPr>
                <w:rFonts w:ascii="Calibri"/>
                <w:sz w:val="22"/>
              </w:rPr>
              <w:t>45</w:t>
            </w:r>
          </w:p>
        </w:tc>
        <w:tc>
          <w:tcPr>
            <w:tcW w:w="1044" w:type="dxa"/>
            <w:tcBorders>
              <w:top w:val="nil"/>
              <w:left w:val="nil"/>
              <w:bottom w:val="nil"/>
              <w:right w:val="nil"/>
            </w:tcBorders>
          </w:tcPr>
          <w:p>
            <w:pPr>
              <w:pStyle w:val="TableParagraph"/>
              <w:ind w:left="376" w:right="392"/>
              <w:rPr>
                <w:rFonts w:ascii="Calibri"/>
                <w:sz w:val="22"/>
              </w:rPr>
            </w:pPr>
            <w:r>
              <w:rPr>
                <w:rFonts w:ascii="Calibri"/>
                <w:sz w:val="22"/>
              </w:rPr>
              <w:t>13</w:t>
            </w:r>
          </w:p>
        </w:tc>
        <w:tc>
          <w:tcPr>
            <w:tcW w:w="1043" w:type="dxa"/>
            <w:tcBorders>
              <w:top w:val="nil"/>
              <w:left w:val="nil"/>
              <w:bottom w:val="nil"/>
              <w:right w:val="nil"/>
            </w:tcBorders>
          </w:tcPr>
          <w:p>
            <w:pPr>
              <w:pStyle w:val="TableParagraph"/>
              <w:ind w:left="474"/>
              <w:jc w:val="left"/>
              <w:rPr>
                <w:rFonts w:ascii="Calibri"/>
                <w:sz w:val="22"/>
              </w:rPr>
            </w:pPr>
            <w:r>
              <w:rPr>
                <w:rFonts w:ascii="Calibri"/>
                <w:w w:val="100"/>
                <w:sz w:val="22"/>
              </w:rPr>
              <w:t>3</w:t>
            </w:r>
          </w:p>
        </w:tc>
        <w:tc>
          <w:tcPr>
            <w:tcW w:w="1055" w:type="dxa"/>
            <w:tcBorders>
              <w:top w:val="nil"/>
              <w:left w:val="nil"/>
              <w:bottom w:val="nil"/>
              <w:right w:val="nil"/>
            </w:tcBorders>
          </w:tcPr>
          <w:p>
            <w:pPr>
              <w:pStyle w:val="TableParagraph"/>
              <w:ind w:right="441"/>
              <w:jc w:val="right"/>
              <w:rPr>
                <w:rFonts w:ascii="Calibri"/>
                <w:sz w:val="22"/>
              </w:rPr>
            </w:pPr>
            <w:r>
              <w:rPr>
                <w:rFonts w:ascii="Calibri"/>
                <w:w w:val="100"/>
                <w:sz w:val="22"/>
              </w:rPr>
              <w:t>0</w:t>
            </w:r>
          </w:p>
        </w:tc>
        <w:tc>
          <w:tcPr>
            <w:tcW w:w="1132" w:type="dxa"/>
            <w:tcBorders>
              <w:top w:val="nil"/>
              <w:left w:val="nil"/>
              <w:bottom w:val="nil"/>
              <w:right w:val="nil"/>
            </w:tcBorders>
          </w:tcPr>
          <w:p>
            <w:pPr>
              <w:pStyle w:val="TableParagraph"/>
              <w:ind w:right="1"/>
              <w:rPr>
                <w:rFonts w:ascii="Calibri"/>
                <w:sz w:val="22"/>
              </w:rPr>
            </w:pPr>
            <w:r>
              <w:rPr>
                <w:rFonts w:ascii="Calibri"/>
                <w:w w:val="100"/>
                <w:sz w:val="22"/>
              </w:rPr>
              <w:t>1</w:t>
            </w:r>
          </w:p>
        </w:tc>
        <w:tc>
          <w:tcPr>
            <w:tcW w:w="991" w:type="dxa"/>
            <w:tcBorders>
              <w:top w:val="nil"/>
              <w:left w:val="nil"/>
              <w:bottom w:val="nil"/>
            </w:tcBorders>
          </w:tcPr>
          <w:p>
            <w:pPr>
              <w:pStyle w:val="TableParagraph"/>
              <w:ind w:left="365" w:right="358"/>
              <w:rPr>
                <w:rFonts w:ascii="Calibri"/>
                <w:sz w:val="22"/>
              </w:rPr>
            </w:pPr>
            <w:r>
              <w:rPr>
                <w:rFonts w:ascii="Calibri"/>
                <w:sz w:val="22"/>
              </w:rPr>
              <w:t>70</w:t>
            </w:r>
          </w:p>
        </w:tc>
      </w:tr>
      <w:tr>
        <w:trPr>
          <w:trHeight w:val="509" w:hRule="exact"/>
        </w:trPr>
        <w:tc>
          <w:tcPr>
            <w:tcW w:w="1027" w:type="dxa"/>
            <w:tcBorders>
              <w:top w:val="nil"/>
              <w:bottom w:val="nil"/>
              <w:right w:val="dotted" w:sz="4" w:space="0" w:color="000000"/>
            </w:tcBorders>
          </w:tcPr>
          <w:p>
            <w:pPr>
              <w:pStyle w:val="TableParagraph"/>
              <w:ind w:left="148" w:right="148"/>
              <w:rPr>
                <w:rFonts w:ascii="Calibri"/>
                <w:sz w:val="22"/>
              </w:rPr>
            </w:pPr>
            <w:r>
              <w:rPr>
                <w:rFonts w:ascii="Calibri"/>
                <w:sz w:val="22"/>
              </w:rPr>
              <w:t>20</w:t>
            </w:r>
          </w:p>
        </w:tc>
        <w:tc>
          <w:tcPr>
            <w:tcW w:w="1094" w:type="dxa"/>
            <w:tcBorders>
              <w:top w:val="nil"/>
              <w:left w:val="dotted" w:sz="4" w:space="0" w:color="000000"/>
              <w:bottom w:val="nil"/>
              <w:right w:val="nil"/>
            </w:tcBorders>
          </w:tcPr>
          <w:p>
            <w:pPr>
              <w:pStyle w:val="TableParagraph"/>
              <w:ind w:right="1"/>
              <w:rPr>
                <w:rFonts w:ascii="Calibri"/>
                <w:sz w:val="22"/>
              </w:rPr>
            </w:pPr>
            <w:r>
              <w:rPr>
                <w:rFonts w:ascii="Calibri"/>
                <w:w w:val="100"/>
                <w:sz w:val="22"/>
              </w:rPr>
              <w:t>0</w:t>
            </w:r>
          </w:p>
        </w:tc>
        <w:tc>
          <w:tcPr>
            <w:tcW w:w="1246" w:type="dxa"/>
            <w:tcBorders>
              <w:top w:val="nil"/>
              <w:left w:val="nil"/>
              <w:bottom w:val="nil"/>
              <w:right w:val="nil"/>
            </w:tcBorders>
          </w:tcPr>
          <w:p>
            <w:pPr>
              <w:pStyle w:val="TableParagraph"/>
              <w:ind w:left="4"/>
              <w:rPr>
                <w:rFonts w:ascii="Calibri"/>
                <w:sz w:val="22"/>
              </w:rPr>
            </w:pPr>
            <w:r>
              <w:rPr>
                <w:rFonts w:ascii="Calibri"/>
                <w:w w:val="100"/>
                <w:sz w:val="22"/>
              </w:rPr>
              <w:t>5</w:t>
            </w:r>
          </w:p>
        </w:tc>
        <w:tc>
          <w:tcPr>
            <w:tcW w:w="1115" w:type="dxa"/>
            <w:tcBorders>
              <w:top w:val="nil"/>
              <w:left w:val="nil"/>
              <w:bottom w:val="nil"/>
              <w:right w:val="nil"/>
            </w:tcBorders>
          </w:tcPr>
          <w:p>
            <w:pPr>
              <w:pStyle w:val="TableParagraph"/>
              <w:ind w:left="456"/>
              <w:jc w:val="left"/>
              <w:rPr>
                <w:rFonts w:ascii="Calibri"/>
                <w:sz w:val="22"/>
              </w:rPr>
            </w:pPr>
            <w:r>
              <w:rPr>
                <w:rFonts w:ascii="Calibri"/>
                <w:sz w:val="22"/>
              </w:rPr>
              <w:t>19</w:t>
            </w:r>
          </w:p>
        </w:tc>
        <w:tc>
          <w:tcPr>
            <w:tcW w:w="1044" w:type="dxa"/>
            <w:tcBorders>
              <w:top w:val="nil"/>
              <w:left w:val="nil"/>
              <w:bottom w:val="nil"/>
              <w:right w:val="nil"/>
            </w:tcBorders>
          </w:tcPr>
          <w:p>
            <w:pPr>
              <w:pStyle w:val="TableParagraph"/>
              <w:ind w:right="15"/>
              <w:rPr>
                <w:rFonts w:ascii="Calibri"/>
                <w:sz w:val="22"/>
              </w:rPr>
            </w:pPr>
            <w:r>
              <w:rPr>
                <w:rFonts w:ascii="Calibri"/>
                <w:w w:val="100"/>
                <w:sz w:val="22"/>
              </w:rPr>
              <w:t>8</w:t>
            </w:r>
          </w:p>
        </w:tc>
        <w:tc>
          <w:tcPr>
            <w:tcW w:w="1043" w:type="dxa"/>
            <w:tcBorders>
              <w:top w:val="nil"/>
              <w:left w:val="nil"/>
              <w:bottom w:val="nil"/>
              <w:right w:val="nil"/>
            </w:tcBorders>
          </w:tcPr>
          <w:p>
            <w:pPr>
              <w:pStyle w:val="TableParagraph"/>
              <w:ind w:left="474"/>
              <w:jc w:val="left"/>
              <w:rPr>
                <w:rFonts w:ascii="Calibri"/>
                <w:sz w:val="22"/>
              </w:rPr>
            </w:pPr>
            <w:r>
              <w:rPr>
                <w:rFonts w:ascii="Calibri"/>
                <w:w w:val="100"/>
                <w:sz w:val="22"/>
              </w:rPr>
              <w:t>0</w:t>
            </w:r>
          </w:p>
        </w:tc>
        <w:tc>
          <w:tcPr>
            <w:tcW w:w="1055" w:type="dxa"/>
            <w:tcBorders>
              <w:top w:val="nil"/>
              <w:left w:val="nil"/>
              <w:bottom w:val="nil"/>
              <w:right w:val="nil"/>
            </w:tcBorders>
          </w:tcPr>
          <w:p>
            <w:pPr>
              <w:pStyle w:val="TableParagraph"/>
              <w:ind w:right="441"/>
              <w:jc w:val="right"/>
              <w:rPr>
                <w:rFonts w:ascii="Calibri"/>
                <w:sz w:val="22"/>
              </w:rPr>
            </w:pPr>
            <w:r>
              <w:rPr>
                <w:rFonts w:ascii="Calibri"/>
                <w:w w:val="100"/>
                <w:sz w:val="22"/>
              </w:rPr>
              <w:t>0</w:t>
            </w:r>
          </w:p>
        </w:tc>
        <w:tc>
          <w:tcPr>
            <w:tcW w:w="1132" w:type="dxa"/>
            <w:tcBorders>
              <w:top w:val="nil"/>
              <w:left w:val="nil"/>
              <w:bottom w:val="nil"/>
              <w:right w:val="nil"/>
            </w:tcBorders>
          </w:tcPr>
          <w:p>
            <w:pPr>
              <w:pStyle w:val="TableParagraph"/>
              <w:ind w:left="450"/>
              <w:jc w:val="left"/>
              <w:rPr>
                <w:rFonts w:ascii="Calibri"/>
                <w:sz w:val="22"/>
              </w:rPr>
            </w:pPr>
            <w:r>
              <w:rPr>
                <w:rFonts w:ascii="Calibri"/>
                <w:sz w:val="22"/>
              </w:rPr>
              <w:t>19</w:t>
            </w:r>
          </w:p>
        </w:tc>
        <w:tc>
          <w:tcPr>
            <w:tcW w:w="991" w:type="dxa"/>
            <w:tcBorders>
              <w:top w:val="nil"/>
              <w:left w:val="nil"/>
              <w:bottom w:val="nil"/>
            </w:tcBorders>
          </w:tcPr>
          <w:p>
            <w:pPr>
              <w:pStyle w:val="TableParagraph"/>
              <w:ind w:left="365" w:right="358"/>
              <w:rPr>
                <w:rFonts w:ascii="Calibri"/>
                <w:sz w:val="22"/>
              </w:rPr>
            </w:pPr>
            <w:r>
              <w:rPr>
                <w:rFonts w:ascii="Calibri"/>
                <w:sz w:val="22"/>
              </w:rPr>
              <w:t>51</w:t>
            </w:r>
          </w:p>
        </w:tc>
      </w:tr>
      <w:tr>
        <w:trPr>
          <w:trHeight w:val="614" w:hRule="exact"/>
        </w:trPr>
        <w:tc>
          <w:tcPr>
            <w:tcW w:w="1027" w:type="dxa"/>
            <w:tcBorders>
              <w:top w:val="nil"/>
              <w:bottom w:val="dotted" w:sz="4" w:space="0" w:color="000000"/>
              <w:right w:val="dotted" w:sz="4" w:space="0" w:color="000000"/>
            </w:tcBorders>
          </w:tcPr>
          <w:p>
            <w:pPr>
              <w:pStyle w:val="TableParagraph"/>
              <w:ind w:left="148" w:right="148"/>
              <w:rPr>
                <w:rFonts w:ascii="Calibri"/>
                <w:sz w:val="22"/>
              </w:rPr>
            </w:pPr>
            <w:r>
              <w:rPr>
                <w:rFonts w:ascii="Calibri"/>
                <w:sz w:val="22"/>
              </w:rPr>
              <w:t>21</w:t>
            </w:r>
          </w:p>
        </w:tc>
        <w:tc>
          <w:tcPr>
            <w:tcW w:w="1094" w:type="dxa"/>
            <w:tcBorders>
              <w:top w:val="nil"/>
              <w:left w:val="dotted" w:sz="4" w:space="0" w:color="000000"/>
              <w:bottom w:val="dotted" w:sz="4" w:space="0" w:color="000000"/>
              <w:right w:val="nil"/>
            </w:tcBorders>
          </w:tcPr>
          <w:p>
            <w:pPr>
              <w:pStyle w:val="TableParagraph"/>
              <w:ind w:right="1"/>
              <w:rPr>
                <w:rFonts w:ascii="Calibri"/>
                <w:sz w:val="22"/>
              </w:rPr>
            </w:pPr>
            <w:r>
              <w:rPr>
                <w:rFonts w:ascii="Calibri"/>
                <w:w w:val="100"/>
                <w:sz w:val="22"/>
              </w:rPr>
              <w:t>0</w:t>
            </w:r>
          </w:p>
        </w:tc>
        <w:tc>
          <w:tcPr>
            <w:tcW w:w="1246" w:type="dxa"/>
            <w:tcBorders>
              <w:top w:val="nil"/>
              <w:left w:val="nil"/>
              <w:bottom w:val="dotted" w:sz="4" w:space="0" w:color="000000"/>
              <w:right w:val="nil"/>
            </w:tcBorders>
          </w:tcPr>
          <w:p>
            <w:pPr>
              <w:pStyle w:val="TableParagraph"/>
              <w:ind w:left="4"/>
              <w:rPr>
                <w:rFonts w:ascii="Calibri"/>
                <w:sz w:val="22"/>
              </w:rPr>
            </w:pPr>
            <w:r>
              <w:rPr>
                <w:rFonts w:ascii="Calibri"/>
                <w:w w:val="100"/>
                <w:sz w:val="22"/>
              </w:rPr>
              <w:t>1</w:t>
            </w:r>
          </w:p>
        </w:tc>
        <w:tc>
          <w:tcPr>
            <w:tcW w:w="1115" w:type="dxa"/>
            <w:tcBorders>
              <w:top w:val="nil"/>
              <w:left w:val="nil"/>
              <w:bottom w:val="dotted" w:sz="4" w:space="0" w:color="000000"/>
              <w:right w:val="nil"/>
            </w:tcBorders>
          </w:tcPr>
          <w:p>
            <w:pPr>
              <w:pStyle w:val="TableParagraph"/>
              <w:ind w:left="514"/>
              <w:jc w:val="left"/>
              <w:rPr>
                <w:rFonts w:ascii="Calibri"/>
                <w:sz w:val="22"/>
              </w:rPr>
            </w:pPr>
            <w:r>
              <w:rPr>
                <w:rFonts w:ascii="Calibri"/>
                <w:w w:val="100"/>
                <w:sz w:val="22"/>
              </w:rPr>
              <w:t>7</w:t>
            </w:r>
          </w:p>
        </w:tc>
        <w:tc>
          <w:tcPr>
            <w:tcW w:w="1044" w:type="dxa"/>
            <w:tcBorders>
              <w:top w:val="nil"/>
              <w:left w:val="nil"/>
              <w:bottom w:val="dotted" w:sz="4" w:space="0" w:color="000000"/>
              <w:right w:val="nil"/>
            </w:tcBorders>
          </w:tcPr>
          <w:p>
            <w:pPr>
              <w:pStyle w:val="TableParagraph"/>
              <w:ind w:right="15"/>
              <w:rPr>
                <w:rFonts w:ascii="Calibri"/>
                <w:sz w:val="22"/>
              </w:rPr>
            </w:pPr>
            <w:r>
              <w:rPr>
                <w:rFonts w:ascii="Calibri"/>
                <w:w w:val="100"/>
                <w:sz w:val="22"/>
              </w:rPr>
              <w:t>5</w:t>
            </w:r>
          </w:p>
        </w:tc>
        <w:tc>
          <w:tcPr>
            <w:tcW w:w="1043" w:type="dxa"/>
            <w:tcBorders>
              <w:top w:val="nil"/>
              <w:left w:val="nil"/>
              <w:bottom w:val="dotted" w:sz="4" w:space="0" w:color="000000"/>
              <w:right w:val="nil"/>
            </w:tcBorders>
          </w:tcPr>
          <w:p>
            <w:pPr>
              <w:pStyle w:val="TableParagraph"/>
              <w:ind w:left="419"/>
              <w:jc w:val="left"/>
              <w:rPr>
                <w:rFonts w:ascii="Calibri"/>
                <w:sz w:val="22"/>
              </w:rPr>
            </w:pPr>
            <w:r>
              <w:rPr>
                <w:rFonts w:ascii="Calibri"/>
                <w:sz w:val="22"/>
              </w:rPr>
              <w:t>10</w:t>
            </w:r>
          </w:p>
        </w:tc>
        <w:tc>
          <w:tcPr>
            <w:tcW w:w="1055" w:type="dxa"/>
            <w:tcBorders>
              <w:top w:val="nil"/>
              <w:left w:val="nil"/>
              <w:bottom w:val="dotted" w:sz="4" w:space="0" w:color="000000"/>
              <w:right w:val="nil"/>
            </w:tcBorders>
          </w:tcPr>
          <w:p>
            <w:pPr>
              <w:pStyle w:val="TableParagraph"/>
              <w:ind w:right="441"/>
              <w:jc w:val="right"/>
              <w:rPr>
                <w:rFonts w:ascii="Calibri"/>
                <w:sz w:val="22"/>
              </w:rPr>
            </w:pPr>
            <w:r>
              <w:rPr>
                <w:rFonts w:ascii="Calibri"/>
                <w:w w:val="100"/>
                <w:sz w:val="22"/>
              </w:rPr>
              <w:t>0</w:t>
            </w:r>
          </w:p>
        </w:tc>
        <w:tc>
          <w:tcPr>
            <w:tcW w:w="1132" w:type="dxa"/>
            <w:tcBorders>
              <w:top w:val="nil"/>
              <w:left w:val="nil"/>
              <w:bottom w:val="dotted" w:sz="4" w:space="0" w:color="000000"/>
              <w:right w:val="nil"/>
            </w:tcBorders>
          </w:tcPr>
          <w:p>
            <w:pPr>
              <w:pStyle w:val="TableParagraph"/>
              <w:ind w:right="1"/>
              <w:rPr>
                <w:rFonts w:ascii="Calibri"/>
                <w:sz w:val="22"/>
              </w:rPr>
            </w:pPr>
            <w:r>
              <w:rPr>
                <w:rFonts w:ascii="Calibri"/>
                <w:w w:val="100"/>
                <w:sz w:val="22"/>
              </w:rPr>
              <w:t>4</w:t>
            </w:r>
          </w:p>
        </w:tc>
        <w:tc>
          <w:tcPr>
            <w:tcW w:w="991" w:type="dxa"/>
            <w:tcBorders>
              <w:top w:val="nil"/>
              <w:left w:val="nil"/>
              <w:bottom w:val="dotted" w:sz="4" w:space="0" w:color="000000"/>
            </w:tcBorders>
          </w:tcPr>
          <w:p>
            <w:pPr>
              <w:pStyle w:val="TableParagraph"/>
              <w:ind w:left="365" w:right="358"/>
              <w:rPr>
                <w:rFonts w:ascii="Calibri"/>
                <w:sz w:val="22"/>
              </w:rPr>
            </w:pPr>
            <w:r>
              <w:rPr>
                <w:rFonts w:ascii="Calibri"/>
                <w:sz w:val="22"/>
              </w:rPr>
              <w:t>27</w:t>
            </w:r>
          </w:p>
        </w:tc>
      </w:tr>
    </w:tbl>
    <w:p>
      <w:pPr>
        <w:spacing w:after="0"/>
        <w:rPr>
          <w:rFonts w:ascii="Calibri"/>
          <w:sz w:val="22"/>
        </w:rPr>
        <w:sectPr>
          <w:pgSz w:w="12240" w:h="15840"/>
          <w:pgMar w:header="0" w:footer="534" w:top="1500" w:bottom="780" w:left="0" w:right="0"/>
        </w:sectPr>
      </w:pPr>
    </w:p>
    <w:p>
      <w:pPr>
        <w:pStyle w:val="BodyText"/>
        <w:spacing w:before="6"/>
        <w:rPr>
          <w:rFonts w:ascii="Times New Roman"/>
          <w:sz w:val="17"/>
        </w:rPr>
      </w:pPr>
    </w:p>
    <w:tbl>
      <w:tblPr>
        <w:tblW w:w="0" w:type="auto"/>
        <w:jc w:val="left"/>
        <w:tblInd w:w="1306"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CellMar>
          <w:top w:w="0" w:type="dxa"/>
          <w:left w:w="0" w:type="dxa"/>
          <w:bottom w:w="0" w:type="dxa"/>
          <w:right w:w="0" w:type="dxa"/>
        </w:tblCellMar>
        <w:tblLook w:val="01E0"/>
      </w:tblPr>
      <w:tblGrid>
        <w:gridCol w:w="1027"/>
        <w:gridCol w:w="1105"/>
        <w:gridCol w:w="1209"/>
        <w:gridCol w:w="1124"/>
        <w:gridCol w:w="1061"/>
        <w:gridCol w:w="1093"/>
        <w:gridCol w:w="1008"/>
        <w:gridCol w:w="1065"/>
        <w:gridCol w:w="1055"/>
      </w:tblGrid>
      <w:tr>
        <w:trPr>
          <w:trHeight w:val="413" w:hRule="exact"/>
        </w:trPr>
        <w:tc>
          <w:tcPr>
            <w:tcW w:w="1027" w:type="dxa"/>
            <w:tcBorders>
              <w:left w:val="single" w:sz="4" w:space="0" w:color="000000"/>
              <w:bottom w:val="nil"/>
            </w:tcBorders>
          </w:tcPr>
          <w:p>
            <w:pPr>
              <w:pStyle w:val="TableParagraph"/>
              <w:spacing w:line="268" w:lineRule="exact" w:before="0"/>
              <w:ind w:left="148" w:right="148"/>
              <w:rPr>
                <w:rFonts w:ascii="Calibri"/>
                <w:sz w:val="22"/>
              </w:rPr>
            </w:pPr>
            <w:r>
              <w:rPr>
                <w:rFonts w:ascii="Calibri"/>
                <w:sz w:val="22"/>
              </w:rPr>
              <w:t>22</w:t>
            </w:r>
          </w:p>
        </w:tc>
        <w:tc>
          <w:tcPr>
            <w:tcW w:w="1105" w:type="dxa"/>
            <w:tcBorders>
              <w:bottom w:val="nil"/>
              <w:right w:val="nil"/>
            </w:tcBorders>
          </w:tcPr>
          <w:p>
            <w:pPr>
              <w:pStyle w:val="TableParagraph"/>
              <w:spacing w:line="268" w:lineRule="exact" w:before="0"/>
              <w:ind w:right="11"/>
              <w:rPr>
                <w:rFonts w:ascii="Calibri"/>
                <w:sz w:val="22"/>
              </w:rPr>
            </w:pPr>
            <w:r>
              <w:rPr>
                <w:rFonts w:ascii="Calibri"/>
                <w:w w:val="100"/>
                <w:sz w:val="22"/>
              </w:rPr>
              <w:t>1</w:t>
            </w:r>
          </w:p>
        </w:tc>
        <w:tc>
          <w:tcPr>
            <w:tcW w:w="1209" w:type="dxa"/>
            <w:tcBorders>
              <w:left w:val="nil"/>
              <w:bottom w:val="nil"/>
              <w:right w:val="nil"/>
            </w:tcBorders>
          </w:tcPr>
          <w:p>
            <w:pPr>
              <w:pStyle w:val="TableParagraph"/>
              <w:spacing w:line="268" w:lineRule="exact" w:before="0"/>
              <w:ind w:left="20"/>
              <w:rPr>
                <w:rFonts w:ascii="Calibri"/>
                <w:sz w:val="22"/>
              </w:rPr>
            </w:pPr>
            <w:r>
              <w:rPr>
                <w:rFonts w:ascii="Calibri"/>
                <w:w w:val="100"/>
                <w:sz w:val="22"/>
              </w:rPr>
              <w:t>0</w:t>
            </w:r>
          </w:p>
        </w:tc>
        <w:tc>
          <w:tcPr>
            <w:tcW w:w="1124" w:type="dxa"/>
            <w:tcBorders>
              <w:left w:val="nil"/>
              <w:bottom w:val="nil"/>
              <w:right w:val="nil"/>
            </w:tcBorders>
          </w:tcPr>
          <w:p>
            <w:pPr>
              <w:pStyle w:val="TableParagraph"/>
              <w:spacing w:line="268" w:lineRule="exact" w:before="0"/>
              <w:ind w:left="482"/>
              <w:jc w:val="left"/>
              <w:rPr>
                <w:rFonts w:ascii="Calibri"/>
                <w:sz w:val="22"/>
              </w:rPr>
            </w:pPr>
            <w:r>
              <w:rPr>
                <w:rFonts w:ascii="Calibri"/>
                <w:sz w:val="22"/>
              </w:rPr>
              <w:t>14</w:t>
            </w:r>
          </w:p>
        </w:tc>
        <w:tc>
          <w:tcPr>
            <w:tcW w:w="1061" w:type="dxa"/>
            <w:tcBorders>
              <w:left w:val="nil"/>
              <w:bottom w:val="nil"/>
              <w:right w:val="nil"/>
            </w:tcBorders>
          </w:tcPr>
          <w:p>
            <w:pPr>
              <w:pStyle w:val="TableParagraph"/>
              <w:spacing w:line="268" w:lineRule="exact" w:before="0"/>
              <w:rPr>
                <w:rFonts w:ascii="Calibri"/>
                <w:sz w:val="22"/>
              </w:rPr>
            </w:pPr>
            <w:r>
              <w:rPr>
                <w:rFonts w:ascii="Calibri"/>
                <w:w w:val="100"/>
                <w:sz w:val="22"/>
              </w:rPr>
              <w:t>4</w:t>
            </w:r>
          </w:p>
        </w:tc>
        <w:tc>
          <w:tcPr>
            <w:tcW w:w="1093" w:type="dxa"/>
            <w:tcBorders>
              <w:left w:val="nil"/>
              <w:bottom w:val="nil"/>
              <w:right w:val="nil"/>
            </w:tcBorders>
          </w:tcPr>
          <w:p>
            <w:pPr>
              <w:pStyle w:val="TableParagraph"/>
              <w:spacing w:line="268" w:lineRule="exact" w:before="0"/>
              <w:ind w:left="419"/>
              <w:jc w:val="left"/>
              <w:rPr>
                <w:rFonts w:ascii="Calibri"/>
                <w:sz w:val="22"/>
              </w:rPr>
            </w:pPr>
            <w:r>
              <w:rPr>
                <w:rFonts w:ascii="Calibri"/>
                <w:sz w:val="22"/>
              </w:rPr>
              <w:t>30</w:t>
            </w:r>
          </w:p>
        </w:tc>
        <w:tc>
          <w:tcPr>
            <w:tcW w:w="1008" w:type="dxa"/>
            <w:tcBorders>
              <w:left w:val="nil"/>
              <w:bottom w:val="nil"/>
              <w:right w:val="nil"/>
            </w:tcBorders>
          </w:tcPr>
          <w:p>
            <w:pPr>
              <w:pStyle w:val="TableParagraph"/>
              <w:spacing w:line="268" w:lineRule="exact" w:before="0"/>
              <w:ind w:left="2"/>
              <w:rPr>
                <w:rFonts w:ascii="Calibri"/>
                <w:sz w:val="22"/>
              </w:rPr>
            </w:pPr>
            <w:r>
              <w:rPr>
                <w:rFonts w:ascii="Calibri"/>
                <w:w w:val="100"/>
                <w:sz w:val="22"/>
              </w:rPr>
              <w:t>2</w:t>
            </w:r>
          </w:p>
        </w:tc>
        <w:tc>
          <w:tcPr>
            <w:tcW w:w="1065" w:type="dxa"/>
            <w:tcBorders>
              <w:left w:val="nil"/>
              <w:bottom w:val="nil"/>
              <w:right w:val="nil"/>
            </w:tcBorders>
          </w:tcPr>
          <w:p>
            <w:pPr>
              <w:pStyle w:val="TableParagraph"/>
              <w:spacing w:line="268" w:lineRule="exact" w:before="0"/>
              <w:ind w:left="428" w:right="373"/>
              <w:rPr>
                <w:rFonts w:ascii="Calibri"/>
                <w:sz w:val="22"/>
              </w:rPr>
            </w:pPr>
            <w:r>
              <w:rPr>
                <w:rFonts w:ascii="Calibri"/>
                <w:sz w:val="22"/>
              </w:rPr>
              <w:t>37</w:t>
            </w:r>
          </w:p>
        </w:tc>
        <w:tc>
          <w:tcPr>
            <w:tcW w:w="1055" w:type="dxa"/>
            <w:tcBorders>
              <w:left w:val="nil"/>
              <w:bottom w:val="nil"/>
              <w:right w:val="single" w:sz="4" w:space="0" w:color="000000"/>
            </w:tcBorders>
          </w:tcPr>
          <w:p>
            <w:pPr>
              <w:pStyle w:val="TableParagraph"/>
              <w:spacing w:line="268" w:lineRule="exact" w:before="0"/>
              <w:ind w:left="372" w:right="301"/>
              <w:rPr>
                <w:rFonts w:ascii="Calibri"/>
                <w:sz w:val="22"/>
              </w:rPr>
            </w:pPr>
            <w:r>
              <w:rPr>
                <w:rFonts w:ascii="Calibri"/>
                <w:sz w:val="22"/>
              </w:rPr>
              <w:t>87</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23</w:t>
            </w:r>
          </w:p>
        </w:tc>
        <w:tc>
          <w:tcPr>
            <w:tcW w:w="1105" w:type="dxa"/>
            <w:tcBorders>
              <w:top w:val="nil"/>
              <w:bottom w:val="nil"/>
              <w:right w:val="nil"/>
            </w:tcBorders>
          </w:tcPr>
          <w:p>
            <w:pPr>
              <w:pStyle w:val="TableParagraph"/>
              <w:ind w:right="11"/>
              <w:rPr>
                <w:rFonts w:ascii="Calibri"/>
                <w:sz w:val="22"/>
              </w:rPr>
            </w:pPr>
            <w:r>
              <w:rPr>
                <w:rFonts w:ascii="Calibri"/>
                <w:w w:val="100"/>
                <w:sz w:val="22"/>
              </w:rPr>
              <w:t>0</w:t>
            </w:r>
          </w:p>
        </w:tc>
        <w:tc>
          <w:tcPr>
            <w:tcW w:w="1209" w:type="dxa"/>
            <w:tcBorders>
              <w:top w:val="nil"/>
              <w:left w:val="nil"/>
              <w:bottom w:val="nil"/>
              <w:right w:val="nil"/>
            </w:tcBorders>
          </w:tcPr>
          <w:p>
            <w:pPr>
              <w:pStyle w:val="TableParagraph"/>
              <w:ind w:left="20"/>
              <w:rPr>
                <w:rFonts w:ascii="Calibri"/>
                <w:sz w:val="22"/>
              </w:rPr>
            </w:pPr>
            <w:r>
              <w:rPr>
                <w:rFonts w:ascii="Calibri"/>
                <w:w w:val="100"/>
                <w:sz w:val="22"/>
              </w:rPr>
              <w:t>0</w:t>
            </w:r>
          </w:p>
        </w:tc>
        <w:tc>
          <w:tcPr>
            <w:tcW w:w="1124" w:type="dxa"/>
            <w:tcBorders>
              <w:top w:val="nil"/>
              <w:left w:val="nil"/>
              <w:bottom w:val="nil"/>
              <w:right w:val="nil"/>
            </w:tcBorders>
          </w:tcPr>
          <w:p>
            <w:pPr>
              <w:pStyle w:val="TableParagraph"/>
              <w:ind w:left="482"/>
              <w:jc w:val="left"/>
              <w:rPr>
                <w:rFonts w:ascii="Calibri"/>
                <w:sz w:val="22"/>
              </w:rPr>
            </w:pPr>
            <w:r>
              <w:rPr>
                <w:rFonts w:ascii="Calibri"/>
                <w:sz w:val="22"/>
              </w:rPr>
              <w:t>51</w:t>
            </w:r>
          </w:p>
        </w:tc>
        <w:tc>
          <w:tcPr>
            <w:tcW w:w="1061" w:type="dxa"/>
            <w:tcBorders>
              <w:top w:val="nil"/>
              <w:left w:val="nil"/>
              <w:bottom w:val="nil"/>
              <w:right w:val="nil"/>
            </w:tcBorders>
          </w:tcPr>
          <w:p>
            <w:pPr>
              <w:pStyle w:val="TableParagraph"/>
              <w:rPr>
                <w:rFonts w:ascii="Calibri"/>
                <w:sz w:val="22"/>
              </w:rPr>
            </w:pPr>
            <w:r>
              <w:rPr>
                <w:rFonts w:ascii="Calibri"/>
                <w:w w:val="100"/>
                <w:sz w:val="22"/>
              </w:rPr>
              <w:t>6</w:t>
            </w:r>
          </w:p>
        </w:tc>
        <w:tc>
          <w:tcPr>
            <w:tcW w:w="1093" w:type="dxa"/>
            <w:tcBorders>
              <w:top w:val="nil"/>
              <w:left w:val="nil"/>
              <w:bottom w:val="nil"/>
              <w:right w:val="nil"/>
            </w:tcBorders>
          </w:tcPr>
          <w:p>
            <w:pPr>
              <w:pStyle w:val="TableParagraph"/>
              <w:ind w:left="419"/>
              <w:jc w:val="left"/>
              <w:rPr>
                <w:rFonts w:ascii="Calibri"/>
                <w:sz w:val="22"/>
              </w:rPr>
            </w:pPr>
            <w:r>
              <w:rPr>
                <w:rFonts w:ascii="Calibri"/>
                <w:sz w:val="22"/>
              </w:rPr>
              <w:t>51</w:t>
            </w:r>
          </w:p>
        </w:tc>
        <w:tc>
          <w:tcPr>
            <w:tcW w:w="1008" w:type="dxa"/>
            <w:tcBorders>
              <w:top w:val="nil"/>
              <w:left w:val="nil"/>
              <w:bottom w:val="nil"/>
              <w:right w:val="nil"/>
            </w:tcBorders>
          </w:tcPr>
          <w:p>
            <w:pPr>
              <w:pStyle w:val="TableParagraph"/>
              <w:ind w:left="2"/>
              <w:rPr>
                <w:rFonts w:ascii="Calibri"/>
                <w:sz w:val="22"/>
              </w:rPr>
            </w:pPr>
            <w:r>
              <w:rPr>
                <w:rFonts w:ascii="Calibri"/>
                <w:w w:val="100"/>
                <w:sz w:val="22"/>
              </w:rPr>
              <w:t>3</w:t>
            </w:r>
          </w:p>
        </w:tc>
        <w:tc>
          <w:tcPr>
            <w:tcW w:w="1065" w:type="dxa"/>
            <w:tcBorders>
              <w:top w:val="nil"/>
              <w:left w:val="nil"/>
              <w:bottom w:val="nil"/>
              <w:right w:val="nil"/>
            </w:tcBorders>
          </w:tcPr>
          <w:p>
            <w:pPr>
              <w:pStyle w:val="TableParagraph"/>
              <w:ind w:left="56"/>
              <w:rPr>
                <w:rFonts w:ascii="Calibri"/>
                <w:sz w:val="22"/>
              </w:rPr>
            </w:pPr>
            <w:r>
              <w:rPr>
                <w:rFonts w:ascii="Calibri"/>
                <w:w w:val="100"/>
                <w:sz w:val="22"/>
              </w:rPr>
              <w:t>8</w:t>
            </w:r>
          </w:p>
        </w:tc>
        <w:tc>
          <w:tcPr>
            <w:tcW w:w="1055" w:type="dxa"/>
            <w:tcBorders>
              <w:top w:val="nil"/>
              <w:left w:val="nil"/>
              <w:bottom w:val="nil"/>
              <w:right w:val="single" w:sz="4" w:space="0" w:color="000000"/>
            </w:tcBorders>
          </w:tcPr>
          <w:p>
            <w:pPr>
              <w:pStyle w:val="TableParagraph"/>
              <w:ind w:left="372" w:right="302"/>
              <w:rPr>
                <w:rFonts w:ascii="Calibri"/>
                <w:sz w:val="22"/>
              </w:rPr>
            </w:pPr>
            <w:r>
              <w:rPr>
                <w:rFonts w:ascii="Calibri"/>
                <w:sz w:val="22"/>
              </w:rPr>
              <w:t>119</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24</w:t>
            </w:r>
          </w:p>
        </w:tc>
        <w:tc>
          <w:tcPr>
            <w:tcW w:w="1105" w:type="dxa"/>
            <w:tcBorders>
              <w:top w:val="nil"/>
              <w:bottom w:val="nil"/>
              <w:right w:val="nil"/>
            </w:tcBorders>
          </w:tcPr>
          <w:p>
            <w:pPr>
              <w:pStyle w:val="TableParagraph"/>
              <w:ind w:right="11"/>
              <w:rPr>
                <w:rFonts w:ascii="Calibri"/>
                <w:sz w:val="22"/>
              </w:rPr>
            </w:pPr>
            <w:r>
              <w:rPr>
                <w:rFonts w:ascii="Calibri"/>
                <w:w w:val="100"/>
                <w:sz w:val="22"/>
              </w:rPr>
              <w:t>1</w:t>
            </w:r>
          </w:p>
        </w:tc>
        <w:tc>
          <w:tcPr>
            <w:tcW w:w="1209" w:type="dxa"/>
            <w:tcBorders>
              <w:top w:val="nil"/>
              <w:left w:val="nil"/>
              <w:bottom w:val="nil"/>
              <w:right w:val="nil"/>
            </w:tcBorders>
          </w:tcPr>
          <w:p>
            <w:pPr>
              <w:pStyle w:val="TableParagraph"/>
              <w:ind w:left="20"/>
              <w:rPr>
                <w:rFonts w:ascii="Calibri"/>
                <w:sz w:val="22"/>
              </w:rPr>
            </w:pPr>
            <w:r>
              <w:rPr>
                <w:rFonts w:ascii="Calibri"/>
                <w:w w:val="100"/>
                <w:sz w:val="22"/>
              </w:rPr>
              <w:t>4</w:t>
            </w:r>
          </w:p>
        </w:tc>
        <w:tc>
          <w:tcPr>
            <w:tcW w:w="1124" w:type="dxa"/>
            <w:tcBorders>
              <w:top w:val="nil"/>
              <w:left w:val="nil"/>
              <w:bottom w:val="nil"/>
              <w:right w:val="nil"/>
            </w:tcBorders>
          </w:tcPr>
          <w:p>
            <w:pPr>
              <w:pStyle w:val="TableParagraph"/>
              <w:ind w:left="482"/>
              <w:jc w:val="left"/>
              <w:rPr>
                <w:rFonts w:ascii="Calibri"/>
                <w:sz w:val="22"/>
              </w:rPr>
            </w:pPr>
            <w:r>
              <w:rPr>
                <w:rFonts w:ascii="Calibri"/>
                <w:sz w:val="22"/>
              </w:rPr>
              <w:t>38</w:t>
            </w:r>
          </w:p>
        </w:tc>
        <w:tc>
          <w:tcPr>
            <w:tcW w:w="1061" w:type="dxa"/>
            <w:tcBorders>
              <w:top w:val="nil"/>
              <w:left w:val="nil"/>
              <w:bottom w:val="nil"/>
              <w:right w:val="nil"/>
            </w:tcBorders>
          </w:tcPr>
          <w:p>
            <w:pPr>
              <w:pStyle w:val="TableParagraph"/>
              <w:rPr>
                <w:rFonts w:ascii="Calibri"/>
                <w:sz w:val="22"/>
              </w:rPr>
            </w:pPr>
            <w:r>
              <w:rPr>
                <w:rFonts w:ascii="Calibri"/>
                <w:w w:val="100"/>
                <w:sz w:val="22"/>
              </w:rPr>
              <w:t>7</w:t>
            </w:r>
          </w:p>
        </w:tc>
        <w:tc>
          <w:tcPr>
            <w:tcW w:w="1093" w:type="dxa"/>
            <w:tcBorders>
              <w:top w:val="nil"/>
              <w:left w:val="nil"/>
              <w:bottom w:val="nil"/>
              <w:right w:val="nil"/>
            </w:tcBorders>
          </w:tcPr>
          <w:p>
            <w:pPr>
              <w:pStyle w:val="TableParagraph"/>
              <w:ind w:left="474"/>
              <w:jc w:val="left"/>
              <w:rPr>
                <w:rFonts w:ascii="Calibri"/>
                <w:sz w:val="22"/>
              </w:rPr>
            </w:pPr>
            <w:r>
              <w:rPr>
                <w:rFonts w:ascii="Calibri"/>
                <w:w w:val="100"/>
                <w:sz w:val="22"/>
              </w:rPr>
              <w:t>8</w:t>
            </w:r>
          </w:p>
        </w:tc>
        <w:tc>
          <w:tcPr>
            <w:tcW w:w="1008" w:type="dxa"/>
            <w:tcBorders>
              <w:top w:val="nil"/>
              <w:left w:val="nil"/>
              <w:bottom w:val="nil"/>
              <w:right w:val="nil"/>
            </w:tcBorders>
          </w:tcPr>
          <w:p>
            <w:pPr>
              <w:pStyle w:val="TableParagraph"/>
              <w:ind w:left="2"/>
              <w:rPr>
                <w:rFonts w:ascii="Calibri"/>
                <w:sz w:val="22"/>
              </w:rPr>
            </w:pPr>
            <w:r>
              <w:rPr>
                <w:rFonts w:ascii="Calibri"/>
                <w:w w:val="100"/>
                <w:sz w:val="22"/>
              </w:rPr>
              <w:t>0</w:t>
            </w:r>
          </w:p>
        </w:tc>
        <w:tc>
          <w:tcPr>
            <w:tcW w:w="1065" w:type="dxa"/>
            <w:tcBorders>
              <w:top w:val="nil"/>
              <w:left w:val="nil"/>
              <w:bottom w:val="nil"/>
              <w:right w:val="nil"/>
            </w:tcBorders>
          </w:tcPr>
          <w:p>
            <w:pPr>
              <w:pStyle w:val="TableParagraph"/>
              <w:ind w:left="428" w:right="373"/>
              <w:rPr>
                <w:rFonts w:ascii="Calibri"/>
                <w:sz w:val="22"/>
              </w:rPr>
            </w:pPr>
            <w:r>
              <w:rPr>
                <w:rFonts w:ascii="Calibri"/>
                <w:sz w:val="22"/>
              </w:rPr>
              <w:t>11</w:t>
            </w:r>
          </w:p>
        </w:tc>
        <w:tc>
          <w:tcPr>
            <w:tcW w:w="1055" w:type="dxa"/>
            <w:tcBorders>
              <w:top w:val="nil"/>
              <w:left w:val="nil"/>
              <w:bottom w:val="nil"/>
              <w:right w:val="single" w:sz="4" w:space="0" w:color="000000"/>
            </w:tcBorders>
          </w:tcPr>
          <w:p>
            <w:pPr>
              <w:pStyle w:val="TableParagraph"/>
              <w:ind w:left="372" w:right="301"/>
              <w:rPr>
                <w:rFonts w:ascii="Calibri"/>
                <w:sz w:val="22"/>
              </w:rPr>
            </w:pPr>
            <w:r>
              <w:rPr>
                <w:rFonts w:ascii="Calibri"/>
                <w:sz w:val="22"/>
              </w:rPr>
              <w:t>68</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25</w:t>
            </w:r>
          </w:p>
        </w:tc>
        <w:tc>
          <w:tcPr>
            <w:tcW w:w="1105" w:type="dxa"/>
            <w:tcBorders>
              <w:top w:val="nil"/>
              <w:bottom w:val="nil"/>
              <w:right w:val="nil"/>
            </w:tcBorders>
          </w:tcPr>
          <w:p>
            <w:pPr>
              <w:pStyle w:val="TableParagraph"/>
              <w:ind w:right="11"/>
              <w:rPr>
                <w:rFonts w:ascii="Calibri"/>
                <w:sz w:val="22"/>
              </w:rPr>
            </w:pPr>
            <w:r>
              <w:rPr>
                <w:rFonts w:ascii="Calibri"/>
                <w:w w:val="100"/>
                <w:sz w:val="22"/>
              </w:rPr>
              <w:t>0</w:t>
            </w:r>
          </w:p>
        </w:tc>
        <w:tc>
          <w:tcPr>
            <w:tcW w:w="1209" w:type="dxa"/>
            <w:tcBorders>
              <w:top w:val="nil"/>
              <w:left w:val="nil"/>
              <w:bottom w:val="nil"/>
              <w:right w:val="nil"/>
            </w:tcBorders>
          </w:tcPr>
          <w:p>
            <w:pPr>
              <w:pStyle w:val="TableParagraph"/>
              <w:ind w:left="20"/>
              <w:rPr>
                <w:rFonts w:ascii="Calibri"/>
                <w:sz w:val="22"/>
              </w:rPr>
            </w:pPr>
            <w:r>
              <w:rPr>
                <w:rFonts w:ascii="Calibri"/>
                <w:w w:val="100"/>
                <w:sz w:val="22"/>
              </w:rPr>
              <w:t>3</w:t>
            </w:r>
          </w:p>
        </w:tc>
        <w:tc>
          <w:tcPr>
            <w:tcW w:w="1124" w:type="dxa"/>
            <w:tcBorders>
              <w:top w:val="nil"/>
              <w:left w:val="nil"/>
              <w:bottom w:val="nil"/>
              <w:right w:val="nil"/>
            </w:tcBorders>
          </w:tcPr>
          <w:p>
            <w:pPr>
              <w:pStyle w:val="TableParagraph"/>
              <w:ind w:left="482"/>
              <w:jc w:val="left"/>
              <w:rPr>
                <w:rFonts w:ascii="Calibri"/>
                <w:sz w:val="22"/>
              </w:rPr>
            </w:pPr>
            <w:r>
              <w:rPr>
                <w:rFonts w:ascii="Calibri"/>
                <w:sz w:val="22"/>
              </w:rPr>
              <w:t>35</w:t>
            </w:r>
          </w:p>
        </w:tc>
        <w:tc>
          <w:tcPr>
            <w:tcW w:w="1061" w:type="dxa"/>
            <w:tcBorders>
              <w:top w:val="nil"/>
              <w:left w:val="nil"/>
              <w:bottom w:val="nil"/>
              <w:right w:val="nil"/>
            </w:tcBorders>
          </w:tcPr>
          <w:p>
            <w:pPr>
              <w:pStyle w:val="TableParagraph"/>
              <w:rPr>
                <w:rFonts w:ascii="Calibri"/>
                <w:sz w:val="22"/>
              </w:rPr>
            </w:pPr>
            <w:r>
              <w:rPr>
                <w:rFonts w:ascii="Calibri"/>
                <w:w w:val="100"/>
                <w:sz w:val="22"/>
              </w:rPr>
              <w:t>8</w:t>
            </w:r>
          </w:p>
        </w:tc>
        <w:tc>
          <w:tcPr>
            <w:tcW w:w="1093" w:type="dxa"/>
            <w:tcBorders>
              <w:top w:val="nil"/>
              <w:left w:val="nil"/>
              <w:bottom w:val="nil"/>
              <w:right w:val="nil"/>
            </w:tcBorders>
          </w:tcPr>
          <w:p>
            <w:pPr>
              <w:pStyle w:val="TableParagraph"/>
              <w:ind w:left="419"/>
              <w:jc w:val="left"/>
              <w:rPr>
                <w:rFonts w:ascii="Calibri"/>
                <w:sz w:val="22"/>
              </w:rPr>
            </w:pPr>
            <w:r>
              <w:rPr>
                <w:rFonts w:ascii="Calibri"/>
                <w:sz w:val="22"/>
              </w:rPr>
              <w:t>27</w:t>
            </w:r>
          </w:p>
        </w:tc>
        <w:tc>
          <w:tcPr>
            <w:tcW w:w="1008" w:type="dxa"/>
            <w:tcBorders>
              <w:top w:val="nil"/>
              <w:left w:val="nil"/>
              <w:bottom w:val="nil"/>
              <w:right w:val="nil"/>
            </w:tcBorders>
          </w:tcPr>
          <w:p>
            <w:pPr>
              <w:pStyle w:val="TableParagraph"/>
              <w:ind w:left="2"/>
              <w:rPr>
                <w:rFonts w:ascii="Calibri"/>
                <w:sz w:val="22"/>
              </w:rPr>
            </w:pPr>
            <w:r>
              <w:rPr>
                <w:rFonts w:ascii="Calibri"/>
                <w:w w:val="100"/>
                <w:sz w:val="22"/>
              </w:rPr>
              <w:t>1</w:t>
            </w:r>
          </w:p>
        </w:tc>
        <w:tc>
          <w:tcPr>
            <w:tcW w:w="1065" w:type="dxa"/>
            <w:tcBorders>
              <w:top w:val="nil"/>
              <w:left w:val="nil"/>
              <w:bottom w:val="nil"/>
              <w:right w:val="nil"/>
            </w:tcBorders>
          </w:tcPr>
          <w:p>
            <w:pPr>
              <w:pStyle w:val="TableParagraph"/>
              <w:ind w:left="56"/>
              <w:rPr>
                <w:rFonts w:ascii="Calibri"/>
                <w:sz w:val="22"/>
              </w:rPr>
            </w:pPr>
            <w:r>
              <w:rPr>
                <w:rFonts w:ascii="Calibri"/>
                <w:w w:val="100"/>
                <w:sz w:val="22"/>
              </w:rPr>
              <w:t>7</w:t>
            </w:r>
          </w:p>
        </w:tc>
        <w:tc>
          <w:tcPr>
            <w:tcW w:w="1055" w:type="dxa"/>
            <w:tcBorders>
              <w:top w:val="nil"/>
              <w:left w:val="nil"/>
              <w:bottom w:val="nil"/>
              <w:right w:val="single" w:sz="4" w:space="0" w:color="000000"/>
            </w:tcBorders>
          </w:tcPr>
          <w:p>
            <w:pPr>
              <w:pStyle w:val="TableParagraph"/>
              <w:ind w:left="372" w:right="301"/>
              <w:rPr>
                <w:rFonts w:ascii="Calibri"/>
                <w:sz w:val="22"/>
              </w:rPr>
            </w:pPr>
            <w:r>
              <w:rPr>
                <w:rFonts w:ascii="Calibri"/>
                <w:sz w:val="22"/>
              </w:rPr>
              <w:t>81</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26</w:t>
            </w:r>
          </w:p>
        </w:tc>
        <w:tc>
          <w:tcPr>
            <w:tcW w:w="1105" w:type="dxa"/>
            <w:tcBorders>
              <w:top w:val="nil"/>
              <w:bottom w:val="nil"/>
              <w:right w:val="nil"/>
            </w:tcBorders>
          </w:tcPr>
          <w:p>
            <w:pPr>
              <w:pStyle w:val="TableParagraph"/>
              <w:ind w:right="11"/>
              <w:rPr>
                <w:rFonts w:ascii="Calibri"/>
                <w:sz w:val="22"/>
              </w:rPr>
            </w:pPr>
            <w:r>
              <w:rPr>
                <w:rFonts w:ascii="Calibri"/>
                <w:w w:val="100"/>
                <w:sz w:val="22"/>
              </w:rPr>
              <w:t>0</w:t>
            </w:r>
          </w:p>
        </w:tc>
        <w:tc>
          <w:tcPr>
            <w:tcW w:w="1209" w:type="dxa"/>
            <w:tcBorders>
              <w:top w:val="nil"/>
              <w:left w:val="nil"/>
              <w:bottom w:val="nil"/>
              <w:right w:val="nil"/>
            </w:tcBorders>
          </w:tcPr>
          <w:p>
            <w:pPr>
              <w:pStyle w:val="TableParagraph"/>
              <w:ind w:left="20"/>
              <w:rPr>
                <w:rFonts w:ascii="Calibri"/>
                <w:sz w:val="22"/>
              </w:rPr>
            </w:pPr>
            <w:r>
              <w:rPr>
                <w:rFonts w:ascii="Calibri"/>
                <w:w w:val="100"/>
                <w:sz w:val="22"/>
              </w:rPr>
              <w:t>4</w:t>
            </w:r>
          </w:p>
        </w:tc>
        <w:tc>
          <w:tcPr>
            <w:tcW w:w="1124" w:type="dxa"/>
            <w:tcBorders>
              <w:top w:val="nil"/>
              <w:left w:val="nil"/>
              <w:bottom w:val="nil"/>
              <w:right w:val="nil"/>
            </w:tcBorders>
          </w:tcPr>
          <w:p>
            <w:pPr>
              <w:pStyle w:val="TableParagraph"/>
              <w:ind w:left="482"/>
              <w:jc w:val="left"/>
              <w:rPr>
                <w:rFonts w:ascii="Calibri"/>
                <w:sz w:val="22"/>
              </w:rPr>
            </w:pPr>
            <w:r>
              <w:rPr>
                <w:rFonts w:ascii="Calibri"/>
                <w:sz w:val="22"/>
              </w:rPr>
              <w:t>25</w:t>
            </w:r>
          </w:p>
        </w:tc>
        <w:tc>
          <w:tcPr>
            <w:tcW w:w="1061" w:type="dxa"/>
            <w:tcBorders>
              <w:top w:val="nil"/>
              <w:left w:val="nil"/>
              <w:bottom w:val="nil"/>
              <w:right w:val="nil"/>
            </w:tcBorders>
          </w:tcPr>
          <w:p>
            <w:pPr>
              <w:pStyle w:val="TableParagraph"/>
              <w:ind w:left="398" w:right="399"/>
              <w:rPr>
                <w:rFonts w:ascii="Calibri"/>
                <w:sz w:val="22"/>
              </w:rPr>
            </w:pPr>
            <w:r>
              <w:rPr>
                <w:rFonts w:ascii="Calibri"/>
                <w:sz w:val="22"/>
              </w:rPr>
              <w:t>11</w:t>
            </w:r>
          </w:p>
        </w:tc>
        <w:tc>
          <w:tcPr>
            <w:tcW w:w="1093" w:type="dxa"/>
            <w:tcBorders>
              <w:top w:val="nil"/>
              <w:left w:val="nil"/>
              <w:bottom w:val="nil"/>
              <w:right w:val="nil"/>
            </w:tcBorders>
          </w:tcPr>
          <w:p>
            <w:pPr>
              <w:pStyle w:val="TableParagraph"/>
              <w:ind w:left="419"/>
              <w:jc w:val="left"/>
              <w:rPr>
                <w:rFonts w:ascii="Calibri"/>
                <w:sz w:val="22"/>
              </w:rPr>
            </w:pPr>
            <w:r>
              <w:rPr>
                <w:rFonts w:ascii="Calibri"/>
                <w:sz w:val="22"/>
              </w:rPr>
              <w:t>27</w:t>
            </w:r>
          </w:p>
        </w:tc>
        <w:tc>
          <w:tcPr>
            <w:tcW w:w="1008" w:type="dxa"/>
            <w:tcBorders>
              <w:top w:val="nil"/>
              <w:left w:val="nil"/>
              <w:bottom w:val="nil"/>
              <w:right w:val="nil"/>
            </w:tcBorders>
          </w:tcPr>
          <w:p>
            <w:pPr>
              <w:pStyle w:val="TableParagraph"/>
              <w:ind w:left="2"/>
              <w:rPr>
                <w:rFonts w:ascii="Calibri"/>
                <w:sz w:val="22"/>
              </w:rPr>
            </w:pPr>
            <w:r>
              <w:rPr>
                <w:rFonts w:ascii="Calibri"/>
                <w:w w:val="100"/>
                <w:sz w:val="22"/>
              </w:rPr>
              <w:t>0</w:t>
            </w:r>
          </w:p>
        </w:tc>
        <w:tc>
          <w:tcPr>
            <w:tcW w:w="1065" w:type="dxa"/>
            <w:tcBorders>
              <w:top w:val="nil"/>
              <w:left w:val="nil"/>
              <w:bottom w:val="nil"/>
              <w:right w:val="nil"/>
            </w:tcBorders>
          </w:tcPr>
          <w:p>
            <w:pPr>
              <w:pStyle w:val="TableParagraph"/>
              <w:ind w:left="428" w:right="373"/>
              <w:rPr>
                <w:rFonts w:ascii="Calibri"/>
                <w:sz w:val="22"/>
              </w:rPr>
            </w:pPr>
            <w:r>
              <w:rPr>
                <w:rFonts w:ascii="Calibri"/>
                <w:sz w:val="22"/>
              </w:rPr>
              <w:t>16</w:t>
            </w:r>
          </w:p>
        </w:tc>
        <w:tc>
          <w:tcPr>
            <w:tcW w:w="1055" w:type="dxa"/>
            <w:tcBorders>
              <w:top w:val="nil"/>
              <w:left w:val="nil"/>
              <w:bottom w:val="nil"/>
              <w:right w:val="single" w:sz="4" w:space="0" w:color="000000"/>
            </w:tcBorders>
          </w:tcPr>
          <w:p>
            <w:pPr>
              <w:pStyle w:val="TableParagraph"/>
              <w:ind w:left="372" w:right="301"/>
              <w:rPr>
                <w:rFonts w:ascii="Calibri"/>
                <w:sz w:val="22"/>
              </w:rPr>
            </w:pPr>
            <w:r>
              <w:rPr>
                <w:rFonts w:ascii="Calibri"/>
                <w:sz w:val="22"/>
              </w:rPr>
              <w:t>83</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27</w:t>
            </w:r>
          </w:p>
        </w:tc>
        <w:tc>
          <w:tcPr>
            <w:tcW w:w="1105" w:type="dxa"/>
            <w:tcBorders>
              <w:top w:val="nil"/>
              <w:bottom w:val="nil"/>
              <w:right w:val="nil"/>
            </w:tcBorders>
          </w:tcPr>
          <w:p>
            <w:pPr>
              <w:pStyle w:val="TableParagraph"/>
              <w:ind w:right="11"/>
              <w:rPr>
                <w:rFonts w:ascii="Calibri"/>
                <w:sz w:val="22"/>
              </w:rPr>
            </w:pPr>
            <w:r>
              <w:rPr>
                <w:rFonts w:ascii="Calibri"/>
                <w:w w:val="100"/>
                <w:sz w:val="22"/>
              </w:rPr>
              <w:t>2</w:t>
            </w:r>
          </w:p>
        </w:tc>
        <w:tc>
          <w:tcPr>
            <w:tcW w:w="1209" w:type="dxa"/>
            <w:tcBorders>
              <w:top w:val="nil"/>
              <w:left w:val="nil"/>
              <w:bottom w:val="nil"/>
              <w:right w:val="nil"/>
            </w:tcBorders>
          </w:tcPr>
          <w:p>
            <w:pPr>
              <w:pStyle w:val="TableParagraph"/>
              <w:ind w:left="20"/>
              <w:rPr>
                <w:rFonts w:ascii="Calibri"/>
                <w:sz w:val="22"/>
              </w:rPr>
            </w:pPr>
            <w:r>
              <w:rPr>
                <w:rFonts w:ascii="Calibri"/>
                <w:w w:val="100"/>
                <w:sz w:val="22"/>
              </w:rPr>
              <w:t>3</w:t>
            </w:r>
          </w:p>
        </w:tc>
        <w:tc>
          <w:tcPr>
            <w:tcW w:w="1124" w:type="dxa"/>
            <w:tcBorders>
              <w:top w:val="nil"/>
              <w:left w:val="nil"/>
              <w:bottom w:val="nil"/>
              <w:right w:val="nil"/>
            </w:tcBorders>
          </w:tcPr>
          <w:p>
            <w:pPr>
              <w:pStyle w:val="TableParagraph"/>
              <w:ind w:left="482"/>
              <w:jc w:val="left"/>
              <w:rPr>
                <w:rFonts w:ascii="Calibri"/>
                <w:sz w:val="22"/>
              </w:rPr>
            </w:pPr>
            <w:r>
              <w:rPr>
                <w:rFonts w:ascii="Calibri"/>
                <w:sz w:val="22"/>
              </w:rPr>
              <w:t>21</w:t>
            </w:r>
          </w:p>
        </w:tc>
        <w:tc>
          <w:tcPr>
            <w:tcW w:w="1061" w:type="dxa"/>
            <w:tcBorders>
              <w:top w:val="nil"/>
              <w:left w:val="nil"/>
              <w:bottom w:val="nil"/>
              <w:right w:val="nil"/>
            </w:tcBorders>
          </w:tcPr>
          <w:p>
            <w:pPr>
              <w:pStyle w:val="TableParagraph"/>
              <w:ind w:left="398" w:right="399"/>
              <w:rPr>
                <w:rFonts w:ascii="Calibri"/>
                <w:sz w:val="22"/>
              </w:rPr>
            </w:pPr>
            <w:r>
              <w:rPr>
                <w:rFonts w:ascii="Calibri"/>
                <w:sz w:val="22"/>
              </w:rPr>
              <w:t>10</w:t>
            </w:r>
          </w:p>
        </w:tc>
        <w:tc>
          <w:tcPr>
            <w:tcW w:w="1093" w:type="dxa"/>
            <w:tcBorders>
              <w:top w:val="nil"/>
              <w:left w:val="nil"/>
              <w:bottom w:val="nil"/>
              <w:right w:val="nil"/>
            </w:tcBorders>
          </w:tcPr>
          <w:p>
            <w:pPr>
              <w:pStyle w:val="TableParagraph"/>
              <w:ind w:left="474"/>
              <w:jc w:val="left"/>
              <w:rPr>
                <w:rFonts w:ascii="Calibri"/>
                <w:sz w:val="22"/>
              </w:rPr>
            </w:pPr>
            <w:r>
              <w:rPr>
                <w:rFonts w:ascii="Calibri"/>
                <w:w w:val="100"/>
                <w:sz w:val="22"/>
              </w:rPr>
              <w:t>9</w:t>
            </w:r>
          </w:p>
        </w:tc>
        <w:tc>
          <w:tcPr>
            <w:tcW w:w="1008" w:type="dxa"/>
            <w:tcBorders>
              <w:top w:val="nil"/>
              <w:left w:val="nil"/>
              <w:bottom w:val="nil"/>
              <w:right w:val="nil"/>
            </w:tcBorders>
          </w:tcPr>
          <w:p>
            <w:pPr>
              <w:pStyle w:val="TableParagraph"/>
              <w:ind w:left="2"/>
              <w:rPr>
                <w:rFonts w:ascii="Calibri"/>
                <w:sz w:val="22"/>
              </w:rPr>
            </w:pPr>
            <w:r>
              <w:rPr>
                <w:rFonts w:ascii="Calibri"/>
                <w:w w:val="100"/>
                <w:sz w:val="22"/>
              </w:rPr>
              <w:t>8</w:t>
            </w:r>
          </w:p>
        </w:tc>
        <w:tc>
          <w:tcPr>
            <w:tcW w:w="1065" w:type="dxa"/>
            <w:tcBorders>
              <w:top w:val="nil"/>
              <w:left w:val="nil"/>
              <w:bottom w:val="nil"/>
              <w:right w:val="nil"/>
            </w:tcBorders>
          </w:tcPr>
          <w:p>
            <w:pPr>
              <w:pStyle w:val="TableParagraph"/>
              <w:ind w:left="428" w:right="373"/>
              <w:rPr>
                <w:rFonts w:ascii="Calibri"/>
                <w:sz w:val="22"/>
              </w:rPr>
            </w:pPr>
            <w:r>
              <w:rPr>
                <w:rFonts w:ascii="Calibri"/>
                <w:sz w:val="22"/>
              </w:rPr>
              <w:t>29</w:t>
            </w:r>
          </w:p>
        </w:tc>
        <w:tc>
          <w:tcPr>
            <w:tcW w:w="1055" w:type="dxa"/>
            <w:tcBorders>
              <w:top w:val="nil"/>
              <w:left w:val="nil"/>
              <w:bottom w:val="nil"/>
              <w:right w:val="single" w:sz="4" w:space="0" w:color="000000"/>
            </w:tcBorders>
          </w:tcPr>
          <w:p>
            <w:pPr>
              <w:pStyle w:val="TableParagraph"/>
              <w:ind w:left="372" w:right="301"/>
              <w:rPr>
                <w:rFonts w:ascii="Calibri"/>
                <w:sz w:val="22"/>
              </w:rPr>
            </w:pPr>
            <w:r>
              <w:rPr>
                <w:rFonts w:ascii="Calibri"/>
                <w:sz w:val="22"/>
              </w:rPr>
              <w:t>80</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28</w:t>
            </w:r>
          </w:p>
        </w:tc>
        <w:tc>
          <w:tcPr>
            <w:tcW w:w="1105" w:type="dxa"/>
            <w:tcBorders>
              <w:top w:val="nil"/>
              <w:bottom w:val="nil"/>
              <w:right w:val="nil"/>
            </w:tcBorders>
          </w:tcPr>
          <w:p>
            <w:pPr>
              <w:pStyle w:val="TableParagraph"/>
              <w:ind w:right="11"/>
              <w:rPr>
                <w:rFonts w:ascii="Calibri"/>
                <w:sz w:val="22"/>
              </w:rPr>
            </w:pPr>
            <w:r>
              <w:rPr>
                <w:rFonts w:ascii="Calibri"/>
                <w:w w:val="100"/>
                <w:sz w:val="22"/>
              </w:rPr>
              <w:t>1</w:t>
            </w:r>
          </w:p>
        </w:tc>
        <w:tc>
          <w:tcPr>
            <w:tcW w:w="1209" w:type="dxa"/>
            <w:tcBorders>
              <w:top w:val="nil"/>
              <w:left w:val="nil"/>
              <w:bottom w:val="nil"/>
              <w:right w:val="nil"/>
            </w:tcBorders>
          </w:tcPr>
          <w:p>
            <w:pPr>
              <w:pStyle w:val="TableParagraph"/>
              <w:ind w:left="20"/>
              <w:rPr>
                <w:rFonts w:ascii="Calibri"/>
                <w:sz w:val="22"/>
              </w:rPr>
            </w:pPr>
            <w:r>
              <w:rPr>
                <w:rFonts w:ascii="Calibri"/>
                <w:w w:val="100"/>
                <w:sz w:val="22"/>
              </w:rPr>
              <w:t>6</w:t>
            </w:r>
          </w:p>
        </w:tc>
        <w:tc>
          <w:tcPr>
            <w:tcW w:w="1124" w:type="dxa"/>
            <w:tcBorders>
              <w:top w:val="nil"/>
              <w:left w:val="nil"/>
              <w:bottom w:val="nil"/>
              <w:right w:val="nil"/>
            </w:tcBorders>
          </w:tcPr>
          <w:p>
            <w:pPr>
              <w:pStyle w:val="TableParagraph"/>
              <w:ind w:left="482"/>
              <w:jc w:val="left"/>
              <w:rPr>
                <w:rFonts w:ascii="Calibri"/>
                <w:sz w:val="22"/>
              </w:rPr>
            </w:pPr>
            <w:r>
              <w:rPr>
                <w:rFonts w:ascii="Calibri"/>
                <w:sz w:val="22"/>
              </w:rPr>
              <w:t>11</w:t>
            </w:r>
          </w:p>
        </w:tc>
        <w:tc>
          <w:tcPr>
            <w:tcW w:w="1061" w:type="dxa"/>
            <w:tcBorders>
              <w:top w:val="nil"/>
              <w:left w:val="nil"/>
              <w:bottom w:val="nil"/>
              <w:right w:val="nil"/>
            </w:tcBorders>
          </w:tcPr>
          <w:p>
            <w:pPr>
              <w:pStyle w:val="TableParagraph"/>
              <w:ind w:left="398" w:right="399"/>
              <w:rPr>
                <w:rFonts w:ascii="Calibri"/>
                <w:sz w:val="22"/>
              </w:rPr>
            </w:pPr>
            <w:r>
              <w:rPr>
                <w:rFonts w:ascii="Calibri"/>
                <w:sz w:val="22"/>
              </w:rPr>
              <w:t>10</w:t>
            </w:r>
          </w:p>
        </w:tc>
        <w:tc>
          <w:tcPr>
            <w:tcW w:w="1093" w:type="dxa"/>
            <w:tcBorders>
              <w:top w:val="nil"/>
              <w:left w:val="nil"/>
              <w:bottom w:val="nil"/>
              <w:right w:val="nil"/>
            </w:tcBorders>
          </w:tcPr>
          <w:p>
            <w:pPr>
              <w:pStyle w:val="TableParagraph"/>
              <w:ind w:left="474"/>
              <w:jc w:val="left"/>
              <w:rPr>
                <w:rFonts w:ascii="Calibri"/>
                <w:sz w:val="22"/>
              </w:rPr>
            </w:pPr>
            <w:r>
              <w:rPr>
                <w:rFonts w:ascii="Calibri"/>
                <w:w w:val="100"/>
                <w:sz w:val="22"/>
              </w:rPr>
              <w:t>5</w:t>
            </w:r>
          </w:p>
        </w:tc>
        <w:tc>
          <w:tcPr>
            <w:tcW w:w="1008" w:type="dxa"/>
            <w:tcBorders>
              <w:top w:val="nil"/>
              <w:left w:val="nil"/>
              <w:bottom w:val="nil"/>
              <w:right w:val="nil"/>
            </w:tcBorders>
          </w:tcPr>
          <w:p>
            <w:pPr>
              <w:pStyle w:val="TableParagraph"/>
              <w:ind w:left="2"/>
              <w:rPr>
                <w:rFonts w:ascii="Calibri"/>
                <w:sz w:val="22"/>
              </w:rPr>
            </w:pPr>
            <w:r>
              <w:rPr>
                <w:rFonts w:ascii="Calibri"/>
                <w:w w:val="100"/>
                <w:sz w:val="22"/>
              </w:rPr>
              <w:t>7</w:t>
            </w:r>
          </w:p>
        </w:tc>
        <w:tc>
          <w:tcPr>
            <w:tcW w:w="1065" w:type="dxa"/>
            <w:tcBorders>
              <w:top w:val="nil"/>
              <w:left w:val="nil"/>
              <w:bottom w:val="nil"/>
              <w:right w:val="nil"/>
            </w:tcBorders>
          </w:tcPr>
          <w:p>
            <w:pPr>
              <w:pStyle w:val="TableParagraph"/>
              <w:ind w:left="428" w:right="373"/>
              <w:rPr>
                <w:rFonts w:ascii="Calibri"/>
                <w:sz w:val="22"/>
              </w:rPr>
            </w:pPr>
            <w:r>
              <w:rPr>
                <w:rFonts w:ascii="Calibri"/>
                <w:sz w:val="22"/>
              </w:rPr>
              <w:t>25</w:t>
            </w:r>
          </w:p>
        </w:tc>
        <w:tc>
          <w:tcPr>
            <w:tcW w:w="1055" w:type="dxa"/>
            <w:tcBorders>
              <w:top w:val="nil"/>
              <w:left w:val="nil"/>
              <w:bottom w:val="nil"/>
              <w:right w:val="single" w:sz="4" w:space="0" w:color="000000"/>
            </w:tcBorders>
          </w:tcPr>
          <w:p>
            <w:pPr>
              <w:pStyle w:val="TableParagraph"/>
              <w:ind w:left="372" w:right="301"/>
              <w:rPr>
                <w:rFonts w:ascii="Calibri"/>
                <w:sz w:val="22"/>
              </w:rPr>
            </w:pPr>
            <w:r>
              <w:rPr>
                <w:rFonts w:ascii="Calibri"/>
                <w:sz w:val="22"/>
              </w:rPr>
              <w:t>64</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29</w:t>
            </w:r>
          </w:p>
        </w:tc>
        <w:tc>
          <w:tcPr>
            <w:tcW w:w="1105" w:type="dxa"/>
            <w:tcBorders>
              <w:top w:val="nil"/>
              <w:bottom w:val="nil"/>
              <w:right w:val="nil"/>
            </w:tcBorders>
          </w:tcPr>
          <w:p>
            <w:pPr>
              <w:pStyle w:val="TableParagraph"/>
              <w:ind w:right="11"/>
              <w:rPr>
                <w:rFonts w:ascii="Calibri"/>
                <w:sz w:val="22"/>
              </w:rPr>
            </w:pPr>
            <w:r>
              <w:rPr>
                <w:rFonts w:ascii="Calibri"/>
                <w:w w:val="100"/>
                <w:sz w:val="22"/>
              </w:rPr>
              <w:t>0</w:t>
            </w:r>
          </w:p>
        </w:tc>
        <w:tc>
          <w:tcPr>
            <w:tcW w:w="1209" w:type="dxa"/>
            <w:tcBorders>
              <w:top w:val="nil"/>
              <w:left w:val="nil"/>
              <w:bottom w:val="nil"/>
              <w:right w:val="nil"/>
            </w:tcBorders>
          </w:tcPr>
          <w:p>
            <w:pPr>
              <w:pStyle w:val="TableParagraph"/>
              <w:ind w:left="20"/>
              <w:rPr>
                <w:rFonts w:ascii="Calibri"/>
                <w:sz w:val="22"/>
              </w:rPr>
            </w:pPr>
            <w:r>
              <w:rPr>
                <w:rFonts w:ascii="Calibri"/>
                <w:w w:val="100"/>
                <w:sz w:val="22"/>
              </w:rPr>
              <w:t>3</w:t>
            </w:r>
          </w:p>
        </w:tc>
        <w:tc>
          <w:tcPr>
            <w:tcW w:w="1124" w:type="dxa"/>
            <w:tcBorders>
              <w:top w:val="nil"/>
              <w:left w:val="nil"/>
              <w:bottom w:val="nil"/>
              <w:right w:val="nil"/>
            </w:tcBorders>
          </w:tcPr>
          <w:p>
            <w:pPr>
              <w:pStyle w:val="TableParagraph"/>
              <w:ind w:left="482"/>
              <w:jc w:val="left"/>
              <w:rPr>
                <w:rFonts w:ascii="Calibri"/>
                <w:sz w:val="22"/>
              </w:rPr>
            </w:pPr>
            <w:r>
              <w:rPr>
                <w:rFonts w:ascii="Calibri"/>
                <w:sz w:val="22"/>
              </w:rPr>
              <w:t>12</w:t>
            </w:r>
          </w:p>
        </w:tc>
        <w:tc>
          <w:tcPr>
            <w:tcW w:w="1061" w:type="dxa"/>
            <w:tcBorders>
              <w:top w:val="nil"/>
              <w:left w:val="nil"/>
              <w:bottom w:val="nil"/>
              <w:right w:val="nil"/>
            </w:tcBorders>
          </w:tcPr>
          <w:p>
            <w:pPr>
              <w:pStyle w:val="TableParagraph"/>
              <w:rPr>
                <w:rFonts w:ascii="Calibri"/>
                <w:sz w:val="22"/>
              </w:rPr>
            </w:pPr>
            <w:r>
              <w:rPr>
                <w:rFonts w:ascii="Calibri"/>
                <w:w w:val="100"/>
                <w:sz w:val="22"/>
              </w:rPr>
              <w:t>8</w:t>
            </w:r>
          </w:p>
        </w:tc>
        <w:tc>
          <w:tcPr>
            <w:tcW w:w="1093" w:type="dxa"/>
            <w:tcBorders>
              <w:top w:val="nil"/>
              <w:left w:val="nil"/>
              <w:bottom w:val="nil"/>
              <w:right w:val="nil"/>
            </w:tcBorders>
          </w:tcPr>
          <w:p>
            <w:pPr>
              <w:pStyle w:val="TableParagraph"/>
              <w:ind w:left="474"/>
              <w:jc w:val="left"/>
              <w:rPr>
                <w:rFonts w:ascii="Calibri"/>
                <w:sz w:val="22"/>
              </w:rPr>
            </w:pPr>
            <w:r>
              <w:rPr>
                <w:rFonts w:ascii="Calibri"/>
                <w:w w:val="100"/>
                <w:sz w:val="22"/>
              </w:rPr>
              <w:t>1</w:t>
            </w:r>
          </w:p>
        </w:tc>
        <w:tc>
          <w:tcPr>
            <w:tcW w:w="1008" w:type="dxa"/>
            <w:tcBorders>
              <w:top w:val="nil"/>
              <w:left w:val="nil"/>
              <w:bottom w:val="nil"/>
              <w:right w:val="nil"/>
            </w:tcBorders>
          </w:tcPr>
          <w:p>
            <w:pPr>
              <w:pStyle w:val="TableParagraph"/>
              <w:ind w:left="2"/>
              <w:rPr>
                <w:rFonts w:ascii="Calibri"/>
                <w:sz w:val="22"/>
              </w:rPr>
            </w:pPr>
            <w:r>
              <w:rPr>
                <w:rFonts w:ascii="Calibri"/>
                <w:w w:val="100"/>
                <w:sz w:val="22"/>
              </w:rPr>
              <w:t>0</w:t>
            </w:r>
          </w:p>
        </w:tc>
        <w:tc>
          <w:tcPr>
            <w:tcW w:w="1065" w:type="dxa"/>
            <w:tcBorders>
              <w:top w:val="nil"/>
              <w:left w:val="nil"/>
              <w:bottom w:val="nil"/>
              <w:right w:val="nil"/>
            </w:tcBorders>
          </w:tcPr>
          <w:p>
            <w:pPr>
              <w:pStyle w:val="TableParagraph"/>
              <w:ind w:left="428" w:right="373"/>
              <w:rPr>
                <w:rFonts w:ascii="Calibri"/>
                <w:sz w:val="22"/>
              </w:rPr>
            </w:pPr>
            <w:r>
              <w:rPr>
                <w:rFonts w:ascii="Calibri"/>
                <w:sz w:val="22"/>
              </w:rPr>
              <w:t>19</w:t>
            </w:r>
          </w:p>
        </w:tc>
        <w:tc>
          <w:tcPr>
            <w:tcW w:w="1055" w:type="dxa"/>
            <w:tcBorders>
              <w:top w:val="nil"/>
              <w:left w:val="nil"/>
              <w:bottom w:val="nil"/>
              <w:right w:val="single" w:sz="4" w:space="0" w:color="000000"/>
            </w:tcBorders>
          </w:tcPr>
          <w:p>
            <w:pPr>
              <w:pStyle w:val="TableParagraph"/>
              <w:ind w:left="372" w:right="301"/>
              <w:rPr>
                <w:rFonts w:ascii="Calibri"/>
                <w:sz w:val="22"/>
              </w:rPr>
            </w:pPr>
            <w:r>
              <w:rPr>
                <w:rFonts w:ascii="Calibri"/>
                <w:sz w:val="22"/>
              </w:rPr>
              <w:t>43</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30</w:t>
            </w:r>
          </w:p>
        </w:tc>
        <w:tc>
          <w:tcPr>
            <w:tcW w:w="1105" w:type="dxa"/>
            <w:tcBorders>
              <w:top w:val="nil"/>
              <w:bottom w:val="nil"/>
              <w:right w:val="nil"/>
            </w:tcBorders>
          </w:tcPr>
          <w:p>
            <w:pPr>
              <w:pStyle w:val="TableParagraph"/>
              <w:ind w:right="11"/>
              <w:rPr>
                <w:rFonts w:ascii="Calibri"/>
                <w:sz w:val="22"/>
              </w:rPr>
            </w:pPr>
            <w:r>
              <w:rPr>
                <w:rFonts w:ascii="Calibri"/>
                <w:w w:val="100"/>
                <w:sz w:val="22"/>
              </w:rPr>
              <w:t>0</w:t>
            </w:r>
          </w:p>
        </w:tc>
        <w:tc>
          <w:tcPr>
            <w:tcW w:w="1209" w:type="dxa"/>
            <w:tcBorders>
              <w:top w:val="nil"/>
              <w:left w:val="nil"/>
              <w:bottom w:val="nil"/>
              <w:right w:val="nil"/>
            </w:tcBorders>
          </w:tcPr>
          <w:p>
            <w:pPr>
              <w:pStyle w:val="TableParagraph"/>
              <w:ind w:left="20"/>
              <w:rPr>
                <w:rFonts w:ascii="Calibri"/>
                <w:sz w:val="22"/>
              </w:rPr>
            </w:pPr>
            <w:r>
              <w:rPr>
                <w:rFonts w:ascii="Calibri"/>
                <w:w w:val="100"/>
                <w:sz w:val="22"/>
              </w:rPr>
              <w:t>7</w:t>
            </w:r>
          </w:p>
        </w:tc>
        <w:tc>
          <w:tcPr>
            <w:tcW w:w="1124" w:type="dxa"/>
            <w:tcBorders>
              <w:top w:val="nil"/>
              <w:left w:val="nil"/>
              <w:bottom w:val="nil"/>
              <w:right w:val="nil"/>
            </w:tcBorders>
          </w:tcPr>
          <w:p>
            <w:pPr>
              <w:pStyle w:val="TableParagraph"/>
              <w:ind w:left="482"/>
              <w:jc w:val="left"/>
              <w:rPr>
                <w:rFonts w:ascii="Calibri"/>
                <w:sz w:val="22"/>
              </w:rPr>
            </w:pPr>
            <w:r>
              <w:rPr>
                <w:rFonts w:ascii="Calibri"/>
                <w:sz w:val="22"/>
              </w:rPr>
              <w:t>25</w:t>
            </w:r>
          </w:p>
        </w:tc>
        <w:tc>
          <w:tcPr>
            <w:tcW w:w="1061" w:type="dxa"/>
            <w:tcBorders>
              <w:top w:val="nil"/>
              <w:left w:val="nil"/>
              <w:bottom w:val="nil"/>
              <w:right w:val="nil"/>
            </w:tcBorders>
          </w:tcPr>
          <w:p>
            <w:pPr>
              <w:pStyle w:val="TableParagraph"/>
              <w:ind w:left="398" w:right="399"/>
              <w:rPr>
                <w:rFonts w:ascii="Calibri"/>
                <w:sz w:val="22"/>
              </w:rPr>
            </w:pPr>
            <w:r>
              <w:rPr>
                <w:rFonts w:ascii="Calibri"/>
                <w:sz w:val="22"/>
              </w:rPr>
              <w:t>20</w:t>
            </w:r>
          </w:p>
        </w:tc>
        <w:tc>
          <w:tcPr>
            <w:tcW w:w="1093" w:type="dxa"/>
            <w:tcBorders>
              <w:top w:val="nil"/>
              <w:left w:val="nil"/>
              <w:bottom w:val="nil"/>
              <w:right w:val="nil"/>
            </w:tcBorders>
          </w:tcPr>
          <w:p>
            <w:pPr>
              <w:pStyle w:val="TableParagraph"/>
              <w:ind w:left="419"/>
              <w:jc w:val="left"/>
              <w:rPr>
                <w:rFonts w:ascii="Calibri"/>
                <w:sz w:val="22"/>
              </w:rPr>
            </w:pPr>
            <w:r>
              <w:rPr>
                <w:rFonts w:ascii="Calibri"/>
                <w:sz w:val="22"/>
              </w:rPr>
              <w:t>10</w:t>
            </w:r>
          </w:p>
        </w:tc>
        <w:tc>
          <w:tcPr>
            <w:tcW w:w="1008" w:type="dxa"/>
            <w:tcBorders>
              <w:top w:val="nil"/>
              <w:left w:val="nil"/>
              <w:bottom w:val="nil"/>
              <w:right w:val="nil"/>
            </w:tcBorders>
          </w:tcPr>
          <w:p>
            <w:pPr>
              <w:pStyle w:val="TableParagraph"/>
              <w:ind w:left="2"/>
              <w:rPr>
                <w:rFonts w:ascii="Calibri"/>
                <w:sz w:val="22"/>
              </w:rPr>
            </w:pPr>
            <w:r>
              <w:rPr>
                <w:rFonts w:ascii="Calibri"/>
                <w:w w:val="100"/>
                <w:sz w:val="22"/>
              </w:rPr>
              <w:t>1</w:t>
            </w:r>
          </w:p>
        </w:tc>
        <w:tc>
          <w:tcPr>
            <w:tcW w:w="1065" w:type="dxa"/>
            <w:tcBorders>
              <w:top w:val="nil"/>
              <w:left w:val="nil"/>
              <w:bottom w:val="nil"/>
              <w:right w:val="nil"/>
            </w:tcBorders>
          </w:tcPr>
          <w:p>
            <w:pPr>
              <w:pStyle w:val="TableParagraph"/>
              <w:ind w:left="428" w:right="373"/>
              <w:rPr>
                <w:rFonts w:ascii="Calibri"/>
                <w:sz w:val="22"/>
              </w:rPr>
            </w:pPr>
            <w:r>
              <w:rPr>
                <w:rFonts w:ascii="Calibri"/>
                <w:sz w:val="22"/>
              </w:rPr>
              <w:t>10</w:t>
            </w:r>
          </w:p>
        </w:tc>
        <w:tc>
          <w:tcPr>
            <w:tcW w:w="1055" w:type="dxa"/>
            <w:tcBorders>
              <w:top w:val="nil"/>
              <w:left w:val="nil"/>
              <w:bottom w:val="nil"/>
              <w:right w:val="single" w:sz="4" w:space="0" w:color="000000"/>
            </w:tcBorders>
          </w:tcPr>
          <w:p>
            <w:pPr>
              <w:pStyle w:val="TableParagraph"/>
              <w:ind w:left="372" w:right="301"/>
              <w:rPr>
                <w:rFonts w:ascii="Calibri"/>
                <w:sz w:val="22"/>
              </w:rPr>
            </w:pPr>
            <w:r>
              <w:rPr>
                <w:rFonts w:ascii="Calibri"/>
                <w:sz w:val="22"/>
              </w:rPr>
              <w:t>73</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31</w:t>
            </w:r>
          </w:p>
        </w:tc>
        <w:tc>
          <w:tcPr>
            <w:tcW w:w="1105" w:type="dxa"/>
            <w:tcBorders>
              <w:top w:val="nil"/>
              <w:bottom w:val="nil"/>
              <w:right w:val="nil"/>
            </w:tcBorders>
          </w:tcPr>
          <w:p>
            <w:pPr>
              <w:pStyle w:val="TableParagraph"/>
              <w:ind w:right="11"/>
              <w:rPr>
                <w:rFonts w:ascii="Calibri"/>
                <w:sz w:val="22"/>
              </w:rPr>
            </w:pPr>
            <w:r>
              <w:rPr>
                <w:rFonts w:ascii="Calibri"/>
                <w:w w:val="100"/>
                <w:sz w:val="22"/>
              </w:rPr>
              <w:t>0</w:t>
            </w:r>
          </w:p>
        </w:tc>
        <w:tc>
          <w:tcPr>
            <w:tcW w:w="1209" w:type="dxa"/>
            <w:tcBorders>
              <w:top w:val="nil"/>
              <w:left w:val="nil"/>
              <w:bottom w:val="nil"/>
              <w:right w:val="nil"/>
            </w:tcBorders>
          </w:tcPr>
          <w:p>
            <w:pPr>
              <w:pStyle w:val="TableParagraph"/>
              <w:ind w:left="20"/>
              <w:rPr>
                <w:rFonts w:ascii="Calibri"/>
                <w:sz w:val="22"/>
              </w:rPr>
            </w:pPr>
            <w:r>
              <w:rPr>
                <w:rFonts w:ascii="Calibri"/>
                <w:w w:val="100"/>
                <w:sz w:val="22"/>
              </w:rPr>
              <w:t>2</w:t>
            </w:r>
          </w:p>
        </w:tc>
        <w:tc>
          <w:tcPr>
            <w:tcW w:w="1124" w:type="dxa"/>
            <w:tcBorders>
              <w:top w:val="nil"/>
              <w:left w:val="nil"/>
              <w:bottom w:val="nil"/>
              <w:right w:val="nil"/>
            </w:tcBorders>
          </w:tcPr>
          <w:p>
            <w:pPr>
              <w:pStyle w:val="TableParagraph"/>
              <w:ind w:left="540"/>
              <w:jc w:val="left"/>
              <w:rPr>
                <w:rFonts w:ascii="Calibri"/>
                <w:sz w:val="22"/>
              </w:rPr>
            </w:pPr>
            <w:r>
              <w:rPr>
                <w:rFonts w:ascii="Calibri"/>
                <w:w w:val="100"/>
                <w:sz w:val="22"/>
              </w:rPr>
              <w:t>0</w:t>
            </w:r>
          </w:p>
        </w:tc>
        <w:tc>
          <w:tcPr>
            <w:tcW w:w="1061" w:type="dxa"/>
            <w:tcBorders>
              <w:top w:val="nil"/>
              <w:left w:val="nil"/>
              <w:bottom w:val="nil"/>
              <w:right w:val="nil"/>
            </w:tcBorders>
          </w:tcPr>
          <w:p>
            <w:pPr>
              <w:pStyle w:val="TableParagraph"/>
              <w:rPr>
                <w:rFonts w:ascii="Calibri"/>
                <w:sz w:val="22"/>
              </w:rPr>
            </w:pPr>
            <w:r>
              <w:rPr>
                <w:rFonts w:ascii="Calibri"/>
                <w:w w:val="100"/>
                <w:sz w:val="22"/>
              </w:rPr>
              <w:t>4</w:t>
            </w:r>
          </w:p>
        </w:tc>
        <w:tc>
          <w:tcPr>
            <w:tcW w:w="1093" w:type="dxa"/>
            <w:tcBorders>
              <w:top w:val="nil"/>
              <w:left w:val="nil"/>
              <w:bottom w:val="nil"/>
              <w:right w:val="nil"/>
            </w:tcBorders>
          </w:tcPr>
          <w:p>
            <w:pPr>
              <w:pStyle w:val="TableParagraph"/>
              <w:ind w:left="474"/>
              <w:jc w:val="left"/>
              <w:rPr>
                <w:rFonts w:ascii="Calibri"/>
                <w:sz w:val="22"/>
              </w:rPr>
            </w:pPr>
            <w:r>
              <w:rPr>
                <w:rFonts w:ascii="Calibri"/>
                <w:w w:val="100"/>
                <w:sz w:val="22"/>
              </w:rPr>
              <w:t>0</w:t>
            </w:r>
          </w:p>
        </w:tc>
        <w:tc>
          <w:tcPr>
            <w:tcW w:w="1008" w:type="dxa"/>
            <w:tcBorders>
              <w:top w:val="nil"/>
              <w:left w:val="nil"/>
              <w:bottom w:val="nil"/>
              <w:right w:val="nil"/>
            </w:tcBorders>
          </w:tcPr>
          <w:p>
            <w:pPr>
              <w:pStyle w:val="TableParagraph"/>
              <w:ind w:left="2"/>
              <w:rPr>
                <w:rFonts w:ascii="Calibri"/>
                <w:sz w:val="22"/>
              </w:rPr>
            </w:pPr>
            <w:r>
              <w:rPr>
                <w:rFonts w:ascii="Calibri"/>
                <w:w w:val="100"/>
                <w:sz w:val="22"/>
              </w:rPr>
              <w:t>2</w:t>
            </w:r>
          </w:p>
        </w:tc>
        <w:tc>
          <w:tcPr>
            <w:tcW w:w="1065" w:type="dxa"/>
            <w:tcBorders>
              <w:top w:val="nil"/>
              <w:left w:val="nil"/>
              <w:bottom w:val="nil"/>
              <w:right w:val="nil"/>
            </w:tcBorders>
          </w:tcPr>
          <w:p>
            <w:pPr>
              <w:pStyle w:val="TableParagraph"/>
              <w:ind w:left="56"/>
              <w:rPr>
                <w:rFonts w:ascii="Calibri"/>
                <w:sz w:val="22"/>
              </w:rPr>
            </w:pPr>
            <w:r>
              <w:rPr>
                <w:rFonts w:ascii="Calibri"/>
                <w:w w:val="100"/>
                <w:sz w:val="22"/>
              </w:rPr>
              <w:t>7</w:t>
            </w:r>
          </w:p>
        </w:tc>
        <w:tc>
          <w:tcPr>
            <w:tcW w:w="1055" w:type="dxa"/>
            <w:tcBorders>
              <w:top w:val="nil"/>
              <w:left w:val="nil"/>
              <w:bottom w:val="nil"/>
              <w:right w:val="single" w:sz="4" w:space="0" w:color="000000"/>
            </w:tcBorders>
          </w:tcPr>
          <w:p>
            <w:pPr>
              <w:pStyle w:val="TableParagraph"/>
              <w:ind w:left="372" w:right="301"/>
              <w:rPr>
                <w:rFonts w:ascii="Calibri"/>
                <w:sz w:val="22"/>
              </w:rPr>
            </w:pPr>
            <w:r>
              <w:rPr>
                <w:rFonts w:ascii="Calibri"/>
                <w:sz w:val="22"/>
              </w:rPr>
              <w:t>15</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32</w:t>
            </w:r>
          </w:p>
        </w:tc>
        <w:tc>
          <w:tcPr>
            <w:tcW w:w="1105" w:type="dxa"/>
            <w:tcBorders>
              <w:top w:val="nil"/>
              <w:bottom w:val="nil"/>
              <w:right w:val="nil"/>
            </w:tcBorders>
          </w:tcPr>
          <w:p>
            <w:pPr>
              <w:pStyle w:val="TableParagraph"/>
              <w:ind w:right="11"/>
              <w:rPr>
                <w:rFonts w:ascii="Calibri"/>
                <w:sz w:val="22"/>
              </w:rPr>
            </w:pPr>
            <w:r>
              <w:rPr>
                <w:rFonts w:ascii="Calibri"/>
                <w:w w:val="100"/>
                <w:sz w:val="22"/>
              </w:rPr>
              <w:t>0</w:t>
            </w:r>
          </w:p>
        </w:tc>
        <w:tc>
          <w:tcPr>
            <w:tcW w:w="1209" w:type="dxa"/>
            <w:tcBorders>
              <w:top w:val="nil"/>
              <w:left w:val="nil"/>
              <w:bottom w:val="nil"/>
              <w:right w:val="nil"/>
            </w:tcBorders>
          </w:tcPr>
          <w:p>
            <w:pPr>
              <w:pStyle w:val="TableParagraph"/>
              <w:ind w:left="20"/>
              <w:rPr>
                <w:rFonts w:ascii="Calibri"/>
                <w:sz w:val="22"/>
              </w:rPr>
            </w:pPr>
            <w:r>
              <w:rPr>
                <w:rFonts w:ascii="Calibri"/>
                <w:w w:val="100"/>
                <w:sz w:val="22"/>
              </w:rPr>
              <w:t>1</w:t>
            </w:r>
          </w:p>
        </w:tc>
        <w:tc>
          <w:tcPr>
            <w:tcW w:w="1124" w:type="dxa"/>
            <w:tcBorders>
              <w:top w:val="nil"/>
              <w:left w:val="nil"/>
              <w:bottom w:val="nil"/>
              <w:right w:val="nil"/>
            </w:tcBorders>
          </w:tcPr>
          <w:p>
            <w:pPr>
              <w:pStyle w:val="TableParagraph"/>
              <w:ind w:left="540"/>
              <w:jc w:val="left"/>
              <w:rPr>
                <w:rFonts w:ascii="Calibri"/>
                <w:sz w:val="22"/>
              </w:rPr>
            </w:pPr>
            <w:r>
              <w:rPr>
                <w:rFonts w:ascii="Calibri"/>
                <w:w w:val="100"/>
                <w:sz w:val="22"/>
              </w:rPr>
              <w:t>2</w:t>
            </w:r>
          </w:p>
        </w:tc>
        <w:tc>
          <w:tcPr>
            <w:tcW w:w="1061" w:type="dxa"/>
            <w:tcBorders>
              <w:top w:val="nil"/>
              <w:left w:val="nil"/>
              <w:bottom w:val="nil"/>
              <w:right w:val="nil"/>
            </w:tcBorders>
          </w:tcPr>
          <w:p>
            <w:pPr>
              <w:pStyle w:val="TableParagraph"/>
              <w:ind w:left="398" w:right="399"/>
              <w:rPr>
                <w:rFonts w:ascii="Calibri"/>
                <w:sz w:val="22"/>
              </w:rPr>
            </w:pPr>
            <w:r>
              <w:rPr>
                <w:rFonts w:ascii="Calibri"/>
                <w:sz w:val="22"/>
              </w:rPr>
              <w:t>10</w:t>
            </w:r>
          </w:p>
        </w:tc>
        <w:tc>
          <w:tcPr>
            <w:tcW w:w="1093" w:type="dxa"/>
            <w:tcBorders>
              <w:top w:val="nil"/>
              <w:left w:val="nil"/>
              <w:bottom w:val="nil"/>
              <w:right w:val="nil"/>
            </w:tcBorders>
          </w:tcPr>
          <w:p>
            <w:pPr>
              <w:pStyle w:val="TableParagraph"/>
              <w:ind w:left="474"/>
              <w:jc w:val="left"/>
              <w:rPr>
                <w:rFonts w:ascii="Calibri"/>
                <w:sz w:val="22"/>
              </w:rPr>
            </w:pPr>
            <w:r>
              <w:rPr>
                <w:rFonts w:ascii="Calibri"/>
                <w:w w:val="100"/>
                <w:sz w:val="22"/>
              </w:rPr>
              <w:t>0</w:t>
            </w:r>
          </w:p>
        </w:tc>
        <w:tc>
          <w:tcPr>
            <w:tcW w:w="1008" w:type="dxa"/>
            <w:tcBorders>
              <w:top w:val="nil"/>
              <w:left w:val="nil"/>
              <w:bottom w:val="nil"/>
              <w:right w:val="nil"/>
            </w:tcBorders>
          </w:tcPr>
          <w:p>
            <w:pPr>
              <w:pStyle w:val="TableParagraph"/>
              <w:ind w:left="2"/>
              <w:rPr>
                <w:rFonts w:ascii="Calibri"/>
                <w:sz w:val="22"/>
              </w:rPr>
            </w:pPr>
            <w:r>
              <w:rPr>
                <w:rFonts w:ascii="Calibri"/>
                <w:w w:val="100"/>
                <w:sz w:val="22"/>
              </w:rPr>
              <w:t>0</w:t>
            </w:r>
          </w:p>
        </w:tc>
        <w:tc>
          <w:tcPr>
            <w:tcW w:w="1065" w:type="dxa"/>
            <w:tcBorders>
              <w:top w:val="nil"/>
              <w:left w:val="nil"/>
              <w:bottom w:val="nil"/>
              <w:right w:val="nil"/>
            </w:tcBorders>
          </w:tcPr>
          <w:p>
            <w:pPr>
              <w:pStyle w:val="TableParagraph"/>
              <w:ind w:left="428" w:right="373"/>
              <w:rPr>
                <w:rFonts w:ascii="Calibri"/>
                <w:sz w:val="22"/>
              </w:rPr>
            </w:pPr>
            <w:r>
              <w:rPr>
                <w:rFonts w:ascii="Calibri"/>
                <w:sz w:val="22"/>
              </w:rPr>
              <w:t>17</w:t>
            </w:r>
          </w:p>
        </w:tc>
        <w:tc>
          <w:tcPr>
            <w:tcW w:w="1055" w:type="dxa"/>
            <w:tcBorders>
              <w:top w:val="nil"/>
              <w:left w:val="nil"/>
              <w:bottom w:val="nil"/>
              <w:right w:val="single" w:sz="4" w:space="0" w:color="000000"/>
            </w:tcBorders>
          </w:tcPr>
          <w:p>
            <w:pPr>
              <w:pStyle w:val="TableParagraph"/>
              <w:ind w:left="372" w:right="301"/>
              <w:rPr>
                <w:rFonts w:ascii="Calibri"/>
                <w:sz w:val="22"/>
              </w:rPr>
            </w:pPr>
            <w:r>
              <w:rPr>
                <w:rFonts w:ascii="Calibri"/>
                <w:sz w:val="22"/>
              </w:rPr>
              <w:t>30</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33</w:t>
            </w:r>
          </w:p>
        </w:tc>
        <w:tc>
          <w:tcPr>
            <w:tcW w:w="1105" w:type="dxa"/>
            <w:tcBorders>
              <w:top w:val="nil"/>
              <w:bottom w:val="nil"/>
              <w:right w:val="nil"/>
            </w:tcBorders>
          </w:tcPr>
          <w:p>
            <w:pPr>
              <w:pStyle w:val="TableParagraph"/>
              <w:ind w:right="11"/>
              <w:rPr>
                <w:rFonts w:ascii="Calibri"/>
                <w:sz w:val="22"/>
              </w:rPr>
            </w:pPr>
            <w:r>
              <w:rPr>
                <w:rFonts w:ascii="Calibri"/>
                <w:w w:val="100"/>
                <w:sz w:val="22"/>
              </w:rPr>
              <w:t>0</w:t>
            </w:r>
          </w:p>
        </w:tc>
        <w:tc>
          <w:tcPr>
            <w:tcW w:w="1209" w:type="dxa"/>
            <w:tcBorders>
              <w:top w:val="nil"/>
              <w:left w:val="nil"/>
              <w:bottom w:val="nil"/>
              <w:right w:val="nil"/>
            </w:tcBorders>
          </w:tcPr>
          <w:p>
            <w:pPr>
              <w:pStyle w:val="TableParagraph"/>
              <w:ind w:left="20"/>
              <w:rPr>
                <w:rFonts w:ascii="Calibri"/>
                <w:sz w:val="22"/>
              </w:rPr>
            </w:pPr>
            <w:r>
              <w:rPr>
                <w:rFonts w:ascii="Calibri"/>
                <w:w w:val="100"/>
                <w:sz w:val="22"/>
              </w:rPr>
              <w:t>8</w:t>
            </w:r>
          </w:p>
        </w:tc>
        <w:tc>
          <w:tcPr>
            <w:tcW w:w="1124" w:type="dxa"/>
            <w:tcBorders>
              <w:top w:val="nil"/>
              <w:left w:val="nil"/>
              <w:bottom w:val="nil"/>
              <w:right w:val="nil"/>
            </w:tcBorders>
          </w:tcPr>
          <w:p>
            <w:pPr>
              <w:pStyle w:val="TableParagraph"/>
              <w:ind w:left="482"/>
              <w:jc w:val="left"/>
              <w:rPr>
                <w:rFonts w:ascii="Calibri"/>
                <w:sz w:val="22"/>
              </w:rPr>
            </w:pPr>
            <w:r>
              <w:rPr>
                <w:rFonts w:ascii="Calibri"/>
                <w:sz w:val="22"/>
              </w:rPr>
              <w:t>15</w:t>
            </w:r>
          </w:p>
        </w:tc>
        <w:tc>
          <w:tcPr>
            <w:tcW w:w="1061" w:type="dxa"/>
            <w:tcBorders>
              <w:top w:val="nil"/>
              <w:left w:val="nil"/>
              <w:bottom w:val="nil"/>
              <w:right w:val="nil"/>
            </w:tcBorders>
          </w:tcPr>
          <w:p>
            <w:pPr>
              <w:pStyle w:val="TableParagraph"/>
              <w:rPr>
                <w:rFonts w:ascii="Calibri"/>
                <w:sz w:val="22"/>
              </w:rPr>
            </w:pPr>
            <w:r>
              <w:rPr>
                <w:rFonts w:ascii="Calibri"/>
                <w:w w:val="100"/>
                <w:sz w:val="22"/>
              </w:rPr>
              <w:t>9</w:t>
            </w:r>
          </w:p>
        </w:tc>
        <w:tc>
          <w:tcPr>
            <w:tcW w:w="1093" w:type="dxa"/>
            <w:tcBorders>
              <w:top w:val="nil"/>
              <w:left w:val="nil"/>
              <w:bottom w:val="nil"/>
              <w:right w:val="nil"/>
            </w:tcBorders>
          </w:tcPr>
          <w:p>
            <w:pPr>
              <w:pStyle w:val="TableParagraph"/>
              <w:ind w:left="474"/>
              <w:jc w:val="left"/>
              <w:rPr>
                <w:rFonts w:ascii="Calibri"/>
                <w:sz w:val="22"/>
              </w:rPr>
            </w:pPr>
            <w:r>
              <w:rPr>
                <w:rFonts w:ascii="Calibri"/>
                <w:w w:val="100"/>
                <w:sz w:val="22"/>
              </w:rPr>
              <w:t>8</w:t>
            </w:r>
          </w:p>
        </w:tc>
        <w:tc>
          <w:tcPr>
            <w:tcW w:w="1008" w:type="dxa"/>
            <w:tcBorders>
              <w:top w:val="nil"/>
              <w:left w:val="nil"/>
              <w:bottom w:val="nil"/>
              <w:right w:val="nil"/>
            </w:tcBorders>
          </w:tcPr>
          <w:p>
            <w:pPr>
              <w:pStyle w:val="TableParagraph"/>
              <w:ind w:left="2"/>
              <w:rPr>
                <w:rFonts w:ascii="Calibri"/>
                <w:sz w:val="22"/>
              </w:rPr>
            </w:pPr>
            <w:r>
              <w:rPr>
                <w:rFonts w:ascii="Calibri"/>
                <w:w w:val="100"/>
                <w:sz w:val="22"/>
              </w:rPr>
              <w:t>1</w:t>
            </w:r>
          </w:p>
        </w:tc>
        <w:tc>
          <w:tcPr>
            <w:tcW w:w="1065" w:type="dxa"/>
            <w:tcBorders>
              <w:top w:val="nil"/>
              <w:left w:val="nil"/>
              <w:bottom w:val="nil"/>
              <w:right w:val="nil"/>
            </w:tcBorders>
          </w:tcPr>
          <w:p>
            <w:pPr>
              <w:pStyle w:val="TableParagraph"/>
              <w:ind w:left="428" w:right="373"/>
              <w:rPr>
                <w:rFonts w:ascii="Calibri"/>
                <w:sz w:val="22"/>
              </w:rPr>
            </w:pPr>
            <w:r>
              <w:rPr>
                <w:rFonts w:ascii="Calibri"/>
                <w:sz w:val="22"/>
              </w:rPr>
              <w:t>17</w:t>
            </w:r>
          </w:p>
        </w:tc>
        <w:tc>
          <w:tcPr>
            <w:tcW w:w="1055" w:type="dxa"/>
            <w:tcBorders>
              <w:top w:val="nil"/>
              <w:left w:val="nil"/>
              <w:bottom w:val="nil"/>
              <w:right w:val="single" w:sz="4" w:space="0" w:color="000000"/>
            </w:tcBorders>
          </w:tcPr>
          <w:p>
            <w:pPr>
              <w:pStyle w:val="TableParagraph"/>
              <w:ind w:left="372" w:right="301"/>
              <w:rPr>
                <w:rFonts w:ascii="Calibri"/>
                <w:sz w:val="22"/>
              </w:rPr>
            </w:pPr>
            <w:r>
              <w:rPr>
                <w:rFonts w:ascii="Calibri"/>
                <w:sz w:val="22"/>
              </w:rPr>
              <w:t>58</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34</w:t>
            </w:r>
          </w:p>
        </w:tc>
        <w:tc>
          <w:tcPr>
            <w:tcW w:w="1105" w:type="dxa"/>
            <w:tcBorders>
              <w:top w:val="nil"/>
              <w:bottom w:val="nil"/>
              <w:right w:val="nil"/>
            </w:tcBorders>
          </w:tcPr>
          <w:p>
            <w:pPr>
              <w:pStyle w:val="TableParagraph"/>
              <w:ind w:right="11"/>
              <w:rPr>
                <w:rFonts w:ascii="Calibri"/>
                <w:sz w:val="22"/>
              </w:rPr>
            </w:pPr>
            <w:r>
              <w:rPr>
                <w:rFonts w:ascii="Calibri"/>
                <w:w w:val="100"/>
                <w:sz w:val="22"/>
              </w:rPr>
              <w:t>0</w:t>
            </w:r>
          </w:p>
        </w:tc>
        <w:tc>
          <w:tcPr>
            <w:tcW w:w="1209" w:type="dxa"/>
            <w:tcBorders>
              <w:top w:val="nil"/>
              <w:left w:val="nil"/>
              <w:bottom w:val="nil"/>
              <w:right w:val="nil"/>
            </w:tcBorders>
          </w:tcPr>
          <w:p>
            <w:pPr>
              <w:pStyle w:val="TableParagraph"/>
              <w:ind w:left="20"/>
              <w:rPr>
                <w:rFonts w:ascii="Calibri"/>
                <w:sz w:val="22"/>
              </w:rPr>
            </w:pPr>
            <w:r>
              <w:rPr>
                <w:rFonts w:ascii="Calibri"/>
                <w:w w:val="100"/>
                <w:sz w:val="22"/>
              </w:rPr>
              <w:t>1</w:t>
            </w:r>
          </w:p>
        </w:tc>
        <w:tc>
          <w:tcPr>
            <w:tcW w:w="1124" w:type="dxa"/>
            <w:tcBorders>
              <w:top w:val="nil"/>
              <w:left w:val="nil"/>
              <w:bottom w:val="nil"/>
              <w:right w:val="nil"/>
            </w:tcBorders>
          </w:tcPr>
          <w:p>
            <w:pPr>
              <w:pStyle w:val="TableParagraph"/>
              <w:ind w:left="482"/>
              <w:jc w:val="left"/>
              <w:rPr>
                <w:rFonts w:ascii="Calibri"/>
                <w:sz w:val="22"/>
              </w:rPr>
            </w:pPr>
            <w:r>
              <w:rPr>
                <w:rFonts w:ascii="Calibri"/>
                <w:sz w:val="22"/>
              </w:rPr>
              <w:t>29</w:t>
            </w:r>
          </w:p>
        </w:tc>
        <w:tc>
          <w:tcPr>
            <w:tcW w:w="1061" w:type="dxa"/>
            <w:tcBorders>
              <w:top w:val="nil"/>
              <w:left w:val="nil"/>
              <w:bottom w:val="nil"/>
              <w:right w:val="nil"/>
            </w:tcBorders>
          </w:tcPr>
          <w:p>
            <w:pPr>
              <w:pStyle w:val="TableParagraph"/>
              <w:ind w:left="398" w:right="399"/>
              <w:rPr>
                <w:rFonts w:ascii="Calibri"/>
                <w:sz w:val="22"/>
              </w:rPr>
            </w:pPr>
            <w:r>
              <w:rPr>
                <w:rFonts w:ascii="Calibri"/>
                <w:sz w:val="22"/>
              </w:rPr>
              <w:t>22</w:t>
            </w:r>
          </w:p>
        </w:tc>
        <w:tc>
          <w:tcPr>
            <w:tcW w:w="1093" w:type="dxa"/>
            <w:tcBorders>
              <w:top w:val="nil"/>
              <w:left w:val="nil"/>
              <w:bottom w:val="nil"/>
              <w:right w:val="nil"/>
            </w:tcBorders>
          </w:tcPr>
          <w:p>
            <w:pPr>
              <w:pStyle w:val="TableParagraph"/>
              <w:ind w:left="474"/>
              <w:jc w:val="left"/>
              <w:rPr>
                <w:rFonts w:ascii="Calibri"/>
                <w:sz w:val="22"/>
              </w:rPr>
            </w:pPr>
            <w:r>
              <w:rPr>
                <w:rFonts w:ascii="Calibri"/>
                <w:w w:val="100"/>
                <w:sz w:val="22"/>
              </w:rPr>
              <w:t>2</w:t>
            </w:r>
          </w:p>
        </w:tc>
        <w:tc>
          <w:tcPr>
            <w:tcW w:w="1008" w:type="dxa"/>
            <w:tcBorders>
              <w:top w:val="nil"/>
              <w:left w:val="nil"/>
              <w:bottom w:val="nil"/>
              <w:right w:val="nil"/>
            </w:tcBorders>
          </w:tcPr>
          <w:p>
            <w:pPr>
              <w:pStyle w:val="TableParagraph"/>
              <w:ind w:left="2"/>
              <w:rPr>
                <w:rFonts w:ascii="Calibri"/>
                <w:sz w:val="22"/>
              </w:rPr>
            </w:pPr>
            <w:r>
              <w:rPr>
                <w:rFonts w:ascii="Calibri"/>
                <w:w w:val="100"/>
                <w:sz w:val="22"/>
              </w:rPr>
              <w:t>1</w:t>
            </w:r>
          </w:p>
        </w:tc>
        <w:tc>
          <w:tcPr>
            <w:tcW w:w="1065" w:type="dxa"/>
            <w:tcBorders>
              <w:top w:val="nil"/>
              <w:left w:val="nil"/>
              <w:bottom w:val="nil"/>
              <w:right w:val="nil"/>
            </w:tcBorders>
          </w:tcPr>
          <w:p>
            <w:pPr>
              <w:pStyle w:val="TableParagraph"/>
              <w:ind w:left="56"/>
              <w:rPr>
                <w:rFonts w:ascii="Calibri"/>
                <w:sz w:val="22"/>
              </w:rPr>
            </w:pPr>
            <w:r>
              <w:rPr>
                <w:rFonts w:ascii="Calibri"/>
                <w:w w:val="100"/>
                <w:sz w:val="22"/>
              </w:rPr>
              <w:t>2</w:t>
            </w:r>
          </w:p>
        </w:tc>
        <w:tc>
          <w:tcPr>
            <w:tcW w:w="1055" w:type="dxa"/>
            <w:tcBorders>
              <w:top w:val="nil"/>
              <w:left w:val="nil"/>
              <w:bottom w:val="nil"/>
              <w:right w:val="single" w:sz="4" w:space="0" w:color="000000"/>
            </w:tcBorders>
          </w:tcPr>
          <w:p>
            <w:pPr>
              <w:pStyle w:val="TableParagraph"/>
              <w:ind w:left="372" w:right="301"/>
              <w:rPr>
                <w:rFonts w:ascii="Calibri"/>
                <w:sz w:val="22"/>
              </w:rPr>
            </w:pPr>
            <w:r>
              <w:rPr>
                <w:rFonts w:ascii="Calibri"/>
                <w:sz w:val="22"/>
              </w:rPr>
              <w:t>57</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35</w:t>
            </w:r>
          </w:p>
        </w:tc>
        <w:tc>
          <w:tcPr>
            <w:tcW w:w="1105" w:type="dxa"/>
            <w:tcBorders>
              <w:top w:val="nil"/>
              <w:bottom w:val="nil"/>
              <w:right w:val="nil"/>
            </w:tcBorders>
          </w:tcPr>
          <w:p>
            <w:pPr>
              <w:pStyle w:val="TableParagraph"/>
              <w:ind w:right="11"/>
              <w:rPr>
                <w:rFonts w:ascii="Calibri"/>
                <w:sz w:val="22"/>
              </w:rPr>
            </w:pPr>
            <w:r>
              <w:rPr>
                <w:rFonts w:ascii="Calibri"/>
                <w:w w:val="100"/>
                <w:sz w:val="22"/>
              </w:rPr>
              <w:t>0</w:t>
            </w:r>
          </w:p>
        </w:tc>
        <w:tc>
          <w:tcPr>
            <w:tcW w:w="1209" w:type="dxa"/>
            <w:tcBorders>
              <w:top w:val="nil"/>
              <w:left w:val="nil"/>
              <w:bottom w:val="nil"/>
              <w:right w:val="nil"/>
            </w:tcBorders>
          </w:tcPr>
          <w:p>
            <w:pPr>
              <w:pStyle w:val="TableParagraph"/>
              <w:ind w:left="20"/>
              <w:rPr>
                <w:rFonts w:ascii="Calibri"/>
                <w:sz w:val="22"/>
              </w:rPr>
            </w:pPr>
            <w:r>
              <w:rPr>
                <w:rFonts w:ascii="Calibri"/>
                <w:w w:val="100"/>
                <w:sz w:val="22"/>
              </w:rPr>
              <w:t>0</w:t>
            </w:r>
          </w:p>
        </w:tc>
        <w:tc>
          <w:tcPr>
            <w:tcW w:w="1124" w:type="dxa"/>
            <w:tcBorders>
              <w:top w:val="nil"/>
              <w:left w:val="nil"/>
              <w:bottom w:val="nil"/>
              <w:right w:val="nil"/>
            </w:tcBorders>
          </w:tcPr>
          <w:p>
            <w:pPr>
              <w:pStyle w:val="TableParagraph"/>
              <w:ind w:left="482"/>
              <w:jc w:val="left"/>
              <w:rPr>
                <w:rFonts w:ascii="Calibri"/>
                <w:sz w:val="22"/>
              </w:rPr>
            </w:pPr>
            <w:r>
              <w:rPr>
                <w:rFonts w:ascii="Calibri"/>
                <w:sz w:val="22"/>
              </w:rPr>
              <w:t>10</w:t>
            </w:r>
          </w:p>
        </w:tc>
        <w:tc>
          <w:tcPr>
            <w:tcW w:w="1061" w:type="dxa"/>
            <w:tcBorders>
              <w:top w:val="nil"/>
              <w:left w:val="nil"/>
              <w:bottom w:val="nil"/>
              <w:right w:val="nil"/>
            </w:tcBorders>
          </w:tcPr>
          <w:p>
            <w:pPr>
              <w:pStyle w:val="TableParagraph"/>
              <w:rPr>
                <w:rFonts w:ascii="Calibri"/>
                <w:sz w:val="22"/>
              </w:rPr>
            </w:pPr>
            <w:r>
              <w:rPr>
                <w:rFonts w:ascii="Calibri"/>
                <w:w w:val="100"/>
                <w:sz w:val="22"/>
              </w:rPr>
              <w:t>7</w:t>
            </w:r>
          </w:p>
        </w:tc>
        <w:tc>
          <w:tcPr>
            <w:tcW w:w="1093" w:type="dxa"/>
            <w:tcBorders>
              <w:top w:val="nil"/>
              <w:left w:val="nil"/>
              <w:bottom w:val="nil"/>
              <w:right w:val="nil"/>
            </w:tcBorders>
          </w:tcPr>
          <w:p>
            <w:pPr>
              <w:pStyle w:val="TableParagraph"/>
              <w:ind w:left="474"/>
              <w:jc w:val="left"/>
              <w:rPr>
                <w:rFonts w:ascii="Calibri"/>
                <w:sz w:val="22"/>
              </w:rPr>
            </w:pPr>
            <w:r>
              <w:rPr>
                <w:rFonts w:ascii="Calibri"/>
                <w:w w:val="100"/>
                <w:sz w:val="22"/>
              </w:rPr>
              <w:t>0</w:t>
            </w:r>
          </w:p>
        </w:tc>
        <w:tc>
          <w:tcPr>
            <w:tcW w:w="1008" w:type="dxa"/>
            <w:tcBorders>
              <w:top w:val="nil"/>
              <w:left w:val="nil"/>
              <w:bottom w:val="nil"/>
              <w:right w:val="nil"/>
            </w:tcBorders>
          </w:tcPr>
          <w:p>
            <w:pPr>
              <w:pStyle w:val="TableParagraph"/>
              <w:ind w:left="2"/>
              <w:rPr>
                <w:rFonts w:ascii="Calibri"/>
                <w:sz w:val="22"/>
              </w:rPr>
            </w:pPr>
            <w:r>
              <w:rPr>
                <w:rFonts w:ascii="Calibri"/>
                <w:w w:val="100"/>
                <w:sz w:val="22"/>
              </w:rPr>
              <w:t>0</w:t>
            </w:r>
          </w:p>
        </w:tc>
        <w:tc>
          <w:tcPr>
            <w:tcW w:w="1065" w:type="dxa"/>
            <w:tcBorders>
              <w:top w:val="nil"/>
              <w:left w:val="nil"/>
              <w:bottom w:val="nil"/>
              <w:right w:val="nil"/>
            </w:tcBorders>
          </w:tcPr>
          <w:p>
            <w:pPr>
              <w:pStyle w:val="TableParagraph"/>
              <w:ind w:left="56"/>
              <w:rPr>
                <w:rFonts w:ascii="Calibri"/>
                <w:sz w:val="22"/>
              </w:rPr>
            </w:pPr>
            <w:r>
              <w:rPr>
                <w:rFonts w:ascii="Calibri"/>
                <w:w w:val="100"/>
                <w:sz w:val="22"/>
              </w:rPr>
              <w:t>1</w:t>
            </w:r>
          </w:p>
        </w:tc>
        <w:tc>
          <w:tcPr>
            <w:tcW w:w="1055" w:type="dxa"/>
            <w:tcBorders>
              <w:top w:val="nil"/>
              <w:left w:val="nil"/>
              <w:bottom w:val="nil"/>
              <w:right w:val="single" w:sz="4" w:space="0" w:color="000000"/>
            </w:tcBorders>
          </w:tcPr>
          <w:p>
            <w:pPr>
              <w:pStyle w:val="TableParagraph"/>
              <w:ind w:left="372" w:right="301"/>
              <w:rPr>
                <w:rFonts w:ascii="Calibri"/>
                <w:sz w:val="22"/>
              </w:rPr>
            </w:pPr>
            <w:r>
              <w:rPr>
                <w:rFonts w:ascii="Calibri"/>
                <w:sz w:val="22"/>
              </w:rPr>
              <w:t>18</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36</w:t>
            </w:r>
          </w:p>
        </w:tc>
        <w:tc>
          <w:tcPr>
            <w:tcW w:w="1105" w:type="dxa"/>
            <w:tcBorders>
              <w:top w:val="nil"/>
              <w:bottom w:val="nil"/>
              <w:right w:val="nil"/>
            </w:tcBorders>
          </w:tcPr>
          <w:p>
            <w:pPr>
              <w:pStyle w:val="TableParagraph"/>
              <w:ind w:right="11"/>
              <w:rPr>
                <w:rFonts w:ascii="Calibri"/>
                <w:sz w:val="22"/>
              </w:rPr>
            </w:pPr>
            <w:r>
              <w:rPr>
                <w:rFonts w:ascii="Calibri"/>
                <w:w w:val="100"/>
                <w:sz w:val="22"/>
              </w:rPr>
              <w:t>0</w:t>
            </w:r>
          </w:p>
        </w:tc>
        <w:tc>
          <w:tcPr>
            <w:tcW w:w="1209" w:type="dxa"/>
            <w:tcBorders>
              <w:top w:val="nil"/>
              <w:left w:val="nil"/>
              <w:bottom w:val="nil"/>
              <w:right w:val="nil"/>
            </w:tcBorders>
          </w:tcPr>
          <w:p>
            <w:pPr>
              <w:pStyle w:val="TableParagraph"/>
              <w:ind w:left="20"/>
              <w:rPr>
                <w:rFonts w:ascii="Calibri"/>
                <w:sz w:val="22"/>
              </w:rPr>
            </w:pPr>
            <w:r>
              <w:rPr>
                <w:rFonts w:ascii="Calibri"/>
                <w:w w:val="100"/>
                <w:sz w:val="22"/>
              </w:rPr>
              <w:t>3</w:t>
            </w:r>
          </w:p>
        </w:tc>
        <w:tc>
          <w:tcPr>
            <w:tcW w:w="1124" w:type="dxa"/>
            <w:tcBorders>
              <w:top w:val="nil"/>
              <w:left w:val="nil"/>
              <w:bottom w:val="nil"/>
              <w:right w:val="nil"/>
            </w:tcBorders>
          </w:tcPr>
          <w:p>
            <w:pPr>
              <w:pStyle w:val="TableParagraph"/>
              <w:ind w:left="482"/>
              <w:jc w:val="left"/>
              <w:rPr>
                <w:rFonts w:ascii="Calibri"/>
                <w:sz w:val="22"/>
              </w:rPr>
            </w:pPr>
            <w:r>
              <w:rPr>
                <w:rFonts w:ascii="Calibri"/>
                <w:sz w:val="22"/>
              </w:rPr>
              <w:t>14</w:t>
            </w:r>
          </w:p>
        </w:tc>
        <w:tc>
          <w:tcPr>
            <w:tcW w:w="1061" w:type="dxa"/>
            <w:tcBorders>
              <w:top w:val="nil"/>
              <w:left w:val="nil"/>
              <w:bottom w:val="nil"/>
              <w:right w:val="nil"/>
            </w:tcBorders>
          </w:tcPr>
          <w:p>
            <w:pPr>
              <w:pStyle w:val="TableParagraph"/>
              <w:rPr>
                <w:rFonts w:ascii="Calibri"/>
                <w:sz w:val="22"/>
              </w:rPr>
            </w:pPr>
            <w:r>
              <w:rPr>
                <w:rFonts w:ascii="Calibri"/>
                <w:w w:val="100"/>
                <w:sz w:val="22"/>
              </w:rPr>
              <w:t>7</w:t>
            </w:r>
          </w:p>
        </w:tc>
        <w:tc>
          <w:tcPr>
            <w:tcW w:w="1093" w:type="dxa"/>
            <w:tcBorders>
              <w:top w:val="nil"/>
              <w:left w:val="nil"/>
              <w:bottom w:val="nil"/>
              <w:right w:val="nil"/>
            </w:tcBorders>
          </w:tcPr>
          <w:p>
            <w:pPr>
              <w:pStyle w:val="TableParagraph"/>
              <w:ind w:left="474"/>
              <w:jc w:val="left"/>
              <w:rPr>
                <w:rFonts w:ascii="Calibri"/>
                <w:sz w:val="22"/>
              </w:rPr>
            </w:pPr>
            <w:r>
              <w:rPr>
                <w:rFonts w:ascii="Calibri"/>
                <w:w w:val="100"/>
                <w:sz w:val="22"/>
              </w:rPr>
              <w:t>5</w:t>
            </w:r>
          </w:p>
        </w:tc>
        <w:tc>
          <w:tcPr>
            <w:tcW w:w="1008" w:type="dxa"/>
            <w:tcBorders>
              <w:top w:val="nil"/>
              <w:left w:val="nil"/>
              <w:bottom w:val="nil"/>
              <w:right w:val="nil"/>
            </w:tcBorders>
          </w:tcPr>
          <w:p>
            <w:pPr>
              <w:pStyle w:val="TableParagraph"/>
              <w:ind w:left="2"/>
              <w:rPr>
                <w:rFonts w:ascii="Calibri"/>
                <w:sz w:val="22"/>
              </w:rPr>
            </w:pPr>
            <w:r>
              <w:rPr>
                <w:rFonts w:ascii="Calibri"/>
                <w:w w:val="100"/>
                <w:sz w:val="22"/>
              </w:rPr>
              <w:t>0</w:t>
            </w:r>
          </w:p>
        </w:tc>
        <w:tc>
          <w:tcPr>
            <w:tcW w:w="1065" w:type="dxa"/>
            <w:tcBorders>
              <w:top w:val="nil"/>
              <w:left w:val="nil"/>
              <w:bottom w:val="nil"/>
              <w:right w:val="nil"/>
            </w:tcBorders>
          </w:tcPr>
          <w:p>
            <w:pPr>
              <w:pStyle w:val="TableParagraph"/>
              <w:ind w:left="428" w:right="373"/>
              <w:rPr>
                <w:rFonts w:ascii="Calibri"/>
                <w:sz w:val="22"/>
              </w:rPr>
            </w:pPr>
            <w:r>
              <w:rPr>
                <w:rFonts w:ascii="Calibri"/>
                <w:sz w:val="22"/>
              </w:rPr>
              <w:t>17</w:t>
            </w:r>
          </w:p>
        </w:tc>
        <w:tc>
          <w:tcPr>
            <w:tcW w:w="1055" w:type="dxa"/>
            <w:tcBorders>
              <w:top w:val="nil"/>
              <w:left w:val="nil"/>
              <w:bottom w:val="nil"/>
              <w:right w:val="single" w:sz="4" w:space="0" w:color="000000"/>
            </w:tcBorders>
          </w:tcPr>
          <w:p>
            <w:pPr>
              <w:pStyle w:val="TableParagraph"/>
              <w:ind w:left="372" w:right="301"/>
              <w:rPr>
                <w:rFonts w:ascii="Calibri"/>
                <w:sz w:val="22"/>
              </w:rPr>
            </w:pPr>
            <w:r>
              <w:rPr>
                <w:rFonts w:ascii="Calibri"/>
                <w:sz w:val="22"/>
              </w:rPr>
              <w:t>46</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37</w:t>
            </w:r>
          </w:p>
        </w:tc>
        <w:tc>
          <w:tcPr>
            <w:tcW w:w="1105" w:type="dxa"/>
            <w:tcBorders>
              <w:top w:val="nil"/>
              <w:bottom w:val="nil"/>
              <w:right w:val="nil"/>
            </w:tcBorders>
          </w:tcPr>
          <w:p>
            <w:pPr>
              <w:pStyle w:val="TableParagraph"/>
              <w:ind w:right="11"/>
              <w:rPr>
                <w:rFonts w:ascii="Calibri"/>
                <w:sz w:val="22"/>
              </w:rPr>
            </w:pPr>
            <w:r>
              <w:rPr>
                <w:rFonts w:ascii="Calibri"/>
                <w:w w:val="100"/>
                <w:sz w:val="22"/>
              </w:rPr>
              <w:t>0</w:t>
            </w:r>
          </w:p>
        </w:tc>
        <w:tc>
          <w:tcPr>
            <w:tcW w:w="1209" w:type="dxa"/>
            <w:tcBorders>
              <w:top w:val="nil"/>
              <w:left w:val="nil"/>
              <w:bottom w:val="nil"/>
              <w:right w:val="nil"/>
            </w:tcBorders>
          </w:tcPr>
          <w:p>
            <w:pPr>
              <w:pStyle w:val="TableParagraph"/>
              <w:ind w:left="482" w:right="463"/>
              <w:rPr>
                <w:rFonts w:ascii="Calibri"/>
                <w:sz w:val="22"/>
              </w:rPr>
            </w:pPr>
            <w:r>
              <w:rPr>
                <w:rFonts w:ascii="Calibri"/>
                <w:sz w:val="22"/>
              </w:rPr>
              <w:t>12</w:t>
            </w:r>
          </w:p>
        </w:tc>
        <w:tc>
          <w:tcPr>
            <w:tcW w:w="1124" w:type="dxa"/>
            <w:tcBorders>
              <w:top w:val="nil"/>
              <w:left w:val="nil"/>
              <w:bottom w:val="nil"/>
              <w:right w:val="nil"/>
            </w:tcBorders>
          </w:tcPr>
          <w:p>
            <w:pPr>
              <w:pStyle w:val="TableParagraph"/>
              <w:ind w:left="540"/>
              <w:jc w:val="left"/>
              <w:rPr>
                <w:rFonts w:ascii="Calibri"/>
                <w:sz w:val="22"/>
              </w:rPr>
            </w:pPr>
            <w:r>
              <w:rPr>
                <w:rFonts w:ascii="Calibri"/>
                <w:w w:val="100"/>
                <w:sz w:val="22"/>
              </w:rPr>
              <w:t>3</w:t>
            </w:r>
          </w:p>
        </w:tc>
        <w:tc>
          <w:tcPr>
            <w:tcW w:w="1061" w:type="dxa"/>
            <w:tcBorders>
              <w:top w:val="nil"/>
              <w:left w:val="nil"/>
              <w:bottom w:val="nil"/>
              <w:right w:val="nil"/>
            </w:tcBorders>
          </w:tcPr>
          <w:p>
            <w:pPr>
              <w:pStyle w:val="TableParagraph"/>
              <w:rPr>
                <w:rFonts w:ascii="Calibri"/>
                <w:sz w:val="22"/>
              </w:rPr>
            </w:pPr>
            <w:r>
              <w:rPr>
                <w:rFonts w:ascii="Calibri"/>
                <w:w w:val="100"/>
                <w:sz w:val="22"/>
              </w:rPr>
              <w:t>0</w:t>
            </w:r>
          </w:p>
        </w:tc>
        <w:tc>
          <w:tcPr>
            <w:tcW w:w="1093" w:type="dxa"/>
            <w:tcBorders>
              <w:top w:val="nil"/>
              <w:left w:val="nil"/>
              <w:bottom w:val="nil"/>
              <w:right w:val="nil"/>
            </w:tcBorders>
          </w:tcPr>
          <w:p>
            <w:pPr>
              <w:pStyle w:val="TableParagraph"/>
              <w:ind w:left="474"/>
              <w:jc w:val="left"/>
              <w:rPr>
                <w:rFonts w:ascii="Calibri"/>
                <w:sz w:val="22"/>
              </w:rPr>
            </w:pPr>
            <w:r>
              <w:rPr>
                <w:rFonts w:ascii="Calibri"/>
                <w:w w:val="100"/>
                <w:sz w:val="22"/>
              </w:rPr>
              <w:t>0</w:t>
            </w:r>
          </w:p>
        </w:tc>
        <w:tc>
          <w:tcPr>
            <w:tcW w:w="1008" w:type="dxa"/>
            <w:tcBorders>
              <w:top w:val="nil"/>
              <w:left w:val="nil"/>
              <w:bottom w:val="nil"/>
              <w:right w:val="nil"/>
            </w:tcBorders>
          </w:tcPr>
          <w:p>
            <w:pPr>
              <w:pStyle w:val="TableParagraph"/>
              <w:ind w:left="2"/>
              <w:rPr>
                <w:rFonts w:ascii="Calibri"/>
                <w:sz w:val="22"/>
              </w:rPr>
            </w:pPr>
            <w:r>
              <w:rPr>
                <w:rFonts w:ascii="Calibri"/>
                <w:w w:val="100"/>
                <w:sz w:val="22"/>
              </w:rPr>
              <w:t>0</w:t>
            </w:r>
          </w:p>
        </w:tc>
        <w:tc>
          <w:tcPr>
            <w:tcW w:w="1065" w:type="dxa"/>
            <w:tcBorders>
              <w:top w:val="nil"/>
              <w:left w:val="nil"/>
              <w:bottom w:val="nil"/>
              <w:right w:val="nil"/>
            </w:tcBorders>
          </w:tcPr>
          <w:p>
            <w:pPr>
              <w:pStyle w:val="TableParagraph"/>
              <w:ind w:left="56"/>
              <w:rPr>
                <w:rFonts w:ascii="Calibri"/>
                <w:sz w:val="22"/>
              </w:rPr>
            </w:pPr>
            <w:r>
              <w:rPr>
                <w:rFonts w:ascii="Calibri"/>
                <w:w w:val="100"/>
                <w:sz w:val="22"/>
              </w:rPr>
              <w:t>0</w:t>
            </w:r>
          </w:p>
        </w:tc>
        <w:tc>
          <w:tcPr>
            <w:tcW w:w="1055" w:type="dxa"/>
            <w:tcBorders>
              <w:top w:val="nil"/>
              <w:left w:val="nil"/>
              <w:bottom w:val="nil"/>
              <w:right w:val="single" w:sz="4" w:space="0" w:color="000000"/>
            </w:tcBorders>
          </w:tcPr>
          <w:p>
            <w:pPr>
              <w:pStyle w:val="TableParagraph"/>
              <w:ind w:left="372" w:right="301"/>
              <w:rPr>
                <w:rFonts w:ascii="Calibri"/>
                <w:sz w:val="22"/>
              </w:rPr>
            </w:pPr>
            <w:r>
              <w:rPr>
                <w:rFonts w:ascii="Calibri"/>
                <w:sz w:val="22"/>
              </w:rPr>
              <w:t>15</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38</w:t>
            </w:r>
          </w:p>
        </w:tc>
        <w:tc>
          <w:tcPr>
            <w:tcW w:w="1105" w:type="dxa"/>
            <w:tcBorders>
              <w:top w:val="nil"/>
              <w:bottom w:val="nil"/>
              <w:right w:val="nil"/>
            </w:tcBorders>
          </w:tcPr>
          <w:p>
            <w:pPr>
              <w:pStyle w:val="TableParagraph"/>
              <w:ind w:right="11"/>
              <w:rPr>
                <w:rFonts w:ascii="Calibri"/>
                <w:sz w:val="22"/>
              </w:rPr>
            </w:pPr>
            <w:r>
              <w:rPr>
                <w:rFonts w:ascii="Calibri"/>
                <w:w w:val="100"/>
                <w:sz w:val="22"/>
              </w:rPr>
              <w:t>1</w:t>
            </w:r>
          </w:p>
        </w:tc>
        <w:tc>
          <w:tcPr>
            <w:tcW w:w="1209" w:type="dxa"/>
            <w:tcBorders>
              <w:top w:val="nil"/>
              <w:left w:val="nil"/>
              <w:bottom w:val="nil"/>
              <w:right w:val="nil"/>
            </w:tcBorders>
          </w:tcPr>
          <w:p>
            <w:pPr>
              <w:pStyle w:val="TableParagraph"/>
              <w:ind w:left="20"/>
              <w:rPr>
                <w:rFonts w:ascii="Calibri"/>
                <w:sz w:val="22"/>
              </w:rPr>
            </w:pPr>
            <w:r>
              <w:rPr>
                <w:rFonts w:ascii="Calibri"/>
                <w:w w:val="100"/>
                <w:sz w:val="22"/>
              </w:rPr>
              <w:t>3</w:t>
            </w:r>
          </w:p>
        </w:tc>
        <w:tc>
          <w:tcPr>
            <w:tcW w:w="1124" w:type="dxa"/>
            <w:tcBorders>
              <w:top w:val="nil"/>
              <w:left w:val="nil"/>
              <w:bottom w:val="nil"/>
              <w:right w:val="nil"/>
            </w:tcBorders>
          </w:tcPr>
          <w:p>
            <w:pPr>
              <w:pStyle w:val="TableParagraph"/>
              <w:ind w:left="540"/>
              <w:jc w:val="left"/>
              <w:rPr>
                <w:rFonts w:ascii="Calibri"/>
                <w:sz w:val="22"/>
              </w:rPr>
            </w:pPr>
            <w:r>
              <w:rPr>
                <w:rFonts w:ascii="Calibri"/>
                <w:w w:val="100"/>
                <w:sz w:val="22"/>
              </w:rPr>
              <w:t>1</w:t>
            </w:r>
          </w:p>
        </w:tc>
        <w:tc>
          <w:tcPr>
            <w:tcW w:w="1061" w:type="dxa"/>
            <w:tcBorders>
              <w:top w:val="nil"/>
              <w:left w:val="nil"/>
              <w:bottom w:val="nil"/>
              <w:right w:val="nil"/>
            </w:tcBorders>
          </w:tcPr>
          <w:p>
            <w:pPr>
              <w:pStyle w:val="TableParagraph"/>
              <w:rPr>
                <w:rFonts w:ascii="Calibri"/>
                <w:sz w:val="22"/>
              </w:rPr>
            </w:pPr>
            <w:r>
              <w:rPr>
                <w:rFonts w:ascii="Calibri"/>
                <w:w w:val="100"/>
                <w:sz w:val="22"/>
              </w:rPr>
              <w:t>0</w:t>
            </w:r>
          </w:p>
        </w:tc>
        <w:tc>
          <w:tcPr>
            <w:tcW w:w="1093" w:type="dxa"/>
            <w:tcBorders>
              <w:top w:val="nil"/>
              <w:left w:val="nil"/>
              <w:bottom w:val="nil"/>
              <w:right w:val="nil"/>
            </w:tcBorders>
          </w:tcPr>
          <w:p>
            <w:pPr>
              <w:pStyle w:val="TableParagraph"/>
              <w:ind w:left="474"/>
              <w:jc w:val="left"/>
              <w:rPr>
                <w:rFonts w:ascii="Calibri"/>
                <w:sz w:val="22"/>
              </w:rPr>
            </w:pPr>
            <w:r>
              <w:rPr>
                <w:rFonts w:ascii="Calibri"/>
                <w:w w:val="100"/>
                <w:sz w:val="22"/>
              </w:rPr>
              <w:t>0</w:t>
            </w:r>
          </w:p>
        </w:tc>
        <w:tc>
          <w:tcPr>
            <w:tcW w:w="1008" w:type="dxa"/>
            <w:tcBorders>
              <w:top w:val="nil"/>
              <w:left w:val="nil"/>
              <w:bottom w:val="nil"/>
              <w:right w:val="nil"/>
            </w:tcBorders>
          </w:tcPr>
          <w:p>
            <w:pPr>
              <w:pStyle w:val="TableParagraph"/>
              <w:ind w:left="2"/>
              <w:rPr>
                <w:rFonts w:ascii="Calibri"/>
                <w:sz w:val="22"/>
              </w:rPr>
            </w:pPr>
            <w:r>
              <w:rPr>
                <w:rFonts w:ascii="Calibri"/>
                <w:w w:val="100"/>
                <w:sz w:val="22"/>
              </w:rPr>
              <w:t>0</w:t>
            </w:r>
          </w:p>
        </w:tc>
        <w:tc>
          <w:tcPr>
            <w:tcW w:w="1065" w:type="dxa"/>
            <w:tcBorders>
              <w:top w:val="nil"/>
              <w:left w:val="nil"/>
              <w:bottom w:val="nil"/>
              <w:right w:val="nil"/>
            </w:tcBorders>
          </w:tcPr>
          <w:p>
            <w:pPr>
              <w:pStyle w:val="TableParagraph"/>
              <w:ind w:left="56"/>
              <w:rPr>
                <w:rFonts w:ascii="Calibri"/>
                <w:sz w:val="22"/>
              </w:rPr>
            </w:pPr>
            <w:r>
              <w:rPr>
                <w:rFonts w:ascii="Calibri"/>
                <w:w w:val="100"/>
                <w:sz w:val="22"/>
              </w:rPr>
              <w:t>0</w:t>
            </w:r>
          </w:p>
        </w:tc>
        <w:tc>
          <w:tcPr>
            <w:tcW w:w="1055" w:type="dxa"/>
            <w:tcBorders>
              <w:top w:val="nil"/>
              <w:left w:val="nil"/>
              <w:bottom w:val="nil"/>
              <w:right w:val="single" w:sz="4" w:space="0" w:color="000000"/>
            </w:tcBorders>
          </w:tcPr>
          <w:p>
            <w:pPr>
              <w:pStyle w:val="TableParagraph"/>
              <w:ind w:left="67"/>
              <w:rPr>
                <w:rFonts w:ascii="Calibri"/>
                <w:sz w:val="22"/>
              </w:rPr>
            </w:pPr>
            <w:r>
              <w:rPr>
                <w:rFonts w:ascii="Calibri"/>
                <w:w w:val="100"/>
                <w:sz w:val="22"/>
              </w:rPr>
              <w:t>4</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39</w:t>
            </w:r>
          </w:p>
        </w:tc>
        <w:tc>
          <w:tcPr>
            <w:tcW w:w="1105" w:type="dxa"/>
            <w:tcBorders>
              <w:top w:val="nil"/>
              <w:bottom w:val="nil"/>
              <w:right w:val="nil"/>
            </w:tcBorders>
          </w:tcPr>
          <w:p>
            <w:pPr>
              <w:pStyle w:val="TableParagraph"/>
              <w:ind w:right="11"/>
              <w:rPr>
                <w:rFonts w:ascii="Calibri"/>
                <w:sz w:val="22"/>
              </w:rPr>
            </w:pPr>
            <w:r>
              <w:rPr>
                <w:rFonts w:ascii="Calibri"/>
                <w:w w:val="100"/>
                <w:sz w:val="22"/>
              </w:rPr>
              <w:t>1</w:t>
            </w:r>
          </w:p>
        </w:tc>
        <w:tc>
          <w:tcPr>
            <w:tcW w:w="1209" w:type="dxa"/>
            <w:tcBorders>
              <w:top w:val="nil"/>
              <w:left w:val="nil"/>
              <w:bottom w:val="nil"/>
              <w:right w:val="nil"/>
            </w:tcBorders>
          </w:tcPr>
          <w:p>
            <w:pPr>
              <w:pStyle w:val="TableParagraph"/>
              <w:ind w:left="20"/>
              <w:rPr>
                <w:rFonts w:ascii="Calibri"/>
                <w:sz w:val="22"/>
              </w:rPr>
            </w:pPr>
            <w:r>
              <w:rPr>
                <w:rFonts w:ascii="Calibri"/>
                <w:w w:val="100"/>
                <w:sz w:val="22"/>
              </w:rPr>
              <w:t>2</w:t>
            </w:r>
          </w:p>
        </w:tc>
        <w:tc>
          <w:tcPr>
            <w:tcW w:w="1124" w:type="dxa"/>
            <w:tcBorders>
              <w:top w:val="nil"/>
              <w:left w:val="nil"/>
              <w:bottom w:val="nil"/>
              <w:right w:val="nil"/>
            </w:tcBorders>
          </w:tcPr>
          <w:p>
            <w:pPr>
              <w:pStyle w:val="TableParagraph"/>
              <w:ind w:left="540"/>
              <w:jc w:val="left"/>
              <w:rPr>
                <w:rFonts w:ascii="Calibri"/>
                <w:sz w:val="22"/>
              </w:rPr>
            </w:pPr>
            <w:r>
              <w:rPr>
                <w:rFonts w:ascii="Calibri"/>
                <w:w w:val="100"/>
                <w:sz w:val="22"/>
              </w:rPr>
              <w:t>5</w:t>
            </w:r>
          </w:p>
        </w:tc>
        <w:tc>
          <w:tcPr>
            <w:tcW w:w="1061" w:type="dxa"/>
            <w:tcBorders>
              <w:top w:val="nil"/>
              <w:left w:val="nil"/>
              <w:bottom w:val="nil"/>
              <w:right w:val="nil"/>
            </w:tcBorders>
          </w:tcPr>
          <w:p>
            <w:pPr>
              <w:pStyle w:val="TableParagraph"/>
              <w:rPr>
                <w:rFonts w:ascii="Calibri"/>
                <w:sz w:val="22"/>
              </w:rPr>
            </w:pPr>
            <w:r>
              <w:rPr>
                <w:rFonts w:ascii="Calibri"/>
                <w:w w:val="100"/>
                <w:sz w:val="22"/>
              </w:rPr>
              <w:t>1</w:t>
            </w:r>
          </w:p>
        </w:tc>
        <w:tc>
          <w:tcPr>
            <w:tcW w:w="1093" w:type="dxa"/>
            <w:tcBorders>
              <w:top w:val="nil"/>
              <w:left w:val="nil"/>
              <w:bottom w:val="nil"/>
              <w:right w:val="nil"/>
            </w:tcBorders>
          </w:tcPr>
          <w:p>
            <w:pPr>
              <w:pStyle w:val="TableParagraph"/>
              <w:ind w:left="419"/>
              <w:jc w:val="left"/>
              <w:rPr>
                <w:rFonts w:ascii="Calibri"/>
                <w:sz w:val="22"/>
              </w:rPr>
            </w:pPr>
            <w:r>
              <w:rPr>
                <w:rFonts w:ascii="Calibri"/>
                <w:sz w:val="22"/>
              </w:rPr>
              <w:t>14</w:t>
            </w:r>
          </w:p>
        </w:tc>
        <w:tc>
          <w:tcPr>
            <w:tcW w:w="1008" w:type="dxa"/>
            <w:tcBorders>
              <w:top w:val="nil"/>
              <w:left w:val="nil"/>
              <w:bottom w:val="nil"/>
              <w:right w:val="nil"/>
            </w:tcBorders>
          </w:tcPr>
          <w:p>
            <w:pPr>
              <w:pStyle w:val="TableParagraph"/>
              <w:ind w:left="2"/>
              <w:rPr>
                <w:rFonts w:ascii="Calibri"/>
                <w:sz w:val="22"/>
              </w:rPr>
            </w:pPr>
            <w:r>
              <w:rPr>
                <w:rFonts w:ascii="Calibri"/>
                <w:w w:val="100"/>
                <w:sz w:val="22"/>
              </w:rPr>
              <w:t>0</w:t>
            </w:r>
          </w:p>
        </w:tc>
        <w:tc>
          <w:tcPr>
            <w:tcW w:w="1065" w:type="dxa"/>
            <w:tcBorders>
              <w:top w:val="nil"/>
              <w:left w:val="nil"/>
              <w:bottom w:val="nil"/>
              <w:right w:val="nil"/>
            </w:tcBorders>
          </w:tcPr>
          <w:p>
            <w:pPr>
              <w:pStyle w:val="TableParagraph"/>
              <w:ind w:left="428" w:right="373"/>
              <w:rPr>
                <w:rFonts w:ascii="Calibri"/>
                <w:sz w:val="22"/>
              </w:rPr>
            </w:pPr>
            <w:r>
              <w:rPr>
                <w:rFonts w:ascii="Calibri"/>
                <w:sz w:val="22"/>
              </w:rPr>
              <w:t>18</w:t>
            </w:r>
          </w:p>
        </w:tc>
        <w:tc>
          <w:tcPr>
            <w:tcW w:w="1055" w:type="dxa"/>
            <w:tcBorders>
              <w:top w:val="nil"/>
              <w:left w:val="nil"/>
              <w:bottom w:val="nil"/>
              <w:right w:val="single" w:sz="4" w:space="0" w:color="000000"/>
            </w:tcBorders>
          </w:tcPr>
          <w:p>
            <w:pPr>
              <w:pStyle w:val="TableParagraph"/>
              <w:ind w:left="372" w:right="301"/>
              <w:rPr>
                <w:rFonts w:ascii="Calibri"/>
                <w:sz w:val="22"/>
              </w:rPr>
            </w:pPr>
            <w:r>
              <w:rPr>
                <w:rFonts w:ascii="Calibri"/>
                <w:sz w:val="22"/>
              </w:rPr>
              <w:t>40</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40</w:t>
            </w:r>
          </w:p>
        </w:tc>
        <w:tc>
          <w:tcPr>
            <w:tcW w:w="1105" w:type="dxa"/>
            <w:tcBorders>
              <w:top w:val="nil"/>
              <w:bottom w:val="nil"/>
              <w:right w:val="nil"/>
            </w:tcBorders>
          </w:tcPr>
          <w:p>
            <w:pPr>
              <w:pStyle w:val="TableParagraph"/>
              <w:ind w:right="11"/>
              <w:rPr>
                <w:rFonts w:ascii="Calibri"/>
                <w:sz w:val="22"/>
              </w:rPr>
            </w:pPr>
            <w:r>
              <w:rPr>
                <w:rFonts w:ascii="Calibri"/>
                <w:w w:val="100"/>
                <w:sz w:val="22"/>
              </w:rPr>
              <w:t>0</w:t>
            </w:r>
          </w:p>
        </w:tc>
        <w:tc>
          <w:tcPr>
            <w:tcW w:w="1209" w:type="dxa"/>
            <w:tcBorders>
              <w:top w:val="nil"/>
              <w:left w:val="nil"/>
              <w:bottom w:val="nil"/>
              <w:right w:val="nil"/>
            </w:tcBorders>
          </w:tcPr>
          <w:p>
            <w:pPr>
              <w:pStyle w:val="TableParagraph"/>
              <w:ind w:left="20"/>
              <w:rPr>
                <w:rFonts w:ascii="Calibri"/>
                <w:sz w:val="22"/>
              </w:rPr>
            </w:pPr>
            <w:r>
              <w:rPr>
                <w:rFonts w:ascii="Calibri"/>
                <w:w w:val="100"/>
                <w:sz w:val="22"/>
              </w:rPr>
              <w:t>6</w:t>
            </w:r>
          </w:p>
        </w:tc>
        <w:tc>
          <w:tcPr>
            <w:tcW w:w="1124" w:type="dxa"/>
            <w:tcBorders>
              <w:top w:val="nil"/>
              <w:left w:val="nil"/>
              <w:bottom w:val="nil"/>
              <w:right w:val="nil"/>
            </w:tcBorders>
          </w:tcPr>
          <w:p>
            <w:pPr>
              <w:pStyle w:val="TableParagraph"/>
              <w:ind w:left="482"/>
              <w:jc w:val="left"/>
              <w:rPr>
                <w:rFonts w:ascii="Calibri"/>
                <w:sz w:val="22"/>
              </w:rPr>
            </w:pPr>
            <w:r>
              <w:rPr>
                <w:rFonts w:ascii="Calibri"/>
                <w:sz w:val="22"/>
              </w:rPr>
              <w:t>16</w:t>
            </w:r>
          </w:p>
        </w:tc>
        <w:tc>
          <w:tcPr>
            <w:tcW w:w="1061" w:type="dxa"/>
            <w:tcBorders>
              <w:top w:val="nil"/>
              <w:left w:val="nil"/>
              <w:bottom w:val="nil"/>
              <w:right w:val="nil"/>
            </w:tcBorders>
          </w:tcPr>
          <w:p>
            <w:pPr>
              <w:pStyle w:val="TableParagraph"/>
              <w:rPr>
                <w:rFonts w:ascii="Calibri"/>
                <w:sz w:val="22"/>
              </w:rPr>
            </w:pPr>
            <w:r>
              <w:rPr>
                <w:rFonts w:ascii="Calibri"/>
                <w:w w:val="100"/>
                <w:sz w:val="22"/>
              </w:rPr>
              <w:t>9</w:t>
            </w:r>
          </w:p>
        </w:tc>
        <w:tc>
          <w:tcPr>
            <w:tcW w:w="1093" w:type="dxa"/>
            <w:tcBorders>
              <w:top w:val="nil"/>
              <w:left w:val="nil"/>
              <w:bottom w:val="nil"/>
              <w:right w:val="nil"/>
            </w:tcBorders>
          </w:tcPr>
          <w:p>
            <w:pPr>
              <w:pStyle w:val="TableParagraph"/>
              <w:ind w:left="474"/>
              <w:jc w:val="left"/>
              <w:rPr>
                <w:rFonts w:ascii="Calibri"/>
                <w:sz w:val="22"/>
              </w:rPr>
            </w:pPr>
            <w:r>
              <w:rPr>
                <w:rFonts w:ascii="Calibri"/>
                <w:w w:val="100"/>
                <w:sz w:val="22"/>
              </w:rPr>
              <w:t>6</w:t>
            </w:r>
          </w:p>
        </w:tc>
        <w:tc>
          <w:tcPr>
            <w:tcW w:w="1008" w:type="dxa"/>
            <w:tcBorders>
              <w:top w:val="nil"/>
              <w:left w:val="nil"/>
              <w:bottom w:val="nil"/>
              <w:right w:val="nil"/>
            </w:tcBorders>
          </w:tcPr>
          <w:p>
            <w:pPr>
              <w:pStyle w:val="TableParagraph"/>
              <w:ind w:left="2"/>
              <w:rPr>
                <w:rFonts w:ascii="Calibri"/>
                <w:sz w:val="22"/>
              </w:rPr>
            </w:pPr>
            <w:r>
              <w:rPr>
                <w:rFonts w:ascii="Calibri"/>
                <w:w w:val="100"/>
                <w:sz w:val="22"/>
              </w:rPr>
              <w:t>0</w:t>
            </w:r>
          </w:p>
        </w:tc>
        <w:tc>
          <w:tcPr>
            <w:tcW w:w="1065" w:type="dxa"/>
            <w:tcBorders>
              <w:top w:val="nil"/>
              <w:left w:val="nil"/>
              <w:bottom w:val="nil"/>
              <w:right w:val="nil"/>
            </w:tcBorders>
          </w:tcPr>
          <w:p>
            <w:pPr>
              <w:pStyle w:val="TableParagraph"/>
              <w:ind w:left="56"/>
              <w:rPr>
                <w:rFonts w:ascii="Calibri"/>
                <w:sz w:val="22"/>
              </w:rPr>
            </w:pPr>
            <w:r>
              <w:rPr>
                <w:rFonts w:ascii="Calibri"/>
                <w:w w:val="100"/>
                <w:sz w:val="22"/>
              </w:rPr>
              <w:t>5</w:t>
            </w:r>
          </w:p>
        </w:tc>
        <w:tc>
          <w:tcPr>
            <w:tcW w:w="1055" w:type="dxa"/>
            <w:tcBorders>
              <w:top w:val="nil"/>
              <w:left w:val="nil"/>
              <w:bottom w:val="nil"/>
              <w:right w:val="single" w:sz="4" w:space="0" w:color="000000"/>
            </w:tcBorders>
          </w:tcPr>
          <w:p>
            <w:pPr>
              <w:pStyle w:val="TableParagraph"/>
              <w:ind w:left="372" w:right="301"/>
              <w:rPr>
                <w:rFonts w:ascii="Calibri"/>
                <w:sz w:val="22"/>
              </w:rPr>
            </w:pPr>
            <w:r>
              <w:rPr>
                <w:rFonts w:ascii="Calibri"/>
                <w:sz w:val="22"/>
              </w:rPr>
              <w:t>42</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41</w:t>
            </w:r>
          </w:p>
        </w:tc>
        <w:tc>
          <w:tcPr>
            <w:tcW w:w="1105" w:type="dxa"/>
            <w:tcBorders>
              <w:top w:val="nil"/>
              <w:bottom w:val="nil"/>
              <w:right w:val="nil"/>
            </w:tcBorders>
          </w:tcPr>
          <w:p>
            <w:pPr>
              <w:pStyle w:val="TableParagraph"/>
              <w:ind w:right="11"/>
              <w:rPr>
                <w:rFonts w:ascii="Calibri"/>
                <w:sz w:val="22"/>
              </w:rPr>
            </w:pPr>
            <w:r>
              <w:rPr>
                <w:rFonts w:ascii="Calibri"/>
                <w:w w:val="100"/>
                <w:sz w:val="22"/>
              </w:rPr>
              <w:t>0</w:t>
            </w:r>
          </w:p>
        </w:tc>
        <w:tc>
          <w:tcPr>
            <w:tcW w:w="1209" w:type="dxa"/>
            <w:tcBorders>
              <w:top w:val="nil"/>
              <w:left w:val="nil"/>
              <w:bottom w:val="nil"/>
              <w:right w:val="nil"/>
            </w:tcBorders>
          </w:tcPr>
          <w:p>
            <w:pPr>
              <w:pStyle w:val="TableParagraph"/>
              <w:ind w:left="20"/>
              <w:rPr>
                <w:rFonts w:ascii="Calibri"/>
                <w:sz w:val="22"/>
              </w:rPr>
            </w:pPr>
            <w:r>
              <w:rPr>
                <w:rFonts w:ascii="Calibri"/>
                <w:w w:val="100"/>
                <w:sz w:val="22"/>
              </w:rPr>
              <w:t>1</w:t>
            </w:r>
          </w:p>
        </w:tc>
        <w:tc>
          <w:tcPr>
            <w:tcW w:w="1124" w:type="dxa"/>
            <w:tcBorders>
              <w:top w:val="nil"/>
              <w:left w:val="nil"/>
              <w:bottom w:val="nil"/>
              <w:right w:val="nil"/>
            </w:tcBorders>
          </w:tcPr>
          <w:p>
            <w:pPr>
              <w:pStyle w:val="TableParagraph"/>
              <w:ind w:left="482"/>
              <w:jc w:val="left"/>
              <w:rPr>
                <w:rFonts w:ascii="Calibri"/>
                <w:sz w:val="22"/>
              </w:rPr>
            </w:pPr>
            <w:r>
              <w:rPr>
                <w:rFonts w:ascii="Calibri"/>
                <w:sz w:val="22"/>
              </w:rPr>
              <w:t>30</w:t>
            </w:r>
          </w:p>
        </w:tc>
        <w:tc>
          <w:tcPr>
            <w:tcW w:w="1061" w:type="dxa"/>
            <w:tcBorders>
              <w:top w:val="nil"/>
              <w:left w:val="nil"/>
              <w:bottom w:val="nil"/>
              <w:right w:val="nil"/>
            </w:tcBorders>
          </w:tcPr>
          <w:p>
            <w:pPr>
              <w:pStyle w:val="TableParagraph"/>
              <w:ind w:left="398" w:right="399"/>
              <w:rPr>
                <w:rFonts w:ascii="Calibri"/>
                <w:sz w:val="22"/>
              </w:rPr>
            </w:pPr>
            <w:r>
              <w:rPr>
                <w:rFonts w:ascii="Calibri"/>
                <w:sz w:val="22"/>
              </w:rPr>
              <w:t>23</w:t>
            </w:r>
          </w:p>
        </w:tc>
        <w:tc>
          <w:tcPr>
            <w:tcW w:w="1093" w:type="dxa"/>
            <w:tcBorders>
              <w:top w:val="nil"/>
              <w:left w:val="nil"/>
              <w:bottom w:val="nil"/>
              <w:right w:val="nil"/>
            </w:tcBorders>
          </w:tcPr>
          <w:p>
            <w:pPr>
              <w:pStyle w:val="TableParagraph"/>
              <w:ind w:left="419"/>
              <w:jc w:val="left"/>
              <w:rPr>
                <w:rFonts w:ascii="Calibri"/>
                <w:sz w:val="22"/>
              </w:rPr>
            </w:pPr>
            <w:r>
              <w:rPr>
                <w:rFonts w:ascii="Calibri"/>
                <w:sz w:val="22"/>
              </w:rPr>
              <w:t>11</w:t>
            </w:r>
          </w:p>
        </w:tc>
        <w:tc>
          <w:tcPr>
            <w:tcW w:w="1008" w:type="dxa"/>
            <w:tcBorders>
              <w:top w:val="nil"/>
              <w:left w:val="nil"/>
              <w:bottom w:val="nil"/>
              <w:right w:val="nil"/>
            </w:tcBorders>
          </w:tcPr>
          <w:p>
            <w:pPr>
              <w:pStyle w:val="TableParagraph"/>
              <w:ind w:left="2"/>
              <w:rPr>
                <w:rFonts w:ascii="Calibri"/>
                <w:sz w:val="22"/>
              </w:rPr>
            </w:pPr>
            <w:r>
              <w:rPr>
                <w:rFonts w:ascii="Calibri"/>
                <w:w w:val="100"/>
                <w:sz w:val="22"/>
              </w:rPr>
              <w:t>2</w:t>
            </w:r>
          </w:p>
        </w:tc>
        <w:tc>
          <w:tcPr>
            <w:tcW w:w="1065" w:type="dxa"/>
            <w:tcBorders>
              <w:top w:val="nil"/>
              <w:left w:val="nil"/>
              <w:bottom w:val="nil"/>
              <w:right w:val="nil"/>
            </w:tcBorders>
          </w:tcPr>
          <w:p>
            <w:pPr>
              <w:pStyle w:val="TableParagraph"/>
              <w:ind w:left="428" w:right="373"/>
              <w:rPr>
                <w:rFonts w:ascii="Calibri"/>
                <w:sz w:val="22"/>
              </w:rPr>
            </w:pPr>
            <w:r>
              <w:rPr>
                <w:rFonts w:ascii="Calibri"/>
                <w:sz w:val="22"/>
              </w:rPr>
              <w:t>32</w:t>
            </w:r>
          </w:p>
        </w:tc>
        <w:tc>
          <w:tcPr>
            <w:tcW w:w="1055" w:type="dxa"/>
            <w:tcBorders>
              <w:top w:val="nil"/>
              <w:left w:val="nil"/>
              <w:bottom w:val="nil"/>
              <w:right w:val="single" w:sz="4" w:space="0" w:color="000000"/>
            </w:tcBorders>
          </w:tcPr>
          <w:p>
            <w:pPr>
              <w:pStyle w:val="TableParagraph"/>
              <w:ind w:left="372" w:right="301"/>
              <w:rPr>
                <w:rFonts w:ascii="Calibri"/>
                <w:sz w:val="22"/>
              </w:rPr>
            </w:pPr>
            <w:r>
              <w:rPr>
                <w:rFonts w:ascii="Calibri"/>
                <w:sz w:val="22"/>
              </w:rPr>
              <w:t>99</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42</w:t>
            </w:r>
          </w:p>
        </w:tc>
        <w:tc>
          <w:tcPr>
            <w:tcW w:w="1105" w:type="dxa"/>
            <w:tcBorders>
              <w:top w:val="nil"/>
              <w:bottom w:val="nil"/>
              <w:right w:val="nil"/>
            </w:tcBorders>
          </w:tcPr>
          <w:p>
            <w:pPr>
              <w:pStyle w:val="TableParagraph"/>
              <w:ind w:right="11"/>
              <w:rPr>
                <w:rFonts w:ascii="Calibri"/>
                <w:sz w:val="22"/>
              </w:rPr>
            </w:pPr>
            <w:r>
              <w:rPr>
                <w:rFonts w:ascii="Calibri"/>
                <w:w w:val="100"/>
                <w:sz w:val="22"/>
              </w:rPr>
              <w:t>0</w:t>
            </w:r>
          </w:p>
        </w:tc>
        <w:tc>
          <w:tcPr>
            <w:tcW w:w="1209" w:type="dxa"/>
            <w:tcBorders>
              <w:top w:val="nil"/>
              <w:left w:val="nil"/>
              <w:bottom w:val="nil"/>
              <w:right w:val="nil"/>
            </w:tcBorders>
          </w:tcPr>
          <w:p>
            <w:pPr>
              <w:pStyle w:val="TableParagraph"/>
              <w:ind w:left="20"/>
              <w:rPr>
                <w:rFonts w:ascii="Calibri"/>
                <w:sz w:val="22"/>
              </w:rPr>
            </w:pPr>
            <w:r>
              <w:rPr>
                <w:rFonts w:ascii="Calibri"/>
                <w:w w:val="100"/>
                <w:sz w:val="22"/>
              </w:rPr>
              <w:t>1</w:t>
            </w:r>
          </w:p>
        </w:tc>
        <w:tc>
          <w:tcPr>
            <w:tcW w:w="1124" w:type="dxa"/>
            <w:tcBorders>
              <w:top w:val="nil"/>
              <w:left w:val="nil"/>
              <w:bottom w:val="nil"/>
              <w:right w:val="nil"/>
            </w:tcBorders>
          </w:tcPr>
          <w:p>
            <w:pPr>
              <w:pStyle w:val="TableParagraph"/>
              <w:ind w:left="482"/>
              <w:jc w:val="left"/>
              <w:rPr>
                <w:rFonts w:ascii="Calibri"/>
                <w:sz w:val="22"/>
              </w:rPr>
            </w:pPr>
            <w:r>
              <w:rPr>
                <w:rFonts w:ascii="Calibri"/>
                <w:sz w:val="22"/>
              </w:rPr>
              <w:t>11</w:t>
            </w:r>
          </w:p>
        </w:tc>
        <w:tc>
          <w:tcPr>
            <w:tcW w:w="1061" w:type="dxa"/>
            <w:tcBorders>
              <w:top w:val="nil"/>
              <w:left w:val="nil"/>
              <w:bottom w:val="nil"/>
              <w:right w:val="nil"/>
            </w:tcBorders>
          </w:tcPr>
          <w:p>
            <w:pPr>
              <w:pStyle w:val="TableParagraph"/>
              <w:ind w:left="398" w:right="399"/>
              <w:rPr>
                <w:rFonts w:ascii="Calibri"/>
                <w:sz w:val="22"/>
              </w:rPr>
            </w:pPr>
            <w:r>
              <w:rPr>
                <w:rFonts w:ascii="Calibri"/>
                <w:sz w:val="22"/>
              </w:rPr>
              <w:t>24</w:t>
            </w:r>
          </w:p>
        </w:tc>
        <w:tc>
          <w:tcPr>
            <w:tcW w:w="1093" w:type="dxa"/>
            <w:tcBorders>
              <w:top w:val="nil"/>
              <w:left w:val="nil"/>
              <w:bottom w:val="nil"/>
              <w:right w:val="nil"/>
            </w:tcBorders>
          </w:tcPr>
          <w:p>
            <w:pPr>
              <w:pStyle w:val="TableParagraph"/>
              <w:ind w:left="474"/>
              <w:jc w:val="left"/>
              <w:rPr>
                <w:rFonts w:ascii="Calibri"/>
                <w:sz w:val="22"/>
              </w:rPr>
            </w:pPr>
            <w:r>
              <w:rPr>
                <w:rFonts w:ascii="Calibri"/>
                <w:w w:val="100"/>
                <w:sz w:val="22"/>
              </w:rPr>
              <w:t>9</w:t>
            </w:r>
          </w:p>
        </w:tc>
        <w:tc>
          <w:tcPr>
            <w:tcW w:w="1008" w:type="dxa"/>
            <w:tcBorders>
              <w:top w:val="nil"/>
              <w:left w:val="nil"/>
              <w:bottom w:val="nil"/>
              <w:right w:val="nil"/>
            </w:tcBorders>
          </w:tcPr>
          <w:p>
            <w:pPr>
              <w:pStyle w:val="TableParagraph"/>
              <w:ind w:left="2"/>
              <w:rPr>
                <w:rFonts w:ascii="Calibri"/>
                <w:sz w:val="22"/>
              </w:rPr>
            </w:pPr>
            <w:r>
              <w:rPr>
                <w:rFonts w:ascii="Calibri"/>
                <w:w w:val="100"/>
                <w:sz w:val="22"/>
              </w:rPr>
              <w:t>4</w:t>
            </w:r>
          </w:p>
        </w:tc>
        <w:tc>
          <w:tcPr>
            <w:tcW w:w="1065" w:type="dxa"/>
            <w:tcBorders>
              <w:top w:val="nil"/>
              <w:left w:val="nil"/>
              <w:bottom w:val="nil"/>
              <w:right w:val="nil"/>
            </w:tcBorders>
          </w:tcPr>
          <w:p>
            <w:pPr>
              <w:pStyle w:val="TableParagraph"/>
              <w:ind w:left="56"/>
              <w:rPr>
                <w:rFonts w:ascii="Calibri"/>
                <w:sz w:val="22"/>
              </w:rPr>
            </w:pPr>
            <w:r>
              <w:rPr>
                <w:rFonts w:ascii="Calibri"/>
                <w:w w:val="100"/>
                <w:sz w:val="22"/>
              </w:rPr>
              <w:t>7</w:t>
            </w:r>
          </w:p>
        </w:tc>
        <w:tc>
          <w:tcPr>
            <w:tcW w:w="1055" w:type="dxa"/>
            <w:tcBorders>
              <w:top w:val="nil"/>
              <w:left w:val="nil"/>
              <w:bottom w:val="nil"/>
              <w:right w:val="single" w:sz="4" w:space="0" w:color="000000"/>
            </w:tcBorders>
          </w:tcPr>
          <w:p>
            <w:pPr>
              <w:pStyle w:val="TableParagraph"/>
              <w:ind w:left="372" w:right="301"/>
              <w:rPr>
                <w:rFonts w:ascii="Calibri"/>
                <w:sz w:val="22"/>
              </w:rPr>
            </w:pPr>
            <w:r>
              <w:rPr>
                <w:rFonts w:ascii="Calibri"/>
                <w:sz w:val="22"/>
              </w:rPr>
              <w:t>56</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43</w:t>
            </w:r>
          </w:p>
        </w:tc>
        <w:tc>
          <w:tcPr>
            <w:tcW w:w="1105" w:type="dxa"/>
            <w:tcBorders>
              <w:top w:val="nil"/>
              <w:bottom w:val="nil"/>
              <w:right w:val="nil"/>
            </w:tcBorders>
          </w:tcPr>
          <w:p>
            <w:pPr>
              <w:pStyle w:val="TableParagraph"/>
              <w:ind w:right="11"/>
              <w:rPr>
                <w:rFonts w:ascii="Calibri"/>
                <w:sz w:val="22"/>
              </w:rPr>
            </w:pPr>
            <w:r>
              <w:rPr>
                <w:rFonts w:ascii="Calibri"/>
                <w:w w:val="100"/>
                <w:sz w:val="22"/>
              </w:rPr>
              <w:t>0</w:t>
            </w:r>
          </w:p>
        </w:tc>
        <w:tc>
          <w:tcPr>
            <w:tcW w:w="1209" w:type="dxa"/>
            <w:tcBorders>
              <w:top w:val="nil"/>
              <w:left w:val="nil"/>
              <w:bottom w:val="nil"/>
              <w:right w:val="nil"/>
            </w:tcBorders>
          </w:tcPr>
          <w:p>
            <w:pPr>
              <w:pStyle w:val="TableParagraph"/>
              <w:ind w:left="20"/>
              <w:rPr>
                <w:rFonts w:ascii="Calibri"/>
                <w:sz w:val="22"/>
              </w:rPr>
            </w:pPr>
            <w:r>
              <w:rPr>
                <w:rFonts w:ascii="Calibri"/>
                <w:w w:val="100"/>
                <w:sz w:val="22"/>
              </w:rPr>
              <w:t>7</w:t>
            </w:r>
          </w:p>
        </w:tc>
        <w:tc>
          <w:tcPr>
            <w:tcW w:w="1124" w:type="dxa"/>
            <w:tcBorders>
              <w:top w:val="nil"/>
              <w:left w:val="nil"/>
              <w:bottom w:val="nil"/>
              <w:right w:val="nil"/>
            </w:tcBorders>
          </w:tcPr>
          <w:p>
            <w:pPr>
              <w:pStyle w:val="TableParagraph"/>
              <w:ind w:left="482"/>
              <w:jc w:val="left"/>
              <w:rPr>
                <w:rFonts w:ascii="Calibri"/>
                <w:sz w:val="22"/>
              </w:rPr>
            </w:pPr>
            <w:r>
              <w:rPr>
                <w:rFonts w:ascii="Calibri"/>
                <w:sz w:val="22"/>
              </w:rPr>
              <w:t>19</w:t>
            </w:r>
          </w:p>
        </w:tc>
        <w:tc>
          <w:tcPr>
            <w:tcW w:w="1061" w:type="dxa"/>
            <w:tcBorders>
              <w:top w:val="nil"/>
              <w:left w:val="nil"/>
              <w:bottom w:val="nil"/>
              <w:right w:val="nil"/>
            </w:tcBorders>
          </w:tcPr>
          <w:p>
            <w:pPr>
              <w:pStyle w:val="TableParagraph"/>
              <w:ind w:left="398" w:right="399"/>
              <w:rPr>
                <w:rFonts w:ascii="Calibri"/>
                <w:sz w:val="22"/>
              </w:rPr>
            </w:pPr>
            <w:r>
              <w:rPr>
                <w:rFonts w:ascii="Calibri"/>
                <w:sz w:val="22"/>
              </w:rPr>
              <w:t>21</w:t>
            </w:r>
          </w:p>
        </w:tc>
        <w:tc>
          <w:tcPr>
            <w:tcW w:w="1093" w:type="dxa"/>
            <w:tcBorders>
              <w:top w:val="nil"/>
              <w:left w:val="nil"/>
              <w:bottom w:val="nil"/>
              <w:right w:val="nil"/>
            </w:tcBorders>
          </w:tcPr>
          <w:p>
            <w:pPr>
              <w:pStyle w:val="TableParagraph"/>
              <w:ind w:left="419"/>
              <w:jc w:val="left"/>
              <w:rPr>
                <w:rFonts w:ascii="Calibri"/>
                <w:sz w:val="22"/>
              </w:rPr>
            </w:pPr>
            <w:r>
              <w:rPr>
                <w:rFonts w:ascii="Calibri"/>
                <w:sz w:val="22"/>
              </w:rPr>
              <w:t>15</w:t>
            </w:r>
          </w:p>
        </w:tc>
        <w:tc>
          <w:tcPr>
            <w:tcW w:w="1008" w:type="dxa"/>
            <w:tcBorders>
              <w:top w:val="nil"/>
              <w:left w:val="nil"/>
              <w:bottom w:val="nil"/>
              <w:right w:val="nil"/>
            </w:tcBorders>
          </w:tcPr>
          <w:p>
            <w:pPr>
              <w:pStyle w:val="TableParagraph"/>
              <w:ind w:left="2"/>
              <w:rPr>
                <w:rFonts w:ascii="Calibri"/>
                <w:sz w:val="22"/>
              </w:rPr>
            </w:pPr>
            <w:r>
              <w:rPr>
                <w:rFonts w:ascii="Calibri"/>
                <w:w w:val="100"/>
                <w:sz w:val="22"/>
              </w:rPr>
              <w:t>1</w:t>
            </w:r>
          </w:p>
        </w:tc>
        <w:tc>
          <w:tcPr>
            <w:tcW w:w="1065" w:type="dxa"/>
            <w:tcBorders>
              <w:top w:val="nil"/>
              <w:left w:val="nil"/>
              <w:bottom w:val="nil"/>
              <w:right w:val="nil"/>
            </w:tcBorders>
          </w:tcPr>
          <w:p>
            <w:pPr>
              <w:pStyle w:val="TableParagraph"/>
              <w:ind w:left="428" w:right="373"/>
              <w:rPr>
                <w:rFonts w:ascii="Calibri"/>
                <w:sz w:val="22"/>
              </w:rPr>
            </w:pPr>
            <w:r>
              <w:rPr>
                <w:rFonts w:ascii="Calibri"/>
                <w:sz w:val="22"/>
              </w:rPr>
              <w:t>14</w:t>
            </w:r>
          </w:p>
        </w:tc>
        <w:tc>
          <w:tcPr>
            <w:tcW w:w="1055" w:type="dxa"/>
            <w:tcBorders>
              <w:top w:val="nil"/>
              <w:left w:val="nil"/>
              <w:bottom w:val="nil"/>
              <w:right w:val="single" w:sz="4" w:space="0" w:color="000000"/>
            </w:tcBorders>
          </w:tcPr>
          <w:p>
            <w:pPr>
              <w:pStyle w:val="TableParagraph"/>
              <w:ind w:left="372" w:right="301"/>
              <w:rPr>
                <w:rFonts w:ascii="Calibri"/>
                <w:sz w:val="22"/>
              </w:rPr>
            </w:pPr>
            <w:r>
              <w:rPr>
                <w:rFonts w:ascii="Calibri"/>
                <w:sz w:val="22"/>
              </w:rPr>
              <w:t>77</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44</w:t>
            </w:r>
          </w:p>
        </w:tc>
        <w:tc>
          <w:tcPr>
            <w:tcW w:w="1105" w:type="dxa"/>
            <w:tcBorders>
              <w:top w:val="nil"/>
              <w:bottom w:val="nil"/>
              <w:right w:val="nil"/>
            </w:tcBorders>
          </w:tcPr>
          <w:p>
            <w:pPr>
              <w:pStyle w:val="TableParagraph"/>
              <w:ind w:right="11"/>
              <w:rPr>
                <w:rFonts w:ascii="Calibri"/>
                <w:sz w:val="22"/>
              </w:rPr>
            </w:pPr>
            <w:r>
              <w:rPr>
                <w:rFonts w:ascii="Calibri"/>
                <w:w w:val="100"/>
                <w:sz w:val="22"/>
              </w:rPr>
              <w:t>0</w:t>
            </w:r>
          </w:p>
        </w:tc>
        <w:tc>
          <w:tcPr>
            <w:tcW w:w="1209" w:type="dxa"/>
            <w:tcBorders>
              <w:top w:val="nil"/>
              <w:left w:val="nil"/>
              <w:bottom w:val="nil"/>
              <w:right w:val="nil"/>
            </w:tcBorders>
          </w:tcPr>
          <w:p>
            <w:pPr>
              <w:pStyle w:val="TableParagraph"/>
              <w:ind w:left="20"/>
              <w:rPr>
                <w:rFonts w:ascii="Calibri"/>
                <w:sz w:val="22"/>
              </w:rPr>
            </w:pPr>
            <w:r>
              <w:rPr>
                <w:rFonts w:ascii="Calibri"/>
                <w:w w:val="100"/>
                <w:sz w:val="22"/>
              </w:rPr>
              <w:t>5</w:t>
            </w:r>
          </w:p>
        </w:tc>
        <w:tc>
          <w:tcPr>
            <w:tcW w:w="1124" w:type="dxa"/>
            <w:tcBorders>
              <w:top w:val="nil"/>
              <w:left w:val="nil"/>
              <w:bottom w:val="nil"/>
              <w:right w:val="nil"/>
            </w:tcBorders>
          </w:tcPr>
          <w:p>
            <w:pPr>
              <w:pStyle w:val="TableParagraph"/>
              <w:ind w:left="540"/>
              <w:jc w:val="left"/>
              <w:rPr>
                <w:rFonts w:ascii="Calibri"/>
                <w:sz w:val="22"/>
              </w:rPr>
            </w:pPr>
            <w:r>
              <w:rPr>
                <w:rFonts w:ascii="Calibri"/>
                <w:w w:val="100"/>
                <w:sz w:val="22"/>
              </w:rPr>
              <w:t>5</w:t>
            </w:r>
          </w:p>
        </w:tc>
        <w:tc>
          <w:tcPr>
            <w:tcW w:w="1061" w:type="dxa"/>
            <w:tcBorders>
              <w:top w:val="nil"/>
              <w:left w:val="nil"/>
              <w:bottom w:val="nil"/>
              <w:right w:val="nil"/>
            </w:tcBorders>
          </w:tcPr>
          <w:p>
            <w:pPr>
              <w:pStyle w:val="TableParagraph"/>
              <w:ind w:left="398" w:right="399"/>
              <w:rPr>
                <w:rFonts w:ascii="Calibri"/>
                <w:sz w:val="22"/>
              </w:rPr>
            </w:pPr>
            <w:r>
              <w:rPr>
                <w:rFonts w:ascii="Calibri"/>
                <w:sz w:val="22"/>
              </w:rPr>
              <w:t>15</w:t>
            </w:r>
          </w:p>
        </w:tc>
        <w:tc>
          <w:tcPr>
            <w:tcW w:w="1093" w:type="dxa"/>
            <w:tcBorders>
              <w:top w:val="nil"/>
              <w:left w:val="nil"/>
              <w:bottom w:val="nil"/>
              <w:right w:val="nil"/>
            </w:tcBorders>
          </w:tcPr>
          <w:p>
            <w:pPr>
              <w:pStyle w:val="TableParagraph"/>
              <w:ind w:left="474"/>
              <w:jc w:val="left"/>
              <w:rPr>
                <w:rFonts w:ascii="Calibri"/>
                <w:sz w:val="22"/>
              </w:rPr>
            </w:pPr>
            <w:r>
              <w:rPr>
                <w:rFonts w:ascii="Calibri"/>
                <w:w w:val="100"/>
                <w:sz w:val="22"/>
              </w:rPr>
              <w:t>2</w:t>
            </w:r>
          </w:p>
        </w:tc>
        <w:tc>
          <w:tcPr>
            <w:tcW w:w="1008" w:type="dxa"/>
            <w:tcBorders>
              <w:top w:val="nil"/>
              <w:left w:val="nil"/>
              <w:bottom w:val="nil"/>
              <w:right w:val="nil"/>
            </w:tcBorders>
          </w:tcPr>
          <w:p>
            <w:pPr>
              <w:pStyle w:val="TableParagraph"/>
              <w:ind w:left="2"/>
              <w:rPr>
                <w:rFonts w:ascii="Calibri"/>
                <w:sz w:val="22"/>
              </w:rPr>
            </w:pPr>
            <w:r>
              <w:rPr>
                <w:rFonts w:ascii="Calibri"/>
                <w:w w:val="100"/>
                <w:sz w:val="22"/>
              </w:rPr>
              <w:t>0</w:t>
            </w:r>
          </w:p>
        </w:tc>
        <w:tc>
          <w:tcPr>
            <w:tcW w:w="1065" w:type="dxa"/>
            <w:tcBorders>
              <w:top w:val="nil"/>
              <w:left w:val="nil"/>
              <w:bottom w:val="nil"/>
              <w:right w:val="nil"/>
            </w:tcBorders>
          </w:tcPr>
          <w:p>
            <w:pPr>
              <w:pStyle w:val="TableParagraph"/>
              <w:ind w:left="56"/>
              <w:rPr>
                <w:rFonts w:ascii="Calibri"/>
                <w:sz w:val="22"/>
              </w:rPr>
            </w:pPr>
            <w:r>
              <w:rPr>
                <w:rFonts w:ascii="Calibri"/>
                <w:w w:val="100"/>
                <w:sz w:val="22"/>
              </w:rPr>
              <w:t>1</w:t>
            </w:r>
          </w:p>
        </w:tc>
        <w:tc>
          <w:tcPr>
            <w:tcW w:w="1055" w:type="dxa"/>
            <w:tcBorders>
              <w:top w:val="nil"/>
              <w:left w:val="nil"/>
              <w:bottom w:val="nil"/>
              <w:right w:val="single" w:sz="4" w:space="0" w:color="000000"/>
            </w:tcBorders>
          </w:tcPr>
          <w:p>
            <w:pPr>
              <w:pStyle w:val="TableParagraph"/>
              <w:ind w:left="372" w:right="301"/>
              <w:rPr>
                <w:rFonts w:ascii="Calibri"/>
                <w:sz w:val="22"/>
              </w:rPr>
            </w:pPr>
            <w:r>
              <w:rPr>
                <w:rFonts w:ascii="Calibri"/>
                <w:sz w:val="22"/>
              </w:rPr>
              <w:t>28</w:t>
            </w:r>
          </w:p>
        </w:tc>
      </w:tr>
      <w:tr>
        <w:trPr>
          <w:trHeight w:val="614" w:hRule="exact"/>
        </w:trPr>
        <w:tc>
          <w:tcPr>
            <w:tcW w:w="1027" w:type="dxa"/>
            <w:tcBorders>
              <w:top w:val="nil"/>
              <w:left w:val="single" w:sz="4" w:space="0" w:color="000000"/>
            </w:tcBorders>
          </w:tcPr>
          <w:p>
            <w:pPr>
              <w:pStyle w:val="TableParagraph"/>
              <w:ind w:left="148" w:right="148"/>
              <w:rPr>
                <w:rFonts w:ascii="Calibri"/>
                <w:sz w:val="22"/>
              </w:rPr>
            </w:pPr>
            <w:r>
              <w:rPr>
                <w:rFonts w:ascii="Calibri"/>
                <w:sz w:val="22"/>
              </w:rPr>
              <w:t>45</w:t>
            </w:r>
          </w:p>
        </w:tc>
        <w:tc>
          <w:tcPr>
            <w:tcW w:w="1105" w:type="dxa"/>
            <w:tcBorders>
              <w:top w:val="nil"/>
              <w:right w:val="nil"/>
            </w:tcBorders>
          </w:tcPr>
          <w:p>
            <w:pPr>
              <w:pStyle w:val="TableParagraph"/>
              <w:ind w:right="11"/>
              <w:rPr>
                <w:rFonts w:ascii="Calibri"/>
                <w:sz w:val="22"/>
              </w:rPr>
            </w:pPr>
            <w:r>
              <w:rPr>
                <w:rFonts w:ascii="Calibri"/>
                <w:w w:val="100"/>
                <w:sz w:val="22"/>
              </w:rPr>
              <w:t>0</w:t>
            </w:r>
          </w:p>
        </w:tc>
        <w:tc>
          <w:tcPr>
            <w:tcW w:w="1209" w:type="dxa"/>
            <w:tcBorders>
              <w:top w:val="nil"/>
              <w:left w:val="nil"/>
              <w:right w:val="nil"/>
            </w:tcBorders>
          </w:tcPr>
          <w:p>
            <w:pPr>
              <w:pStyle w:val="TableParagraph"/>
              <w:ind w:left="20"/>
              <w:rPr>
                <w:rFonts w:ascii="Calibri"/>
                <w:sz w:val="22"/>
              </w:rPr>
            </w:pPr>
            <w:r>
              <w:rPr>
                <w:rFonts w:ascii="Calibri"/>
                <w:w w:val="100"/>
                <w:sz w:val="22"/>
              </w:rPr>
              <w:t>1</w:t>
            </w:r>
          </w:p>
        </w:tc>
        <w:tc>
          <w:tcPr>
            <w:tcW w:w="1124" w:type="dxa"/>
            <w:tcBorders>
              <w:top w:val="nil"/>
              <w:left w:val="nil"/>
              <w:right w:val="nil"/>
            </w:tcBorders>
          </w:tcPr>
          <w:p>
            <w:pPr>
              <w:pStyle w:val="TableParagraph"/>
              <w:ind w:left="540"/>
              <w:jc w:val="left"/>
              <w:rPr>
                <w:rFonts w:ascii="Calibri"/>
                <w:sz w:val="22"/>
              </w:rPr>
            </w:pPr>
            <w:r>
              <w:rPr>
                <w:rFonts w:ascii="Calibri"/>
                <w:w w:val="100"/>
                <w:sz w:val="22"/>
              </w:rPr>
              <w:t>8</w:t>
            </w:r>
          </w:p>
        </w:tc>
        <w:tc>
          <w:tcPr>
            <w:tcW w:w="1061" w:type="dxa"/>
            <w:tcBorders>
              <w:top w:val="nil"/>
              <w:left w:val="nil"/>
              <w:right w:val="nil"/>
            </w:tcBorders>
          </w:tcPr>
          <w:p>
            <w:pPr>
              <w:pStyle w:val="TableParagraph"/>
              <w:rPr>
                <w:rFonts w:ascii="Calibri"/>
                <w:sz w:val="22"/>
              </w:rPr>
            </w:pPr>
            <w:r>
              <w:rPr>
                <w:rFonts w:ascii="Calibri"/>
                <w:w w:val="100"/>
                <w:sz w:val="22"/>
              </w:rPr>
              <w:t>1</w:t>
            </w:r>
          </w:p>
        </w:tc>
        <w:tc>
          <w:tcPr>
            <w:tcW w:w="1093" w:type="dxa"/>
            <w:tcBorders>
              <w:top w:val="nil"/>
              <w:left w:val="nil"/>
              <w:right w:val="nil"/>
            </w:tcBorders>
          </w:tcPr>
          <w:p>
            <w:pPr>
              <w:pStyle w:val="TableParagraph"/>
              <w:ind w:left="419"/>
              <w:jc w:val="left"/>
              <w:rPr>
                <w:rFonts w:ascii="Calibri"/>
                <w:sz w:val="22"/>
              </w:rPr>
            </w:pPr>
            <w:r>
              <w:rPr>
                <w:rFonts w:ascii="Calibri"/>
                <w:sz w:val="22"/>
              </w:rPr>
              <w:t>15</w:t>
            </w:r>
          </w:p>
        </w:tc>
        <w:tc>
          <w:tcPr>
            <w:tcW w:w="1008" w:type="dxa"/>
            <w:tcBorders>
              <w:top w:val="nil"/>
              <w:left w:val="nil"/>
              <w:right w:val="nil"/>
            </w:tcBorders>
          </w:tcPr>
          <w:p>
            <w:pPr>
              <w:pStyle w:val="TableParagraph"/>
              <w:ind w:left="2"/>
              <w:rPr>
                <w:rFonts w:ascii="Calibri"/>
                <w:sz w:val="22"/>
              </w:rPr>
            </w:pPr>
            <w:r>
              <w:rPr>
                <w:rFonts w:ascii="Calibri"/>
                <w:w w:val="100"/>
                <w:sz w:val="22"/>
              </w:rPr>
              <w:t>0</w:t>
            </w:r>
          </w:p>
        </w:tc>
        <w:tc>
          <w:tcPr>
            <w:tcW w:w="1065" w:type="dxa"/>
            <w:tcBorders>
              <w:top w:val="nil"/>
              <w:left w:val="nil"/>
              <w:right w:val="nil"/>
            </w:tcBorders>
          </w:tcPr>
          <w:p>
            <w:pPr>
              <w:pStyle w:val="TableParagraph"/>
              <w:ind w:left="56"/>
              <w:rPr>
                <w:rFonts w:ascii="Calibri"/>
                <w:sz w:val="22"/>
              </w:rPr>
            </w:pPr>
            <w:r>
              <w:rPr>
                <w:rFonts w:ascii="Calibri"/>
                <w:w w:val="100"/>
                <w:sz w:val="22"/>
              </w:rPr>
              <w:t>5</w:t>
            </w:r>
          </w:p>
        </w:tc>
        <w:tc>
          <w:tcPr>
            <w:tcW w:w="1055" w:type="dxa"/>
            <w:tcBorders>
              <w:top w:val="nil"/>
              <w:left w:val="nil"/>
              <w:right w:val="single" w:sz="4" w:space="0" w:color="000000"/>
            </w:tcBorders>
          </w:tcPr>
          <w:p>
            <w:pPr>
              <w:pStyle w:val="TableParagraph"/>
              <w:ind w:left="372" w:right="301"/>
              <w:rPr>
                <w:rFonts w:ascii="Calibri"/>
                <w:sz w:val="22"/>
              </w:rPr>
            </w:pPr>
            <w:r>
              <w:rPr>
                <w:rFonts w:ascii="Calibri"/>
                <w:sz w:val="22"/>
              </w:rPr>
              <w:t>30</w:t>
            </w:r>
          </w:p>
        </w:tc>
      </w:tr>
    </w:tbl>
    <w:p>
      <w:pPr>
        <w:spacing w:after="0"/>
        <w:rPr>
          <w:rFonts w:ascii="Calibri"/>
          <w:sz w:val="22"/>
        </w:rPr>
        <w:sectPr>
          <w:pgSz w:w="12240" w:h="15840"/>
          <w:pgMar w:header="0" w:footer="534" w:top="1500" w:bottom="780" w:left="0" w:right="0"/>
        </w:sectPr>
      </w:pPr>
    </w:p>
    <w:p>
      <w:pPr>
        <w:pStyle w:val="BodyText"/>
        <w:spacing w:before="6"/>
        <w:rPr>
          <w:rFonts w:ascii="Times New Roman"/>
          <w:sz w:val="17"/>
        </w:rPr>
      </w:pPr>
    </w:p>
    <w:tbl>
      <w:tblPr>
        <w:tblW w:w="0" w:type="auto"/>
        <w:jc w:val="left"/>
        <w:tblInd w:w="1306"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CellMar>
          <w:top w:w="0" w:type="dxa"/>
          <w:left w:w="0" w:type="dxa"/>
          <w:bottom w:w="0" w:type="dxa"/>
          <w:right w:w="0" w:type="dxa"/>
        </w:tblCellMar>
        <w:tblLook w:val="01E0"/>
      </w:tblPr>
      <w:tblGrid>
        <w:gridCol w:w="1027"/>
        <w:gridCol w:w="437"/>
        <w:gridCol w:w="705"/>
        <w:gridCol w:w="1119"/>
        <w:gridCol w:w="1227"/>
        <w:gridCol w:w="1009"/>
        <w:gridCol w:w="1065"/>
        <w:gridCol w:w="1014"/>
        <w:gridCol w:w="1154"/>
        <w:gridCol w:w="991"/>
      </w:tblGrid>
      <w:tr>
        <w:trPr>
          <w:trHeight w:val="413" w:hRule="exact"/>
        </w:trPr>
        <w:tc>
          <w:tcPr>
            <w:tcW w:w="1027" w:type="dxa"/>
            <w:tcBorders>
              <w:left w:val="single" w:sz="4" w:space="0" w:color="000000"/>
              <w:bottom w:val="nil"/>
            </w:tcBorders>
          </w:tcPr>
          <w:p>
            <w:pPr>
              <w:pStyle w:val="TableParagraph"/>
              <w:spacing w:line="268" w:lineRule="exact" w:before="0"/>
              <w:ind w:left="148" w:right="148"/>
              <w:rPr>
                <w:rFonts w:ascii="Calibri"/>
                <w:sz w:val="22"/>
              </w:rPr>
            </w:pPr>
            <w:r>
              <w:rPr>
                <w:rFonts w:ascii="Calibri"/>
                <w:sz w:val="22"/>
              </w:rPr>
              <w:t>46</w:t>
            </w:r>
          </w:p>
        </w:tc>
        <w:tc>
          <w:tcPr>
            <w:tcW w:w="437" w:type="dxa"/>
            <w:tcBorders>
              <w:bottom w:val="nil"/>
              <w:right w:val="nil"/>
            </w:tcBorders>
          </w:tcPr>
          <w:p>
            <w:pPr/>
          </w:p>
        </w:tc>
        <w:tc>
          <w:tcPr>
            <w:tcW w:w="705" w:type="dxa"/>
            <w:tcBorders>
              <w:left w:val="nil"/>
              <w:bottom w:val="nil"/>
              <w:right w:val="nil"/>
            </w:tcBorders>
          </w:tcPr>
          <w:p>
            <w:pPr>
              <w:pStyle w:val="TableParagraph"/>
              <w:spacing w:line="268" w:lineRule="exact" w:before="0"/>
              <w:ind w:left="55"/>
              <w:jc w:val="left"/>
              <w:rPr>
                <w:rFonts w:ascii="Calibri"/>
                <w:sz w:val="22"/>
              </w:rPr>
            </w:pPr>
            <w:r>
              <w:rPr>
                <w:rFonts w:ascii="Calibri"/>
                <w:w w:val="100"/>
                <w:sz w:val="22"/>
              </w:rPr>
              <w:t>1</w:t>
            </w:r>
          </w:p>
        </w:tc>
        <w:tc>
          <w:tcPr>
            <w:tcW w:w="1119" w:type="dxa"/>
            <w:tcBorders>
              <w:left w:val="nil"/>
              <w:bottom w:val="nil"/>
              <w:right w:val="nil"/>
            </w:tcBorders>
          </w:tcPr>
          <w:p>
            <w:pPr>
              <w:pStyle w:val="TableParagraph"/>
              <w:spacing w:line="268" w:lineRule="exact" w:before="0"/>
              <w:ind w:left="36"/>
              <w:rPr>
                <w:rFonts w:ascii="Calibri"/>
                <w:sz w:val="22"/>
              </w:rPr>
            </w:pPr>
            <w:r>
              <w:rPr>
                <w:rFonts w:ascii="Calibri"/>
                <w:w w:val="100"/>
                <w:sz w:val="22"/>
              </w:rPr>
              <w:t>5</w:t>
            </w:r>
          </w:p>
        </w:tc>
        <w:tc>
          <w:tcPr>
            <w:tcW w:w="1227" w:type="dxa"/>
            <w:tcBorders>
              <w:left w:val="nil"/>
              <w:bottom w:val="nil"/>
              <w:right w:val="nil"/>
            </w:tcBorders>
          </w:tcPr>
          <w:p>
            <w:pPr>
              <w:pStyle w:val="TableParagraph"/>
              <w:spacing w:line="268" w:lineRule="exact" w:before="0"/>
              <w:ind w:left="175" w:right="106"/>
              <w:rPr>
                <w:rFonts w:ascii="Calibri"/>
                <w:sz w:val="22"/>
              </w:rPr>
            </w:pPr>
            <w:r>
              <w:rPr>
                <w:rFonts w:ascii="Calibri"/>
                <w:sz w:val="22"/>
              </w:rPr>
              <w:t>10</w:t>
            </w:r>
          </w:p>
        </w:tc>
        <w:tc>
          <w:tcPr>
            <w:tcW w:w="1009" w:type="dxa"/>
            <w:tcBorders>
              <w:left w:val="nil"/>
              <w:bottom w:val="nil"/>
              <w:right w:val="nil"/>
            </w:tcBorders>
          </w:tcPr>
          <w:p>
            <w:pPr>
              <w:pStyle w:val="TableParagraph"/>
              <w:spacing w:line="268" w:lineRule="exact" w:before="0"/>
              <w:ind w:left="111" w:right="158"/>
              <w:rPr>
                <w:rFonts w:ascii="Calibri"/>
                <w:sz w:val="22"/>
              </w:rPr>
            </w:pPr>
            <w:r>
              <w:rPr>
                <w:rFonts w:ascii="Calibri"/>
                <w:sz w:val="22"/>
              </w:rPr>
              <w:t>10</w:t>
            </w:r>
          </w:p>
        </w:tc>
        <w:tc>
          <w:tcPr>
            <w:tcW w:w="1065" w:type="dxa"/>
            <w:tcBorders>
              <w:left w:val="nil"/>
              <w:bottom w:val="nil"/>
              <w:right w:val="nil"/>
            </w:tcBorders>
          </w:tcPr>
          <w:p>
            <w:pPr>
              <w:pStyle w:val="TableParagraph"/>
              <w:spacing w:line="268" w:lineRule="exact" w:before="0"/>
              <w:rPr>
                <w:rFonts w:ascii="Calibri"/>
                <w:sz w:val="22"/>
              </w:rPr>
            </w:pPr>
            <w:r>
              <w:rPr>
                <w:rFonts w:ascii="Calibri"/>
                <w:w w:val="100"/>
                <w:sz w:val="22"/>
              </w:rPr>
              <w:t>1</w:t>
            </w:r>
          </w:p>
        </w:tc>
        <w:tc>
          <w:tcPr>
            <w:tcW w:w="1014" w:type="dxa"/>
            <w:tcBorders>
              <w:left w:val="nil"/>
              <w:bottom w:val="nil"/>
              <w:right w:val="nil"/>
            </w:tcBorders>
          </w:tcPr>
          <w:p>
            <w:pPr>
              <w:pStyle w:val="TableParagraph"/>
              <w:spacing w:line="268" w:lineRule="exact" w:before="0"/>
              <w:ind w:left="57"/>
              <w:rPr>
                <w:rFonts w:ascii="Calibri"/>
                <w:sz w:val="22"/>
              </w:rPr>
            </w:pPr>
            <w:r>
              <w:rPr>
                <w:rFonts w:ascii="Calibri"/>
                <w:w w:val="100"/>
                <w:sz w:val="22"/>
              </w:rPr>
              <w:t>0</w:t>
            </w:r>
          </w:p>
        </w:tc>
        <w:tc>
          <w:tcPr>
            <w:tcW w:w="1154" w:type="dxa"/>
            <w:tcBorders>
              <w:left w:val="nil"/>
              <w:bottom w:val="nil"/>
              <w:right w:val="nil"/>
            </w:tcBorders>
          </w:tcPr>
          <w:p>
            <w:pPr>
              <w:pStyle w:val="TableParagraph"/>
              <w:spacing w:line="268" w:lineRule="exact" w:before="0"/>
              <w:ind w:left="112" w:right="96"/>
              <w:rPr>
                <w:rFonts w:ascii="Calibri"/>
                <w:sz w:val="22"/>
              </w:rPr>
            </w:pPr>
            <w:r>
              <w:rPr>
                <w:rFonts w:ascii="Calibri"/>
                <w:sz w:val="22"/>
              </w:rPr>
              <w:t>10</w:t>
            </w:r>
          </w:p>
        </w:tc>
        <w:tc>
          <w:tcPr>
            <w:tcW w:w="991" w:type="dxa"/>
            <w:tcBorders>
              <w:left w:val="nil"/>
              <w:bottom w:val="nil"/>
              <w:right w:val="single" w:sz="4" w:space="0" w:color="000000"/>
            </w:tcBorders>
          </w:tcPr>
          <w:p>
            <w:pPr>
              <w:pStyle w:val="TableParagraph"/>
              <w:spacing w:line="268" w:lineRule="exact" w:before="0"/>
              <w:ind w:left="100" w:right="93"/>
              <w:rPr>
                <w:rFonts w:ascii="Calibri"/>
                <w:sz w:val="22"/>
              </w:rPr>
            </w:pPr>
            <w:r>
              <w:rPr>
                <w:rFonts w:ascii="Calibri"/>
                <w:sz w:val="22"/>
              </w:rPr>
              <w:t>36</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47</w:t>
            </w:r>
          </w:p>
        </w:tc>
        <w:tc>
          <w:tcPr>
            <w:tcW w:w="437" w:type="dxa"/>
            <w:tcBorders>
              <w:top w:val="nil"/>
              <w:bottom w:val="nil"/>
              <w:right w:val="nil"/>
            </w:tcBorders>
          </w:tcPr>
          <w:p>
            <w:pPr/>
          </w:p>
        </w:tc>
        <w:tc>
          <w:tcPr>
            <w:tcW w:w="705" w:type="dxa"/>
            <w:tcBorders>
              <w:top w:val="nil"/>
              <w:left w:val="nil"/>
              <w:bottom w:val="nil"/>
              <w:right w:val="nil"/>
            </w:tcBorders>
          </w:tcPr>
          <w:p>
            <w:pPr>
              <w:pStyle w:val="TableParagraph"/>
              <w:ind w:left="55"/>
              <w:jc w:val="left"/>
              <w:rPr>
                <w:rFonts w:ascii="Calibri"/>
                <w:sz w:val="22"/>
              </w:rPr>
            </w:pPr>
            <w:r>
              <w:rPr>
                <w:rFonts w:ascii="Calibri"/>
                <w:w w:val="100"/>
                <w:sz w:val="22"/>
              </w:rPr>
              <w:t>1</w:t>
            </w:r>
          </w:p>
        </w:tc>
        <w:tc>
          <w:tcPr>
            <w:tcW w:w="1119" w:type="dxa"/>
            <w:tcBorders>
              <w:top w:val="nil"/>
              <w:left w:val="nil"/>
              <w:bottom w:val="nil"/>
              <w:right w:val="nil"/>
            </w:tcBorders>
          </w:tcPr>
          <w:p>
            <w:pPr>
              <w:pStyle w:val="TableParagraph"/>
              <w:ind w:left="36"/>
              <w:rPr>
                <w:rFonts w:ascii="Calibri"/>
                <w:sz w:val="22"/>
              </w:rPr>
            </w:pPr>
            <w:r>
              <w:rPr>
                <w:rFonts w:ascii="Calibri"/>
                <w:w w:val="100"/>
                <w:sz w:val="22"/>
              </w:rPr>
              <w:t>6</w:t>
            </w:r>
          </w:p>
        </w:tc>
        <w:tc>
          <w:tcPr>
            <w:tcW w:w="1227" w:type="dxa"/>
            <w:tcBorders>
              <w:top w:val="nil"/>
              <w:left w:val="nil"/>
              <w:bottom w:val="nil"/>
              <w:right w:val="nil"/>
            </w:tcBorders>
          </w:tcPr>
          <w:p>
            <w:pPr>
              <w:pStyle w:val="TableParagraph"/>
              <w:ind w:left="71"/>
              <w:rPr>
                <w:rFonts w:ascii="Calibri"/>
                <w:sz w:val="22"/>
              </w:rPr>
            </w:pPr>
            <w:r>
              <w:rPr>
                <w:rFonts w:ascii="Calibri"/>
                <w:w w:val="100"/>
                <w:sz w:val="22"/>
              </w:rPr>
              <w:t>2</w:t>
            </w:r>
          </w:p>
        </w:tc>
        <w:tc>
          <w:tcPr>
            <w:tcW w:w="1009" w:type="dxa"/>
            <w:tcBorders>
              <w:top w:val="nil"/>
              <w:left w:val="nil"/>
              <w:bottom w:val="nil"/>
              <w:right w:val="nil"/>
            </w:tcBorders>
          </w:tcPr>
          <w:p>
            <w:pPr>
              <w:pStyle w:val="TableParagraph"/>
              <w:ind w:left="111" w:right="158"/>
              <w:rPr>
                <w:rFonts w:ascii="Calibri"/>
                <w:sz w:val="22"/>
              </w:rPr>
            </w:pPr>
            <w:r>
              <w:rPr>
                <w:rFonts w:ascii="Calibri"/>
                <w:sz w:val="22"/>
              </w:rPr>
              <w:t>15</w:t>
            </w:r>
          </w:p>
        </w:tc>
        <w:tc>
          <w:tcPr>
            <w:tcW w:w="1065" w:type="dxa"/>
            <w:tcBorders>
              <w:top w:val="nil"/>
              <w:left w:val="nil"/>
              <w:bottom w:val="nil"/>
              <w:right w:val="nil"/>
            </w:tcBorders>
          </w:tcPr>
          <w:p>
            <w:pPr>
              <w:pStyle w:val="TableParagraph"/>
              <w:rPr>
                <w:rFonts w:ascii="Calibri"/>
                <w:sz w:val="22"/>
              </w:rPr>
            </w:pPr>
            <w:r>
              <w:rPr>
                <w:rFonts w:ascii="Calibri"/>
                <w:w w:val="100"/>
                <w:sz w:val="22"/>
              </w:rPr>
              <w:t>2</w:t>
            </w:r>
          </w:p>
        </w:tc>
        <w:tc>
          <w:tcPr>
            <w:tcW w:w="1014" w:type="dxa"/>
            <w:tcBorders>
              <w:top w:val="nil"/>
              <w:left w:val="nil"/>
              <w:bottom w:val="nil"/>
              <w:right w:val="nil"/>
            </w:tcBorders>
          </w:tcPr>
          <w:p>
            <w:pPr>
              <w:pStyle w:val="TableParagraph"/>
              <w:ind w:left="57"/>
              <w:rPr>
                <w:rFonts w:ascii="Calibri"/>
                <w:sz w:val="22"/>
              </w:rPr>
            </w:pPr>
            <w:r>
              <w:rPr>
                <w:rFonts w:ascii="Calibri"/>
                <w:w w:val="100"/>
                <w:sz w:val="22"/>
              </w:rPr>
              <w:t>1</w:t>
            </w:r>
          </w:p>
        </w:tc>
        <w:tc>
          <w:tcPr>
            <w:tcW w:w="1154" w:type="dxa"/>
            <w:tcBorders>
              <w:top w:val="nil"/>
              <w:left w:val="nil"/>
              <w:bottom w:val="nil"/>
              <w:right w:val="nil"/>
            </w:tcBorders>
          </w:tcPr>
          <w:p>
            <w:pPr>
              <w:pStyle w:val="TableParagraph"/>
              <w:ind w:left="112" w:right="96"/>
              <w:rPr>
                <w:rFonts w:ascii="Calibri"/>
                <w:sz w:val="22"/>
              </w:rPr>
            </w:pPr>
            <w:r>
              <w:rPr>
                <w:rFonts w:ascii="Calibri"/>
                <w:sz w:val="22"/>
              </w:rPr>
              <w:t>12</w:t>
            </w:r>
          </w:p>
        </w:tc>
        <w:tc>
          <w:tcPr>
            <w:tcW w:w="991" w:type="dxa"/>
            <w:tcBorders>
              <w:top w:val="nil"/>
              <w:left w:val="nil"/>
              <w:bottom w:val="nil"/>
              <w:right w:val="single" w:sz="4" w:space="0" w:color="000000"/>
            </w:tcBorders>
          </w:tcPr>
          <w:p>
            <w:pPr>
              <w:pStyle w:val="TableParagraph"/>
              <w:ind w:left="100" w:right="93"/>
              <w:rPr>
                <w:rFonts w:ascii="Calibri"/>
                <w:sz w:val="22"/>
              </w:rPr>
            </w:pPr>
            <w:r>
              <w:rPr>
                <w:rFonts w:ascii="Calibri"/>
                <w:sz w:val="22"/>
              </w:rPr>
              <w:t>38</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48</w:t>
            </w:r>
          </w:p>
        </w:tc>
        <w:tc>
          <w:tcPr>
            <w:tcW w:w="437" w:type="dxa"/>
            <w:tcBorders>
              <w:top w:val="nil"/>
              <w:bottom w:val="nil"/>
              <w:right w:val="nil"/>
            </w:tcBorders>
          </w:tcPr>
          <w:p>
            <w:pPr/>
          </w:p>
        </w:tc>
        <w:tc>
          <w:tcPr>
            <w:tcW w:w="705" w:type="dxa"/>
            <w:tcBorders>
              <w:top w:val="nil"/>
              <w:left w:val="nil"/>
              <w:bottom w:val="nil"/>
              <w:right w:val="nil"/>
            </w:tcBorders>
          </w:tcPr>
          <w:p>
            <w:pPr>
              <w:pStyle w:val="TableParagraph"/>
              <w:ind w:left="55"/>
              <w:jc w:val="left"/>
              <w:rPr>
                <w:rFonts w:ascii="Calibri"/>
                <w:sz w:val="22"/>
              </w:rPr>
            </w:pPr>
            <w:r>
              <w:rPr>
                <w:rFonts w:ascii="Calibri"/>
                <w:w w:val="100"/>
                <w:sz w:val="22"/>
              </w:rPr>
              <w:t>2</w:t>
            </w:r>
          </w:p>
        </w:tc>
        <w:tc>
          <w:tcPr>
            <w:tcW w:w="1119" w:type="dxa"/>
            <w:tcBorders>
              <w:top w:val="nil"/>
              <w:left w:val="nil"/>
              <w:bottom w:val="nil"/>
              <w:right w:val="nil"/>
            </w:tcBorders>
          </w:tcPr>
          <w:p>
            <w:pPr>
              <w:pStyle w:val="TableParagraph"/>
              <w:ind w:left="36"/>
              <w:rPr>
                <w:rFonts w:ascii="Calibri"/>
                <w:sz w:val="22"/>
              </w:rPr>
            </w:pPr>
            <w:r>
              <w:rPr>
                <w:rFonts w:ascii="Calibri"/>
                <w:w w:val="100"/>
                <w:sz w:val="22"/>
              </w:rPr>
              <w:t>9</w:t>
            </w:r>
          </w:p>
        </w:tc>
        <w:tc>
          <w:tcPr>
            <w:tcW w:w="1227" w:type="dxa"/>
            <w:tcBorders>
              <w:top w:val="nil"/>
              <w:left w:val="nil"/>
              <w:bottom w:val="nil"/>
              <w:right w:val="nil"/>
            </w:tcBorders>
          </w:tcPr>
          <w:p>
            <w:pPr>
              <w:pStyle w:val="TableParagraph"/>
              <w:ind w:left="175" w:right="106"/>
              <w:rPr>
                <w:rFonts w:ascii="Calibri"/>
                <w:sz w:val="22"/>
              </w:rPr>
            </w:pPr>
            <w:r>
              <w:rPr>
                <w:rFonts w:ascii="Calibri"/>
                <w:sz w:val="22"/>
              </w:rPr>
              <w:t>12</w:t>
            </w:r>
          </w:p>
        </w:tc>
        <w:tc>
          <w:tcPr>
            <w:tcW w:w="1009" w:type="dxa"/>
            <w:tcBorders>
              <w:top w:val="nil"/>
              <w:left w:val="nil"/>
              <w:bottom w:val="nil"/>
              <w:right w:val="nil"/>
            </w:tcBorders>
          </w:tcPr>
          <w:p>
            <w:pPr>
              <w:pStyle w:val="TableParagraph"/>
              <w:ind w:left="111" w:right="158"/>
              <w:rPr>
                <w:rFonts w:ascii="Calibri"/>
                <w:sz w:val="22"/>
              </w:rPr>
            </w:pPr>
            <w:r>
              <w:rPr>
                <w:rFonts w:ascii="Calibri"/>
                <w:sz w:val="22"/>
              </w:rPr>
              <w:t>19</w:t>
            </w:r>
          </w:p>
        </w:tc>
        <w:tc>
          <w:tcPr>
            <w:tcW w:w="1065" w:type="dxa"/>
            <w:tcBorders>
              <w:top w:val="nil"/>
              <w:left w:val="nil"/>
              <w:bottom w:val="nil"/>
              <w:right w:val="nil"/>
            </w:tcBorders>
          </w:tcPr>
          <w:p>
            <w:pPr>
              <w:pStyle w:val="TableParagraph"/>
              <w:rPr>
                <w:rFonts w:ascii="Calibri"/>
                <w:sz w:val="22"/>
              </w:rPr>
            </w:pPr>
            <w:r>
              <w:rPr>
                <w:rFonts w:ascii="Calibri"/>
                <w:w w:val="100"/>
                <w:sz w:val="22"/>
              </w:rPr>
              <w:t>2</w:t>
            </w:r>
          </w:p>
        </w:tc>
        <w:tc>
          <w:tcPr>
            <w:tcW w:w="1014" w:type="dxa"/>
            <w:tcBorders>
              <w:top w:val="nil"/>
              <w:left w:val="nil"/>
              <w:bottom w:val="nil"/>
              <w:right w:val="nil"/>
            </w:tcBorders>
          </w:tcPr>
          <w:p>
            <w:pPr>
              <w:pStyle w:val="TableParagraph"/>
              <w:ind w:left="57"/>
              <w:rPr>
                <w:rFonts w:ascii="Calibri"/>
                <w:sz w:val="22"/>
              </w:rPr>
            </w:pPr>
            <w:r>
              <w:rPr>
                <w:rFonts w:ascii="Calibri"/>
                <w:w w:val="100"/>
                <w:sz w:val="22"/>
              </w:rPr>
              <w:t>1</w:t>
            </w:r>
          </w:p>
        </w:tc>
        <w:tc>
          <w:tcPr>
            <w:tcW w:w="1154" w:type="dxa"/>
            <w:tcBorders>
              <w:top w:val="nil"/>
              <w:left w:val="nil"/>
              <w:bottom w:val="nil"/>
              <w:right w:val="nil"/>
            </w:tcBorders>
          </w:tcPr>
          <w:p>
            <w:pPr>
              <w:pStyle w:val="TableParagraph"/>
              <w:ind w:left="17"/>
              <w:rPr>
                <w:rFonts w:ascii="Calibri"/>
                <w:sz w:val="22"/>
              </w:rPr>
            </w:pPr>
            <w:r>
              <w:rPr>
                <w:rFonts w:ascii="Calibri"/>
                <w:w w:val="100"/>
                <w:sz w:val="22"/>
              </w:rPr>
              <w:t>0</w:t>
            </w:r>
          </w:p>
        </w:tc>
        <w:tc>
          <w:tcPr>
            <w:tcW w:w="991" w:type="dxa"/>
            <w:tcBorders>
              <w:top w:val="nil"/>
              <w:left w:val="nil"/>
              <w:bottom w:val="nil"/>
              <w:right w:val="single" w:sz="4" w:space="0" w:color="000000"/>
            </w:tcBorders>
          </w:tcPr>
          <w:p>
            <w:pPr>
              <w:pStyle w:val="TableParagraph"/>
              <w:ind w:left="100" w:right="93"/>
              <w:rPr>
                <w:rFonts w:ascii="Calibri"/>
                <w:sz w:val="22"/>
              </w:rPr>
            </w:pPr>
            <w:r>
              <w:rPr>
                <w:rFonts w:ascii="Calibri"/>
                <w:sz w:val="22"/>
              </w:rPr>
              <w:t>43</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49</w:t>
            </w:r>
          </w:p>
        </w:tc>
        <w:tc>
          <w:tcPr>
            <w:tcW w:w="437" w:type="dxa"/>
            <w:tcBorders>
              <w:top w:val="nil"/>
              <w:bottom w:val="nil"/>
              <w:right w:val="nil"/>
            </w:tcBorders>
          </w:tcPr>
          <w:p>
            <w:pPr/>
          </w:p>
        </w:tc>
        <w:tc>
          <w:tcPr>
            <w:tcW w:w="705" w:type="dxa"/>
            <w:tcBorders>
              <w:top w:val="nil"/>
              <w:left w:val="nil"/>
              <w:bottom w:val="nil"/>
              <w:right w:val="nil"/>
            </w:tcBorders>
          </w:tcPr>
          <w:p>
            <w:pPr>
              <w:pStyle w:val="TableParagraph"/>
              <w:ind w:left="55"/>
              <w:jc w:val="left"/>
              <w:rPr>
                <w:rFonts w:ascii="Calibri"/>
                <w:sz w:val="22"/>
              </w:rPr>
            </w:pPr>
            <w:r>
              <w:rPr>
                <w:rFonts w:ascii="Calibri"/>
                <w:w w:val="100"/>
                <w:sz w:val="22"/>
              </w:rPr>
              <w:t>2</w:t>
            </w:r>
          </w:p>
        </w:tc>
        <w:tc>
          <w:tcPr>
            <w:tcW w:w="1119" w:type="dxa"/>
            <w:tcBorders>
              <w:top w:val="nil"/>
              <w:left w:val="nil"/>
              <w:bottom w:val="nil"/>
              <w:right w:val="nil"/>
            </w:tcBorders>
          </w:tcPr>
          <w:p>
            <w:pPr>
              <w:pStyle w:val="TableParagraph"/>
              <w:ind w:left="36"/>
              <w:rPr>
                <w:rFonts w:ascii="Calibri"/>
                <w:sz w:val="22"/>
              </w:rPr>
            </w:pPr>
            <w:r>
              <w:rPr>
                <w:rFonts w:ascii="Calibri"/>
                <w:w w:val="100"/>
                <w:sz w:val="22"/>
              </w:rPr>
              <w:t>2</w:t>
            </w:r>
          </w:p>
        </w:tc>
        <w:tc>
          <w:tcPr>
            <w:tcW w:w="1227" w:type="dxa"/>
            <w:tcBorders>
              <w:top w:val="nil"/>
              <w:left w:val="nil"/>
              <w:bottom w:val="nil"/>
              <w:right w:val="nil"/>
            </w:tcBorders>
          </w:tcPr>
          <w:p>
            <w:pPr>
              <w:pStyle w:val="TableParagraph"/>
              <w:ind w:left="71"/>
              <w:rPr>
                <w:rFonts w:ascii="Calibri"/>
                <w:sz w:val="22"/>
              </w:rPr>
            </w:pPr>
            <w:r>
              <w:rPr>
                <w:rFonts w:ascii="Calibri"/>
                <w:w w:val="100"/>
                <w:sz w:val="22"/>
              </w:rPr>
              <w:t>3</w:t>
            </w:r>
          </w:p>
        </w:tc>
        <w:tc>
          <w:tcPr>
            <w:tcW w:w="1009" w:type="dxa"/>
            <w:tcBorders>
              <w:top w:val="nil"/>
              <w:left w:val="nil"/>
              <w:bottom w:val="nil"/>
              <w:right w:val="nil"/>
            </w:tcBorders>
          </w:tcPr>
          <w:p>
            <w:pPr>
              <w:pStyle w:val="TableParagraph"/>
              <w:ind w:right="45"/>
              <w:rPr>
                <w:rFonts w:ascii="Calibri"/>
                <w:sz w:val="22"/>
              </w:rPr>
            </w:pPr>
            <w:r>
              <w:rPr>
                <w:rFonts w:ascii="Calibri"/>
                <w:w w:val="100"/>
                <w:sz w:val="22"/>
              </w:rPr>
              <w:t>2</w:t>
            </w:r>
          </w:p>
        </w:tc>
        <w:tc>
          <w:tcPr>
            <w:tcW w:w="1065" w:type="dxa"/>
            <w:tcBorders>
              <w:top w:val="nil"/>
              <w:left w:val="nil"/>
              <w:bottom w:val="nil"/>
              <w:right w:val="nil"/>
            </w:tcBorders>
          </w:tcPr>
          <w:p>
            <w:pPr>
              <w:pStyle w:val="TableParagraph"/>
              <w:rPr>
                <w:rFonts w:ascii="Calibri"/>
                <w:sz w:val="22"/>
              </w:rPr>
            </w:pPr>
            <w:r>
              <w:rPr>
                <w:rFonts w:ascii="Calibri"/>
                <w:w w:val="100"/>
                <w:sz w:val="22"/>
              </w:rPr>
              <w:t>0</w:t>
            </w:r>
          </w:p>
        </w:tc>
        <w:tc>
          <w:tcPr>
            <w:tcW w:w="1014" w:type="dxa"/>
            <w:tcBorders>
              <w:top w:val="nil"/>
              <w:left w:val="nil"/>
              <w:bottom w:val="nil"/>
              <w:right w:val="nil"/>
            </w:tcBorders>
          </w:tcPr>
          <w:p>
            <w:pPr>
              <w:pStyle w:val="TableParagraph"/>
              <w:ind w:left="57"/>
              <w:rPr>
                <w:rFonts w:ascii="Calibri"/>
                <w:sz w:val="22"/>
              </w:rPr>
            </w:pPr>
            <w:r>
              <w:rPr>
                <w:rFonts w:ascii="Calibri"/>
                <w:w w:val="100"/>
                <w:sz w:val="22"/>
              </w:rPr>
              <w:t>3</w:t>
            </w:r>
          </w:p>
        </w:tc>
        <w:tc>
          <w:tcPr>
            <w:tcW w:w="1154" w:type="dxa"/>
            <w:tcBorders>
              <w:top w:val="nil"/>
              <w:left w:val="nil"/>
              <w:bottom w:val="nil"/>
              <w:right w:val="nil"/>
            </w:tcBorders>
          </w:tcPr>
          <w:p>
            <w:pPr>
              <w:pStyle w:val="TableParagraph"/>
              <w:ind w:left="17"/>
              <w:rPr>
                <w:rFonts w:ascii="Calibri"/>
                <w:sz w:val="22"/>
              </w:rPr>
            </w:pPr>
            <w:r>
              <w:rPr>
                <w:rFonts w:ascii="Calibri"/>
                <w:w w:val="100"/>
                <w:sz w:val="22"/>
              </w:rPr>
              <w:t>7</w:t>
            </w:r>
          </w:p>
        </w:tc>
        <w:tc>
          <w:tcPr>
            <w:tcW w:w="991" w:type="dxa"/>
            <w:tcBorders>
              <w:top w:val="nil"/>
              <w:left w:val="nil"/>
              <w:bottom w:val="nil"/>
              <w:right w:val="single" w:sz="4" w:space="0" w:color="000000"/>
            </w:tcBorders>
          </w:tcPr>
          <w:p>
            <w:pPr>
              <w:pStyle w:val="TableParagraph"/>
              <w:ind w:left="100" w:right="93"/>
              <w:rPr>
                <w:rFonts w:ascii="Calibri"/>
                <w:sz w:val="22"/>
              </w:rPr>
            </w:pPr>
            <w:r>
              <w:rPr>
                <w:rFonts w:ascii="Calibri"/>
                <w:sz w:val="22"/>
              </w:rPr>
              <w:t>17</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50</w:t>
            </w:r>
          </w:p>
        </w:tc>
        <w:tc>
          <w:tcPr>
            <w:tcW w:w="437" w:type="dxa"/>
            <w:tcBorders>
              <w:top w:val="nil"/>
              <w:bottom w:val="nil"/>
              <w:right w:val="nil"/>
            </w:tcBorders>
          </w:tcPr>
          <w:p>
            <w:pPr/>
          </w:p>
        </w:tc>
        <w:tc>
          <w:tcPr>
            <w:tcW w:w="705" w:type="dxa"/>
            <w:tcBorders>
              <w:top w:val="nil"/>
              <w:left w:val="nil"/>
              <w:bottom w:val="nil"/>
              <w:right w:val="nil"/>
            </w:tcBorders>
          </w:tcPr>
          <w:p>
            <w:pPr>
              <w:pStyle w:val="TableParagraph"/>
              <w:ind w:left="55"/>
              <w:jc w:val="left"/>
              <w:rPr>
                <w:rFonts w:ascii="Calibri"/>
                <w:sz w:val="22"/>
              </w:rPr>
            </w:pPr>
            <w:r>
              <w:rPr>
                <w:rFonts w:ascii="Calibri"/>
                <w:w w:val="100"/>
                <w:sz w:val="22"/>
              </w:rPr>
              <w:t>0</w:t>
            </w:r>
          </w:p>
        </w:tc>
        <w:tc>
          <w:tcPr>
            <w:tcW w:w="1119" w:type="dxa"/>
            <w:tcBorders>
              <w:top w:val="nil"/>
              <w:left w:val="nil"/>
              <w:bottom w:val="nil"/>
              <w:right w:val="nil"/>
            </w:tcBorders>
          </w:tcPr>
          <w:p>
            <w:pPr>
              <w:pStyle w:val="TableParagraph"/>
              <w:ind w:left="36"/>
              <w:rPr>
                <w:rFonts w:ascii="Calibri"/>
                <w:sz w:val="22"/>
              </w:rPr>
            </w:pPr>
            <w:r>
              <w:rPr>
                <w:rFonts w:ascii="Calibri"/>
                <w:w w:val="100"/>
                <w:sz w:val="22"/>
              </w:rPr>
              <w:t>0</w:t>
            </w:r>
          </w:p>
        </w:tc>
        <w:tc>
          <w:tcPr>
            <w:tcW w:w="1227" w:type="dxa"/>
            <w:tcBorders>
              <w:top w:val="nil"/>
              <w:left w:val="nil"/>
              <w:bottom w:val="nil"/>
              <w:right w:val="nil"/>
            </w:tcBorders>
          </w:tcPr>
          <w:p>
            <w:pPr>
              <w:pStyle w:val="TableParagraph"/>
              <w:ind w:left="175" w:right="106"/>
              <w:rPr>
                <w:rFonts w:ascii="Calibri"/>
                <w:sz w:val="22"/>
              </w:rPr>
            </w:pPr>
            <w:r>
              <w:rPr>
                <w:rFonts w:ascii="Calibri"/>
                <w:sz w:val="22"/>
              </w:rPr>
              <w:t>21</w:t>
            </w:r>
          </w:p>
        </w:tc>
        <w:tc>
          <w:tcPr>
            <w:tcW w:w="1009" w:type="dxa"/>
            <w:tcBorders>
              <w:top w:val="nil"/>
              <w:left w:val="nil"/>
              <w:bottom w:val="nil"/>
              <w:right w:val="nil"/>
            </w:tcBorders>
          </w:tcPr>
          <w:p>
            <w:pPr>
              <w:pStyle w:val="TableParagraph"/>
              <w:ind w:left="111" w:right="158"/>
              <w:rPr>
                <w:rFonts w:ascii="Calibri"/>
                <w:sz w:val="22"/>
              </w:rPr>
            </w:pPr>
            <w:r>
              <w:rPr>
                <w:rFonts w:ascii="Calibri"/>
                <w:sz w:val="22"/>
              </w:rPr>
              <w:t>10</w:t>
            </w:r>
          </w:p>
        </w:tc>
        <w:tc>
          <w:tcPr>
            <w:tcW w:w="1065" w:type="dxa"/>
            <w:tcBorders>
              <w:top w:val="nil"/>
              <w:left w:val="nil"/>
              <w:bottom w:val="nil"/>
              <w:right w:val="nil"/>
            </w:tcBorders>
          </w:tcPr>
          <w:p>
            <w:pPr>
              <w:pStyle w:val="TableParagraph"/>
              <w:rPr>
                <w:rFonts w:ascii="Calibri"/>
                <w:sz w:val="22"/>
              </w:rPr>
            </w:pPr>
            <w:r>
              <w:rPr>
                <w:rFonts w:ascii="Calibri"/>
                <w:w w:val="100"/>
                <w:sz w:val="22"/>
              </w:rPr>
              <w:t>2</w:t>
            </w:r>
          </w:p>
        </w:tc>
        <w:tc>
          <w:tcPr>
            <w:tcW w:w="1014" w:type="dxa"/>
            <w:tcBorders>
              <w:top w:val="nil"/>
              <w:left w:val="nil"/>
              <w:bottom w:val="nil"/>
              <w:right w:val="nil"/>
            </w:tcBorders>
          </w:tcPr>
          <w:p>
            <w:pPr>
              <w:pStyle w:val="TableParagraph"/>
              <w:ind w:left="57"/>
              <w:rPr>
                <w:rFonts w:ascii="Calibri"/>
                <w:sz w:val="22"/>
              </w:rPr>
            </w:pPr>
            <w:r>
              <w:rPr>
                <w:rFonts w:ascii="Calibri"/>
                <w:w w:val="100"/>
                <w:sz w:val="22"/>
              </w:rPr>
              <w:t>3</w:t>
            </w:r>
          </w:p>
        </w:tc>
        <w:tc>
          <w:tcPr>
            <w:tcW w:w="1154" w:type="dxa"/>
            <w:tcBorders>
              <w:top w:val="nil"/>
              <w:left w:val="nil"/>
              <w:bottom w:val="nil"/>
              <w:right w:val="nil"/>
            </w:tcBorders>
          </w:tcPr>
          <w:p>
            <w:pPr>
              <w:pStyle w:val="TableParagraph"/>
              <w:ind w:left="17"/>
              <w:rPr>
                <w:rFonts w:ascii="Calibri"/>
                <w:sz w:val="22"/>
              </w:rPr>
            </w:pPr>
            <w:r>
              <w:rPr>
                <w:rFonts w:ascii="Calibri"/>
                <w:w w:val="100"/>
                <w:sz w:val="22"/>
              </w:rPr>
              <w:t>6</w:t>
            </w:r>
          </w:p>
        </w:tc>
        <w:tc>
          <w:tcPr>
            <w:tcW w:w="991" w:type="dxa"/>
            <w:tcBorders>
              <w:top w:val="nil"/>
              <w:left w:val="nil"/>
              <w:bottom w:val="nil"/>
              <w:right w:val="single" w:sz="4" w:space="0" w:color="000000"/>
            </w:tcBorders>
          </w:tcPr>
          <w:p>
            <w:pPr>
              <w:pStyle w:val="TableParagraph"/>
              <w:ind w:left="100" w:right="93"/>
              <w:rPr>
                <w:rFonts w:ascii="Calibri"/>
                <w:sz w:val="22"/>
              </w:rPr>
            </w:pPr>
            <w:r>
              <w:rPr>
                <w:rFonts w:ascii="Calibri"/>
                <w:sz w:val="22"/>
              </w:rPr>
              <w:t>42</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51</w:t>
            </w:r>
          </w:p>
        </w:tc>
        <w:tc>
          <w:tcPr>
            <w:tcW w:w="437" w:type="dxa"/>
            <w:tcBorders>
              <w:top w:val="nil"/>
              <w:bottom w:val="nil"/>
              <w:right w:val="nil"/>
            </w:tcBorders>
          </w:tcPr>
          <w:p>
            <w:pPr/>
          </w:p>
        </w:tc>
        <w:tc>
          <w:tcPr>
            <w:tcW w:w="705" w:type="dxa"/>
            <w:tcBorders>
              <w:top w:val="nil"/>
              <w:left w:val="nil"/>
              <w:bottom w:val="nil"/>
              <w:right w:val="nil"/>
            </w:tcBorders>
          </w:tcPr>
          <w:p>
            <w:pPr>
              <w:pStyle w:val="TableParagraph"/>
              <w:ind w:left="55"/>
              <w:jc w:val="left"/>
              <w:rPr>
                <w:rFonts w:ascii="Calibri"/>
                <w:sz w:val="22"/>
              </w:rPr>
            </w:pPr>
            <w:r>
              <w:rPr>
                <w:rFonts w:ascii="Calibri"/>
                <w:w w:val="100"/>
                <w:sz w:val="22"/>
              </w:rPr>
              <w:t>0</w:t>
            </w:r>
          </w:p>
        </w:tc>
        <w:tc>
          <w:tcPr>
            <w:tcW w:w="1119" w:type="dxa"/>
            <w:tcBorders>
              <w:top w:val="nil"/>
              <w:left w:val="nil"/>
              <w:bottom w:val="nil"/>
              <w:right w:val="nil"/>
            </w:tcBorders>
          </w:tcPr>
          <w:p>
            <w:pPr>
              <w:pStyle w:val="TableParagraph"/>
              <w:ind w:left="36"/>
              <w:rPr>
                <w:rFonts w:ascii="Calibri"/>
                <w:sz w:val="22"/>
              </w:rPr>
            </w:pPr>
            <w:r>
              <w:rPr>
                <w:rFonts w:ascii="Calibri"/>
                <w:w w:val="100"/>
                <w:sz w:val="22"/>
              </w:rPr>
              <w:t>2</w:t>
            </w:r>
          </w:p>
        </w:tc>
        <w:tc>
          <w:tcPr>
            <w:tcW w:w="1227" w:type="dxa"/>
            <w:tcBorders>
              <w:top w:val="nil"/>
              <w:left w:val="nil"/>
              <w:bottom w:val="nil"/>
              <w:right w:val="nil"/>
            </w:tcBorders>
          </w:tcPr>
          <w:p>
            <w:pPr>
              <w:pStyle w:val="TableParagraph"/>
              <w:ind w:left="175" w:right="106"/>
              <w:rPr>
                <w:rFonts w:ascii="Calibri"/>
                <w:sz w:val="22"/>
              </w:rPr>
            </w:pPr>
            <w:r>
              <w:rPr>
                <w:rFonts w:ascii="Calibri"/>
                <w:sz w:val="22"/>
              </w:rPr>
              <w:t>18</w:t>
            </w:r>
          </w:p>
        </w:tc>
        <w:tc>
          <w:tcPr>
            <w:tcW w:w="1009" w:type="dxa"/>
            <w:tcBorders>
              <w:top w:val="nil"/>
              <w:left w:val="nil"/>
              <w:bottom w:val="nil"/>
              <w:right w:val="nil"/>
            </w:tcBorders>
          </w:tcPr>
          <w:p>
            <w:pPr>
              <w:pStyle w:val="TableParagraph"/>
              <w:ind w:right="45"/>
              <w:rPr>
                <w:rFonts w:ascii="Calibri"/>
                <w:sz w:val="22"/>
              </w:rPr>
            </w:pPr>
            <w:r>
              <w:rPr>
                <w:rFonts w:ascii="Calibri"/>
                <w:w w:val="100"/>
                <w:sz w:val="22"/>
              </w:rPr>
              <w:t>0</w:t>
            </w:r>
          </w:p>
        </w:tc>
        <w:tc>
          <w:tcPr>
            <w:tcW w:w="1065" w:type="dxa"/>
            <w:tcBorders>
              <w:top w:val="nil"/>
              <w:left w:val="nil"/>
              <w:bottom w:val="nil"/>
              <w:right w:val="nil"/>
            </w:tcBorders>
          </w:tcPr>
          <w:p>
            <w:pPr>
              <w:pStyle w:val="TableParagraph"/>
              <w:rPr>
                <w:rFonts w:ascii="Calibri"/>
                <w:sz w:val="22"/>
              </w:rPr>
            </w:pPr>
            <w:r>
              <w:rPr>
                <w:rFonts w:ascii="Calibri"/>
                <w:w w:val="100"/>
                <w:sz w:val="22"/>
              </w:rPr>
              <w:t>3</w:t>
            </w:r>
          </w:p>
        </w:tc>
        <w:tc>
          <w:tcPr>
            <w:tcW w:w="1014" w:type="dxa"/>
            <w:tcBorders>
              <w:top w:val="nil"/>
              <w:left w:val="nil"/>
              <w:bottom w:val="nil"/>
              <w:right w:val="nil"/>
            </w:tcBorders>
          </w:tcPr>
          <w:p>
            <w:pPr>
              <w:pStyle w:val="TableParagraph"/>
              <w:ind w:left="57"/>
              <w:rPr>
                <w:rFonts w:ascii="Calibri"/>
                <w:sz w:val="22"/>
              </w:rPr>
            </w:pPr>
            <w:r>
              <w:rPr>
                <w:rFonts w:ascii="Calibri"/>
                <w:w w:val="100"/>
                <w:sz w:val="22"/>
              </w:rPr>
              <w:t>0</w:t>
            </w:r>
          </w:p>
        </w:tc>
        <w:tc>
          <w:tcPr>
            <w:tcW w:w="1154" w:type="dxa"/>
            <w:tcBorders>
              <w:top w:val="nil"/>
              <w:left w:val="nil"/>
              <w:bottom w:val="nil"/>
              <w:right w:val="nil"/>
            </w:tcBorders>
          </w:tcPr>
          <w:p>
            <w:pPr>
              <w:pStyle w:val="TableParagraph"/>
              <w:ind w:left="17"/>
              <w:rPr>
                <w:rFonts w:ascii="Calibri"/>
                <w:sz w:val="22"/>
              </w:rPr>
            </w:pPr>
            <w:r>
              <w:rPr>
                <w:rFonts w:ascii="Calibri"/>
                <w:w w:val="100"/>
                <w:sz w:val="22"/>
              </w:rPr>
              <w:t>5</w:t>
            </w:r>
          </w:p>
        </w:tc>
        <w:tc>
          <w:tcPr>
            <w:tcW w:w="991" w:type="dxa"/>
            <w:tcBorders>
              <w:top w:val="nil"/>
              <w:left w:val="nil"/>
              <w:bottom w:val="nil"/>
              <w:right w:val="single" w:sz="4" w:space="0" w:color="000000"/>
            </w:tcBorders>
          </w:tcPr>
          <w:p>
            <w:pPr>
              <w:pStyle w:val="TableParagraph"/>
              <w:ind w:left="100" w:right="93"/>
              <w:rPr>
                <w:rFonts w:ascii="Calibri"/>
                <w:sz w:val="22"/>
              </w:rPr>
            </w:pPr>
            <w:r>
              <w:rPr>
                <w:rFonts w:ascii="Calibri"/>
                <w:sz w:val="22"/>
              </w:rPr>
              <w:t>28</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52</w:t>
            </w:r>
          </w:p>
        </w:tc>
        <w:tc>
          <w:tcPr>
            <w:tcW w:w="437" w:type="dxa"/>
            <w:tcBorders>
              <w:top w:val="nil"/>
              <w:bottom w:val="nil"/>
              <w:right w:val="nil"/>
            </w:tcBorders>
          </w:tcPr>
          <w:p>
            <w:pPr/>
          </w:p>
        </w:tc>
        <w:tc>
          <w:tcPr>
            <w:tcW w:w="705" w:type="dxa"/>
            <w:tcBorders>
              <w:top w:val="nil"/>
              <w:left w:val="nil"/>
              <w:bottom w:val="nil"/>
              <w:right w:val="nil"/>
            </w:tcBorders>
          </w:tcPr>
          <w:p>
            <w:pPr>
              <w:pStyle w:val="TableParagraph"/>
              <w:ind w:left="55"/>
              <w:jc w:val="left"/>
              <w:rPr>
                <w:rFonts w:ascii="Calibri"/>
                <w:sz w:val="22"/>
              </w:rPr>
            </w:pPr>
            <w:r>
              <w:rPr>
                <w:rFonts w:ascii="Calibri"/>
                <w:w w:val="100"/>
                <w:sz w:val="22"/>
              </w:rPr>
              <w:t>0</w:t>
            </w:r>
          </w:p>
        </w:tc>
        <w:tc>
          <w:tcPr>
            <w:tcW w:w="1119" w:type="dxa"/>
            <w:tcBorders>
              <w:top w:val="nil"/>
              <w:left w:val="nil"/>
              <w:bottom w:val="nil"/>
              <w:right w:val="nil"/>
            </w:tcBorders>
          </w:tcPr>
          <w:p>
            <w:pPr>
              <w:pStyle w:val="TableParagraph"/>
              <w:ind w:left="36"/>
              <w:rPr>
                <w:rFonts w:ascii="Calibri"/>
                <w:sz w:val="22"/>
              </w:rPr>
            </w:pPr>
            <w:r>
              <w:rPr>
                <w:rFonts w:ascii="Calibri"/>
                <w:w w:val="100"/>
                <w:sz w:val="22"/>
              </w:rPr>
              <w:t>4</w:t>
            </w:r>
          </w:p>
        </w:tc>
        <w:tc>
          <w:tcPr>
            <w:tcW w:w="1227" w:type="dxa"/>
            <w:tcBorders>
              <w:top w:val="nil"/>
              <w:left w:val="nil"/>
              <w:bottom w:val="nil"/>
              <w:right w:val="nil"/>
            </w:tcBorders>
          </w:tcPr>
          <w:p>
            <w:pPr>
              <w:pStyle w:val="TableParagraph"/>
              <w:ind w:left="175" w:right="106"/>
              <w:rPr>
                <w:rFonts w:ascii="Calibri"/>
                <w:sz w:val="22"/>
              </w:rPr>
            </w:pPr>
            <w:r>
              <w:rPr>
                <w:rFonts w:ascii="Calibri"/>
                <w:sz w:val="22"/>
              </w:rPr>
              <w:t>20</w:t>
            </w:r>
          </w:p>
        </w:tc>
        <w:tc>
          <w:tcPr>
            <w:tcW w:w="1009" w:type="dxa"/>
            <w:tcBorders>
              <w:top w:val="nil"/>
              <w:left w:val="nil"/>
              <w:bottom w:val="nil"/>
              <w:right w:val="nil"/>
            </w:tcBorders>
          </w:tcPr>
          <w:p>
            <w:pPr>
              <w:pStyle w:val="TableParagraph"/>
              <w:ind w:left="111" w:right="158"/>
              <w:rPr>
                <w:rFonts w:ascii="Calibri"/>
                <w:sz w:val="22"/>
              </w:rPr>
            </w:pPr>
            <w:r>
              <w:rPr>
                <w:rFonts w:ascii="Calibri"/>
                <w:sz w:val="22"/>
              </w:rPr>
              <w:t>11</w:t>
            </w:r>
          </w:p>
        </w:tc>
        <w:tc>
          <w:tcPr>
            <w:tcW w:w="1065" w:type="dxa"/>
            <w:tcBorders>
              <w:top w:val="nil"/>
              <w:left w:val="nil"/>
              <w:bottom w:val="nil"/>
              <w:right w:val="nil"/>
            </w:tcBorders>
          </w:tcPr>
          <w:p>
            <w:pPr>
              <w:pStyle w:val="TableParagraph"/>
              <w:rPr>
                <w:rFonts w:ascii="Calibri"/>
                <w:sz w:val="22"/>
              </w:rPr>
            </w:pPr>
            <w:r>
              <w:rPr>
                <w:rFonts w:ascii="Calibri"/>
                <w:w w:val="100"/>
                <w:sz w:val="22"/>
              </w:rPr>
              <w:t>0</w:t>
            </w:r>
          </w:p>
        </w:tc>
        <w:tc>
          <w:tcPr>
            <w:tcW w:w="1014" w:type="dxa"/>
            <w:tcBorders>
              <w:top w:val="nil"/>
              <w:left w:val="nil"/>
              <w:bottom w:val="nil"/>
              <w:right w:val="nil"/>
            </w:tcBorders>
          </w:tcPr>
          <w:p>
            <w:pPr>
              <w:pStyle w:val="TableParagraph"/>
              <w:ind w:left="57"/>
              <w:rPr>
                <w:rFonts w:ascii="Calibri"/>
                <w:sz w:val="22"/>
              </w:rPr>
            </w:pPr>
            <w:r>
              <w:rPr>
                <w:rFonts w:ascii="Calibri"/>
                <w:w w:val="100"/>
                <w:sz w:val="22"/>
              </w:rPr>
              <w:t>0</w:t>
            </w:r>
          </w:p>
        </w:tc>
        <w:tc>
          <w:tcPr>
            <w:tcW w:w="1154" w:type="dxa"/>
            <w:tcBorders>
              <w:top w:val="nil"/>
              <w:left w:val="nil"/>
              <w:bottom w:val="nil"/>
              <w:right w:val="nil"/>
            </w:tcBorders>
          </w:tcPr>
          <w:p>
            <w:pPr>
              <w:pStyle w:val="TableParagraph"/>
              <w:ind w:left="17"/>
              <w:rPr>
                <w:rFonts w:ascii="Calibri"/>
                <w:sz w:val="22"/>
              </w:rPr>
            </w:pPr>
            <w:r>
              <w:rPr>
                <w:rFonts w:ascii="Calibri"/>
                <w:w w:val="100"/>
                <w:sz w:val="22"/>
              </w:rPr>
              <w:t>1</w:t>
            </w:r>
          </w:p>
        </w:tc>
        <w:tc>
          <w:tcPr>
            <w:tcW w:w="991" w:type="dxa"/>
            <w:tcBorders>
              <w:top w:val="nil"/>
              <w:left w:val="nil"/>
              <w:bottom w:val="nil"/>
              <w:right w:val="single" w:sz="4" w:space="0" w:color="000000"/>
            </w:tcBorders>
          </w:tcPr>
          <w:p>
            <w:pPr>
              <w:pStyle w:val="TableParagraph"/>
              <w:ind w:left="100" w:right="93"/>
              <w:rPr>
                <w:rFonts w:ascii="Calibri"/>
                <w:sz w:val="22"/>
              </w:rPr>
            </w:pPr>
            <w:r>
              <w:rPr>
                <w:rFonts w:ascii="Calibri"/>
                <w:sz w:val="22"/>
              </w:rPr>
              <w:t>36</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53</w:t>
            </w:r>
          </w:p>
        </w:tc>
        <w:tc>
          <w:tcPr>
            <w:tcW w:w="437" w:type="dxa"/>
            <w:tcBorders>
              <w:top w:val="nil"/>
              <w:bottom w:val="nil"/>
              <w:right w:val="nil"/>
            </w:tcBorders>
          </w:tcPr>
          <w:p>
            <w:pPr/>
          </w:p>
        </w:tc>
        <w:tc>
          <w:tcPr>
            <w:tcW w:w="705" w:type="dxa"/>
            <w:tcBorders>
              <w:top w:val="nil"/>
              <w:left w:val="nil"/>
              <w:bottom w:val="nil"/>
              <w:right w:val="nil"/>
            </w:tcBorders>
          </w:tcPr>
          <w:p>
            <w:pPr>
              <w:pStyle w:val="TableParagraph"/>
              <w:ind w:left="55"/>
              <w:jc w:val="left"/>
              <w:rPr>
                <w:rFonts w:ascii="Calibri"/>
                <w:sz w:val="22"/>
              </w:rPr>
            </w:pPr>
            <w:r>
              <w:rPr>
                <w:rFonts w:ascii="Calibri"/>
                <w:w w:val="100"/>
                <w:sz w:val="22"/>
              </w:rPr>
              <w:t>0</w:t>
            </w:r>
          </w:p>
        </w:tc>
        <w:tc>
          <w:tcPr>
            <w:tcW w:w="1119" w:type="dxa"/>
            <w:tcBorders>
              <w:top w:val="nil"/>
              <w:left w:val="nil"/>
              <w:bottom w:val="nil"/>
              <w:right w:val="nil"/>
            </w:tcBorders>
          </w:tcPr>
          <w:p>
            <w:pPr>
              <w:pStyle w:val="TableParagraph"/>
              <w:ind w:left="36"/>
              <w:rPr>
                <w:rFonts w:ascii="Calibri"/>
                <w:sz w:val="22"/>
              </w:rPr>
            </w:pPr>
            <w:r>
              <w:rPr>
                <w:rFonts w:ascii="Calibri"/>
                <w:w w:val="100"/>
                <w:sz w:val="22"/>
              </w:rPr>
              <w:t>1</w:t>
            </w:r>
          </w:p>
        </w:tc>
        <w:tc>
          <w:tcPr>
            <w:tcW w:w="1227" w:type="dxa"/>
            <w:tcBorders>
              <w:top w:val="nil"/>
              <w:left w:val="nil"/>
              <w:bottom w:val="nil"/>
              <w:right w:val="nil"/>
            </w:tcBorders>
          </w:tcPr>
          <w:p>
            <w:pPr>
              <w:pStyle w:val="TableParagraph"/>
              <w:ind w:left="71"/>
              <w:rPr>
                <w:rFonts w:ascii="Calibri"/>
                <w:sz w:val="22"/>
              </w:rPr>
            </w:pPr>
            <w:r>
              <w:rPr>
                <w:rFonts w:ascii="Calibri"/>
                <w:w w:val="100"/>
                <w:sz w:val="22"/>
              </w:rPr>
              <w:t>3</w:t>
            </w:r>
          </w:p>
        </w:tc>
        <w:tc>
          <w:tcPr>
            <w:tcW w:w="1009" w:type="dxa"/>
            <w:tcBorders>
              <w:top w:val="nil"/>
              <w:left w:val="nil"/>
              <w:bottom w:val="nil"/>
              <w:right w:val="nil"/>
            </w:tcBorders>
          </w:tcPr>
          <w:p>
            <w:pPr>
              <w:pStyle w:val="TableParagraph"/>
              <w:ind w:right="45"/>
              <w:rPr>
                <w:rFonts w:ascii="Calibri"/>
                <w:sz w:val="22"/>
              </w:rPr>
            </w:pPr>
            <w:r>
              <w:rPr>
                <w:rFonts w:ascii="Calibri"/>
                <w:w w:val="100"/>
                <w:sz w:val="22"/>
              </w:rPr>
              <w:t>5</w:t>
            </w:r>
          </w:p>
        </w:tc>
        <w:tc>
          <w:tcPr>
            <w:tcW w:w="1065" w:type="dxa"/>
            <w:tcBorders>
              <w:top w:val="nil"/>
              <w:left w:val="nil"/>
              <w:bottom w:val="nil"/>
              <w:right w:val="nil"/>
            </w:tcBorders>
          </w:tcPr>
          <w:p>
            <w:pPr>
              <w:pStyle w:val="TableParagraph"/>
              <w:rPr>
                <w:rFonts w:ascii="Calibri"/>
                <w:sz w:val="22"/>
              </w:rPr>
            </w:pPr>
            <w:r>
              <w:rPr>
                <w:rFonts w:ascii="Calibri"/>
                <w:w w:val="100"/>
                <w:sz w:val="22"/>
              </w:rPr>
              <w:t>5</w:t>
            </w:r>
          </w:p>
        </w:tc>
        <w:tc>
          <w:tcPr>
            <w:tcW w:w="1014" w:type="dxa"/>
            <w:tcBorders>
              <w:top w:val="nil"/>
              <w:left w:val="nil"/>
              <w:bottom w:val="nil"/>
              <w:right w:val="nil"/>
            </w:tcBorders>
          </w:tcPr>
          <w:p>
            <w:pPr>
              <w:pStyle w:val="TableParagraph"/>
              <w:ind w:left="57"/>
              <w:rPr>
                <w:rFonts w:ascii="Calibri"/>
                <w:sz w:val="22"/>
              </w:rPr>
            </w:pPr>
            <w:r>
              <w:rPr>
                <w:rFonts w:ascii="Calibri"/>
                <w:w w:val="100"/>
                <w:sz w:val="22"/>
              </w:rPr>
              <w:t>2</w:t>
            </w:r>
          </w:p>
        </w:tc>
        <w:tc>
          <w:tcPr>
            <w:tcW w:w="1154" w:type="dxa"/>
            <w:tcBorders>
              <w:top w:val="nil"/>
              <w:left w:val="nil"/>
              <w:bottom w:val="nil"/>
              <w:right w:val="nil"/>
            </w:tcBorders>
          </w:tcPr>
          <w:p>
            <w:pPr>
              <w:pStyle w:val="TableParagraph"/>
              <w:ind w:left="17"/>
              <w:rPr>
                <w:rFonts w:ascii="Calibri"/>
                <w:sz w:val="22"/>
              </w:rPr>
            </w:pPr>
            <w:r>
              <w:rPr>
                <w:rFonts w:ascii="Calibri"/>
                <w:w w:val="100"/>
                <w:sz w:val="22"/>
              </w:rPr>
              <w:t>5</w:t>
            </w:r>
          </w:p>
        </w:tc>
        <w:tc>
          <w:tcPr>
            <w:tcW w:w="991" w:type="dxa"/>
            <w:tcBorders>
              <w:top w:val="nil"/>
              <w:left w:val="nil"/>
              <w:bottom w:val="nil"/>
              <w:right w:val="single" w:sz="4" w:space="0" w:color="000000"/>
            </w:tcBorders>
          </w:tcPr>
          <w:p>
            <w:pPr>
              <w:pStyle w:val="TableParagraph"/>
              <w:ind w:left="100" w:right="93"/>
              <w:rPr>
                <w:rFonts w:ascii="Calibri"/>
                <w:sz w:val="22"/>
              </w:rPr>
            </w:pPr>
            <w:r>
              <w:rPr>
                <w:rFonts w:ascii="Calibri"/>
                <w:sz w:val="22"/>
              </w:rPr>
              <w:t>21</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54</w:t>
            </w:r>
          </w:p>
        </w:tc>
        <w:tc>
          <w:tcPr>
            <w:tcW w:w="437" w:type="dxa"/>
            <w:tcBorders>
              <w:top w:val="nil"/>
              <w:bottom w:val="nil"/>
              <w:right w:val="nil"/>
            </w:tcBorders>
          </w:tcPr>
          <w:p>
            <w:pPr/>
          </w:p>
        </w:tc>
        <w:tc>
          <w:tcPr>
            <w:tcW w:w="705" w:type="dxa"/>
            <w:tcBorders>
              <w:top w:val="nil"/>
              <w:left w:val="nil"/>
              <w:bottom w:val="nil"/>
              <w:right w:val="nil"/>
            </w:tcBorders>
          </w:tcPr>
          <w:p>
            <w:pPr>
              <w:pStyle w:val="TableParagraph"/>
              <w:ind w:left="55"/>
              <w:jc w:val="left"/>
              <w:rPr>
                <w:rFonts w:ascii="Calibri"/>
                <w:sz w:val="22"/>
              </w:rPr>
            </w:pPr>
            <w:r>
              <w:rPr>
                <w:rFonts w:ascii="Calibri"/>
                <w:w w:val="100"/>
                <w:sz w:val="22"/>
              </w:rPr>
              <w:t>0</w:t>
            </w:r>
          </w:p>
        </w:tc>
        <w:tc>
          <w:tcPr>
            <w:tcW w:w="1119" w:type="dxa"/>
            <w:tcBorders>
              <w:top w:val="nil"/>
              <w:left w:val="nil"/>
              <w:bottom w:val="nil"/>
              <w:right w:val="nil"/>
            </w:tcBorders>
          </w:tcPr>
          <w:p>
            <w:pPr>
              <w:pStyle w:val="TableParagraph"/>
              <w:ind w:left="36"/>
              <w:rPr>
                <w:rFonts w:ascii="Calibri"/>
                <w:sz w:val="22"/>
              </w:rPr>
            </w:pPr>
            <w:r>
              <w:rPr>
                <w:rFonts w:ascii="Calibri"/>
                <w:w w:val="100"/>
                <w:sz w:val="22"/>
              </w:rPr>
              <w:t>1</w:t>
            </w:r>
          </w:p>
        </w:tc>
        <w:tc>
          <w:tcPr>
            <w:tcW w:w="1227" w:type="dxa"/>
            <w:tcBorders>
              <w:top w:val="nil"/>
              <w:left w:val="nil"/>
              <w:bottom w:val="nil"/>
              <w:right w:val="nil"/>
            </w:tcBorders>
          </w:tcPr>
          <w:p>
            <w:pPr>
              <w:pStyle w:val="TableParagraph"/>
              <w:ind w:left="175" w:right="106"/>
              <w:rPr>
                <w:rFonts w:ascii="Calibri"/>
                <w:sz w:val="22"/>
              </w:rPr>
            </w:pPr>
            <w:r>
              <w:rPr>
                <w:rFonts w:ascii="Calibri"/>
                <w:sz w:val="22"/>
              </w:rPr>
              <w:t>13</w:t>
            </w:r>
          </w:p>
        </w:tc>
        <w:tc>
          <w:tcPr>
            <w:tcW w:w="1009" w:type="dxa"/>
            <w:tcBorders>
              <w:top w:val="nil"/>
              <w:left w:val="nil"/>
              <w:bottom w:val="nil"/>
              <w:right w:val="nil"/>
            </w:tcBorders>
          </w:tcPr>
          <w:p>
            <w:pPr>
              <w:pStyle w:val="TableParagraph"/>
              <w:ind w:right="45"/>
              <w:rPr>
                <w:rFonts w:ascii="Calibri"/>
                <w:sz w:val="22"/>
              </w:rPr>
            </w:pPr>
            <w:r>
              <w:rPr>
                <w:rFonts w:ascii="Calibri"/>
                <w:w w:val="100"/>
                <w:sz w:val="22"/>
              </w:rPr>
              <w:t>2</w:t>
            </w:r>
          </w:p>
        </w:tc>
        <w:tc>
          <w:tcPr>
            <w:tcW w:w="1065" w:type="dxa"/>
            <w:tcBorders>
              <w:top w:val="nil"/>
              <w:left w:val="nil"/>
              <w:bottom w:val="nil"/>
              <w:right w:val="nil"/>
            </w:tcBorders>
          </w:tcPr>
          <w:p>
            <w:pPr>
              <w:pStyle w:val="TableParagraph"/>
              <w:rPr>
                <w:rFonts w:ascii="Calibri"/>
                <w:sz w:val="22"/>
              </w:rPr>
            </w:pPr>
            <w:r>
              <w:rPr>
                <w:rFonts w:ascii="Calibri"/>
                <w:w w:val="100"/>
                <w:sz w:val="22"/>
              </w:rPr>
              <w:t>5</w:t>
            </w:r>
          </w:p>
        </w:tc>
        <w:tc>
          <w:tcPr>
            <w:tcW w:w="1014" w:type="dxa"/>
            <w:tcBorders>
              <w:top w:val="nil"/>
              <w:left w:val="nil"/>
              <w:bottom w:val="nil"/>
              <w:right w:val="nil"/>
            </w:tcBorders>
          </w:tcPr>
          <w:p>
            <w:pPr>
              <w:pStyle w:val="TableParagraph"/>
              <w:ind w:left="57"/>
              <w:rPr>
                <w:rFonts w:ascii="Calibri"/>
                <w:sz w:val="22"/>
              </w:rPr>
            </w:pPr>
            <w:r>
              <w:rPr>
                <w:rFonts w:ascii="Calibri"/>
                <w:w w:val="100"/>
                <w:sz w:val="22"/>
              </w:rPr>
              <w:t>0</w:t>
            </w:r>
          </w:p>
        </w:tc>
        <w:tc>
          <w:tcPr>
            <w:tcW w:w="1154" w:type="dxa"/>
            <w:tcBorders>
              <w:top w:val="nil"/>
              <w:left w:val="nil"/>
              <w:bottom w:val="nil"/>
              <w:right w:val="nil"/>
            </w:tcBorders>
          </w:tcPr>
          <w:p>
            <w:pPr>
              <w:pStyle w:val="TableParagraph"/>
              <w:ind w:left="17"/>
              <w:rPr>
                <w:rFonts w:ascii="Calibri"/>
                <w:sz w:val="22"/>
              </w:rPr>
            </w:pPr>
            <w:r>
              <w:rPr>
                <w:rFonts w:ascii="Calibri"/>
                <w:w w:val="100"/>
                <w:sz w:val="22"/>
              </w:rPr>
              <w:t>1</w:t>
            </w:r>
          </w:p>
        </w:tc>
        <w:tc>
          <w:tcPr>
            <w:tcW w:w="991" w:type="dxa"/>
            <w:tcBorders>
              <w:top w:val="nil"/>
              <w:left w:val="nil"/>
              <w:bottom w:val="nil"/>
              <w:right w:val="single" w:sz="4" w:space="0" w:color="000000"/>
            </w:tcBorders>
          </w:tcPr>
          <w:p>
            <w:pPr>
              <w:pStyle w:val="TableParagraph"/>
              <w:ind w:left="100" w:right="93"/>
              <w:rPr>
                <w:rFonts w:ascii="Calibri"/>
                <w:sz w:val="22"/>
              </w:rPr>
            </w:pPr>
            <w:r>
              <w:rPr>
                <w:rFonts w:ascii="Calibri"/>
                <w:sz w:val="22"/>
              </w:rPr>
              <w:t>22</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55</w:t>
            </w:r>
          </w:p>
        </w:tc>
        <w:tc>
          <w:tcPr>
            <w:tcW w:w="437" w:type="dxa"/>
            <w:tcBorders>
              <w:top w:val="nil"/>
              <w:bottom w:val="nil"/>
              <w:right w:val="nil"/>
            </w:tcBorders>
          </w:tcPr>
          <w:p>
            <w:pPr/>
          </w:p>
        </w:tc>
        <w:tc>
          <w:tcPr>
            <w:tcW w:w="705" w:type="dxa"/>
            <w:tcBorders>
              <w:top w:val="nil"/>
              <w:left w:val="nil"/>
              <w:bottom w:val="nil"/>
              <w:right w:val="nil"/>
            </w:tcBorders>
          </w:tcPr>
          <w:p>
            <w:pPr>
              <w:pStyle w:val="TableParagraph"/>
              <w:ind w:left="55"/>
              <w:jc w:val="left"/>
              <w:rPr>
                <w:rFonts w:ascii="Calibri"/>
                <w:sz w:val="22"/>
              </w:rPr>
            </w:pPr>
            <w:r>
              <w:rPr>
                <w:rFonts w:ascii="Calibri"/>
                <w:w w:val="100"/>
                <w:sz w:val="22"/>
              </w:rPr>
              <w:t>0</w:t>
            </w:r>
          </w:p>
        </w:tc>
        <w:tc>
          <w:tcPr>
            <w:tcW w:w="1119" w:type="dxa"/>
            <w:tcBorders>
              <w:top w:val="nil"/>
              <w:left w:val="nil"/>
              <w:bottom w:val="nil"/>
              <w:right w:val="nil"/>
            </w:tcBorders>
          </w:tcPr>
          <w:p>
            <w:pPr>
              <w:pStyle w:val="TableParagraph"/>
              <w:ind w:left="36"/>
              <w:rPr>
                <w:rFonts w:ascii="Calibri"/>
                <w:sz w:val="22"/>
              </w:rPr>
            </w:pPr>
            <w:r>
              <w:rPr>
                <w:rFonts w:ascii="Calibri"/>
                <w:w w:val="100"/>
                <w:sz w:val="22"/>
              </w:rPr>
              <w:t>1</w:t>
            </w:r>
          </w:p>
        </w:tc>
        <w:tc>
          <w:tcPr>
            <w:tcW w:w="1227" w:type="dxa"/>
            <w:tcBorders>
              <w:top w:val="nil"/>
              <w:left w:val="nil"/>
              <w:bottom w:val="nil"/>
              <w:right w:val="nil"/>
            </w:tcBorders>
          </w:tcPr>
          <w:p>
            <w:pPr>
              <w:pStyle w:val="TableParagraph"/>
              <w:ind w:left="175" w:right="106"/>
              <w:rPr>
                <w:rFonts w:ascii="Calibri"/>
                <w:sz w:val="22"/>
              </w:rPr>
            </w:pPr>
            <w:r>
              <w:rPr>
                <w:rFonts w:ascii="Calibri"/>
                <w:sz w:val="22"/>
              </w:rPr>
              <w:t>36</w:t>
            </w:r>
          </w:p>
        </w:tc>
        <w:tc>
          <w:tcPr>
            <w:tcW w:w="1009" w:type="dxa"/>
            <w:tcBorders>
              <w:top w:val="nil"/>
              <w:left w:val="nil"/>
              <w:bottom w:val="nil"/>
              <w:right w:val="nil"/>
            </w:tcBorders>
          </w:tcPr>
          <w:p>
            <w:pPr>
              <w:pStyle w:val="TableParagraph"/>
              <w:ind w:right="45"/>
              <w:rPr>
                <w:rFonts w:ascii="Calibri"/>
                <w:sz w:val="22"/>
              </w:rPr>
            </w:pPr>
            <w:r>
              <w:rPr>
                <w:rFonts w:ascii="Calibri"/>
                <w:w w:val="100"/>
                <w:sz w:val="22"/>
              </w:rPr>
              <w:t>7</w:t>
            </w:r>
          </w:p>
        </w:tc>
        <w:tc>
          <w:tcPr>
            <w:tcW w:w="1065" w:type="dxa"/>
            <w:tcBorders>
              <w:top w:val="nil"/>
              <w:left w:val="nil"/>
              <w:bottom w:val="nil"/>
              <w:right w:val="nil"/>
            </w:tcBorders>
          </w:tcPr>
          <w:p>
            <w:pPr>
              <w:pStyle w:val="TableParagraph"/>
              <w:rPr>
                <w:rFonts w:ascii="Calibri"/>
                <w:sz w:val="22"/>
              </w:rPr>
            </w:pPr>
            <w:r>
              <w:rPr>
                <w:rFonts w:ascii="Calibri"/>
                <w:w w:val="100"/>
                <w:sz w:val="22"/>
              </w:rPr>
              <w:t>4</w:t>
            </w:r>
          </w:p>
        </w:tc>
        <w:tc>
          <w:tcPr>
            <w:tcW w:w="1014" w:type="dxa"/>
            <w:tcBorders>
              <w:top w:val="nil"/>
              <w:left w:val="nil"/>
              <w:bottom w:val="nil"/>
              <w:right w:val="nil"/>
            </w:tcBorders>
          </w:tcPr>
          <w:p>
            <w:pPr>
              <w:pStyle w:val="TableParagraph"/>
              <w:ind w:left="57"/>
              <w:rPr>
                <w:rFonts w:ascii="Calibri"/>
                <w:sz w:val="22"/>
              </w:rPr>
            </w:pPr>
            <w:r>
              <w:rPr>
                <w:rFonts w:ascii="Calibri"/>
                <w:w w:val="100"/>
                <w:sz w:val="22"/>
              </w:rPr>
              <w:t>1</w:t>
            </w:r>
          </w:p>
        </w:tc>
        <w:tc>
          <w:tcPr>
            <w:tcW w:w="1154" w:type="dxa"/>
            <w:tcBorders>
              <w:top w:val="nil"/>
              <w:left w:val="nil"/>
              <w:bottom w:val="nil"/>
              <w:right w:val="nil"/>
            </w:tcBorders>
          </w:tcPr>
          <w:p>
            <w:pPr>
              <w:pStyle w:val="TableParagraph"/>
              <w:ind w:left="17"/>
              <w:rPr>
                <w:rFonts w:ascii="Calibri"/>
                <w:sz w:val="22"/>
              </w:rPr>
            </w:pPr>
            <w:r>
              <w:rPr>
                <w:rFonts w:ascii="Calibri"/>
                <w:w w:val="100"/>
                <w:sz w:val="22"/>
              </w:rPr>
              <w:t>9</w:t>
            </w:r>
          </w:p>
        </w:tc>
        <w:tc>
          <w:tcPr>
            <w:tcW w:w="991" w:type="dxa"/>
            <w:tcBorders>
              <w:top w:val="nil"/>
              <w:left w:val="nil"/>
              <w:bottom w:val="nil"/>
              <w:right w:val="single" w:sz="4" w:space="0" w:color="000000"/>
            </w:tcBorders>
          </w:tcPr>
          <w:p>
            <w:pPr>
              <w:pStyle w:val="TableParagraph"/>
              <w:ind w:left="100" w:right="93"/>
              <w:rPr>
                <w:rFonts w:ascii="Calibri"/>
                <w:sz w:val="22"/>
              </w:rPr>
            </w:pPr>
            <w:r>
              <w:rPr>
                <w:rFonts w:ascii="Calibri"/>
                <w:sz w:val="22"/>
              </w:rPr>
              <w:t>58</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56</w:t>
            </w:r>
          </w:p>
        </w:tc>
        <w:tc>
          <w:tcPr>
            <w:tcW w:w="437" w:type="dxa"/>
            <w:tcBorders>
              <w:top w:val="nil"/>
              <w:bottom w:val="nil"/>
              <w:right w:val="nil"/>
            </w:tcBorders>
          </w:tcPr>
          <w:p>
            <w:pPr/>
          </w:p>
        </w:tc>
        <w:tc>
          <w:tcPr>
            <w:tcW w:w="705" w:type="dxa"/>
            <w:tcBorders>
              <w:top w:val="nil"/>
              <w:left w:val="nil"/>
              <w:bottom w:val="nil"/>
              <w:right w:val="nil"/>
            </w:tcBorders>
          </w:tcPr>
          <w:p>
            <w:pPr>
              <w:pStyle w:val="TableParagraph"/>
              <w:ind w:left="55"/>
              <w:jc w:val="left"/>
              <w:rPr>
                <w:rFonts w:ascii="Calibri"/>
                <w:sz w:val="22"/>
              </w:rPr>
            </w:pPr>
            <w:r>
              <w:rPr>
                <w:rFonts w:ascii="Calibri"/>
                <w:w w:val="100"/>
                <w:sz w:val="22"/>
              </w:rPr>
              <w:t>0</w:t>
            </w:r>
          </w:p>
        </w:tc>
        <w:tc>
          <w:tcPr>
            <w:tcW w:w="1119" w:type="dxa"/>
            <w:tcBorders>
              <w:top w:val="nil"/>
              <w:left w:val="nil"/>
              <w:bottom w:val="nil"/>
              <w:right w:val="nil"/>
            </w:tcBorders>
          </w:tcPr>
          <w:p>
            <w:pPr>
              <w:pStyle w:val="TableParagraph"/>
              <w:ind w:left="36"/>
              <w:rPr>
                <w:rFonts w:ascii="Calibri"/>
                <w:sz w:val="22"/>
              </w:rPr>
            </w:pPr>
            <w:r>
              <w:rPr>
                <w:rFonts w:ascii="Calibri"/>
                <w:w w:val="100"/>
                <w:sz w:val="22"/>
              </w:rPr>
              <w:t>0</w:t>
            </w:r>
          </w:p>
        </w:tc>
        <w:tc>
          <w:tcPr>
            <w:tcW w:w="1227" w:type="dxa"/>
            <w:tcBorders>
              <w:top w:val="nil"/>
              <w:left w:val="nil"/>
              <w:bottom w:val="nil"/>
              <w:right w:val="nil"/>
            </w:tcBorders>
          </w:tcPr>
          <w:p>
            <w:pPr>
              <w:pStyle w:val="TableParagraph"/>
              <w:ind w:left="71"/>
              <w:rPr>
                <w:rFonts w:ascii="Calibri"/>
                <w:sz w:val="22"/>
              </w:rPr>
            </w:pPr>
            <w:r>
              <w:rPr>
                <w:rFonts w:ascii="Calibri"/>
                <w:w w:val="100"/>
                <w:sz w:val="22"/>
              </w:rPr>
              <w:t>2</w:t>
            </w:r>
          </w:p>
        </w:tc>
        <w:tc>
          <w:tcPr>
            <w:tcW w:w="1009" w:type="dxa"/>
            <w:tcBorders>
              <w:top w:val="nil"/>
              <w:left w:val="nil"/>
              <w:bottom w:val="nil"/>
              <w:right w:val="nil"/>
            </w:tcBorders>
          </w:tcPr>
          <w:p>
            <w:pPr>
              <w:pStyle w:val="TableParagraph"/>
              <w:ind w:right="45"/>
              <w:rPr>
                <w:rFonts w:ascii="Calibri"/>
                <w:sz w:val="22"/>
              </w:rPr>
            </w:pPr>
            <w:r>
              <w:rPr>
                <w:rFonts w:ascii="Calibri"/>
                <w:w w:val="100"/>
                <w:sz w:val="22"/>
              </w:rPr>
              <w:t>5</w:t>
            </w:r>
          </w:p>
        </w:tc>
        <w:tc>
          <w:tcPr>
            <w:tcW w:w="1065" w:type="dxa"/>
            <w:tcBorders>
              <w:top w:val="nil"/>
              <w:left w:val="nil"/>
              <w:bottom w:val="nil"/>
              <w:right w:val="nil"/>
            </w:tcBorders>
          </w:tcPr>
          <w:p>
            <w:pPr>
              <w:pStyle w:val="TableParagraph"/>
              <w:rPr>
                <w:rFonts w:ascii="Calibri"/>
                <w:sz w:val="22"/>
              </w:rPr>
            </w:pPr>
            <w:r>
              <w:rPr>
                <w:rFonts w:ascii="Calibri"/>
                <w:w w:val="100"/>
                <w:sz w:val="22"/>
              </w:rPr>
              <w:t>4</w:t>
            </w:r>
          </w:p>
        </w:tc>
        <w:tc>
          <w:tcPr>
            <w:tcW w:w="1014" w:type="dxa"/>
            <w:tcBorders>
              <w:top w:val="nil"/>
              <w:left w:val="nil"/>
              <w:bottom w:val="nil"/>
              <w:right w:val="nil"/>
            </w:tcBorders>
          </w:tcPr>
          <w:p>
            <w:pPr>
              <w:pStyle w:val="TableParagraph"/>
              <w:ind w:left="57"/>
              <w:rPr>
                <w:rFonts w:ascii="Calibri"/>
                <w:sz w:val="22"/>
              </w:rPr>
            </w:pPr>
            <w:r>
              <w:rPr>
                <w:rFonts w:ascii="Calibri"/>
                <w:w w:val="100"/>
                <w:sz w:val="22"/>
              </w:rPr>
              <w:t>0</w:t>
            </w:r>
          </w:p>
        </w:tc>
        <w:tc>
          <w:tcPr>
            <w:tcW w:w="1154" w:type="dxa"/>
            <w:tcBorders>
              <w:top w:val="nil"/>
              <w:left w:val="nil"/>
              <w:bottom w:val="nil"/>
              <w:right w:val="nil"/>
            </w:tcBorders>
          </w:tcPr>
          <w:p>
            <w:pPr>
              <w:pStyle w:val="TableParagraph"/>
              <w:ind w:left="17"/>
              <w:rPr>
                <w:rFonts w:ascii="Calibri"/>
                <w:sz w:val="22"/>
              </w:rPr>
            </w:pPr>
            <w:r>
              <w:rPr>
                <w:rFonts w:ascii="Calibri"/>
                <w:w w:val="100"/>
                <w:sz w:val="22"/>
              </w:rPr>
              <w:t>9</w:t>
            </w:r>
          </w:p>
        </w:tc>
        <w:tc>
          <w:tcPr>
            <w:tcW w:w="991" w:type="dxa"/>
            <w:tcBorders>
              <w:top w:val="nil"/>
              <w:left w:val="nil"/>
              <w:bottom w:val="nil"/>
              <w:right w:val="single" w:sz="4" w:space="0" w:color="000000"/>
            </w:tcBorders>
          </w:tcPr>
          <w:p>
            <w:pPr>
              <w:pStyle w:val="TableParagraph"/>
              <w:ind w:left="100" w:right="93"/>
              <w:rPr>
                <w:rFonts w:ascii="Calibri"/>
                <w:sz w:val="22"/>
              </w:rPr>
            </w:pPr>
            <w:r>
              <w:rPr>
                <w:rFonts w:ascii="Calibri"/>
                <w:sz w:val="22"/>
              </w:rPr>
              <w:t>20</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57</w:t>
            </w:r>
          </w:p>
        </w:tc>
        <w:tc>
          <w:tcPr>
            <w:tcW w:w="437" w:type="dxa"/>
            <w:tcBorders>
              <w:top w:val="nil"/>
              <w:bottom w:val="nil"/>
              <w:right w:val="nil"/>
            </w:tcBorders>
          </w:tcPr>
          <w:p>
            <w:pPr/>
          </w:p>
        </w:tc>
        <w:tc>
          <w:tcPr>
            <w:tcW w:w="705" w:type="dxa"/>
            <w:tcBorders>
              <w:top w:val="nil"/>
              <w:left w:val="nil"/>
              <w:bottom w:val="nil"/>
              <w:right w:val="nil"/>
            </w:tcBorders>
          </w:tcPr>
          <w:p>
            <w:pPr>
              <w:pStyle w:val="TableParagraph"/>
              <w:ind w:left="55"/>
              <w:jc w:val="left"/>
              <w:rPr>
                <w:rFonts w:ascii="Calibri"/>
                <w:sz w:val="22"/>
              </w:rPr>
            </w:pPr>
            <w:r>
              <w:rPr>
                <w:rFonts w:ascii="Calibri"/>
                <w:w w:val="100"/>
                <w:sz w:val="22"/>
              </w:rPr>
              <w:t>1</w:t>
            </w:r>
          </w:p>
        </w:tc>
        <w:tc>
          <w:tcPr>
            <w:tcW w:w="1119" w:type="dxa"/>
            <w:tcBorders>
              <w:top w:val="nil"/>
              <w:left w:val="nil"/>
              <w:bottom w:val="nil"/>
              <w:right w:val="nil"/>
            </w:tcBorders>
          </w:tcPr>
          <w:p>
            <w:pPr>
              <w:pStyle w:val="TableParagraph"/>
              <w:ind w:left="36"/>
              <w:rPr>
                <w:rFonts w:ascii="Calibri"/>
                <w:sz w:val="22"/>
              </w:rPr>
            </w:pPr>
            <w:r>
              <w:rPr>
                <w:rFonts w:ascii="Calibri"/>
                <w:w w:val="100"/>
                <w:sz w:val="22"/>
              </w:rPr>
              <w:t>5</w:t>
            </w:r>
          </w:p>
        </w:tc>
        <w:tc>
          <w:tcPr>
            <w:tcW w:w="1227" w:type="dxa"/>
            <w:tcBorders>
              <w:top w:val="nil"/>
              <w:left w:val="nil"/>
              <w:bottom w:val="nil"/>
              <w:right w:val="nil"/>
            </w:tcBorders>
          </w:tcPr>
          <w:p>
            <w:pPr>
              <w:pStyle w:val="TableParagraph"/>
              <w:ind w:left="175" w:right="106"/>
              <w:rPr>
                <w:rFonts w:ascii="Calibri"/>
                <w:sz w:val="22"/>
              </w:rPr>
            </w:pPr>
            <w:r>
              <w:rPr>
                <w:rFonts w:ascii="Calibri"/>
                <w:sz w:val="22"/>
              </w:rPr>
              <w:t>48</w:t>
            </w:r>
          </w:p>
        </w:tc>
        <w:tc>
          <w:tcPr>
            <w:tcW w:w="1009" w:type="dxa"/>
            <w:tcBorders>
              <w:top w:val="nil"/>
              <w:left w:val="nil"/>
              <w:bottom w:val="nil"/>
              <w:right w:val="nil"/>
            </w:tcBorders>
          </w:tcPr>
          <w:p>
            <w:pPr>
              <w:pStyle w:val="TableParagraph"/>
              <w:ind w:left="111" w:right="158"/>
              <w:rPr>
                <w:rFonts w:ascii="Calibri"/>
                <w:sz w:val="22"/>
              </w:rPr>
            </w:pPr>
            <w:r>
              <w:rPr>
                <w:rFonts w:ascii="Calibri"/>
                <w:sz w:val="22"/>
              </w:rPr>
              <w:t>20</w:t>
            </w:r>
          </w:p>
        </w:tc>
        <w:tc>
          <w:tcPr>
            <w:tcW w:w="1065" w:type="dxa"/>
            <w:tcBorders>
              <w:top w:val="nil"/>
              <w:left w:val="nil"/>
              <w:bottom w:val="nil"/>
              <w:right w:val="nil"/>
            </w:tcBorders>
          </w:tcPr>
          <w:p>
            <w:pPr>
              <w:pStyle w:val="TableParagraph"/>
              <w:ind w:left="163" w:right="159"/>
              <w:rPr>
                <w:rFonts w:ascii="Calibri"/>
                <w:sz w:val="22"/>
              </w:rPr>
            </w:pPr>
            <w:r>
              <w:rPr>
                <w:rFonts w:ascii="Calibri"/>
                <w:sz w:val="22"/>
              </w:rPr>
              <w:t>43</w:t>
            </w:r>
          </w:p>
        </w:tc>
        <w:tc>
          <w:tcPr>
            <w:tcW w:w="1014" w:type="dxa"/>
            <w:tcBorders>
              <w:top w:val="nil"/>
              <w:left w:val="nil"/>
              <w:bottom w:val="nil"/>
              <w:right w:val="nil"/>
            </w:tcBorders>
          </w:tcPr>
          <w:p>
            <w:pPr>
              <w:pStyle w:val="TableParagraph"/>
              <w:ind w:left="57"/>
              <w:rPr>
                <w:rFonts w:ascii="Calibri"/>
                <w:sz w:val="22"/>
              </w:rPr>
            </w:pPr>
            <w:r>
              <w:rPr>
                <w:rFonts w:ascii="Calibri"/>
                <w:w w:val="100"/>
                <w:sz w:val="22"/>
              </w:rPr>
              <w:t>6</w:t>
            </w:r>
          </w:p>
        </w:tc>
        <w:tc>
          <w:tcPr>
            <w:tcW w:w="1154" w:type="dxa"/>
            <w:tcBorders>
              <w:top w:val="nil"/>
              <w:left w:val="nil"/>
              <w:bottom w:val="nil"/>
              <w:right w:val="nil"/>
            </w:tcBorders>
          </w:tcPr>
          <w:p>
            <w:pPr>
              <w:pStyle w:val="TableParagraph"/>
              <w:ind w:left="112" w:right="96"/>
              <w:rPr>
                <w:rFonts w:ascii="Calibri"/>
                <w:sz w:val="22"/>
              </w:rPr>
            </w:pPr>
            <w:r>
              <w:rPr>
                <w:rFonts w:ascii="Calibri"/>
                <w:sz w:val="22"/>
              </w:rPr>
              <w:t>31</w:t>
            </w:r>
          </w:p>
        </w:tc>
        <w:tc>
          <w:tcPr>
            <w:tcW w:w="991" w:type="dxa"/>
            <w:tcBorders>
              <w:top w:val="nil"/>
              <w:left w:val="nil"/>
              <w:bottom w:val="nil"/>
              <w:right w:val="single" w:sz="4" w:space="0" w:color="000000"/>
            </w:tcBorders>
          </w:tcPr>
          <w:p>
            <w:pPr>
              <w:pStyle w:val="TableParagraph"/>
              <w:ind w:left="100" w:right="94"/>
              <w:rPr>
                <w:rFonts w:ascii="Calibri"/>
                <w:sz w:val="22"/>
              </w:rPr>
            </w:pPr>
            <w:r>
              <w:rPr>
                <w:rFonts w:ascii="Calibri"/>
                <w:sz w:val="22"/>
              </w:rPr>
              <w:t>153</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58</w:t>
            </w:r>
          </w:p>
        </w:tc>
        <w:tc>
          <w:tcPr>
            <w:tcW w:w="437" w:type="dxa"/>
            <w:tcBorders>
              <w:top w:val="nil"/>
              <w:bottom w:val="nil"/>
              <w:right w:val="nil"/>
            </w:tcBorders>
          </w:tcPr>
          <w:p>
            <w:pPr/>
          </w:p>
        </w:tc>
        <w:tc>
          <w:tcPr>
            <w:tcW w:w="705" w:type="dxa"/>
            <w:tcBorders>
              <w:top w:val="nil"/>
              <w:left w:val="nil"/>
              <w:bottom w:val="nil"/>
              <w:right w:val="nil"/>
            </w:tcBorders>
          </w:tcPr>
          <w:p>
            <w:pPr>
              <w:pStyle w:val="TableParagraph"/>
              <w:ind w:left="55"/>
              <w:jc w:val="left"/>
              <w:rPr>
                <w:rFonts w:ascii="Calibri"/>
                <w:sz w:val="22"/>
              </w:rPr>
            </w:pPr>
            <w:r>
              <w:rPr>
                <w:rFonts w:ascii="Calibri"/>
                <w:w w:val="100"/>
                <w:sz w:val="22"/>
              </w:rPr>
              <w:t>1</w:t>
            </w:r>
          </w:p>
        </w:tc>
        <w:tc>
          <w:tcPr>
            <w:tcW w:w="1119" w:type="dxa"/>
            <w:tcBorders>
              <w:top w:val="nil"/>
              <w:left w:val="nil"/>
              <w:bottom w:val="nil"/>
              <w:right w:val="nil"/>
            </w:tcBorders>
          </w:tcPr>
          <w:p>
            <w:pPr>
              <w:pStyle w:val="TableParagraph"/>
              <w:ind w:left="36"/>
              <w:rPr>
                <w:rFonts w:ascii="Calibri"/>
                <w:sz w:val="22"/>
              </w:rPr>
            </w:pPr>
            <w:r>
              <w:rPr>
                <w:rFonts w:ascii="Calibri"/>
                <w:w w:val="100"/>
                <w:sz w:val="22"/>
              </w:rPr>
              <w:t>0</w:t>
            </w:r>
          </w:p>
        </w:tc>
        <w:tc>
          <w:tcPr>
            <w:tcW w:w="1227" w:type="dxa"/>
            <w:tcBorders>
              <w:top w:val="nil"/>
              <w:left w:val="nil"/>
              <w:bottom w:val="nil"/>
              <w:right w:val="nil"/>
            </w:tcBorders>
          </w:tcPr>
          <w:p>
            <w:pPr>
              <w:pStyle w:val="TableParagraph"/>
              <w:ind w:left="175" w:right="106"/>
              <w:rPr>
                <w:rFonts w:ascii="Calibri"/>
                <w:sz w:val="22"/>
              </w:rPr>
            </w:pPr>
            <w:r>
              <w:rPr>
                <w:rFonts w:ascii="Calibri"/>
                <w:sz w:val="22"/>
              </w:rPr>
              <w:t>60</w:t>
            </w:r>
          </w:p>
        </w:tc>
        <w:tc>
          <w:tcPr>
            <w:tcW w:w="1009" w:type="dxa"/>
            <w:tcBorders>
              <w:top w:val="nil"/>
              <w:left w:val="nil"/>
              <w:bottom w:val="nil"/>
              <w:right w:val="nil"/>
            </w:tcBorders>
          </w:tcPr>
          <w:p>
            <w:pPr>
              <w:pStyle w:val="TableParagraph"/>
              <w:ind w:left="111" w:right="158"/>
              <w:rPr>
                <w:rFonts w:ascii="Calibri"/>
                <w:sz w:val="22"/>
              </w:rPr>
            </w:pPr>
            <w:r>
              <w:rPr>
                <w:rFonts w:ascii="Calibri"/>
                <w:sz w:val="22"/>
              </w:rPr>
              <w:t>10</w:t>
            </w:r>
          </w:p>
        </w:tc>
        <w:tc>
          <w:tcPr>
            <w:tcW w:w="1065" w:type="dxa"/>
            <w:tcBorders>
              <w:top w:val="nil"/>
              <w:left w:val="nil"/>
              <w:bottom w:val="nil"/>
              <w:right w:val="nil"/>
            </w:tcBorders>
          </w:tcPr>
          <w:p>
            <w:pPr>
              <w:pStyle w:val="TableParagraph"/>
              <w:ind w:left="163" w:right="159"/>
              <w:rPr>
                <w:rFonts w:ascii="Calibri"/>
                <w:sz w:val="22"/>
              </w:rPr>
            </w:pPr>
            <w:r>
              <w:rPr>
                <w:rFonts w:ascii="Calibri"/>
                <w:sz w:val="22"/>
              </w:rPr>
              <w:t>10</w:t>
            </w:r>
          </w:p>
        </w:tc>
        <w:tc>
          <w:tcPr>
            <w:tcW w:w="1014" w:type="dxa"/>
            <w:tcBorders>
              <w:top w:val="nil"/>
              <w:left w:val="nil"/>
              <w:bottom w:val="nil"/>
              <w:right w:val="nil"/>
            </w:tcBorders>
          </w:tcPr>
          <w:p>
            <w:pPr>
              <w:pStyle w:val="TableParagraph"/>
              <w:ind w:left="57"/>
              <w:rPr>
                <w:rFonts w:ascii="Calibri"/>
                <w:sz w:val="22"/>
              </w:rPr>
            </w:pPr>
            <w:r>
              <w:rPr>
                <w:rFonts w:ascii="Calibri"/>
                <w:w w:val="100"/>
                <w:sz w:val="22"/>
              </w:rPr>
              <w:t>0</w:t>
            </w:r>
          </w:p>
        </w:tc>
        <w:tc>
          <w:tcPr>
            <w:tcW w:w="1154" w:type="dxa"/>
            <w:tcBorders>
              <w:top w:val="nil"/>
              <w:left w:val="nil"/>
              <w:bottom w:val="nil"/>
              <w:right w:val="nil"/>
            </w:tcBorders>
          </w:tcPr>
          <w:p>
            <w:pPr>
              <w:pStyle w:val="TableParagraph"/>
              <w:ind w:left="17"/>
              <w:rPr>
                <w:rFonts w:ascii="Calibri"/>
                <w:sz w:val="22"/>
              </w:rPr>
            </w:pPr>
            <w:r>
              <w:rPr>
                <w:rFonts w:ascii="Calibri"/>
                <w:w w:val="100"/>
                <w:sz w:val="22"/>
              </w:rPr>
              <w:t>9</w:t>
            </w:r>
          </w:p>
        </w:tc>
        <w:tc>
          <w:tcPr>
            <w:tcW w:w="991" w:type="dxa"/>
            <w:tcBorders>
              <w:top w:val="nil"/>
              <w:left w:val="nil"/>
              <w:bottom w:val="nil"/>
              <w:right w:val="single" w:sz="4" w:space="0" w:color="000000"/>
            </w:tcBorders>
          </w:tcPr>
          <w:p>
            <w:pPr>
              <w:pStyle w:val="TableParagraph"/>
              <w:ind w:left="100" w:right="93"/>
              <w:rPr>
                <w:rFonts w:ascii="Calibri"/>
                <w:sz w:val="22"/>
              </w:rPr>
            </w:pPr>
            <w:r>
              <w:rPr>
                <w:rFonts w:ascii="Calibri"/>
                <w:sz w:val="22"/>
              </w:rPr>
              <w:t>89</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59</w:t>
            </w:r>
          </w:p>
        </w:tc>
        <w:tc>
          <w:tcPr>
            <w:tcW w:w="437" w:type="dxa"/>
            <w:tcBorders>
              <w:top w:val="nil"/>
              <w:bottom w:val="nil"/>
              <w:right w:val="nil"/>
            </w:tcBorders>
          </w:tcPr>
          <w:p>
            <w:pPr/>
          </w:p>
        </w:tc>
        <w:tc>
          <w:tcPr>
            <w:tcW w:w="705" w:type="dxa"/>
            <w:tcBorders>
              <w:top w:val="nil"/>
              <w:left w:val="nil"/>
              <w:bottom w:val="nil"/>
              <w:right w:val="nil"/>
            </w:tcBorders>
          </w:tcPr>
          <w:p>
            <w:pPr>
              <w:pStyle w:val="TableParagraph"/>
              <w:ind w:left="55"/>
              <w:jc w:val="left"/>
              <w:rPr>
                <w:rFonts w:ascii="Calibri"/>
                <w:sz w:val="22"/>
              </w:rPr>
            </w:pPr>
            <w:r>
              <w:rPr>
                <w:rFonts w:ascii="Calibri"/>
                <w:w w:val="100"/>
                <w:sz w:val="22"/>
              </w:rPr>
              <w:t>0</w:t>
            </w:r>
          </w:p>
        </w:tc>
        <w:tc>
          <w:tcPr>
            <w:tcW w:w="1119" w:type="dxa"/>
            <w:tcBorders>
              <w:top w:val="nil"/>
              <w:left w:val="nil"/>
              <w:bottom w:val="nil"/>
              <w:right w:val="nil"/>
            </w:tcBorders>
          </w:tcPr>
          <w:p>
            <w:pPr>
              <w:pStyle w:val="TableParagraph"/>
              <w:ind w:left="36"/>
              <w:rPr>
                <w:rFonts w:ascii="Calibri"/>
                <w:sz w:val="22"/>
              </w:rPr>
            </w:pPr>
            <w:r>
              <w:rPr>
                <w:rFonts w:ascii="Calibri"/>
                <w:w w:val="100"/>
                <w:sz w:val="22"/>
              </w:rPr>
              <w:t>1</w:t>
            </w:r>
          </w:p>
        </w:tc>
        <w:tc>
          <w:tcPr>
            <w:tcW w:w="1227" w:type="dxa"/>
            <w:tcBorders>
              <w:top w:val="nil"/>
              <w:left w:val="nil"/>
              <w:bottom w:val="nil"/>
              <w:right w:val="nil"/>
            </w:tcBorders>
          </w:tcPr>
          <w:p>
            <w:pPr>
              <w:pStyle w:val="TableParagraph"/>
              <w:ind w:left="175" w:right="106"/>
              <w:rPr>
                <w:rFonts w:ascii="Calibri"/>
                <w:sz w:val="22"/>
              </w:rPr>
            </w:pPr>
            <w:r>
              <w:rPr>
                <w:rFonts w:ascii="Calibri"/>
                <w:sz w:val="22"/>
              </w:rPr>
              <w:t>16</w:t>
            </w:r>
          </w:p>
        </w:tc>
        <w:tc>
          <w:tcPr>
            <w:tcW w:w="1009" w:type="dxa"/>
            <w:tcBorders>
              <w:top w:val="nil"/>
              <w:left w:val="nil"/>
              <w:bottom w:val="nil"/>
              <w:right w:val="nil"/>
            </w:tcBorders>
          </w:tcPr>
          <w:p>
            <w:pPr>
              <w:pStyle w:val="TableParagraph"/>
              <w:ind w:left="111" w:right="158"/>
              <w:rPr>
                <w:rFonts w:ascii="Calibri"/>
                <w:sz w:val="22"/>
              </w:rPr>
            </w:pPr>
            <w:r>
              <w:rPr>
                <w:rFonts w:ascii="Calibri"/>
                <w:sz w:val="22"/>
              </w:rPr>
              <w:t>15</w:t>
            </w:r>
          </w:p>
        </w:tc>
        <w:tc>
          <w:tcPr>
            <w:tcW w:w="1065" w:type="dxa"/>
            <w:tcBorders>
              <w:top w:val="nil"/>
              <w:left w:val="nil"/>
              <w:bottom w:val="nil"/>
              <w:right w:val="nil"/>
            </w:tcBorders>
          </w:tcPr>
          <w:p>
            <w:pPr>
              <w:pStyle w:val="TableParagraph"/>
              <w:ind w:left="163" w:right="159"/>
              <w:rPr>
                <w:rFonts w:ascii="Calibri"/>
                <w:sz w:val="22"/>
              </w:rPr>
            </w:pPr>
            <w:r>
              <w:rPr>
                <w:rFonts w:ascii="Calibri"/>
                <w:sz w:val="22"/>
              </w:rPr>
              <w:t>11</w:t>
            </w:r>
          </w:p>
        </w:tc>
        <w:tc>
          <w:tcPr>
            <w:tcW w:w="1014" w:type="dxa"/>
            <w:tcBorders>
              <w:top w:val="nil"/>
              <w:left w:val="nil"/>
              <w:bottom w:val="nil"/>
              <w:right w:val="nil"/>
            </w:tcBorders>
          </w:tcPr>
          <w:p>
            <w:pPr>
              <w:pStyle w:val="TableParagraph"/>
              <w:ind w:left="57"/>
              <w:rPr>
                <w:rFonts w:ascii="Calibri"/>
                <w:sz w:val="22"/>
              </w:rPr>
            </w:pPr>
            <w:r>
              <w:rPr>
                <w:rFonts w:ascii="Calibri"/>
                <w:w w:val="100"/>
                <w:sz w:val="22"/>
              </w:rPr>
              <w:t>1</w:t>
            </w:r>
          </w:p>
        </w:tc>
        <w:tc>
          <w:tcPr>
            <w:tcW w:w="1154" w:type="dxa"/>
            <w:tcBorders>
              <w:top w:val="nil"/>
              <w:left w:val="nil"/>
              <w:bottom w:val="nil"/>
              <w:right w:val="nil"/>
            </w:tcBorders>
          </w:tcPr>
          <w:p>
            <w:pPr>
              <w:pStyle w:val="TableParagraph"/>
              <w:ind w:left="112" w:right="96"/>
              <w:rPr>
                <w:rFonts w:ascii="Calibri"/>
                <w:sz w:val="22"/>
              </w:rPr>
            </w:pPr>
            <w:r>
              <w:rPr>
                <w:rFonts w:ascii="Calibri"/>
                <w:sz w:val="22"/>
              </w:rPr>
              <w:t>43</w:t>
            </w:r>
          </w:p>
        </w:tc>
        <w:tc>
          <w:tcPr>
            <w:tcW w:w="991" w:type="dxa"/>
            <w:tcBorders>
              <w:top w:val="nil"/>
              <w:left w:val="nil"/>
              <w:bottom w:val="nil"/>
              <w:right w:val="single" w:sz="4" w:space="0" w:color="000000"/>
            </w:tcBorders>
          </w:tcPr>
          <w:p>
            <w:pPr>
              <w:pStyle w:val="TableParagraph"/>
              <w:ind w:left="100" w:right="93"/>
              <w:rPr>
                <w:rFonts w:ascii="Calibri"/>
                <w:sz w:val="22"/>
              </w:rPr>
            </w:pPr>
            <w:r>
              <w:rPr>
                <w:rFonts w:ascii="Calibri"/>
                <w:sz w:val="22"/>
              </w:rPr>
              <w:t>87</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60</w:t>
            </w:r>
          </w:p>
        </w:tc>
        <w:tc>
          <w:tcPr>
            <w:tcW w:w="437" w:type="dxa"/>
            <w:tcBorders>
              <w:top w:val="nil"/>
              <w:bottom w:val="nil"/>
              <w:right w:val="nil"/>
            </w:tcBorders>
          </w:tcPr>
          <w:p>
            <w:pPr/>
          </w:p>
        </w:tc>
        <w:tc>
          <w:tcPr>
            <w:tcW w:w="705" w:type="dxa"/>
            <w:tcBorders>
              <w:top w:val="nil"/>
              <w:left w:val="nil"/>
              <w:bottom w:val="nil"/>
              <w:right w:val="nil"/>
            </w:tcBorders>
          </w:tcPr>
          <w:p>
            <w:pPr>
              <w:pStyle w:val="TableParagraph"/>
              <w:ind w:left="55"/>
              <w:jc w:val="left"/>
              <w:rPr>
                <w:rFonts w:ascii="Calibri"/>
                <w:sz w:val="22"/>
              </w:rPr>
            </w:pPr>
            <w:r>
              <w:rPr>
                <w:rFonts w:ascii="Calibri"/>
                <w:w w:val="100"/>
                <w:sz w:val="22"/>
              </w:rPr>
              <w:t>0</w:t>
            </w:r>
          </w:p>
        </w:tc>
        <w:tc>
          <w:tcPr>
            <w:tcW w:w="1119" w:type="dxa"/>
            <w:tcBorders>
              <w:top w:val="nil"/>
              <w:left w:val="nil"/>
              <w:bottom w:val="nil"/>
              <w:right w:val="nil"/>
            </w:tcBorders>
          </w:tcPr>
          <w:p>
            <w:pPr>
              <w:pStyle w:val="TableParagraph"/>
              <w:ind w:left="36"/>
              <w:rPr>
                <w:rFonts w:ascii="Calibri"/>
                <w:sz w:val="22"/>
              </w:rPr>
            </w:pPr>
            <w:r>
              <w:rPr>
                <w:rFonts w:ascii="Calibri"/>
                <w:w w:val="100"/>
                <w:sz w:val="22"/>
              </w:rPr>
              <w:t>6</w:t>
            </w:r>
          </w:p>
        </w:tc>
        <w:tc>
          <w:tcPr>
            <w:tcW w:w="1227" w:type="dxa"/>
            <w:tcBorders>
              <w:top w:val="nil"/>
              <w:left w:val="nil"/>
              <w:bottom w:val="nil"/>
              <w:right w:val="nil"/>
            </w:tcBorders>
          </w:tcPr>
          <w:p>
            <w:pPr>
              <w:pStyle w:val="TableParagraph"/>
              <w:ind w:left="175" w:right="106"/>
              <w:rPr>
                <w:rFonts w:ascii="Calibri"/>
                <w:sz w:val="22"/>
              </w:rPr>
            </w:pPr>
            <w:r>
              <w:rPr>
                <w:rFonts w:ascii="Calibri"/>
                <w:sz w:val="22"/>
              </w:rPr>
              <w:t>46</w:t>
            </w:r>
          </w:p>
        </w:tc>
        <w:tc>
          <w:tcPr>
            <w:tcW w:w="1009" w:type="dxa"/>
            <w:tcBorders>
              <w:top w:val="nil"/>
              <w:left w:val="nil"/>
              <w:bottom w:val="nil"/>
              <w:right w:val="nil"/>
            </w:tcBorders>
          </w:tcPr>
          <w:p>
            <w:pPr>
              <w:pStyle w:val="TableParagraph"/>
              <w:ind w:left="111" w:right="158"/>
              <w:rPr>
                <w:rFonts w:ascii="Calibri"/>
                <w:sz w:val="22"/>
              </w:rPr>
            </w:pPr>
            <w:r>
              <w:rPr>
                <w:rFonts w:ascii="Calibri"/>
                <w:sz w:val="22"/>
              </w:rPr>
              <w:t>19</w:t>
            </w:r>
          </w:p>
        </w:tc>
        <w:tc>
          <w:tcPr>
            <w:tcW w:w="1065" w:type="dxa"/>
            <w:tcBorders>
              <w:top w:val="nil"/>
              <w:left w:val="nil"/>
              <w:bottom w:val="nil"/>
              <w:right w:val="nil"/>
            </w:tcBorders>
          </w:tcPr>
          <w:p>
            <w:pPr>
              <w:pStyle w:val="TableParagraph"/>
              <w:ind w:left="163" w:right="159"/>
              <w:rPr>
                <w:rFonts w:ascii="Calibri"/>
                <w:sz w:val="22"/>
              </w:rPr>
            </w:pPr>
            <w:r>
              <w:rPr>
                <w:rFonts w:ascii="Calibri"/>
                <w:sz w:val="22"/>
              </w:rPr>
              <w:t>20</w:t>
            </w:r>
          </w:p>
        </w:tc>
        <w:tc>
          <w:tcPr>
            <w:tcW w:w="1014" w:type="dxa"/>
            <w:tcBorders>
              <w:top w:val="nil"/>
              <w:left w:val="nil"/>
              <w:bottom w:val="nil"/>
              <w:right w:val="nil"/>
            </w:tcBorders>
          </w:tcPr>
          <w:p>
            <w:pPr>
              <w:pStyle w:val="TableParagraph"/>
              <w:ind w:left="57"/>
              <w:rPr>
                <w:rFonts w:ascii="Calibri"/>
                <w:sz w:val="22"/>
              </w:rPr>
            </w:pPr>
            <w:r>
              <w:rPr>
                <w:rFonts w:ascii="Calibri"/>
                <w:w w:val="100"/>
                <w:sz w:val="22"/>
              </w:rPr>
              <w:t>1</w:t>
            </w:r>
          </w:p>
        </w:tc>
        <w:tc>
          <w:tcPr>
            <w:tcW w:w="1154" w:type="dxa"/>
            <w:tcBorders>
              <w:top w:val="nil"/>
              <w:left w:val="nil"/>
              <w:bottom w:val="nil"/>
              <w:right w:val="nil"/>
            </w:tcBorders>
          </w:tcPr>
          <w:p>
            <w:pPr>
              <w:pStyle w:val="TableParagraph"/>
              <w:ind w:left="17"/>
              <w:rPr>
                <w:rFonts w:ascii="Calibri"/>
                <w:sz w:val="22"/>
              </w:rPr>
            </w:pPr>
            <w:r>
              <w:rPr>
                <w:rFonts w:ascii="Calibri"/>
                <w:w w:val="100"/>
                <w:sz w:val="22"/>
              </w:rPr>
              <w:t>5</w:t>
            </w:r>
          </w:p>
        </w:tc>
        <w:tc>
          <w:tcPr>
            <w:tcW w:w="991" w:type="dxa"/>
            <w:tcBorders>
              <w:top w:val="nil"/>
              <w:left w:val="nil"/>
              <w:bottom w:val="nil"/>
              <w:right w:val="single" w:sz="4" w:space="0" w:color="000000"/>
            </w:tcBorders>
          </w:tcPr>
          <w:p>
            <w:pPr>
              <w:pStyle w:val="TableParagraph"/>
              <w:ind w:left="100" w:right="93"/>
              <w:rPr>
                <w:rFonts w:ascii="Calibri"/>
                <w:sz w:val="22"/>
              </w:rPr>
            </w:pPr>
            <w:r>
              <w:rPr>
                <w:rFonts w:ascii="Calibri"/>
                <w:sz w:val="22"/>
              </w:rPr>
              <w:t>97</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61</w:t>
            </w:r>
          </w:p>
        </w:tc>
        <w:tc>
          <w:tcPr>
            <w:tcW w:w="437" w:type="dxa"/>
            <w:tcBorders>
              <w:top w:val="nil"/>
              <w:bottom w:val="nil"/>
              <w:right w:val="nil"/>
            </w:tcBorders>
          </w:tcPr>
          <w:p>
            <w:pPr/>
          </w:p>
        </w:tc>
        <w:tc>
          <w:tcPr>
            <w:tcW w:w="705" w:type="dxa"/>
            <w:tcBorders>
              <w:top w:val="nil"/>
              <w:left w:val="nil"/>
              <w:bottom w:val="nil"/>
              <w:right w:val="nil"/>
            </w:tcBorders>
          </w:tcPr>
          <w:p>
            <w:pPr>
              <w:pStyle w:val="TableParagraph"/>
              <w:ind w:left="55"/>
              <w:jc w:val="left"/>
              <w:rPr>
                <w:rFonts w:ascii="Calibri"/>
                <w:sz w:val="22"/>
              </w:rPr>
            </w:pPr>
            <w:r>
              <w:rPr>
                <w:rFonts w:ascii="Calibri"/>
                <w:w w:val="100"/>
                <w:sz w:val="22"/>
              </w:rPr>
              <w:t>0</w:t>
            </w:r>
          </w:p>
        </w:tc>
        <w:tc>
          <w:tcPr>
            <w:tcW w:w="1119" w:type="dxa"/>
            <w:tcBorders>
              <w:top w:val="nil"/>
              <w:left w:val="nil"/>
              <w:bottom w:val="nil"/>
              <w:right w:val="nil"/>
            </w:tcBorders>
          </w:tcPr>
          <w:p>
            <w:pPr>
              <w:pStyle w:val="TableParagraph"/>
              <w:ind w:left="36"/>
              <w:rPr>
                <w:rFonts w:ascii="Calibri"/>
                <w:sz w:val="22"/>
              </w:rPr>
            </w:pPr>
            <w:r>
              <w:rPr>
                <w:rFonts w:ascii="Calibri"/>
                <w:w w:val="100"/>
                <w:sz w:val="22"/>
              </w:rPr>
              <w:t>4</w:t>
            </w:r>
          </w:p>
        </w:tc>
        <w:tc>
          <w:tcPr>
            <w:tcW w:w="1227" w:type="dxa"/>
            <w:tcBorders>
              <w:top w:val="nil"/>
              <w:left w:val="nil"/>
              <w:bottom w:val="nil"/>
              <w:right w:val="nil"/>
            </w:tcBorders>
          </w:tcPr>
          <w:p>
            <w:pPr>
              <w:pStyle w:val="TableParagraph"/>
              <w:ind w:left="175" w:right="106"/>
              <w:rPr>
                <w:rFonts w:ascii="Calibri"/>
                <w:sz w:val="22"/>
              </w:rPr>
            </w:pPr>
            <w:r>
              <w:rPr>
                <w:rFonts w:ascii="Calibri"/>
                <w:sz w:val="22"/>
              </w:rPr>
              <w:t>45</w:t>
            </w:r>
          </w:p>
        </w:tc>
        <w:tc>
          <w:tcPr>
            <w:tcW w:w="1009" w:type="dxa"/>
            <w:tcBorders>
              <w:top w:val="nil"/>
              <w:left w:val="nil"/>
              <w:bottom w:val="nil"/>
              <w:right w:val="nil"/>
            </w:tcBorders>
          </w:tcPr>
          <w:p>
            <w:pPr>
              <w:pStyle w:val="TableParagraph"/>
              <w:ind w:left="111" w:right="158"/>
              <w:rPr>
                <w:rFonts w:ascii="Calibri"/>
                <w:sz w:val="22"/>
              </w:rPr>
            </w:pPr>
            <w:r>
              <w:rPr>
                <w:rFonts w:ascii="Calibri"/>
                <w:sz w:val="22"/>
              </w:rPr>
              <w:t>20</w:t>
            </w:r>
          </w:p>
        </w:tc>
        <w:tc>
          <w:tcPr>
            <w:tcW w:w="1065" w:type="dxa"/>
            <w:tcBorders>
              <w:top w:val="nil"/>
              <w:left w:val="nil"/>
              <w:bottom w:val="nil"/>
              <w:right w:val="nil"/>
            </w:tcBorders>
          </w:tcPr>
          <w:p>
            <w:pPr>
              <w:pStyle w:val="TableParagraph"/>
              <w:ind w:left="163" w:right="159"/>
              <w:rPr>
                <w:rFonts w:ascii="Calibri"/>
                <w:sz w:val="22"/>
              </w:rPr>
            </w:pPr>
            <w:r>
              <w:rPr>
                <w:rFonts w:ascii="Calibri"/>
                <w:sz w:val="22"/>
              </w:rPr>
              <w:t>13</w:t>
            </w:r>
          </w:p>
        </w:tc>
        <w:tc>
          <w:tcPr>
            <w:tcW w:w="1014" w:type="dxa"/>
            <w:tcBorders>
              <w:top w:val="nil"/>
              <w:left w:val="nil"/>
              <w:bottom w:val="nil"/>
              <w:right w:val="nil"/>
            </w:tcBorders>
          </w:tcPr>
          <w:p>
            <w:pPr>
              <w:pStyle w:val="TableParagraph"/>
              <w:ind w:left="57"/>
              <w:rPr>
                <w:rFonts w:ascii="Calibri"/>
                <w:sz w:val="22"/>
              </w:rPr>
            </w:pPr>
            <w:r>
              <w:rPr>
                <w:rFonts w:ascii="Calibri"/>
                <w:w w:val="100"/>
                <w:sz w:val="22"/>
              </w:rPr>
              <w:t>2</w:t>
            </w:r>
          </w:p>
        </w:tc>
        <w:tc>
          <w:tcPr>
            <w:tcW w:w="1154" w:type="dxa"/>
            <w:tcBorders>
              <w:top w:val="nil"/>
              <w:left w:val="nil"/>
              <w:bottom w:val="nil"/>
              <w:right w:val="nil"/>
            </w:tcBorders>
          </w:tcPr>
          <w:p>
            <w:pPr>
              <w:pStyle w:val="TableParagraph"/>
              <w:ind w:left="17"/>
              <w:rPr>
                <w:rFonts w:ascii="Calibri"/>
                <w:sz w:val="22"/>
              </w:rPr>
            </w:pPr>
            <w:r>
              <w:rPr>
                <w:rFonts w:ascii="Calibri"/>
                <w:w w:val="100"/>
                <w:sz w:val="22"/>
              </w:rPr>
              <w:t>3</w:t>
            </w:r>
          </w:p>
        </w:tc>
        <w:tc>
          <w:tcPr>
            <w:tcW w:w="991" w:type="dxa"/>
            <w:tcBorders>
              <w:top w:val="nil"/>
              <w:left w:val="nil"/>
              <w:bottom w:val="nil"/>
              <w:right w:val="single" w:sz="4" w:space="0" w:color="000000"/>
            </w:tcBorders>
          </w:tcPr>
          <w:p>
            <w:pPr>
              <w:pStyle w:val="TableParagraph"/>
              <w:ind w:left="100" w:right="93"/>
              <w:rPr>
                <w:rFonts w:ascii="Calibri"/>
                <w:sz w:val="22"/>
              </w:rPr>
            </w:pPr>
            <w:r>
              <w:rPr>
                <w:rFonts w:ascii="Calibri"/>
                <w:sz w:val="22"/>
              </w:rPr>
              <w:t>87</w:t>
            </w:r>
          </w:p>
        </w:tc>
      </w:tr>
      <w:tr>
        <w:trPr>
          <w:trHeight w:val="509" w:hRule="exact"/>
        </w:trPr>
        <w:tc>
          <w:tcPr>
            <w:tcW w:w="1027" w:type="dxa"/>
            <w:tcBorders>
              <w:top w:val="nil"/>
              <w:left w:val="single" w:sz="4" w:space="0" w:color="000000"/>
              <w:bottom w:val="nil"/>
            </w:tcBorders>
          </w:tcPr>
          <w:p>
            <w:pPr>
              <w:pStyle w:val="TableParagraph"/>
              <w:ind w:left="148" w:right="148"/>
              <w:rPr>
                <w:rFonts w:ascii="Calibri"/>
                <w:sz w:val="22"/>
              </w:rPr>
            </w:pPr>
            <w:r>
              <w:rPr>
                <w:rFonts w:ascii="Calibri"/>
                <w:sz w:val="22"/>
              </w:rPr>
              <w:t>62</w:t>
            </w:r>
          </w:p>
        </w:tc>
        <w:tc>
          <w:tcPr>
            <w:tcW w:w="437" w:type="dxa"/>
            <w:tcBorders>
              <w:top w:val="nil"/>
              <w:bottom w:val="nil"/>
              <w:right w:val="nil"/>
            </w:tcBorders>
          </w:tcPr>
          <w:p>
            <w:pPr/>
          </w:p>
        </w:tc>
        <w:tc>
          <w:tcPr>
            <w:tcW w:w="705" w:type="dxa"/>
            <w:tcBorders>
              <w:top w:val="nil"/>
              <w:left w:val="nil"/>
              <w:bottom w:val="nil"/>
              <w:right w:val="nil"/>
            </w:tcBorders>
          </w:tcPr>
          <w:p>
            <w:pPr>
              <w:pStyle w:val="TableParagraph"/>
              <w:ind w:left="55"/>
              <w:jc w:val="left"/>
              <w:rPr>
                <w:rFonts w:ascii="Calibri"/>
                <w:sz w:val="22"/>
              </w:rPr>
            </w:pPr>
            <w:r>
              <w:rPr>
                <w:rFonts w:ascii="Calibri"/>
                <w:w w:val="100"/>
                <w:sz w:val="22"/>
              </w:rPr>
              <w:t>0</w:t>
            </w:r>
          </w:p>
        </w:tc>
        <w:tc>
          <w:tcPr>
            <w:tcW w:w="1119" w:type="dxa"/>
            <w:tcBorders>
              <w:top w:val="nil"/>
              <w:left w:val="nil"/>
              <w:bottom w:val="nil"/>
              <w:right w:val="nil"/>
            </w:tcBorders>
          </w:tcPr>
          <w:p>
            <w:pPr>
              <w:pStyle w:val="TableParagraph"/>
              <w:ind w:left="36"/>
              <w:rPr>
                <w:rFonts w:ascii="Calibri"/>
                <w:sz w:val="22"/>
              </w:rPr>
            </w:pPr>
            <w:r>
              <w:rPr>
                <w:rFonts w:ascii="Calibri"/>
                <w:w w:val="100"/>
                <w:sz w:val="22"/>
              </w:rPr>
              <w:t>0</w:t>
            </w:r>
          </w:p>
        </w:tc>
        <w:tc>
          <w:tcPr>
            <w:tcW w:w="1227" w:type="dxa"/>
            <w:tcBorders>
              <w:top w:val="nil"/>
              <w:left w:val="nil"/>
              <w:bottom w:val="nil"/>
              <w:right w:val="nil"/>
            </w:tcBorders>
          </w:tcPr>
          <w:p>
            <w:pPr>
              <w:pStyle w:val="TableParagraph"/>
              <w:ind w:left="175" w:right="106"/>
              <w:rPr>
                <w:rFonts w:ascii="Calibri"/>
                <w:sz w:val="22"/>
              </w:rPr>
            </w:pPr>
            <w:r>
              <w:rPr>
                <w:rFonts w:ascii="Calibri"/>
                <w:sz w:val="22"/>
              </w:rPr>
              <w:t>23</w:t>
            </w:r>
          </w:p>
        </w:tc>
        <w:tc>
          <w:tcPr>
            <w:tcW w:w="1009" w:type="dxa"/>
            <w:tcBorders>
              <w:top w:val="nil"/>
              <w:left w:val="nil"/>
              <w:bottom w:val="nil"/>
              <w:right w:val="nil"/>
            </w:tcBorders>
          </w:tcPr>
          <w:p>
            <w:pPr>
              <w:pStyle w:val="TableParagraph"/>
              <w:ind w:left="111" w:right="158"/>
              <w:rPr>
                <w:rFonts w:ascii="Calibri"/>
                <w:sz w:val="22"/>
              </w:rPr>
            </w:pPr>
            <w:r>
              <w:rPr>
                <w:rFonts w:ascii="Calibri"/>
                <w:sz w:val="22"/>
              </w:rPr>
              <w:t>12</w:t>
            </w:r>
          </w:p>
        </w:tc>
        <w:tc>
          <w:tcPr>
            <w:tcW w:w="1065" w:type="dxa"/>
            <w:tcBorders>
              <w:top w:val="nil"/>
              <w:left w:val="nil"/>
              <w:bottom w:val="nil"/>
              <w:right w:val="nil"/>
            </w:tcBorders>
          </w:tcPr>
          <w:p>
            <w:pPr>
              <w:pStyle w:val="TableParagraph"/>
              <w:ind w:left="163" w:right="159"/>
              <w:rPr>
                <w:rFonts w:ascii="Calibri"/>
                <w:sz w:val="22"/>
              </w:rPr>
            </w:pPr>
            <w:r>
              <w:rPr>
                <w:rFonts w:ascii="Calibri"/>
                <w:sz w:val="22"/>
              </w:rPr>
              <w:t>15</w:t>
            </w:r>
          </w:p>
        </w:tc>
        <w:tc>
          <w:tcPr>
            <w:tcW w:w="1014" w:type="dxa"/>
            <w:tcBorders>
              <w:top w:val="nil"/>
              <w:left w:val="nil"/>
              <w:bottom w:val="nil"/>
              <w:right w:val="nil"/>
            </w:tcBorders>
          </w:tcPr>
          <w:p>
            <w:pPr>
              <w:pStyle w:val="TableParagraph"/>
              <w:ind w:left="57"/>
              <w:rPr>
                <w:rFonts w:ascii="Calibri"/>
                <w:sz w:val="22"/>
              </w:rPr>
            </w:pPr>
            <w:r>
              <w:rPr>
                <w:rFonts w:ascii="Calibri"/>
                <w:w w:val="100"/>
                <w:sz w:val="22"/>
              </w:rPr>
              <w:t>5</w:t>
            </w:r>
          </w:p>
        </w:tc>
        <w:tc>
          <w:tcPr>
            <w:tcW w:w="1154" w:type="dxa"/>
            <w:tcBorders>
              <w:top w:val="nil"/>
              <w:left w:val="nil"/>
              <w:bottom w:val="nil"/>
              <w:right w:val="nil"/>
            </w:tcBorders>
          </w:tcPr>
          <w:p>
            <w:pPr>
              <w:pStyle w:val="TableParagraph"/>
              <w:ind w:left="112" w:right="96"/>
              <w:rPr>
                <w:rFonts w:ascii="Calibri"/>
                <w:sz w:val="22"/>
              </w:rPr>
            </w:pPr>
            <w:r>
              <w:rPr>
                <w:rFonts w:ascii="Calibri"/>
                <w:sz w:val="22"/>
              </w:rPr>
              <w:t>11</w:t>
            </w:r>
          </w:p>
        </w:tc>
        <w:tc>
          <w:tcPr>
            <w:tcW w:w="991" w:type="dxa"/>
            <w:tcBorders>
              <w:top w:val="nil"/>
              <w:left w:val="nil"/>
              <w:bottom w:val="nil"/>
              <w:right w:val="single" w:sz="4" w:space="0" w:color="000000"/>
            </w:tcBorders>
          </w:tcPr>
          <w:p>
            <w:pPr>
              <w:pStyle w:val="TableParagraph"/>
              <w:ind w:left="100" w:right="93"/>
              <w:rPr>
                <w:rFonts w:ascii="Calibri"/>
                <w:sz w:val="22"/>
              </w:rPr>
            </w:pPr>
            <w:r>
              <w:rPr>
                <w:rFonts w:ascii="Calibri"/>
                <w:sz w:val="22"/>
              </w:rPr>
              <w:t>66</w:t>
            </w:r>
          </w:p>
        </w:tc>
      </w:tr>
      <w:tr>
        <w:trPr>
          <w:trHeight w:val="614" w:hRule="exact"/>
        </w:trPr>
        <w:tc>
          <w:tcPr>
            <w:tcW w:w="1027" w:type="dxa"/>
            <w:tcBorders>
              <w:top w:val="nil"/>
              <w:left w:val="single" w:sz="4" w:space="0" w:color="000000"/>
            </w:tcBorders>
          </w:tcPr>
          <w:p>
            <w:pPr>
              <w:pStyle w:val="TableParagraph"/>
              <w:ind w:left="148" w:right="148"/>
              <w:rPr>
                <w:rFonts w:ascii="Calibri"/>
                <w:sz w:val="22"/>
              </w:rPr>
            </w:pPr>
            <w:r>
              <w:rPr>
                <w:rFonts w:ascii="Calibri"/>
                <w:sz w:val="22"/>
              </w:rPr>
              <w:t>63</w:t>
            </w:r>
          </w:p>
        </w:tc>
        <w:tc>
          <w:tcPr>
            <w:tcW w:w="437" w:type="dxa"/>
            <w:tcBorders>
              <w:top w:val="nil"/>
              <w:right w:val="nil"/>
            </w:tcBorders>
          </w:tcPr>
          <w:p>
            <w:pPr/>
          </w:p>
        </w:tc>
        <w:tc>
          <w:tcPr>
            <w:tcW w:w="705" w:type="dxa"/>
            <w:tcBorders>
              <w:top w:val="nil"/>
              <w:left w:val="nil"/>
              <w:right w:val="nil"/>
            </w:tcBorders>
          </w:tcPr>
          <w:p>
            <w:pPr>
              <w:pStyle w:val="TableParagraph"/>
              <w:ind w:left="55"/>
              <w:jc w:val="left"/>
              <w:rPr>
                <w:rFonts w:ascii="Calibri"/>
                <w:sz w:val="22"/>
              </w:rPr>
            </w:pPr>
            <w:r>
              <w:rPr>
                <w:rFonts w:ascii="Calibri"/>
                <w:w w:val="100"/>
                <w:sz w:val="22"/>
              </w:rPr>
              <w:t>1</w:t>
            </w:r>
          </w:p>
        </w:tc>
        <w:tc>
          <w:tcPr>
            <w:tcW w:w="1119" w:type="dxa"/>
            <w:tcBorders>
              <w:top w:val="nil"/>
              <w:left w:val="nil"/>
              <w:right w:val="nil"/>
            </w:tcBorders>
          </w:tcPr>
          <w:p>
            <w:pPr>
              <w:pStyle w:val="TableParagraph"/>
              <w:ind w:left="36"/>
              <w:rPr>
                <w:rFonts w:ascii="Calibri"/>
                <w:sz w:val="22"/>
              </w:rPr>
            </w:pPr>
            <w:r>
              <w:rPr>
                <w:rFonts w:ascii="Calibri"/>
                <w:w w:val="100"/>
                <w:sz w:val="22"/>
              </w:rPr>
              <w:t>0</w:t>
            </w:r>
          </w:p>
        </w:tc>
        <w:tc>
          <w:tcPr>
            <w:tcW w:w="1227" w:type="dxa"/>
            <w:tcBorders>
              <w:top w:val="nil"/>
              <w:left w:val="nil"/>
              <w:right w:val="nil"/>
            </w:tcBorders>
          </w:tcPr>
          <w:p>
            <w:pPr>
              <w:pStyle w:val="TableParagraph"/>
              <w:ind w:left="71"/>
              <w:rPr>
                <w:rFonts w:ascii="Calibri"/>
                <w:sz w:val="22"/>
              </w:rPr>
            </w:pPr>
            <w:r>
              <w:rPr>
                <w:rFonts w:ascii="Calibri"/>
                <w:w w:val="100"/>
                <w:sz w:val="22"/>
              </w:rPr>
              <w:t>7</w:t>
            </w:r>
          </w:p>
        </w:tc>
        <w:tc>
          <w:tcPr>
            <w:tcW w:w="1009" w:type="dxa"/>
            <w:tcBorders>
              <w:top w:val="nil"/>
              <w:left w:val="nil"/>
              <w:right w:val="nil"/>
            </w:tcBorders>
          </w:tcPr>
          <w:p>
            <w:pPr>
              <w:pStyle w:val="TableParagraph"/>
              <w:ind w:right="45"/>
              <w:rPr>
                <w:rFonts w:ascii="Calibri"/>
                <w:sz w:val="22"/>
              </w:rPr>
            </w:pPr>
            <w:r>
              <w:rPr>
                <w:rFonts w:ascii="Calibri"/>
                <w:w w:val="100"/>
                <w:sz w:val="22"/>
              </w:rPr>
              <w:t>1</w:t>
            </w:r>
          </w:p>
        </w:tc>
        <w:tc>
          <w:tcPr>
            <w:tcW w:w="1065" w:type="dxa"/>
            <w:tcBorders>
              <w:top w:val="nil"/>
              <w:left w:val="nil"/>
              <w:right w:val="nil"/>
            </w:tcBorders>
          </w:tcPr>
          <w:p>
            <w:pPr>
              <w:pStyle w:val="TableParagraph"/>
              <w:rPr>
                <w:rFonts w:ascii="Calibri"/>
                <w:sz w:val="22"/>
              </w:rPr>
            </w:pPr>
            <w:r>
              <w:rPr>
                <w:rFonts w:ascii="Calibri"/>
                <w:w w:val="100"/>
                <w:sz w:val="22"/>
              </w:rPr>
              <w:t>6</w:t>
            </w:r>
          </w:p>
        </w:tc>
        <w:tc>
          <w:tcPr>
            <w:tcW w:w="1014" w:type="dxa"/>
            <w:tcBorders>
              <w:top w:val="nil"/>
              <w:left w:val="nil"/>
              <w:right w:val="nil"/>
            </w:tcBorders>
          </w:tcPr>
          <w:p>
            <w:pPr>
              <w:pStyle w:val="TableParagraph"/>
              <w:ind w:left="57"/>
              <w:rPr>
                <w:rFonts w:ascii="Calibri"/>
                <w:sz w:val="22"/>
              </w:rPr>
            </w:pPr>
            <w:r>
              <w:rPr>
                <w:rFonts w:ascii="Calibri"/>
                <w:w w:val="100"/>
                <w:sz w:val="22"/>
              </w:rPr>
              <w:t>0</w:t>
            </w:r>
          </w:p>
        </w:tc>
        <w:tc>
          <w:tcPr>
            <w:tcW w:w="1154" w:type="dxa"/>
            <w:tcBorders>
              <w:top w:val="nil"/>
              <w:left w:val="nil"/>
              <w:right w:val="nil"/>
            </w:tcBorders>
          </w:tcPr>
          <w:p>
            <w:pPr>
              <w:pStyle w:val="TableParagraph"/>
              <w:ind w:left="112" w:right="96"/>
              <w:rPr>
                <w:rFonts w:ascii="Calibri"/>
                <w:sz w:val="22"/>
              </w:rPr>
            </w:pPr>
            <w:r>
              <w:rPr>
                <w:rFonts w:ascii="Calibri"/>
                <w:sz w:val="22"/>
              </w:rPr>
              <w:t>41</w:t>
            </w:r>
          </w:p>
        </w:tc>
        <w:tc>
          <w:tcPr>
            <w:tcW w:w="991" w:type="dxa"/>
            <w:tcBorders>
              <w:top w:val="nil"/>
              <w:left w:val="nil"/>
              <w:right w:val="single" w:sz="4" w:space="0" w:color="000000"/>
            </w:tcBorders>
          </w:tcPr>
          <w:p>
            <w:pPr>
              <w:pStyle w:val="TableParagraph"/>
              <w:ind w:left="100" w:right="93"/>
              <w:rPr>
                <w:rFonts w:ascii="Calibri"/>
                <w:sz w:val="22"/>
              </w:rPr>
            </w:pPr>
            <w:r>
              <w:rPr>
                <w:rFonts w:ascii="Calibri"/>
                <w:sz w:val="22"/>
              </w:rPr>
              <w:t>55</w:t>
            </w:r>
          </w:p>
        </w:tc>
      </w:tr>
      <w:tr>
        <w:trPr>
          <w:trHeight w:val="388" w:hRule="exact"/>
        </w:trPr>
        <w:tc>
          <w:tcPr>
            <w:tcW w:w="1027" w:type="dxa"/>
            <w:tcBorders>
              <w:left w:val="single" w:sz="4" w:space="0" w:color="000000"/>
              <w:bottom w:val="nil"/>
            </w:tcBorders>
          </w:tcPr>
          <w:p>
            <w:pPr>
              <w:pStyle w:val="TableParagraph"/>
              <w:spacing w:before="1"/>
              <w:ind w:left="147" w:right="150"/>
              <w:rPr>
                <w:rFonts w:ascii="Calibri"/>
                <w:sz w:val="20"/>
              </w:rPr>
            </w:pPr>
            <w:r>
              <w:rPr>
                <w:rFonts w:ascii="Calibri"/>
                <w:sz w:val="20"/>
              </w:rPr>
              <w:t>Suma</w:t>
            </w:r>
          </w:p>
        </w:tc>
        <w:tc>
          <w:tcPr>
            <w:tcW w:w="437" w:type="dxa"/>
            <w:tcBorders>
              <w:bottom w:val="nil"/>
              <w:right w:val="nil"/>
            </w:tcBorders>
          </w:tcPr>
          <w:p>
            <w:pPr/>
          </w:p>
        </w:tc>
        <w:tc>
          <w:tcPr>
            <w:tcW w:w="705" w:type="dxa"/>
            <w:tcBorders>
              <w:left w:val="nil"/>
              <w:bottom w:val="nil"/>
              <w:right w:val="nil"/>
            </w:tcBorders>
          </w:tcPr>
          <w:p>
            <w:pPr>
              <w:pStyle w:val="TableParagraph"/>
              <w:spacing w:before="1"/>
              <w:ind w:left="9"/>
              <w:jc w:val="left"/>
              <w:rPr>
                <w:rFonts w:ascii="Calibri"/>
                <w:sz w:val="20"/>
              </w:rPr>
            </w:pPr>
            <w:r>
              <w:rPr>
                <w:rFonts w:ascii="Calibri"/>
                <w:sz w:val="20"/>
              </w:rPr>
              <w:t>22</w:t>
            </w:r>
          </w:p>
        </w:tc>
        <w:tc>
          <w:tcPr>
            <w:tcW w:w="1119" w:type="dxa"/>
            <w:tcBorders>
              <w:left w:val="nil"/>
              <w:bottom w:val="nil"/>
              <w:right w:val="nil"/>
            </w:tcBorders>
          </w:tcPr>
          <w:p>
            <w:pPr>
              <w:pStyle w:val="TableParagraph"/>
              <w:spacing w:before="1"/>
              <w:ind w:left="204" w:right="175"/>
              <w:rPr>
                <w:rFonts w:ascii="Calibri"/>
                <w:sz w:val="20"/>
              </w:rPr>
            </w:pPr>
            <w:r>
              <w:rPr>
                <w:rFonts w:ascii="Calibri"/>
                <w:sz w:val="20"/>
              </w:rPr>
              <w:t>196</w:t>
            </w:r>
          </w:p>
        </w:tc>
        <w:tc>
          <w:tcPr>
            <w:tcW w:w="1227" w:type="dxa"/>
            <w:tcBorders>
              <w:left w:val="nil"/>
              <w:bottom w:val="nil"/>
              <w:right w:val="nil"/>
            </w:tcBorders>
          </w:tcPr>
          <w:p>
            <w:pPr>
              <w:pStyle w:val="TableParagraph"/>
              <w:spacing w:before="1"/>
              <w:ind w:left="175" w:right="108"/>
              <w:rPr>
                <w:rFonts w:ascii="Calibri"/>
                <w:sz w:val="20"/>
              </w:rPr>
            </w:pPr>
            <w:r>
              <w:rPr>
                <w:rFonts w:ascii="Calibri"/>
                <w:sz w:val="20"/>
              </w:rPr>
              <w:t>1,115</w:t>
            </w:r>
          </w:p>
        </w:tc>
        <w:tc>
          <w:tcPr>
            <w:tcW w:w="1009" w:type="dxa"/>
            <w:tcBorders>
              <w:left w:val="nil"/>
              <w:bottom w:val="nil"/>
              <w:right w:val="nil"/>
            </w:tcBorders>
          </w:tcPr>
          <w:p>
            <w:pPr>
              <w:pStyle w:val="TableParagraph"/>
              <w:spacing w:before="1"/>
              <w:ind w:left="108" w:right="160"/>
              <w:rPr>
                <w:rFonts w:ascii="Calibri"/>
                <w:sz w:val="20"/>
              </w:rPr>
            </w:pPr>
            <w:r>
              <w:rPr>
                <w:rFonts w:ascii="Calibri"/>
                <w:sz w:val="20"/>
              </w:rPr>
              <w:t>586</w:t>
            </w:r>
          </w:p>
        </w:tc>
        <w:tc>
          <w:tcPr>
            <w:tcW w:w="1065" w:type="dxa"/>
            <w:tcBorders>
              <w:left w:val="nil"/>
              <w:bottom w:val="nil"/>
              <w:right w:val="nil"/>
            </w:tcBorders>
          </w:tcPr>
          <w:p>
            <w:pPr>
              <w:pStyle w:val="TableParagraph"/>
              <w:spacing w:before="1"/>
              <w:ind w:left="163" w:right="163"/>
              <w:rPr>
                <w:rFonts w:ascii="Calibri"/>
                <w:sz w:val="20"/>
              </w:rPr>
            </w:pPr>
            <w:r>
              <w:rPr>
                <w:rFonts w:ascii="Calibri"/>
                <w:sz w:val="20"/>
              </w:rPr>
              <w:t>498</w:t>
            </w:r>
          </w:p>
        </w:tc>
        <w:tc>
          <w:tcPr>
            <w:tcW w:w="1014" w:type="dxa"/>
            <w:tcBorders>
              <w:left w:val="nil"/>
              <w:bottom w:val="nil"/>
              <w:right w:val="nil"/>
            </w:tcBorders>
          </w:tcPr>
          <w:p>
            <w:pPr>
              <w:pStyle w:val="TableParagraph"/>
              <w:spacing w:before="1"/>
              <w:ind w:left="165" w:right="109"/>
              <w:rPr>
                <w:rFonts w:ascii="Calibri"/>
                <w:sz w:val="20"/>
              </w:rPr>
            </w:pPr>
            <w:r>
              <w:rPr>
                <w:rFonts w:ascii="Calibri"/>
                <w:sz w:val="20"/>
              </w:rPr>
              <w:t>74</w:t>
            </w:r>
          </w:p>
        </w:tc>
        <w:tc>
          <w:tcPr>
            <w:tcW w:w="1154" w:type="dxa"/>
            <w:tcBorders>
              <w:left w:val="nil"/>
              <w:bottom w:val="nil"/>
              <w:right w:val="nil"/>
            </w:tcBorders>
          </w:tcPr>
          <w:p>
            <w:pPr>
              <w:pStyle w:val="TableParagraph"/>
              <w:spacing w:before="1"/>
              <w:ind w:left="112" w:right="101"/>
              <w:rPr>
                <w:rFonts w:ascii="Calibri"/>
                <w:sz w:val="20"/>
              </w:rPr>
            </w:pPr>
            <w:r>
              <w:rPr>
                <w:rFonts w:ascii="Calibri"/>
                <w:sz w:val="20"/>
              </w:rPr>
              <w:t>709</w:t>
            </w:r>
          </w:p>
        </w:tc>
        <w:tc>
          <w:tcPr>
            <w:tcW w:w="991" w:type="dxa"/>
            <w:tcBorders>
              <w:left w:val="nil"/>
              <w:bottom w:val="nil"/>
              <w:right w:val="single" w:sz="4" w:space="0" w:color="000000"/>
            </w:tcBorders>
          </w:tcPr>
          <w:p>
            <w:pPr>
              <w:pStyle w:val="TableParagraph"/>
              <w:spacing w:before="1"/>
              <w:ind w:left="98" w:right="98"/>
              <w:rPr>
                <w:rFonts w:ascii="Calibri"/>
                <w:sz w:val="20"/>
              </w:rPr>
            </w:pPr>
            <w:r>
              <w:rPr>
                <w:rFonts w:ascii="Calibri"/>
                <w:sz w:val="20"/>
              </w:rPr>
              <w:t>3,178</w:t>
            </w:r>
          </w:p>
        </w:tc>
      </w:tr>
      <w:tr>
        <w:trPr>
          <w:trHeight w:val="584" w:hRule="exact"/>
        </w:trPr>
        <w:tc>
          <w:tcPr>
            <w:tcW w:w="1027" w:type="dxa"/>
            <w:tcBorders>
              <w:top w:val="nil"/>
              <w:left w:val="single" w:sz="4" w:space="0" w:color="000000"/>
              <w:bottom w:val="single" w:sz="4" w:space="0" w:color="000000"/>
            </w:tcBorders>
          </w:tcPr>
          <w:p>
            <w:pPr>
              <w:pStyle w:val="TableParagraph"/>
              <w:ind w:left="148" w:right="150"/>
              <w:rPr>
                <w:rFonts w:ascii="Calibri" w:hAnsi="Calibri"/>
                <w:sz w:val="20"/>
              </w:rPr>
            </w:pPr>
            <w:r>
              <w:rPr>
                <w:rFonts w:ascii="Calibri" w:hAnsi="Calibri"/>
                <w:sz w:val="20"/>
              </w:rPr>
              <w:t>ME ± DE</w:t>
            </w:r>
          </w:p>
        </w:tc>
        <w:tc>
          <w:tcPr>
            <w:tcW w:w="437" w:type="dxa"/>
            <w:tcBorders>
              <w:top w:val="nil"/>
              <w:bottom w:val="single" w:sz="4" w:space="0" w:color="000000"/>
              <w:right w:val="nil"/>
            </w:tcBorders>
          </w:tcPr>
          <w:p>
            <w:pPr>
              <w:pStyle w:val="TableParagraph"/>
              <w:ind w:left="170" w:right="-12"/>
              <w:jc w:val="left"/>
              <w:rPr>
                <w:rFonts w:ascii="Calibri"/>
                <w:sz w:val="20"/>
              </w:rPr>
            </w:pPr>
            <w:r>
              <w:rPr>
                <w:rFonts w:ascii="Calibri"/>
                <w:sz w:val="20"/>
              </w:rPr>
              <w:t>0.3</w:t>
            </w:r>
          </w:p>
        </w:tc>
        <w:tc>
          <w:tcPr>
            <w:tcW w:w="705" w:type="dxa"/>
            <w:tcBorders>
              <w:top w:val="nil"/>
              <w:left w:val="nil"/>
              <w:bottom w:val="single" w:sz="4" w:space="0" w:color="000000"/>
              <w:right w:val="nil"/>
            </w:tcBorders>
          </w:tcPr>
          <w:p>
            <w:pPr>
              <w:pStyle w:val="TableParagraph"/>
              <w:ind w:left="81"/>
              <w:jc w:val="left"/>
              <w:rPr>
                <w:rFonts w:ascii="Calibri" w:hAnsi="Calibri"/>
                <w:sz w:val="20"/>
              </w:rPr>
            </w:pPr>
            <w:r>
              <w:rPr>
                <w:rFonts w:ascii="Calibri" w:hAnsi="Calibri"/>
                <w:sz w:val="20"/>
              </w:rPr>
              <w:t>± 0.5</w:t>
            </w:r>
          </w:p>
        </w:tc>
        <w:tc>
          <w:tcPr>
            <w:tcW w:w="1119" w:type="dxa"/>
            <w:tcBorders>
              <w:top w:val="nil"/>
              <w:left w:val="nil"/>
              <w:bottom w:val="single" w:sz="4" w:space="0" w:color="000000"/>
              <w:right w:val="nil"/>
            </w:tcBorders>
          </w:tcPr>
          <w:p>
            <w:pPr>
              <w:pStyle w:val="TableParagraph"/>
              <w:ind w:left="206" w:right="175"/>
              <w:rPr>
                <w:rFonts w:ascii="Calibri" w:hAnsi="Calibri"/>
                <w:sz w:val="20"/>
              </w:rPr>
            </w:pPr>
            <w:r>
              <w:rPr>
                <w:rFonts w:ascii="Calibri" w:hAnsi="Calibri"/>
                <w:sz w:val="20"/>
              </w:rPr>
              <w:t>3.1 ± 2.6</w:t>
            </w:r>
          </w:p>
        </w:tc>
        <w:tc>
          <w:tcPr>
            <w:tcW w:w="1227" w:type="dxa"/>
            <w:tcBorders>
              <w:top w:val="nil"/>
              <w:left w:val="nil"/>
              <w:bottom w:val="single" w:sz="4" w:space="0" w:color="000000"/>
              <w:right w:val="nil"/>
            </w:tcBorders>
          </w:tcPr>
          <w:p>
            <w:pPr>
              <w:pStyle w:val="TableParagraph"/>
              <w:ind w:left="175" w:right="111"/>
              <w:rPr>
                <w:rFonts w:ascii="Calibri" w:hAnsi="Calibri"/>
                <w:sz w:val="20"/>
              </w:rPr>
            </w:pPr>
            <w:r>
              <w:rPr>
                <w:rFonts w:ascii="Calibri" w:hAnsi="Calibri"/>
                <w:sz w:val="20"/>
              </w:rPr>
              <w:t>17.7 ± 14.5</w:t>
            </w:r>
          </w:p>
        </w:tc>
        <w:tc>
          <w:tcPr>
            <w:tcW w:w="1009" w:type="dxa"/>
            <w:tcBorders>
              <w:top w:val="nil"/>
              <w:left w:val="nil"/>
              <w:bottom w:val="single" w:sz="4" w:space="0" w:color="000000"/>
              <w:right w:val="nil"/>
            </w:tcBorders>
          </w:tcPr>
          <w:p>
            <w:pPr>
              <w:pStyle w:val="TableParagraph"/>
              <w:ind w:left="111" w:right="160"/>
              <w:rPr>
                <w:rFonts w:ascii="Calibri" w:hAnsi="Calibri"/>
                <w:sz w:val="20"/>
              </w:rPr>
            </w:pPr>
            <w:r>
              <w:rPr>
                <w:rFonts w:ascii="Calibri" w:hAnsi="Calibri"/>
                <w:sz w:val="20"/>
              </w:rPr>
              <w:t>9.3 ± 6.7</w:t>
            </w:r>
          </w:p>
        </w:tc>
        <w:tc>
          <w:tcPr>
            <w:tcW w:w="1065" w:type="dxa"/>
            <w:tcBorders>
              <w:top w:val="nil"/>
              <w:left w:val="nil"/>
              <w:bottom w:val="single" w:sz="4" w:space="0" w:color="000000"/>
              <w:right w:val="nil"/>
            </w:tcBorders>
          </w:tcPr>
          <w:p>
            <w:pPr>
              <w:pStyle w:val="TableParagraph"/>
              <w:ind w:left="163" w:right="164"/>
              <w:rPr>
                <w:rFonts w:ascii="Calibri" w:hAnsi="Calibri"/>
                <w:sz w:val="20"/>
              </w:rPr>
            </w:pPr>
            <w:r>
              <w:rPr>
                <w:rFonts w:ascii="Calibri" w:hAnsi="Calibri"/>
                <w:sz w:val="20"/>
              </w:rPr>
              <w:t>7.8 ± 9.9</w:t>
            </w:r>
          </w:p>
        </w:tc>
        <w:tc>
          <w:tcPr>
            <w:tcW w:w="1014" w:type="dxa"/>
            <w:tcBorders>
              <w:top w:val="nil"/>
              <w:left w:val="nil"/>
              <w:bottom w:val="single" w:sz="4" w:space="0" w:color="000000"/>
              <w:right w:val="nil"/>
            </w:tcBorders>
          </w:tcPr>
          <w:p>
            <w:pPr>
              <w:pStyle w:val="TableParagraph"/>
              <w:ind w:left="165" w:right="112"/>
              <w:rPr>
                <w:rFonts w:ascii="Calibri" w:hAnsi="Calibri"/>
                <w:sz w:val="20"/>
              </w:rPr>
            </w:pPr>
            <w:r>
              <w:rPr>
                <w:rFonts w:ascii="Calibri" w:hAnsi="Calibri"/>
                <w:sz w:val="20"/>
              </w:rPr>
              <w:t>1.1 ± 1.8</w:t>
            </w:r>
          </w:p>
        </w:tc>
        <w:tc>
          <w:tcPr>
            <w:tcW w:w="1154" w:type="dxa"/>
            <w:tcBorders>
              <w:top w:val="nil"/>
              <w:left w:val="nil"/>
              <w:bottom w:val="single" w:sz="4" w:space="0" w:color="000000"/>
              <w:right w:val="nil"/>
            </w:tcBorders>
          </w:tcPr>
          <w:p>
            <w:pPr>
              <w:pStyle w:val="TableParagraph"/>
              <w:ind w:left="112" w:right="101"/>
              <w:rPr>
                <w:rFonts w:ascii="Calibri" w:hAnsi="Calibri"/>
                <w:sz w:val="20"/>
              </w:rPr>
            </w:pPr>
            <w:r>
              <w:rPr>
                <w:rFonts w:ascii="Calibri" w:hAnsi="Calibri"/>
                <w:sz w:val="20"/>
              </w:rPr>
              <w:t>11.2 ± 10.4</w:t>
            </w:r>
          </w:p>
        </w:tc>
        <w:tc>
          <w:tcPr>
            <w:tcW w:w="991" w:type="dxa"/>
            <w:tcBorders>
              <w:top w:val="nil"/>
              <w:left w:val="nil"/>
              <w:bottom w:val="single" w:sz="4" w:space="0" w:color="000000"/>
              <w:right w:val="single" w:sz="4" w:space="0" w:color="000000"/>
            </w:tcBorders>
          </w:tcPr>
          <w:p>
            <w:pPr>
              <w:pStyle w:val="TableParagraph"/>
              <w:ind w:left="100" w:right="98"/>
              <w:rPr>
                <w:rFonts w:ascii="Calibri" w:hAnsi="Calibri"/>
                <w:sz w:val="20"/>
              </w:rPr>
            </w:pPr>
            <w:r>
              <w:rPr>
                <w:rFonts w:ascii="Calibri" w:hAnsi="Calibri"/>
                <w:sz w:val="20"/>
              </w:rPr>
              <w:t>50.4 ± 28</w:t>
            </w:r>
          </w:p>
        </w:tc>
      </w:tr>
    </w:tbl>
    <w:p>
      <w:pPr>
        <w:spacing w:line="219" w:lineRule="exact" w:before="0"/>
        <w:ind w:left="1418" w:right="1703" w:firstLine="0"/>
        <w:jc w:val="left"/>
        <w:rPr>
          <w:rFonts w:ascii="Calibri" w:hAnsi="Calibri"/>
          <w:sz w:val="18"/>
        </w:rPr>
      </w:pPr>
      <w:r>
        <w:rPr>
          <w:rFonts w:ascii="Calibri" w:hAnsi="Calibri"/>
          <w:sz w:val="18"/>
        </w:rPr>
        <w:t>Datos expresados en media y desviación estándar</w:t>
      </w:r>
    </w:p>
    <w:p>
      <w:pPr>
        <w:spacing w:before="1"/>
        <w:ind w:left="1418" w:right="1703" w:firstLine="0"/>
        <w:jc w:val="left"/>
        <w:rPr>
          <w:rFonts w:ascii="Calibri" w:hAnsi="Calibri"/>
          <w:sz w:val="18"/>
        </w:rPr>
      </w:pPr>
      <w:r>
        <w:rPr>
          <w:rFonts w:ascii="Calibri" w:hAnsi="Calibri"/>
          <w:sz w:val="18"/>
        </w:rPr>
        <w:t>Micronúcleos (MN); Binucleada (BN); Núcleo Lobulado (NL); Picnosis (PC); Cromatina Condensada (CC); Cariorrexis (CR); Cariolisis (CL); Total de Alteraciones Nucleares (TAN)</w:t>
      </w:r>
    </w:p>
    <w:p>
      <w:pPr>
        <w:spacing w:after="0"/>
        <w:jc w:val="left"/>
        <w:rPr>
          <w:rFonts w:ascii="Calibri" w:hAnsi="Calibri"/>
          <w:sz w:val="18"/>
        </w:rPr>
        <w:sectPr>
          <w:pgSz w:w="12240" w:h="15840"/>
          <w:pgMar w:header="0" w:footer="534" w:top="1500" w:bottom="780" w:left="0" w:right="0"/>
        </w:sectPr>
      </w:pPr>
    </w:p>
    <w:p>
      <w:pPr>
        <w:pStyle w:val="BodyText"/>
        <w:spacing w:before="8"/>
        <w:rPr>
          <w:rFonts w:ascii="Calibri"/>
          <w:sz w:val="10"/>
        </w:rPr>
      </w:pPr>
    </w:p>
    <w:p>
      <w:pPr>
        <w:pStyle w:val="Heading4"/>
        <w:spacing w:line="276" w:lineRule="auto" w:before="70"/>
        <w:ind w:left="1418" w:right="1839"/>
      </w:pPr>
      <w:r>
        <w:rPr/>
        <w:t>Anexo 3. Conteo individual de micronúcleos y alteraciones nucleares de niños no expuestos</w:t>
      </w:r>
    </w:p>
    <w:p>
      <w:pPr>
        <w:pStyle w:val="BodyText"/>
        <w:spacing w:before="8"/>
        <w:rPr>
          <w:b/>
          <w:sz w:val="17"/>
        </w:rPr>
      </w:pPr>
    </w:p>
    <w:tbl>
      <w:tblPr>
        <w:tblW w:w="0" w:type="auto"/>
        <w:jc w:val="left"/>
        <w:tblInd w:w="13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30"/>
        <w:gridCol w:w="922"/>
        <w:gridCol w:w="1034"/>
        <w:gridCol w:w="1057"/>
        <w:gridCol w:w="1027"/>
        <w:gridCol w:w="990"/>
        <w:gridCol w:w="1045"/>
        <w:gridCol w:w="1129"/>
        <w:gridCol w:w="1030"/>
      </w:tblGrid>
      <w:tr>
        <w:trPr>
          <w:trHeight w:val="518" w:hRule="exact"/>
        </w:trPr>
        <w:tc>
          <w:tcPr>
            <w:tcW w:w="1030" w:type="dxa"/>
            <w:vMerge w:val="restart"/>
            <w:tcBorders>
              <w:right w:val="dotted" w:sz="4" w:space="0" w:color="000000"/>
            </w:tcBorders>
          </w:tcPr>
          <w:p>
            <w:pPr>
              <w:pStyle w:val="TableParagraph"/>
              <w:spacing w:line="268" w:lineRule="exact" w:before="0"/>
              <w:ind w:left="261"/>
              <w:jc w:val="left"/>
              <w:rPr>
                <w:rFonts w:ascii="Calibri" w:hAnsi="Calibri"/>
                <w:b/>
                <w:sz w:val="22"/>
              </w:rPr>
            </w:pPr>
            <w:r>
              <w:rPr>
                <w:rFonts w:ascii="Calibri" w:hAnsi="Calibri"/>
                <w:b/>
                <w:sz w:val="22"/>
              </w:rPr>
              <w:t>NIÑO</w:t>
            </w:r>
          </w:p>
        </w:tc>
        <w:tc>
          <w:tcPr>
            <w:tcW w:w="922" w:type="dxa"/>
            <w:vMerge w:val="restart"/>
            <w:tcBorders>
              <w:left w:val="dotted" w:sz="4" w:space="0" w:color="000000"/>
              <w:right w:val="dotted" w:sz="4" w:space="0" w:color="000000"/>
            </w:tcBorders>
          </w:tcPr>
          <w:p>
            <w:pPr>
              <w:pStyle w:val="TableParagraph"/>
              <w:spacing w:line="268" w:lineRule="exact" w:before="0"/>
              <w:ind w:left="283"/>
              <w:jc w:val="left"/>
              <w:rPr>
                <w:rFonts w:ascii="Calibri"/>
                <w:b/>
                <w:sz w:val="22"/>
              </w:rPr>
            </w:pPr>
            <w:r>
              <w:rPr>
                <w:rFonts w:ascii="Calibri"/>
                <w:b/>
                <w:sz w:val="22"/>
              </w:rPr>
              <w:t>MN</w:t>
            </w:r>
          </w:p>
        </w:tc>
        <w:tc>
          <w:tcPr>
            <w:tcW w:w="6282" w:type="dxa"/>
            <w:gridSpan w:val="6"/>
            <w:tcBorders>
              <w:left w:val="dotted" w:sz="4" w:space="0" w:color="000000"/>
              <w:bottom w:val="dotted" w:sz="4" w:space="0" w:color="000000"/>
              <w:right w:val="dotted" w:sz="4" w:space="0" w:color="000000"/>
            </w:tcBorders>
          </w:tcPr>
          <w:p>
            <w:pPr>
              <w:pStyle w:val="TableParagraph"/>
              <w:spacing w:line="268" w:lineRule="exact" w:before="0"/>
              <w:ind w:left="1884"/>
              <w:jc w:val="left"/>
              <w:rPr>
                <w:rFonts w:ascii="Calibri"/>
                <w:b/>
                <w:sz w:val="22"/>
              </w:rPr>
            </w:pPr>
            <w:r>
              <w:rPr>
                <w:rFonts w:ascii="Calibri"/>
                <w:b/>
                <w:sz w:val="22"/>
              </w:rPr>
              <w:t>ALTERACIONES NUCLEARES</w:t>
            </w:r>
          </w:p>
        </w:tc>
        <w:tc>
          <w:tcPr>
            <w:tcW w:w="1030" w:type="dxa"/>
            <w:vMerge w:val="restart"/>
            <w:tcBorders>
              <w:left w:val="dotted" w:sz="4" w:space="0" w:color="000000"/>
            </w:tcBorders>
          </w:tcPr>
          <w:p>
            <w:pPr>
              <w:pStyle w:val="TableParagraph"/>
              <w:spacing w:line="268" w:lineRule="exact" w:before="0"/>
              <w:ind w:left="316"/>
              <w:jc w:val="left"/>
              <w:rPr>
                <w:rFonts w:ascii="Calibri"/>
                <w:b/>
                <w:sz w:val="22"/>
              </w:rPr>
            </w:pPr>
            <w:r>
              <w:rPr>
                <w:rFonts w:ascii="Calibri"/>
                <w:b/>
                <w:sz w:val="22"/>
              </w:rPr>
              <w:t>ANT</w:t>
            </w:r>
          </w:p>
        </w:tc>
      </w:tr>
      <w:tr>
        <w:trPr>
          <w:trHeight w:val="518" w:hRule="exact"/>
        </w:trPr>
        <w:tc>
          <w:tcPr>
            <w:tcW w:w="1030" w:type="dxa"/>
            <w:vMerge/>
            <w:tcBorders>
              <w:bottom w:val="dotted" w:sz="4" w:space="0" w:color="000000"/>
              <w:right w:val="dotted" w:sz="4" w:space="0" w:color="000000"/>
            </w:tcBorders>
          </w:tcPr>
          <w:p>
            <w:pPr/>
          </w:p>
        </w:tc>
        <w:tc>
          <w:tcPr>
            <w:tcW w:w="922" w:type="dxa"/>
            <w:vMerge/>
            <w:tcBorders>
              <w:left w:val="dotted" w:sz="4" w:space="0" w:color="000000"/>
              <w:bottom w:val="dotted" w:sz="4" w:space="0" w:color="000000"/>
              <w:right w:val="dotted" w:sz="4" w:space="0" w:color="000000"/>
            </w:tcBorders>
          </w:tcPr>
          <w:p>
            <w:pPr/>
          </w:p>
        </w:tc>
        <w:tc>
          <w:tcPr>
            <w:tcW w:w="1034" w:type="dxa"/>
            <w:tcBorders>
              <w:top w:val="dotted" w:sz="4" w:space="0" w:color="000000"/>
              <w:left w:val="dotted" w:sz="4" w:space="0" w:color="000000"/>
              <w:bottom w:val="dotted" w:sz="4" w:space="0" w:color="000000"/>
              <w:right w:val="nil"/>
            </w:tcBorders>
          </w:tcPr>
          <w:p>
            <w:pPr>
              <w:pStyle w:val="TableParagraph"/>
              <w:spacing w:line="268" w:lineRule="exact" w:before="0"/>
              <w:ind w:left="338" w:right="383"/>
              <w:rPr>
                <w:rFonts w:ascii="Calibri"/>
                <w:b/>
                <w:sz w:val="22"/>
              </w:rPr>
            </w:pPr>
            <w:r>
              <w:rPr>
                <w:rFonts w:ascii="Calibri"/>
                <w:b/>
                <w:sz w:val="22"/>
              </w:rPr>
              <w:t>BN</w:t>
            </w:r>
          </w:p>
        </w:tc>
        <w:tc>
          <w:tcPr>
            <w:tcW w:w="1057" w:type="dxa"/>
            <w:tcBorders>
              <w:top w:val="dotted" w:sz="4" w:space="0" w:color="000000"/>
              <w:left w:val="nil"/>
              <w:bottom w:val="dotted" w:sz="4" w:space="0" w:color="000000"/>
              <w:right w:val="nil"/>
            </w:tcBorders>
          </w:tcPr>
          <w:p>
            <w:pPr>
              <w:pStyle w:val="TableParagraph"/>
              <w:spacing w:line="268" w:lineRule="exact" w:before="0"/>
              <w:ind w:left="386" w:right="391"/>
              <w:rPr>
                <w:rFonts w:ascii="Calibri"/>
                <w:b/>
                <w:sz w:val="22"/>
              </w:rPr>
            </w:pPr>
            <w:r>
              <w:rPr>
                <w:rFonts w:ascii="Calibri"/>
                <w:b/>
                <w:sz w:val="22"/>
              </w:rPr>
              <w:t>NL</w:t>
            </w:r>
          </w:p>
        </w:tc>
        <w:tc>
          <w:tcPr>
            <w:tcW w:w="1027" w:type="dxa"/>
            <w:tcBorders>
              <w:top w:val="dotted" w:sz="4" w:space="0" w:color="000000"/>
              <w:left w:val="nil"/>
              <w:bottom w:val="dotted" w:sz="4" w:space="0" w:color="000000"/>
              <w:right w:val="nil"/>
            </w:tcBorders>
          </w:tcPr>
          <w:p>
            <w:pPr>
              <w:pStyle w:val="TableParagraph"/>
              <w:spacing w:line="268" w:lineRule="exact" w:before="0"/>
              <w:ind w:right="377"/>
              <w:jc w:val="right"/>
              <w:rPr>
                <w:rFonts w:ascii="Calibri"/>
                <w:b/>
                <w:sz w:val="22"/>
              </w:rPr>
            </w:pPr>
            <w:r>
              <w:rPr>
                <w:rFonts w:ascii="Calibri"/>
                <w:b/>
                <w:sz w:val="22"/>
              </w:rPr>
              <w:t>PC</w:t>
            </w:r>
          </w:p>
        </w:tc>
        <w:tc>
          <w:tcPr>
            <w:tcW w:w="990" w:type="dxa"/>
            <w:tcBorders>
              <w:top w:val="dotted" w:sz="4" w:space="0" w:color="000000"/>
              <w:left w:val="nil"/>
              <w:bottom w:val="dotted" w:sz="4" w:space="0" w:color="000000"/>
              <w:right w:val="nil"/>
            </w:tcBorders>
          </w:tcPr>
          <w:p>
            <w:pPr>
              <w:pStyle w:val="TableParagraph"/>
              <w:spacing w:line="268" w:lineRule="exact" w:before="0"/>
              <w:ind w:left="379"/>
              <w:jc w:val="left"/>
              <w:rPr>
                <w:rFonts w:ascii="Calibri"/>
                <w:b/>
                <w:sz w:val="22"/>
              </w:rPr>
            </w:pPr>
            <w:r>
              <w:rPr>
                <w:rFonts w:ascii="Calibri"/>
                <w:b/>
                <w:sz w:val="22"/>
              </w:rPr>
              <w:t>CC</w:t>
            </w:r>
          </w:p>
        </w:tc>
        <w:tc>
          <w:tcPr>
            <w:tcW w:w="1045" w:type="dxa"/>
            <w:tcBorders>
              <w:top w:val="dotted" w:sz="4" w:space="0" w:color="000000"/>
              <w:left w:val="nil"/>
              <w:bottom w:val="dotted" w:sz="4" w:space="0" w:color="000000"/>
              <w:right w:val="nil"/>
            </w:tcBorders>
          </w:tcPr>
          <w:p>
            <w:pPr>
              <w:pStyle w:val="TableParagraph"/>
              <w:spacing w:line="268" w:lineRule="exact" w:before="0"/>
              <w:ind w:right="424"/>
              <w:jc w:val="right"/>
              <w:rPr>
                <w:rFonts w:ascii="Calibri"/>
                <w:b/>
                <w:sz w:val="22"/>
              </w:rPr>
            </w:pPr>
            <w:r>
              <w:rPr>
                <w:rFonts w:ascii="Calibri"/>
                <w:b/>
                <w:sz w:val="22"/>
              </w:rPr>
              <w:t>CR</w:t>
            </w:r>
          </w:p>
        </w:tc>
        <w:tc>
          <w:tcPr>
            <w:tcW w:w="1129" w:type="dxa"/>
            <w:tcBorders>
              <w:top w:val="dotted" w:sz="4" w:space="0" w:color="000000"/>
              <w:left w:val="nil"/>
              <w:bottom w:val="dotted" w:sz="4" w:space="0" w:color="000000"/>
              <w:right w:val="dotted" w:sz="4" w:space="0" w:color="000000"/>
            </w:tcBorders>
          </w:tcPr>
          <w:p>
            <w:pPr>
              <w:pStyle w:val="TableParagraph"/>
              <w:spacing w:line="268" w:lineRule="exact" w:before="0"/>
              <w:ind w:left="434"/>
              <w:jc w:val="left"/>
              <w:rPr>
                <w:rFonts w:ascii="Calibri"/>
                <w:b/>
                <w:sz w:val="22"/>
              </w:rPr>
            </w:pPr>
            <w:r>
              <w:rPr>
                <w:rFonts w:ascii="Calibri"/>
                <w:b/>
                <w:sz w:val="22"/>
              </w:rPr>
              <w:t>CL</w:t>
            </w:r>
          </w:p>
        </w:tc>
        <w:tc>
          <w:tcPr>
            <w:tcW w:w="1030" w:type="dxa"/>
            <w:vMerge/>
            <w:tcBorders>
              <w:left w:val="dotted" w:sz="4" w:space="0" w:color="000000"/>
              <w:bottom w:val="dotted" w:sz="4" w:space="0" w:color="000000"/>
            </w:tcBorders>
          </w:tcPr>
          <w:p>
            <w:pPr/>
          </w:p>
        </w:tc>
      </w:tr>
      <w:tr>
        <w:trPr>
          <w:trHeight w:val="413" w:hRule="exact"/>
        </w:trPr>
        <w:tc>
          <w:tcPr>
            <w:tcW w:w="1030" w:type="dxa"/>
            <w:tcBorders>
              <w:top w:val="dotted" w:sz="4" w:space="0" w:color="000000"/>
              <w:bottom w:val="nil"/>
              <w:right w:val="dotted" w:sz="4" w:space="0" w:color="000000"/>
            </w:tcBorders>
          </w:tcPr>
          <w:p>
            <w:pPr>
              <w:pStyle w:val="TableParagraph"/>
              <w:spacing w:line="268" w:lineRule="exact" w:before="0"/>
              <w:rPr>
                <w:rFonts w:ascii="Calibri"/>
                <w:sz w:val="22"/>
              </w:rPr>
            </w:pPr>
            <w:r>
              <w:rPr>
                <w:rFonts w:ascii="Calibri"/>
                <w:w w:val="100"/>
                <w:sz w:val="22"/>
              </w:rPr>
              <w:t>1</w:t>
            </w:r>
          </w:p>
        </w:tc>
        <w:tc>
          <w:tcPr>
            <w:tcW w:w="922" w:type="dxa"/>
            <w:tcBorders>
              <w:top w:val="dotted" w:sz="4" w:space="0" w:color="000000"/>
              <w:left w:val="dotted" w:sz="4" w:space="0" w:color="000000"/>
              <w:bottom w:val="nil"/>
              <w:right w:val="nil"/>
            </w:tcBorders>
          </w:tcPr>
          <w:p>
            <w:pPr>
              <w:pStyle w:val="TableParagraph"/>
              <w:spacing w:line="268" w:lineRule="exact" w:before="0"/>
              <w:ind w:right="6"/>
              <w:rPr>
                <w:rFonts w:ascii="Calibri"/>
                <w:sz w:val="22"/>
              </w:rPr>
            </w:pPr>
            <w:r>
              <w:rPr>
                <w:rFonts w:ascii="Calibri"/>
                <w:w w:val="100"/>
                <w:sz w:val="22"/>
              </w:rPr>
              <w:t>1</w:t>
            </w:r>
          </w:p>
        </w:tc>
        <w:tc>
          <w:tcPr>
            <w:tcW w:w="1034" w:type="dxa"/>
            <w:tcBorders>
              <w:top w:val="dotted" w:sz="4" w:space="0" w:color="000000"/>
              <w:left w:val="nil"/>
              <w:bottom w:val="nil"/>
              <w:right w:val="nil"/>
            </w:tcBorders>
          </w:tcPr>
          <w:p>
            <w:pPr>
              <w:pStyle w:val="TableParagraph"/>
              <w:spacing w:line="268" w:lineRule="exact" w:before="0"/>
              <w:ind w:right="41"/>
              <w:rPr>
                <w:rFonts w:ascii="Calibri"/>
                <w:sz w:val="22"/>
              </w:rPr>
            </w:pPr>
            <w:r>
              <w:rPr>
                <w:rFonts w:ascii="Calibri"/>
                <w:w w:val="100"/>
                <w:sz w:val="22"/>
              </w:rPr>
              <w:t>2</w:t>
            </w:r>
          </w:p>
        </w:tc>
        <w:tc>
          <w:tcPr>
            <w:tcW w:w="1057" w:type="dxa"/>
            <w:tcBorders>
              <w:top w:val="dotted" w:sz="4" w:space="0" w:color="000000"/>
              <w:left w:val="nil"/>
              <w:bottom w:val="nil"/>
              <w:right w:val="nil"/>
            </w:tcBorders>
          </w:tcPr>
          <w:p>
            <w:pPr>
              <w:pStyle w:val="TableParagraph"/>
              <w:spacing w:line="268" w:lineRule="exact" w:before="0"/>
              <w:ind w:left="385" w:right="391"/>
              <w:rPr>
                <w:rFonts w:ascii="Calibri"/>
                <w:sz w:val="22"/>
              </w:rPr>
            </w:pPr>
            <w:r>
              <w:rPr>
                <w:rFonts w:ascii="Calibri"/>
                <w:sz w:val="22"/>
              </w:rPr>
              <w:t>25</w:t>
            </w:r>
          </w:p>
        </w:tc>
        <w:tc>
          <w:tcPr>
            <w:tcW w:w="1027" w:type="dxa"/>
            <w:tcBorders>
              <w:top w:val="dotted" w:sz="4" w:space="0" w:color="000000"/>
              <w:left w:val="nil"/>
              <w:bottom w:val="nil"/>
              <w:right w:val="nil"/>
            </w:tcBorders>
          </w:tcPr>
          <w:p>
            <w:pPr>
              <w:pStyle w:val="TableParagraph"/>
              <w:spacing w:line="268" w:lineRule="exact" w:before="0"/>
              <w:ind w:right="381"/>
              <w:jc w:val="right"/>
              <w:rPr>
                <w:rFonts w:ascii="Calibri"/>
                <w:sz w:val="22"/>
              </w:rPr>
            </w:pPr>
            <w:r>
              <w:rPr>
                <w:rFonts w:ascii="Calibri"/>
                <w:sz w:val="22"/>
              </w:rPr>
              <w:t>12</w:t>
            </w:r>
          </w:p>
        </w:tc>
        <w:tc>
          <w:tcPr>
            <w:tcW w:w="990" w:type="dxa"/>
            <w:tcBorders>
              <w:top w:val="dotted" w:sz="4" w:space="0" w:color="000000"/>
              <w:left w:val="nil"/>
              <w:bottom w:val="nil"/>
              <w:right w:val="nil"/>
            </w:tcBorders>
          </w:tcPr>
          <w:p>
            <w:pPr>
              <w:pStyle w:val="TableParagraph"/>
              <w:spacing w:line="268" w:lineRule="exact" w:before="0"/>
              <w:ind w:left="439"/>
              <w:jc w:val="left"/>
              <w:rPr>
                <w:rFonts w:ascii="Calibri"/>
                <w:sz w:val="22"/>
              </w:rPr>
            </w:pPr>
            <w:r>
              <w:rPr>
                <w:rFonts w:ascii="Calibri"/>
                <w:w w:val="100"/>
                <w:sz w:val="22"/>
              </w:rPr>
              <w:t>1</w:t>
            </w:r>
          </w:p>
        </w:tc>
        <w:tc>
          <w:tcPr>
            <w:tcW w:w="1045" w:type="dxa"/>
            <w:tcBorders>
              <w:top w:val="dotted" w:sz="4" w:space="0" w:color="000000"/>
              <w:left w:val="nil"/>
              <w:bottom w:val="nil"/>
              <w:right w:val="nil"/>
            </w:tcBorders>
          </w:tcPr>
          <w:p>
            <w:pPr>
              <w:pStyle w:val="TableParagraph"/>
              <w:spacing w:line="268" w:lineRule="exact" w:before="0"/>
              <w:ind w:right="490"/>
              <w:jc w:val="right"/>
              <w:rPr>
                <w:rFonts w:ascii="Calibri"/>
                <w:sz w:val="22"/>
              </w:rPr>
            </w:pPr>
            <w:r>
              <w:rPr>
                <w:rFonts w:ascii="Calibri"/>
                <w:w w:val="100"/>
                <w:sz w:val="22"/>
              </w:rPr>
              <w:t>3</w:t>
            </w:r>
          </w:p>
        </w:tc>
        <w:tc>
          <w:tcPr>
            <w:tcW w:w="1129" w:type="dxa"/>
            <w:tcBorders>
              <w:top w:val="dotted" w:sz="4" w:space="0" w:color="000000"/>
              <w:left w:val="nil"/>
              <w:bottom w:val="nil"/>
              <w:right w:val="nil"/>
            </w:tcBorders>
          </w:tcPr>
          <w:p>
            <w:pPr>
              <w:pStyle w:val="TableParagraph"/>
              <w:spacing w:line="268" w:lineRule="exact" w:before="0"/>
              <w:ind w:left="427"/>
              <w:jc w:val="left"/>
              <w:rPr>
                <w:rFonts w:ascii="Calibri"/>
                <w:sz w:val="22"/>
              </w:rPr>
            </w:pPr>
            <w:r>
              <w:rPr>
                <w:rFonts w:ascii="Calibri"/>
                <w:sz w:val="22"/>
              </w:rPr>
              <w:t>30</w:t>
            </w:r>
          </w:p>
        </w:tc>
        <w:tc>
          <w:tcPr>
            <w:tcW w:w="1030" w:type="dxa"/>
            <w:tcBorders>
              <w:top w:val="dotted" w:sz="4" w:space="0" w:color="000000"/>
              <w:left w:val="nil"/>
              <w:bottom w:val="nil"/>
            </w:tcBorders>
          </w:tcPr>
          <w:p>
            <w:pPr>
              <w:pStyle w:val="TableParagraph"/>
              <w:spacing w:line="268" w:lineRule="exact" w:before="0"/>
              <w:ind w:left="384" w:right="377"/>
              <w:rPr>
                <w:rFonts w:ascii="Calibri"/>
                <w:sz w:val="22"/>
              </w:rPr>
            </w:pPr>
            <w:r>
              <w:rPr>
                <w:rFonts w:ascii="Calibri"/>
                <w:sz w:val="22"/>
              </w:rPr>
              <w:t>73</w:t>
            </w:r>
          </w:p>
        </w:tc>
      </w:tr>
      <w:tr>
        <w:trPr>
          <w:trHeight w:val="509" w:hRule="exact"/>
        </w:trPr>
        <w:tc>
          <w:tcPr>
            <w:tcW w:w="1030" w:type="dxa"/>
            <w:tcBorders>
              <w:top w:val="nil"/>
              <w:bottom w:val="nil"/>
              <w:right w:val="dotted" w:sz="4" w:space="0" w:color="000000"/>
            </w:tcBorders>
          </w:tcPr>
          <w:p>
            <w:pPr>
              <w:pStyle w:val="TableParagraph"/>
              <w:rPr>
                <w:rFonts w:ascii="Calibri"/>
                <w:sz w:val="22"/>
              </w:rPr>
            </w:pPr>
            <w:r>
              <w:rPr>
                <w:rFonts w:ascii="Calibri"/>
                <w:w w:val="100"/>
                <w:sz w:val="22"/>
              </w:rPr>
              <w:t>2</w:t>
            </w:r>
          </w:p>
        </w:tc>
        <w:tc>
          <w:tcPr>
            <w:tcW w:w="922" w:type="dxa"/>
            <w:tcBorders>
              <w:top w:val="nil"/>
              <w:left w:val="dotted" w:sz="4" w:space="0" w:color="000000"/>
              <w:bottom w:val="nil"/>
              <w:right w:val="nil"/>
            </w:tcBorders>
          </w:tcPr>
          <w:p>
            <w:pPr>
              <w:pStyle w:val="TableParagraph"/>
              <w:ind w:right="6"/>
              <w:rPr>
                <w:rFonts w:ascii="Calibri"/>
                <w:sz w:val="22"/>
              </w:rPr>
            </w:pPr>
            <w:r>
              <w:rPr>
                <w:rFonts w:ascii="Calibri"/>
                <w:w w:val="100"/>
                <w:sz w:val="22"/>
              </w:rPr>
              <w:t>0</w:t>
            </w:r>
          </w:p>
        </w:tc>
        <w:tc>
          <w:tcPr>
            <w:tcW w:w="1034" w:type="dxa"/>
            <w:tcBorders>
              <w:top w:val="nil"/>
              <w:left w:val="nil"/>
              <w:bottom w:val="nil"/>
              <w:right w:val="nil"/>
            </w:tcBorders>
          </w:tcPr>
          <w:p>
            <w:pPr>
              <w:pStyle w:val="TableParagraph"/>
              <w:ind w:right="41"/>
              <w:rPr>
                <w:rFonts w:ascii="Calibri"/>
                <w:sz w:val="22"/>
              </w:rPr>
            </w:pPr>
            <w:r>
              <w:rPr>
                <w:rFonts w:ascii="Calibri"/>
                <w:w w:val="100"/>
                <w:sz w:val="22"/>
              </w:rPr>
              <w:t>0</w:t>
            </w:r>
          </w:p>
        </w:tc>
        <w:tc>
          <w:tcPr>
            <w:tcW w:w="1057" w:type="dxa"/>
            <w:tcBorders>
              <w:top w:val="nil"/>
              <w:left w:val="nil"/>
              <w:bottom w:val="nil"/>
              <w:right w:val="nil"/>
            </w:tcBorders>
          </w:tcPr>
          <w:p>
            <w:pPr>
              <w:pStyle w:val="TableParagraph"/>
              <w:ind w:right="5"/>
              <w:rPr>
                <w:rFonts w:ascii="Calibri"/>
                <w:sz w:val="22"/>
              </w:rPr>
            </w:pPr>
            <w:r>
              <w:rPr>
                <w:rFonts w:ascii="Calibri"/>
                <w:w w:val="100"/>
                <w:sz w:val="22"/>
              </w:rPr>
              <w:t>8</w:t>
            </w:r>
          </w:p>
        </w:tc>
        <w:tc>
          <w:tcPr>
            <w:tcW w:w="1027" w:type="dxa"/>
            <w:tcBorders>
              <w:top w:val="nil"/>
              <w:left w:val="nil"/>
              <w:bottom w:val="nil"/>
              <w:right w:val="nil"/>
            </w:tcBorders>
          </w:tcPr>
          <w:p>
            <w:pPr>
              <w:pStyle w:val="TableParagraph"/>
              <w:ind w:right="437"/>
              <w:jc w:val="right"/>
              <w:rPr>
                <w:rFonts w:ascii="Calibri"/>
                <w:sz w:val="22"/>
              </w:rPr>
            </w:pPr>
            <w:r>
              <w:rPr>
                <w:rFonts w:ascii="Calibri"/>
                <w:w w:val="100"/>
                <w:sz w:val="22"/>
              </w:rPr>
              <w:t>8</w:t>
            </w:r>
          </w:p>
        </w:tc>
        <w:tc>
          <w:tcPr>
            <w:tcW w:w="990" w:type="dxa"/>
            <w:tcBorders>
              <w:top w:val="nil"/>
              <w:left w:val="nil"/>
              <w:bottom w:val="nil"/>
              <w:right w:val="nil"/>
            </w:tcBorders>
          </w:tcPr>
          <w:p>
            <w:pPr>
              <w:pStyle w:val="TableParagraph"/>
              <w:ind w:left="439"/>
              <w:jc w:val="left"/>
              <w:rPr>
                <w:rFonts w:ascii="Calibri"/>
                <w:sz w:val="22"/>
              </w:rPr>
            </w:pPr>
            <w:r>
              <w:rPr>
                <w:rFonts w:ascii="Calibri"/>
                <w:w w:val="100"/>
                <w:sz w:val="22"/>
              </w:rPr>
              <w:t>0</w:t>
            </w:r>
          </w:p>
        </w:tc>
        <w:tc>
          <w:tcPr>
            <w:tcW w:w="1045" w:type="dxa"/>
            <w:tcBorders>
              <w:top w:val="nil"/>
              <w:left w:val="nil"/>
              <w:bottom w:val="nil"/>
              <w:right w:val="nil"/>
            </w:tcBorders>
          </w:tcPr>
          <w:p>
            <w:pPr>
              <w:pStyle w:val="TableParagraph"/>
              <w:ind w:right="490"/>
              <w:jc w:val="right"/>
              <w:rPr>
                <w:rFonts w:ascii="Calibri"/>
                <w:sz w:val="22"/>
              </w:rPr>
            </w:pPr>
            <w:r>
              <w:rPr>
                <w:rFonts w:ascii="Calibri"/>
                <w:w w:val="100"/>
                <w:sz w:val="22"/>
              </w:rPr>
              <w:t>1</w:t>
            </w:r>
          </w:p>
        </w:tc>
        <w:tc>
          <w:tcPr>
            <w:tcW w:w="1129" w:type="dxa"/>
            <w:tcBorders>
              <w:top w:val="nil"/>
              <w:left w:val="nil"/>
              <w:bottom w:val="nil"/>
              <w:right w:val="nil"/>
            </w:tcBorders>
          </w:tcPr>
          <w:p>
            <w:pPr>
              <w:pStyle w:val="TableParagraph"/>
              <w:ind w:left="482"/>
              <w:jc w:val="left"/>
              <w:rPr>
                <w:rFonts w:ascii="Calibri"/>
                <w:sz w:val="22"/>
              </w:rPr>
            </w:pPr>
            <w:r>
              <w:rPr>
                <w:rFonts w:ascii="Calibri"/>
                <w:w w:val="100"/>
                <w:sz w:val="22"/>
              </w:rPr>
              <w:t>2</w:t>
            </w:r>
          </w:p>
        </w:tc>
        <w:tc>
          <w:tcPr>
            <w:tcW w:w="1030" w:type="dxa"/>
            <w:tcBorders>
              <w:top w:val="nil"/>
              <w:left w:val="nil"/>
              <w:bottom w:val="nil"/>
            </w:tcBorders>
          </w:tcPr>
          <w:p>
            <w:pPr>
              <w:pStyle w:val="TableParagraph"/>
              <w:ind w:left="384" w:right="377"/>
              <w:rPr>
                <w:rFonts w:ascii="Calibri"/>
                <w:sz w:val="22"/>
              </w:rPr>
            </w:pPr>
            <w:r>
              <w:rPr>
                <w:rFonts w:ascii="Calibri"/>
                <w:sz w:val="22"/>
              </w:rPr>
              <w:t>19</w:t>
            </w:r>
          </w:p>
        </w:tc>
      </w:tr>
      <w:tr>
        <w:trPr>
          <w:trHeight w:val="509" w:hRule="exact"/>
        </w:trPr>
        <w:tc>
          <w:tcPr>
            <w:tcW w:w="1030" w:type="dxa"/>
            <w:tcBorders>
              <w:top w:val="nil"/>
              <w:bottom w:val="nil"/>
              <w:right w:val="dotted" w:sz="4" w:space="0" w:color="000000"/>
            </w:tcBorders>
          </w:tcPr>
          <w:p>
            <w:pPr>
              <w:pStyle w:val="TableParagraph"/>
              <w:rPr>
                <w:rFonts w:ascii="Calibri"/>
                <w:sz w:val="22"/>
              </w:rPr>
            </w:pPr>
            <w:r>
              <w:rPr>
                <w:rFonts w:ascii="Calibri"/>
                <w:w w:val="100"/>
                <w:sz w:val="22"/>
              </w:rPr>
              <w:t>3</w:t>
            </w:r>
          </w:p>
        </w:tc>
        <w:tc>
          <w:tcPr>
            <w:tcW w:w="922" w:type="dxa"/>
            <w:tcBorders>
              <w:top w:val="nil"/>
              <w:left w:val="dotted" w:sz="4" w:space="0" w:color="000000"/>
              <w:bottom w:val="nil"/>
              <w:right w:val="nil"/>
            </w:tcBorders>
          </w:tcPr>
          <w:p>
            <w:pPr>
              <w:pStyle w:val="TableParagraph"/>
              <w:ind w:right="6"/>
              <w:rPr>
                <w:rFonts w:ascii="Calibri"/>
                <w:sz w:val="22"/>
              </w:rPr>
            </w:pPr>
            <w:r>
              <w:rPr>
                <w:rFonts w:ascii="Calibri"/>
                <w:w w:val="100"/>
                <w:sz w:val="22"/>
              </w:rPr>
              <w:t>0</w:t>
            </w:r>
          </w:p>
        </w:tc>
        <w:tc>
          <w:tcPr>
            <w:tcW w:w="1034" w:type="dxa"/>
            <w:tcBorders>
              <w:top w:val="nil"/>
              <w:left w:val="nil"/>
              <w:bottom w:val="nil"/>
              <w:right w:val="nil"/>
            </w:tcBorders>
          </w:tcPr>
          <w:p>
            <w:pPr>
              <w:pStyle w:val="TableParagraph"/>
              <w:ind w:right="41"/>
              <w:rPr>
                <w:rFonts w:ascii="Calibri"/>
                <w:sz w:val="22"/>
              </w:rPr>
            </w:pPr>
            <w:r>
              <w:rPr>
                <w:rFonts w:ascii="Calibri"/>
                <w:w w:val="100"/>
                <w:sz w:val="22"/>
              </w:rPr>
              <w:t>1</w:t>
            </w:r>
          </w:p>
        </w:tc>
        <w:tc>
          <w:tcPr>
            <w:tcW w:w="1057" w:type="dxa"/>
            <w:tcBorders>
              <w:top w:val="nil"/>
              <w:left w:val="nil"/>
              <w:bottom w:val="nil"/>
              <w:right w:val="nil"/>
            </w:tcBorders>
          </w:tcPr>
          <w:p>
            <w:pPr>
              <w:pStyle w:val="TableParagraph"/>
              <w:ind w:right="5"/>
              <w:rPr>
                <w:rFonts w:ascii="Calibri"/>
                <w:sz w:val="22"/>
              </w:rPr>
            </w:pPr>
            <w:r>
              <w:rPr>
                <w:rFonts w:ascii="Calibri"/>
                <w:w w:val="100"/>
                <w:sz w:val="22"/>
              </w:rPr>
              <w:t>8</w:t>
            </w:r>
          </w:p>
        </w:tc>
        <w:tc>
          <w:tcPr>
            <w:tcW w:w="1027" w:type="dxa"/>
            <w:tcBorders>
              <w:top w:val="nil"/>
              <w:left w:val="nil"/>
              <w:bottom w:val="nil"/>
              <w:right w:val="nil"/>
            </w:tcBorders>
          </w:tcPr>
          <w:p>
            <w:pPr>
              <w:pStyle w:val="TableParagraph"/>
              <w:ind w:right="381"/>
              <w:jc w:val="right"/>
              <w:rPr>
                <w:rFonts w:ascii="Calibri"/>
                <w:sz w:val="22"/>
              </w:rPr>
            </w:pPr>
            <w:r>
              <w:rPr>
                <w:rFonts w:ascii="Calibri"/>
                <w:sz w:val="22"/>
              </w:rPr>
              <w:t>14</w:t>
            </w:r>
          </w:p>
        </w:tc>
        <w:tc>
          <w:tcPr>
            <w:tcW w:w="990" w:type="dxa"/>
            <w:tcBorders>
              <w:top w:val="nil"/>
              <w:left w:val="nil"/>
              <w:bottom w:val="nil"/>
              <w:right w:val="nil"/>
            </w:tcBorders>
          </w:tcPr>
          <w:p>
            <w:pPr>
              <w:pStyle w:val="TableParagraph"/>
              <w:ind w:left="439"/>
              <w:jc w:val="left"/>
              <w:rPr>
                <w:rFonts w:ascii="Calibri"/>
                <w:sz w:val="22"/>
              </w:rPr>
            </w:pPr>
            <w:r>
              <w:rPr>
                <w:rFonts w:ascii="Calibri"/>
                <w:w w:val="100"/>
                <w:sz w:val="22"/>
              </w:rPr>
              <w:t>1</w:t>
            </w:r>
          </w:p>
        </w:tc>
        <w:tc>
          <w:tcPr>
            <w:tcW w:w="1045" w:type="dxa"/>
            <w:tcBorders>
              <w:top w:val="nil"/>
              <w:left w:val="nil"/>
              <w:bottom w:val="nil"/>
              <w:right w:val="nil"/>
            </w:tcBorders>
          </w:tcPr>
          <w:p>
            <w:pPr>
              <w:pStyle w:val="TableParagraph"/>
              <w:ind w:right="490"/>
              <w:jc w:val="right"/>
              <w:rPr>
                <w:rFonts w:ascii="Calibri"/>
                <w:sz w:val="22"/>
              </w:rPr>
            </w:pPr>
            <w:r>
              <w:rPr>
                <w:rFonts w:ascii="Calibri"/>
                <w:w w:val="100"/>
                <w:sz w:val="22"/>
              </w:rPr>
              <w:t>0</w:t>
            </w:r>
          </w:p>
        </w:tc>
        <w:tc>
          <w:tcPr>
            <w:tcW w:w="1129" w:type="dxa"/>
            <w:tcBorders>
              <w:top w:val="nil"/>
              <w:left w:val="nil"/>
              <w:bottom w:val="nil"/>
              <w:right w:val="nil"/>
            </w:tcBorders>
          </w:tcPr>
          <w:p>
            <w:pPr>
              <w:pStyle w:val="TableParagraph"/>
              <w:ind w:left="482"/>
              <w:jc w:val="left"/>
              <w:rPr>
                <w:rFonts w:ascii="Calibri"/>
                <w:sz w:val="22"/>
              </w:rPr>
            </w:pPr>
            <w:r>
              <w:rPr>
                <w:rFonts w:ascii="Calibri"/>
                <w:w w:val="100"/>
                <w:sz w:val="22"/>
              </w:rPr>
              <w:t>3</w:t>
            </w:r>
          </w:p>
        </w:tc>
        <w:tc>
          <w:tcPr>
            <w:tcW w:w="1030" w:type="dxa"/>
            <w:tcBorders>
              <w:top w:val="nil"/>
              <w:left w:val="nil"/>
              <w:bottom w:val="nil"/>
            </w:tcBorders>
          </w:tcPr>
          <w:p>
            <w:pPr>
              <w:pStyle w:val="TableParagraph"/>
              <w:ind w:left="384" w:right="377"/>
              <w:rPr>
                <w:rFonts w:ascii="Calibri"/>
                <w:sz w:val="22"/>
              </w:rPr>
            </w:pPr>
            <w:r>
              <w:rPr>
                <w:rFonts w:ascii="Calibri"/>
                <w:sz w:val="22"/>
              </w:rPr>
              <w:t>27</w:t>
            </w:r>
          </w:p>
        </w:tc>
      </w:tr>
      <w:tr>
        <w:trPr>
          <w:trHeight w:val="509" w:hRule="exact"/>
        </w:trPr>
        <w:tc>
          <w:tcPr>
            <w:tcW w:w="1030" w:type="dxa"/>
            <w:tcBorders>
              <w:top w:val="nil"/>
              <w:bottom w:val="nil"/>
              <w:right w:val="dotted" w:sz="4" w:space="0" w:color="000000"/>
            </w:tcBorders>
          </w:tcPr>
          <w:p>
            <w:pPr>
              <w:pStyle w:val="TableParagraph"/>
              <w:rPr>
                <w:rFonts w:ascii="Calibri"/>
                <w:sz w:val="22"/>
              </w:rPr>
            </w:pPr>
            <w:r>
              <w:rPr>
                <w:rFonts w:ascii="Calibri"/>
                <w:w w:val="100"/>
                <w:sz w:val="22"/>
              </w:rPr>
              <w:t>4</w:t>
            </w:r>
          </w:p>
        </w:tc>
        <w:tc>
          <w:tcPr>
            <w:tcW w:w="922" w:type="dxa"/>
            <w:tcBorders>
              <w:top w:val="nil"/>
              <w:left w:val="dotted" w:sz="4" w:space="0" w:color="000000"/>
              <w:bottom w:val="nil"/>
              <w:right w:val="nil"/>
            </w:tcBorders>
          </w:tcPr>
          <w:p>
            <w:pPr>
              <w:pStyle w:val="TableParagraph"/>
              <w:ind w:right="6"/>
              <w:rPr>
                <w:rFonts w:ascii="Calibri"/>
                <w:sz w:val="22"/>
              </w:rPr>
            </w:pPr>
            <w:r>
              <w:rPr>
                <w:rFonts w:ascii="Calibri"/>
                <w:w w:val="100"/>
                <w:sz w:val="22"/>
              </w:rPr>
              <w:t>1</w:t>
            </w:r>
          </w:p>
        </w:tc>
        <w:tc>
          <w:tcPr>
            <w:tcW w:w="1034" w:type="dxa"/>
            <w:tcBorders>
              <w:top w:val="nil"/>
              <w:left w:val="nil"/>
              <w:bottom w:val="nil"/>
              <w:right w:val="nil"/>
            </w:tcBorders>
          </w:tcPr>
          <w:p>
            <w:pPr>
              <w:pStyle w:val="TableParagraph"/>
              <w:ind w:right="41"/>
              <w:rPr>
                <w:rFonts w:ascii="Calibri"/>
                <w:sz w:val="22"/>
              </w:rPr>
            </w:pPr>
            <w:r>
              <w:rPr>
                <w:rFonts w:ascii="Calibri"/>
                <w:w w:val="100"/>
                <w:sz w:val="22"/>
              </w:rPr>
              <w:t>1</w:t>
            </w:r>
          </w:p>
        </w:tc>
        <w:tc>
          <w:tcPr>
            <w:tcW w:w="1057" w:type="dxa"/>
            <w:tcBorders>
              <w:top w:val="nil"/>
              <w:left w:val="nil"/>
              <w:bottom w:val="nil"/>
              <w:right w:val="nil"/>
            </w:tcBorders>
          </w:tcPr>
          <w:p>
            <w:pPr>
              <w:pStyle w:val="TableParagraph"/>
              <w:ind w:left="385" w:right="391"/>
              <w:rPr>
                <w:rFonts w:ascii="Calibri"/>
                <w:sz w:val="22"/>
              </w:rPr>
            </w:pPr>
            <w:r>
              <w:rPr>
                <w:rFonts w:ascii="Calibri"/>
                <w:sz w:val="22"/>
              </w:rPr>
              <w:t>10</w:t>
            </w:r>
          </w:p>
        </w:tc>
        <w:tc>
          <w:tcPr>
            <w:tcW w:w="1027" w:type="dxa"/>
            <w:tcBorders>
              <w:top w:val="nil"/>
              <w:left w:val="nil"/>
              <w:bottom w:val="nil"/>
              <w:right w:val="nil"/>
            </w:tcBorders>
          </w:tcPr>
          <w:p>
            <w:pPr>
              <w:pStyle w:val="TableParagraph"/>
              <w:ind w:right="437"/>
              <w:jc w:val="right"/>
              <w:rPr>
                <w:rFonts w:ascii="Calibri"/>
                <w:sz w:val="22"/>
              </w:rPr>
            </w:pPr>
            <w:r>
              <w:rPr>
                <w:rFonts w:ascii="Calibri"/>
                <w:w w:val="100"/>
                <w:sz w:val="22"/>
              </w:rPr>
              <w:t>9</w:t>
            </w:r>
          </w:p>
        </w:tc>
        <w:tc>
          <w:tcPr>
            <w:tcW w:w="990" w:type="dxa"/>
            <w:tcBorders>
              <w:top w:val="nil"/>
              <w:left w:val="nil"/>
              <w:bottom w:val="nil"/>
              <w:right w:val="nil"/>
            </w:tcBorders>
          </w:tcPr>
          <w:p>
            <w:pPr>
              <w:pStyle w:val="TableParagraph"/>
              <w:ind w:left="439"/>
              <w:jc w:val="left"/>
              <w:rPr>
                <w:rFonts w:ascii="Calibri"/>
                <w:sz w:val="22"/>
              </w:rPr>
            </w:pPr>
            <w:r>
              <w:rPr>
                <w:rFonts w:ascii="Calibri"/>
                <w:w w:val="100"/>
                <w:sz w:val="22"/>
              </w:rPr>
              <w:t>1</w:t>
            </w:r>
          </w:p>
        </w:tc>
        <w:tc>
          <w:tcPr>
            <w:tcW w:w="1045" w:type="dxa"/>
            <w:tcBorders>
              <w:top w:val="nil"/>
              <w:left w:val="nil"/>
              <w:bottom w:val="nil"/>
              <w:right w:val="nil"/>
            </w:tcBorders>
          </w:tcPr>
          <w:p>
            <w:pPr>
              <w:pStyle w:val="TableParagraph"/>
              <w:ind w:right="490"/>
              <w:jc w:val="right"/>
              <w:rPr>
                <w:rFonts w:ascii="Calibri"/>
                <w:sz w:val="22"/>
              </w:rPr>
            </w:pPr>
            <w:r>
              <w:rPr>
                <w:rFonts w:ascii="Calibri"/>
                <w:w w:val="100"/>
                <w:sz w:val="22"/>
              </w:rPr>
              <w:t>2</w:t>
            </w:r>
          </w:p>
        </w:tc>
        <w:tc>
          <w:tcPr>
            <w:tcW w:w="1129" w:type="dxa"/>
            <w:tcBorders>
              <w:top w:val="nil"/>
              <w:left w:val="nil"/>
              <w:bottom w:val="nil"/>
              <w:right w:val="nil"/>
            </w:tcBorders>
          </w:tcPr>
          <w:p>
            <w:pPr>
              <w:pStyle w:val="TableParagraph"/>
              <w:ind w:left="427"/>
              <w:jc w:val="left"/>
              <w:rPr>
                <w:rFonts w:ascii="Calibri"/>
                <w:sz w:val="22"/>
              </w:rPr>
            </w:pPr>
            <w:r>
              <w:rPr>
                <w:rFonts w:ascii="Calibri"/>
                <w:sz w:val="22"/>
              </w:rPr>
              <w:t>37</w:t>
            </w:r>
          </w:p>
        </w:tc>
        <w:tc>
          <w:tcPr>
            <w:tcW w:w="1030" w:type="dxa"/>
            <w:tcBorders>
              <w:top w:val="nil"/>
              <w:left w:val="nil"/>
              <w:bottom w:val="nil"/>
            </w:tcBorders>
          </w:tcPr>
          <w:p>
            <w:pPr>
              <w:pStyle w:val="TableParagraph"/>
              <w:ind w:left="384" w:right="377"/>
              <w:rPr>
                <w:rFonts w:ascii="Calibri"/>
                <w:sz w:val="22"/>
              </w:rPr>
            </w:pPr>
            <w:r>
              <w:rPr>
                <w:rFonts w:ascii="Calibri"/>
                <w:sz w:val="22"/>
              </w:rPr>
              <w:t>60</w:t>
            </w:r>
          </w:p>
        </w:tc>
      </w:tr>
      <w:tr>
        <w:trPr>
          <w:trHeight w:val="509" w:hRule="exact"/>
        </w:trPr>
        <w:tc>
          <w:tcPr>
            <w:tcW w:w="1030" w:type="dxa"/>
            <w:tcBorders>
              <w:top w:val="nil"/>
              <w:bottom w:val="nil"/>
              <w:right w:val="dotted" w:sz="4" w:space="0" w:color="000000"/>
            </w:tcBorders>
          </w:tcPr>
          <w:p>
            <w:pPr>
              <w:pStyle w:val="TableParagraph"/>
              <w:rPr>
                <w:rFonts w:ascii="Calibri"/>
                <w:sz w:val="22"/>
              </w:rPr>
            </w:pPr>
            <w:r>
              <w:rPr>
                <w:rFonts w:ascii="Calibri"/>
                <w:w w:val="100"/>
                <w:sz w:val="22"/>
              </w:rPr>
              <w:t>5</w:t>
            </w:r>
          </w:p>
        </w:tc>
        <w:tc>
          <w:tcPr>
            <w:tcW w:w="922" w:type="dxa"/>
            <w:tcBorders>
              <w:top w:val="nil"/>
              <w:left w:val="dotted" w:sz="4" w:space="0" w:color="000000"/>
              <w:bottom w:val="nil"/>
              <w:right w:val="nil"/>
            </w:tcBorders>
          </w:tcPr>
          <w:p>
            <w:pPr>
              <w:pStyle w:val="TableParagraph"/>
              <w:ind w:right="6"/>
              <w:rPr>
                <w:rFonts w:ascii="Calibri"/>
                <w:sz w:val="22"/>
              </w:rPr>
            </w:pPr>
            <w:r>
              <w:rPr>
                <w:rFonts w:ascii="Calibri"/>
                <w:w w:val="100"/>
                <w:sz w:val="22"/>
              </w:rPr>
              <w:t>1</w:t>
            </w:r>
          </w:p>
        </w:tc>
        <w:tc>
          <w:tcPr>
            <w:tcW w:w="1034" w:type="dxa"/>
            <w:tcBorders>
              <w:top w:val="nil"/>
              <w:left w:val="nil"/>
              <w:bottom w:val="nil"/>
              <w:right w:val="nil"/>
            </w:tcBorders>
          </w:tcPr>
          <w:p>
            <w:pPr>
              <w:pStyle w:val="TableParagraph"/>
              <w:ind w:right="41"/>
              <w:rPr>
                <w:rFonts w:ascii="Calibri"/>
                <w:sz w:val="22"/>
              </w:rPr>
            </w:pPr>
            <w:r>
              <w:rPr>
                <w:rFonts w:ascii="Calibri"/>
                <w:w w:val="100"/>
                <w:sz w:val="22"/>
              </w:rPr>
              <w:t>0</w:t>
            </w:r>
          </w:p>
        </w:tc>
        <w:tc>
          <w:tcPr>
            <w:tcW w:w="1057" w:type="dxa"/>
            <w:tcBorders>
              <w:top w:val="nil"/>
              <w:left w:val="nil"/>
              <w:bottom w:val="nil"/>
              <w:right w:val="nil"/>
            </w:tcBorders>
          </w:tcPr>
          <w:p>
            <w:pPr>
              <w:pStyle w:val="TableParagraph"/>
              <w:ind w:right="5"/>
              <w:rPr>
                <w:rFonts w:ascii="Calibri"/>
                <w:sz w:val="22"/>
              </w:rPr>
            </w:pPr>
            <w:r>
              <w:rPr>
                <w:rFonts w:ascii="Calibri"/>
                <w:w w:val="100"/>
                <w:sz w:val="22"/>
              </w:rPr>
              <w:t>7</w:t>
            </w:r>
          </w:p>
        </w:tc>
        <w:tc>
          <w:tcPr>
            <w:tcW w:w="1027" w:type="dxa"/>
            <w:tcBorders>
              <w:top w:val="nil"/>
              <w:left w:val="nil"/>
              <w:bottom w:val="nil"/>
              <w:right w:val="nil"/>
            </w:tcBorders>
          </w:tcPr>
          <w:p>
            <w:pPr>
              <w:pStyle w:val="TableParagraph"/>
              <w:ind w:right="437"/>
              <w:jc w:val="right"/>
              <w:rPr>
                <w:rFonts w:ascii="Calibri"/>
                <w:sz w:val="22"/>
              </w:rPr>
            </w:pPr>
            <w:r>
              <w:rPr>
                <w:rFonts w:ascii="Calibri"/>
                <w:w w:val="100"/>
                <w:sz w:val="22"/>
              </w:rPr>
              <w:t>8</w:t>
            </w:r>
          </w:p>
        </w:tc>
        <w:tc>
          <w:tcPr>
            <w:tcW w:w="990" w:type="dxa"/>
            <w:tcBorders>
              <w:top w:val="nil"/>
              <w:left w:val="nil"/>
              <w:bottom w:val="nil"/>
              <w:right w:val="nil"/>
            </w:tcBorders>
          </w:tcPr>
          <w:p>
            <w:pPr>
              <w:pStyle w:val="TableParagraph"/>
              <w:ind w:left="439"/>
              <w:jc w:val="left"/>
              <w:rPr>
                <w:rFonts w:ascii="Calibri"/>
                <w:sz w:val="22"/>
              </w:rPr>
            </w:pPr>
            <w:r>
              <w:rPr>
                <w:rFonts w:ascii="Calibri"/>
                <w:w w:val="100"/>
                <w:sz w:val="22"/>
              </w:rPr>
              <w:t>6</w:t>
            </w:r>
          </w:p>
        </w:tc>
        <w:tc>
          <w:tcPr>
            <w:tcW w:w="1045" w:type="dxa"/>
            <w:tcBorders>
              <w:top w:val="nil"/>
              <w:left w:val="nil"/>
              <w:bottom w:val="nil"/>
              <w:right w:val="nil"/>
            </w:tcBorders>
          </w:tcPr>
          <w:p>
            <w:pPr>
              <w:pStyle w:val="TableParagraph"/>
              <w:ind w:right="490"/>
              <w:jc w:val="right"/>
              <w:rPr>
                <w:rFonts w:ascii="Calibri"/>
                <w:sz w:val="22"/>
              </w:rPr>
            </w:pPr>
            <w:r>
              <w:rPr>
                <w:rFonts w:ascii="Calibri"/>
                <w:w w:val="100"/>
                <w:sz w:val="22"/>
              </w:rPr>
              <w:t>2</w:t>
            </w:r>
          </w:p>
        </w:tc>
        <w:tc>
          <w:tcPr>
            <w:tcW w:w="1129" w:type="dxa"/>
            <w:tcBorders>
              <w:top w:val="nil"/>
              <w:left w:val="nil"/>
              <w:bottom w:val="nil"/>
              <w:right w:val="nil"/>
            </w:tcBorders>
          </w:tcPr>
          <w:p>
            <w:pPr>
              <w:pStyle w:val="TableParagraph"/>
              <w:ind w:left="427"/>
              <w:jc w:val="left"/>
              <w:rPr>
                <w:rFonts w:ascii="Calibri"/>
                <w:sz w:val="22"/>
              </w:rPr>
            </w:pPr>
            <w:r>
              <w:rPr>
                <w:rFonts w:ascii="Calibri"/>
                <w:sz w:val="22"/>
              </w:rPr>
              <w:t>16</w:t>
            </w:r>
          </w:p>
        </w:tc>
        <w:tc>
          <w:tcPr>
            <w:tcW w:w="1030" w:type="dxa"/>
            <w:tcBorders>
              <w:top w:val="nil"/>
              <w:left w:val="nil"/>
              <w:bottom w:val="nil"/>
            </w:tcBorders>
          </w:tcPr>
          <w:p>
            <w:pPr>
              <w:pStyle w:val="TableParagraph"/>
              <w:ind w:left="384" w:right="377"/>
              <w:rPr>
                <w:rFonts w:ascii="Calibri"/>
                <w:sz w:val="22"/>
              </w:rPr>
            </w:pPr>
            <w:r>
              <w:rPr>
                <w:rFonts w:ascii="Calibri"/>
                <w:sz w:val="22"/>
              </w:rPr>
              <w:t>39</w:t>
            </w:r>
          </w:p>
        </w:tc>
      </w:tr>
      <w:tr>
        <w:trPr>
          <w:trHeight w:val="509" w:hRule="exact"/>
        </w:trPr>
        <w:tc>
          <w:tcPr>
            <w:tcW w:w="1030" w:type="dxa"/>
            <w:tcBorders>
              <w:top w:val="nil"/>
              <w:bottom w:val="nil"/>
              <w:right w:val="dotted" w:sz="4" w:space="0" w:color="000000"/>
            </w:tcBorders>
          </w:tcPr>
          <w:p>
            <w:pPr>
              <w:pStyle w:val="TableParagraph"/>
              <w:rPr>
                <w:rFonts w:ascii="Calibri"/>
                <w:sz w:val="22"/>
              </w:rPr>
            </w:pPr>
            <w:r>
              <w:rPr>
                <w:rFonts w:ascii="Calibri"/>
                <w:w w:val="100"/>
                <w:sz w:val="22"/>
              </w:rPr>
              <w:t>6</w:t>
            </w:r>
          </w:p>
        </w:tc>
        <w:tc>
          <w:tcPr>
            <w:tcW w:w="922" w:type="dxa"/>
            <w:tcBorders>
              <w:top w:val="nil"/>
              <w:left w:val="dotted" w:sz="4" w:space="0" w:color="000000"/>
              <w:bottom w:val="nil"/>
              <w:right w:val="nil"/>
            </w:tcBorders>
          </w:tcPr>
          <w:p>
            <w:pPr>
              <w:pStyle w:val="TableParagraph"/>
              <w:ind w:right="6"/>
              <w:rPr>
                <w:rFonts w:ascii="Calibri"/>
                <w:sz w:val="22"/>
              </w:rPr>
            </w:pPr>
            <w:r>
              <w:rPr>
                <w:rFonts w:ascii="Calibri"/>
                <w:w w:val="100"/>
                <w:sz w:val="22"/>
              </w:rPr>
              <w:t>0</w:t>
            </w:r>
          </w:p>
        </w:tc>
        <w:tc>
          <w:tcPr>
            <w:tcW w:w="1034" w:type="dxa"/>
            <w:tcBorders>
              <w:top w:val="nil"/>
              <w:left w:val="nil"/>
              <w:bottom w:val="nil"/>
              <w:right w:val="nil"/>
            </w:tcBorders>
          </w:tcPr>
          <w:p>
            <w:pPr>
              <w:pStyle w:val="TableParagraph"/>
              <w:ind w:right="41"/>
              <w:rPr>
                <w:rFonts w:ascii="Calibri"/>
                <w:sz w:val="22"/>
              </w:rPr>
            </w:pPr>
            <w:r>
              <w:rPr>
                <w:rFonts w:ascii="Calibri"/>
                <w:w w:val="100"/>
                <w:sz w:val="22"/>
              </w:rPr>
              <w:t>1</w:t>
            </w:r>
          </w:p>
        </w:tc>
        <w:tc>
          <w:tcPr>
            <w:tcW w:w="1057" w:type="dxa"/>
            <w:tcBorders>
              <w:top w:val="nil"/>
              <w:left w:val="nil"/>
              <w:bottom w:val="nil"/>
              <w:right w:val="nil"/>
            </w:tcBorders>
          </w:tcPr>
          <w:p>
            <w:pPr>
              <w:pStyle w:val="TableParagraph"/>
              <w:ind w:left="385" w:right="391"/>
              <w:rPr>
                <w:rFonts w:ascii="Calibri"/>
                <w:sz w:val="22"/>
              </w:rPr>
            </w:pPr>
            <w:r>
              <w:rPr>
                <w:rFonts w:ascii="Calibri"/>
                <w:sz w:val="22"/>
              </w:rPr>
              <w:t>15</w:t>
            </w:r>
          </w:p>
        </w:tc>
        <w:tc>
          <w:tcPr>
            <w:tcW w:w="1027" w:type="dxa"/>
            <w:tcBorders>
              <w:top w:val="nil"/>
              <w:left w:val="nil"/>
              <w:bottom w:val="nil"/>
              <w:right w:val="nil"/>
            </w:tcBorders>
          </w:tcPr>
          <w:p>
            <w:pPr>
              <w:pStyle w:val="TableParagraph"/>
              <w:ind w:right="437"/>
              <w:jc w:val="right"/>
              <w:rPr>
                <w:rFonts w:ascii="Calibri"/>
                <w:sz w:val="22"/>
              </w:rPr>
            </w:pPr>
            <w:r>
              <w:rPr>
                <w:rFonts w:ascii="Calibri"/>
                <w:w w:val="100"/>
                <w:sz w:val="22"/>
              </w:rPr>
              <w:t>4</w:t>
            </w:r>
          </w:p>
        </w:tc>
        <w:tc>
          <w:tcPr>
            <w:tcW w:w="990" w:type="dxa"/>
            <w:tcBorders>
              <w:top w:val="nil"/>
              <w:left w:val="nil"/>
              <w:bottom w:val="nil"/>
              <w:right w:val="nil"/>
            </w:tcBorders>
          </w:tcPr>
          <w:p>
            <w:pPr>
              <w:pStyle w:val="TableParagraph"/>
              <w:ind w:left="439"/>
              <w:jc w:val="left"/>
              <w:rPr>
                <w:rFonts w:ascii="Calibri"/>
                <w:sz w:val="22"/>
              </w:rPr>
            </w:pPr>
            <w:r>
              <w:rPr>
                <w:rFonts w:ascii="Calibri"/>
                <w:w w:val="100"/>
                <w:sz w:val="22"/>
              </w:rPr>
              <w:t>3</w:t>
            </w:r>
          </w:p>
        </w:tc>
        <w:tc>
          <w:tcPr>
            <w:tcW w:w="1045" w:type="dxa"/>
            <w:tcBorders>
              <w:top w:val="nil"/>
              <w:left w:val="nil"/>
              <w:bottom w:val="nil"/>
              <w:right w:val="nil"/>
            </w:tcBorders>
          </w:tcPr>
          <w:p>
            <w:pPr>
              <w:pStyle w:val="TableParagraph"/>
              <w:ind w:right="490"/>
              <w:jc w:val="right"/>
              <w:rPr>
                <w:rFonts w:ascii="Calibri"/>
                <w:sz w:val="22"/>
              </w:rPr>
            </w:pPr>
            <w:r>
              <w:rPr>
                <w:rFonts w:ascii="Calibri"/>
                <w:w w:val="100"/>
                <w:sz w:val="22"/>
              </w:rPr>
              <w:t>0</w:t>
            </w:r>
          </w:p>
        </w:tc>
        <w:tc>
          <w:tcPr>
            <w:tcW w:w="1129" w:type="dxa"/>
            <w:tcBorders>
              <w:top w:val="nil"/>
              <w:left w:val="nil"/>
              <w:bottom w:val="nil"/>
              <w:right w:val="nil"/>
            </w:tcBorders>
          </w:tcPr>
          <w:p>
            <w:pPr>
              <w:pStyle w:val="TableParagraph"/>
              <w:ind w:left="482"/>
              <w:jc w:val="left"/>
              <w:rPr>
                <w:rFonts w:ascii="Calibri"/>
                <w:sz w:val="22"/>
              </w:rPr>
            </w:pPr>
            <w:r>
              <w:rPr>
                <w:rFonts w:ascii="Calibri"/>
                <w:w w:val="100"/>
                <w:sz w:val="22"/>
              </w:rPr>
              <w:t>4</w:t>
            </w:r>
          </w:p>
        </w:tc>
        <w:tc>
          <w:tcPr>
            <w:tcW w:w="1030" w:type="dxa"/>
            <w:tcBorders>
              <w:top w:val="nil"/>
              <w:left w:val="nil"/>
              <w:bottom w:val="nil"/>
            </w:tcBorders>
          </w:tcPr>
          <w:p>
            <w:pPr>
              <w:pStyle w:val="TableParagraph"/>
              <w:ind w:left="384" w:right="377"/>
              <w:rPr>
                <w:rFonts w:ascii="Calibri"/>
                <w:sz w:val="22"/>
              </w:rPr>
            </w:pPr>
            <w:r>
              <w:rPr>
                <w:rFonts w:ascii="Calibri"/>
                <w:sz w:val="22"/>
              </w:rPr>
              <w:t>27</w:t>
            </w:r>
          </w:p>
        </w:tc>
      </w:tr>
      <w:tr>
        <w:trPr>
          <w:trHeight w:val="509" w:hRule="exact"/>
        </w:trPr>
        <w:tc>
          <w:tcPr>
            <w:tcW w:w="1030" w:type="dxa"/>
            <w:tcBorders>
              <w:top w:val="nil"/>
              <w:bottom w:val="nil"/>
              <w:right w:val="dotted" w:sz="4" w:space="0" w:color="000000"/>
            </w:tcBorders>
          </w:tcPr>
          <w:p>
            <w:pPr>
              <w:pStyle w:val="TableParagraph"/>
              <w:rPr>
                <w:rFonts w:ascii="Calibri"/>
                <w:sz w:val="22"/>
              </w:rPr>
            </w:pPr>
            <w:r>
              <w:rPr>
                <w:rFonts w:ascii="Calibri"/>
                <w:w w:val="100"/>
                <w:sz w:val="22"/>
              </w:rPr>
              <w:t>7</w:t>
            </w:r>
          </w:p>
        </w:tc>
        <w:tc>
          <w:tcPr>
            <w:tcW w:w="922" w:type="dxa"/>
            <w:tcBorders>
              <w:top w:val="nil"/>
              <w:left w:val="dotted" w:sz="4" w:space="0" w:color="000000"/>
              <w:bottom w:val="nil"/>
              <w:right w:val="nil"/>
            </w:tcBorders>
          </w:tcPr>
          <w:p>
            <w:pPr>
              <w:pStyle w:val="TableParagraph"/>
              <w:ind w:right="6"/>
              <w:rPr>
                <w:rFonts w:ascii="Calibri"/>
                <w:sz w:val="22"/>
              </w:rPr>
            </w:pPr>
            <w:r>
              <w:rPr>
                <w:rFonts w:ascii="Calibri"/>
                <w:w w:val="100"/>
                <w:sz w:val="22"/>
              </w:rPr>
              <w:t>3</w:t>
            </w:r>
          </w:p>
        </w:tc>
        <w:tc>
          <w:tcPr>
            <w:tcW w:w="1034" w:type="dxa"/>
            <w:tcBorders>
              <w:top w:val="nil"/>
              <w:left w:val="nil"/>
              <w:bottom w:val="nil"/>
              <w:right w:val="nil"/>
            </w:tcBorders>
          </w:tcPr>
          <w:p>
            <w:pPr>
              <w:pStyle w:val="TableParagraph"/>
              <w:ind w:right="41"/>
              <w:rPr>
                <w:rFonts w:ascii="Calibri"/>
                <w:sz w:val="22"/>
              </w:rPr>
            </w:pPr>
            <w:r>
              <w:rPr>
                <w:rFonts w:ascii="Calibri"/>
                <w:w w:val="100"/>
                <w:sz w:val="22"/>
              </w:rPr>
              <w:t>2</w:t>
            </w:r>
          </w:p>
        </w:tc>
        <w:tc>
          <w:tcPr>
            <w:tcW w:w="1057" w:type="dxa"/>
            <w:tcBorders>
              <w:top w:val="nil"/>
              <w:left w:val="nil"/>
              <w:bottom w:val="nil"/>
              <w:right w:val="nil"/>
            </w:tcBorders>
          </w:tcPr>
          <w:p>
            <w:pPr>
              <w:pStyle w:val="TableParagraph"/>
              <w:ind w:left="385" w:right="391"/>
              <w:rPr>
                <w:rFonts w:ascii="Calibri"/>
                <w:sz w:val="22"/>
              </w:rPr>
            </w:pPr>
            <w:r>
              <w:rPr>
                <w:rFonts w:ascii="Calibri"/>
                <w:sz w:val="22"/>
              </w:rPr>
              <w:t>25</w:t>
            </w:r>
          </w:p>
        </w:tc>
        <w:tc>
          <w:tcPr>
            <w:tcW w:w="1027" w:type="dxa"/>
            <w:tcBorders>
              <w:top w:val="nil"/>
              <w:left w:val="nil"/>
              <w:bottom w:val="nil"/>
              <w:right w:val="nil"/>
            </w:tcBorders>
          </w:tcPr>
          <w:p>
            <w:pPr>
              <w:pStyle w:val="TableParagraph"/>
              <w:ind w:right="381"/>
              <w:jc w:val="right"/>
              <w:rPr>
                <w:rFonts w:ascii="Calibri"/>
                <w:sz w:val="22"/>
              </w:rPr>
            </w:pPr>
            <w:r>
              <w:rPr>
                <w:rFonts w:ascii="Calibri"/>
                <w:sz w:val="22"/>
              </w:rPr>
              <w:t>25</w:t>
            </w:r>
          </w:p>
        </w:tc>
        <w:tc>
          <w:tcPr>
            <w:tcW w:w="990" w:type="dxa"/>
            <w:tcBorders>
              <w:top w:val="nil"/>
              <w:left w:val="nil"/>
              <w:bottom w:val="nil"/>
              <w:right w:val="nil"/>
            </w:tcBorders>
          </w:tcPr>
          <w:p>
            <w:pPr>
              <w:pStyle w:val="TableParagraph"/>
              <w:ind w:left="439"/>
              <w:jc w:val="left"/>
              <w:rPr>
                <w:rFonts w:ascii="Calibri"/>
                <w:sz w:val="22"/>
              </w:rPr>
            </w:pPr>
            <w:r>
              <w:rPr>
                <w:rFonts w:ascii="Calibri"/>
                <w:w w:val="100"/>
                <w:sz w:val="22"/>
              </w:rPr>
              <w:t>5</w:t>
            </w:r>
          </w:p>
        </w:tc>
        <w:tc>
          <w:tcPr>
            <w:tcW w:w="1045" w:type="dxa"/>
            <w:tcBorders>
              <w:top w:val="nil"/>
              <w:left w:val="nil"/>
              <w:bottom w:val="nil"/>
              <w:right w:val="nil"/>
            </w:tcBorders>
          </w:tcPr>
          <w:p>
            <w:pPr>
              <w:pStyle w:val="TableParagraph"/>
              <w:ind w:right="432"/>
              <w:jc w:val="right"/>
              <w:rPr>
                <w:rFonts w:ascii="Calibri"/>
                <w:sz w:val="22"/>
              </w:rPr>
            </w:pPr>
            <w:r>
              <w:rPr>
                <w:rFonts w:ascii="Calibri"/>
                <w:sz w:val="22"/>
              </w:rPr>
              <w:t>10</w:t>
            </w:r>
          </w:p>
        </w:tc>
        <w:tc>
          <w:tcPr>
            <w:tcW w:w="1129" w:type="dxa"/>
            <w:tcBorders>
              <w:top w:val="nil"/>
              <w:left w:val="nil"/>
              <w:bottom w:val="nil"/>
              <w:right w:val="nil"/>
            </w:tcBorders>
          </w:tcPr>
          <w:p>
            <w:pPr>
              <w:pStyle w:val="TableParagraph"/>
              <w:ind w:left="427"/>
              <w:jc w:val="left"/>
              <w:rPr>
                <w:rFonts w:ascii="Calibri"/>
                <w:sz w:val="22"/>
              </w:rPr>
            </w:pPr>
            <w:r>
              <w:rPr>
                <w:rFonts w:ascii="Calibri"/>
                <w:sz w:val="22"/>
              </w:rPr>
              <w:t>10</w:t>
            </w:r>
          </w:p>
        </w:tc>
        <w:tc>
          <w:tcPr>
            <w:tcW w:w="1030" w:type="dxa"/>
            <w:tcBorders>
              <w:top w:val="nil"/>
              <w:left w:val="nil"/>
              <w:bottom w:val="nil"/>
            </w:tcBorders>
          </w:tcPr>
          <w:p>
            <w:pPr>
              <w:pStyle w:val="TableParagraph"/>
              <w:ind w:left="384" w:right="377"/>
              <w:rPr>
                <w:rFonts w:ascii="Calibri"/>
                <w:sz w:val="22"/>
              </w:rPr>
            </w:pPr>
            <w:r>
              <w:rPr>
                <w:rFonts w:ascii="Calibri"/>
                <w:sz w:val="22"/>
              </w:rPr>
              <w:t>77</w:t>
            </w:r>
          </w:p>
        </w:tc>
      </w:tr>
      <w:tr>
        <w:trPr>
          <w:trHeight w:val="509" w:hRule="exact"/>
        </w:trPr>
        <w:tc>
          <w:tcPr>
            <w:tcW w:w="1030" w:type="dxa"/>
            <w:tcBorders>
              <w:top w:val="nil"/>
              <w:bottom w:val="nil"/>
              <w:right w:val="dotted" w:sz="4" w:space="0" w:color="000000"/>
            </w:tcBorders>
          </w:tcPr>
          <w:p>
            <w:pPr>
              <w:pStyle w:val="TableParagraph"/>
              <w:rPr>
                <w:rFonts w:ascii="Calibri"/>
                <w:sz w:val="22"/>
              </w:rPr>
            </w:pPr>
            <w:r>
              <w:rPr>
                <w:rFonts w:ascii="Calibri"/>
                <w:w w:val="100"/>
                <w:sz w:val="22"/>
              </w:rPr>
              <w:t>8</w:t>
            </w:r>
          </w:p>
        </w:tc>
        <w:tc>
          <w:tcPr>
            <w:tcW w:w="922" w:type="dxa"/>
            <w:tcBorders>
              <w:top w:val="nil"/>
              <w:left w:val="dotted" w:sz="4" w:space="0" w:color="000000"/>
              <w:bottom w:val="nil"/>
              <w:right w:val="nil"/>
            </w:tcBorders>
          </w:tcPr>
          <w:p>
            <w:pPr>
              <w:pStyle w:val="TableParagraph"/>
              <w:ind w:right="6"/>
              <w:rPr>
                <w:rFonts w:ascii="Calibri"/>
                <w:sz w:val="22"/>
              </w:rPr>
            </w:pPr>
            <w:r>
              <w:rPr>
                <w:rFonts w:ascii="Calibri"/>
                <w:w w:val="100"/>
                <w:sz w:val="22"/>
              </w:rPr>
              <w:t>0</w:t>
            </w:r>
          </w:p>
        </w:tc>
        <w:tc>
          <w:tcPr>
            <w:tcW w:w="1034" w:type="dxa"/>
            <w:tcBorders>
              <w:top w:val="nil"/>
              <w:left w:val="nil"/>
              <w:bottom w:val="nil"/>
              <w:right w:val="nil"/>
            </w:tcBorders>
          </w:tcPr>
          <w:p>
            <w:pPr>
              <w:pStyle w:val="TableParagraph"/>
              <w:ind w:right="41"/>
              <w:rPr>
                <w:rFonts w:ascii="Calibri"/>
                <w:sz w:val="22"/>
              </w:rPr>
            </w:pPr>
            <w:r>
              <w:rPr>
                <w:rFonts w:ascii="Calibri"/>
                <w:w w:val="100"/>
                <w:sz w:val="22"/>
              </w:rPr>
              <w:t>1</w:t>
            </w:r>
          </w:p>
        </w:tc>
        <w:tc>
          <w:tcPr>
            <w:tcW w:w="1057" w:type="dxa"/>
            <w:tcBorders>
              <w:top w:val="nil"/>
              <w:left w:val="nil"/>
              <w:bottom w:val="nil"/>
              <w:right w:val="nil"/>
            </w:tcBorders>
          </w:tcPr>
          <w:p>
            <w:pPr>
              <w:pStyle w:val="TableParagraph"/>
              <w:ind w:right="5"/>
              <w:rPr>
                <w:rFonts w:ascii="Calibri"/>
                <w:sz w:val="22"/>
              </w:rPr>
            </w:pPr>
            <w:r>
              <w:rPr>
                <w:rFonts w:ascii="Calibri"/>
                <w:w w:val="100"/>
                <w:sz w:val="22"/>
              </w:rPr>
              <w:t>4</w:t>
            </w:r>
          </w:p>
        </w:tc>
        <w:tc>
          <w:tcPr>
            <w:tcW w:w="1027" w:type="dxa"/>
            <w:tcBorders>
              <w:top w:val="nil"/>
              <w:left w:val="nil"/>
              <w:bottom w:val="nil"/>
              <w:right w:val="nil"/>
            </w:tcBorders>
          </w:tcPr>
          <w:p>
            <w:pPr>
              <w:pStyle w:val="TableParagraph"/>
              <w:ind w:right="381"/>
              <w:jc w:val="right"/>
              <w:rPr>
                <w:rFonts w:ascii="Calibri"/>
                <w:sz w:val="22"/>
              </w:rPr>
            </w:pPr>
            <w:r>
              <w:rPr>
                <w:rFonts w:ascii="Calibri"/>
                <w:sz w:val="22"/>
              </w:rPr>
              <w:t>14</w:t>
            </w:r>
          </w:p>
        </w:tc>
        <w:tc>
          <w:tcPr>
            <w:tcW w:w="990" w:type="dxa"/>
            <w:tcBorders>
              <w:top w:val="nil"/>
              <w:left w:val="nil"/>
              <w:bottom w:val="nil"/>
              <w:right w:val="nil"/>
            </w:tcBorders>
          </w:tcPr>
          <w:p>
            <w:pPr>
              <w:pStyle w:val="TableParagraph"/>
              <w:ind w:left="439"/>
              <w:jc w:val="left"/>
              <w:rPr>
                <w:rFonts w:ascii="Calibri"/>
                <w:sz w:val="22"/>
              </w:rPr>
            </w:pPr>
            <w:r>
              <w:rPr>
                <w:rFonts w:ascii="Calibri"/>
                <w:w w:val="100"/>
                <w:sz w:val="22"/>
              </w:rPr>
              <w:t>1</w:t>
            </w:r>
          </w:p>
        </w:tc>
        <w:tc>
          <w:tcPr>
            <w:tcW w:w="1045" w:type="dxa"/>
            <w:tcBorders>
              <w:top w:val="nil"/>
              <w:left w:val="nil"/>
              <w:bottom w:val="nil"/>
              <w:right w:val="nil"/>
            </w:tcBorders>
          </w:tcPr>
          <w:p>
            <w:pPr>
              <w:pStyle w:val="TableParagraph"/>
              <w:ind w:right="490"/>
              <w:jc w:val="right"/>
              <w:rPr>
                <w:rFonts w:ascii="Calibri"/>
                <w:sz w:val="22"/>
              </w:rPr>
            </w:pPr>
            <w:r>
              <w:rPr>
                <w:rFonts w:ascii="Calibri"/>
                <w:w w:val="100"/>
                <w:sz w:val="22"/>
              </w:rPr>
              <w:t>1</w:t>
            </w:r>
          </w:p>
        </w:tc>
        <w:tc>
          <w:tcPr>
            <w:tcW w:w="1129" w:type="dxa"/>
            <w:tcBorders>
              <w:top w:val="nil"/>
              <w:left w:val="nil"/>
              <w:bottom w:val="nil"/>
              <w:right w:val="nil"/>
            </w:tcBorders>
          </w:tcPr>
          <w:p>
            <w:pPr>
              <w:pStyle w:val="TableParagraph"/>
              <w:ind w:left="427"/>
              <w:jc w:val="left"/>
              <w:rPr>
                <w:rFonts w:ascii="Calibri"/>
                <w:sz w:val="22"/>
              </w:rPr>
            </w:pPr>
            <w:r>
              <w:rPr>
                <w:rFonts w:ascii="Calibri"/>
                <w:sz w:val="22"/>
              </w:rPr>
              <w:t>10</w:t>
            </w:r>
          </w:p>
        </w:tc>
        <w:tc>
          <w:tcPr>
            <w:tcW w:w="1030" w:type="dxa"/>
            <w:tcBorders>
              <w:top w:val="nil"/>
              <w:left w:val="nil"/>
              <w:bottom w:val="nil"/>
            </w:tcBorders>
          </w:tcPr>
          <w:p>
            <w:pPr>
              <w:pStyle w:val="TableParagraph"/>
              <w:ind w:left="384" w:right="377"/>
              <w:rPr>
                <w:rFonts w:ascii="Calibri"/>
                <w:sz w:val="22"/>
              </w:rPr>
            </w:pPr>
            <w:r>
              <w:rPr>
                <w:rFonts w:ascii="Calibri"/>
                <w:sz w:val="22"/>
              </w:rPr>
              <w:t>31</w:t>
            </w:r>
          </w:p>
        </w:tc>
      </w:tr>
      <w:tr>
        <w:trPr>
          <w:trHeight w:val="509" w:hRule="exact"/>
        </w:trPr>
        <w:tc>
          <w:tcPr>
            <w:tcW w:w="1030" w:type="dxa"/>
            <w:tcBorders>
              <w:top w:val="nil"/>
              <w:bottom w:val="nil"/>
              <w:right w:val="dotted" w:sz="4" w:space="0" w:color="000000"/>
            </w:tcBorders>
          </w:tcPr>
          <w:p>
            <w:pPr>
              <w:pStyle w:val="TableParagraph"/>
              <w:rPr>
                <w:rFonts w:ascii="Calibri"/>
                <w:sz w:val="22"/>
              </w:rPr>
            </w:pPr>
            <w:r>
              <w:rPr>
                <w:rFonts w:ascii="Calibri"/>
                <w:w w:val="100"/>
                <w:sz w:val="22"/>
              </w:rPr>
              <w:t>9</w:t>
            </w:r>
          </w:p>
        </w:tc>
        <w:tc>
          <w:tcPr>
            <w:tcW w:w="922" w:type="dxa"/>
            <w:tcBorders>
              <w:top w:val="nil"/>
              <w:left w:val="dotted" w:sz="4" w:space="0" w:color="000000"/>
              <w:bottom w:val="nil"/>
              <w:right w:val="nil"/>
            </w:tcBorders>
          </w:tcPr>
          <w:p>
            <w:pPr>
              <w:pStyle w:val="TableParagraph"/>
              <w:ind w:right="6"/>
              <w:rPr>
                <w:rFonts w:ascii="Calibri"/>
                <w:sz w:val="22"/>
              </w:rPr>
            </w:pPr>
            <w:r>
              <w:rPr>
                <w:rFonts w:ascii="Calibri"/>
                <w:w w:val="100"/>
                <w:sz w:val="22"/>
              </w:rPr>
              <w:t>0</w:t>
            </w:r>
          </w:p>
        </w:tc>
        <w:tc>
          <w:tcPr>
            <w:tcW w:w="1034" w:type="dxa"/>
            <w:tcBorders>
              <w:top w:val="nil"/>
              <w:left w:val="nil"/>
              <w:bottom w:val="nil"/>
              <w:right w:val="nil"/>
            </w:tcBorders>
          </w:tcPr>
          <w:p>
            <w:pPr>
              <w:pStyle w:val="TableParagraph"/>
              <w:ind w:right="41"/>
              <w:rPr>
                <w:rFonts w:ascii="Calibri"/>
                <w:sz w:val="22"/>
              </w:rPr>
            </w:pPr>
            <w:r>
              <w:rPr>
                <w:rFonts w:ascii="Calibri"/>
                <w:w w:val="100"/>
                <w:sz w:val="22"/>
              </w:rPr>
              <w:t>3</w:t>
            </w:r>
          </w:p>
        </w:tc>
        <w:tc>
          <w:tcPr>
            <w:tcW w:w="1057" w:type="dxa"/>
            <w:tcBorders>
              <w:top w:val="nil"/>
              <w:left w:val="nil"/>
              <w:bottom w:val="nil"/>
              <w:right w:val="nil"/>
            </w:tcBorders>
          </w:tcPr>
          <w:p>
            <w:pPr>
              <w:pStyle w:val="TableParagraph"/>
              <w:ind w:left="385" w:right="391"/>
              <w:rPr>
                <w:rFonts w:ascii="Calibri"/>
                <w:sz w:val="22"/>
              </w:rPr>
            </w:pPr>
            <w:r>
              <w:rPr>
                <w:rFonts w:ascii="Calibri"/>
                <w:sz w:val="22"/>
              </w:rPr>
              <w:t>10</w:t>
            </w:r>
          </w:p>
        </w:tc>
        <w:tc>
          <w:tcPr>
            <w:tcW w:w="1027" w:type="dxa"/>
            <w:tcBorders>
              <w:top w:val="nil"/>
              <w:left w:val="nil"/>
              <w:bottom w:val="nil"/>
              <w:right w:val="nil"/>
            </w:tcBorders>
          </w:tcPr>
          <w:p>
            <w:pPr>
              <w:pStyle w:val="TableParagraph"/>
              <w:ind w:right="381"/>
              <w:jc w:val="right"/>
              <w:rPr>
                <w:rFonts w:ascii="Calibri"/>
                <w:sz w:val="22"/>
              </w:rPr>
            </w:pPr>
            <w:r>
              <w:rPr>
                <w:rFonts w:ascii="Calibri"/>
                <w:sz w:val="22"/>
              </w:rPr>
              <w:t>10</w:t>
            </w:r>
          </w:p>
        </w:tc>
        <w:tc>
          <w:tcPr>
            <w:tcW w:w="990" w:type="dxa"/>
            <w:tcBorders>
              <w:top w:val="nil"/>
              <w:left w:val="nil"/>
              <w:bottom w:val="nil"/>
              <w:right w:val="nil"/>
            </w:tcBorders>
          </w:tcPr>
          <w:p>
            <w:pPr>
              <w:pStyle w:val="TableParagraph"/>
              <w:ind w:left="439"/>
              <w:jc w:val="left"/>
              <w:rPr>
                <w:rFonts w:ascii="Calibri"/>
                <w:sz w:val="22"/>
              </w:rPr>
            </w:pPr>
            <w:r>
              <w:rPr>
                <w:rFonts w:ascii="Calibri"/>
                <w:w w:val="100"/>
                <w:sz w:val="22"/>
              </w:rPr>
              <w:t>3</w:t>
            </w:r>
          </w:p>
        </w:tc>
        <w:tc>
          <w:tcPr>
            <w:tcW w:w="1045" w:type="dxa"/>
            <w:tcBorders>
              <w:top w:val="nil"/>
              <w:left w:val="nil"/>
              <w:bottom w:val="nil"/>
              <w:right w:val="nil"/>
            </w:tcBorders>
          </w:tcPr>
          <w:p>
            <w:pPr>
              <w:pStyle w:val="TableParagraph"/>
              <w:ind w:right="490"/>
              <w:jc w:val="right"/>
              <w:rPr>
                <w:rFonts w:ascii="Calibri"/>
                <w:sz w:val="22"/>
              </w:rPr>
            </w:pPr>
            <w:r>
              <w:rPr>
                <w:rFonts w:ascii="Calibri"/>
                <w:w w:val="100"/>
                <w:sz w:val="22"/>
              </w:rPr>
              <w:t>2</w:t>
            </w:r>
          </w:p>
        </w:tc>
        <w:tc>
          <w:tcPr>
            <w:tcW w:w="1129" w:type="dxa"/>
            <w:tcBorders>
              <w:top w:val="nil"/>
              <w:left w:val="nil"/>
              <w:bottom w:val="nil"/>
              <w:right w:val="nil"/>
            </w:tcBorders>
          </w:tcPr>
          <w:p>
            <w:pPr>
              <w:pStyle w:val="TableParagraph"/>
              <w:ind w:left="482"/>
              <w:jc w:val="left"/>
              <w:rPr>
                <w:rFonts w:ascii="Calibri"/>
                <w:sz w:val="22"/>
              </w:rPr>
            </w:pPr>
            <w:r>
              <w:rPr>
                <w:rFonts w:ascii="Calibri"/>
                <w:w w:val="100"/>
                <w:sz w:val="22"/>
              </w:rPr>
              <w:t>8</w:t>
            </w:r>
          </w:p>
        </w:tc>
        <w:tc>
          <w:tcPr>
            <w:tcW w:w="1030" w:type="dxa"/>
            <w:tcBorders>
              <w:top w:val="nil"/>
              <w:left w:val="nil"/>
              <w:bottom w:val="nil"/>
            </w:tcBorders>
          </w:tcPr>
          <w:p>
            <w:pPr>
              <w:pStyle w:val="TableParagraph"/>
              <w:ind w:left="384" w:right="377"/>
              <w:rPr>
                <w:rFonts w:ascii="Calibri"/>
                <w:sz w:val="22"/>
              </w:rPr>
            </w:pPr>
            <w:r>
              <w:rPr>
                <w:rFonts w:ascii="Calibri"/>
                <w:sz w:val="22"/>
              </w:rPr>
              <w:t>36</w:t>
            </w:r>
          </w:p>
        </w:tc>
      </w:tr>
      <w:tr>
        <w:trPr>
          <w:trHeight w:val="509" w:hRule="exact"/>
        </w:trPr>
        <w:tc>
          <w:tcPr>
            <w:tcW w:w="1030" w:type="dxa"/>
            <w:tcBorders>
              <w:top w:val="nil"/>
              <w:bottom w:val="nil"/>
              <w:right w:val="dotted" w:sz="4" w:space="0" w:color="000000"/>
            </w:tcBorders>
          </w:tcPr>
          <w:p>
            <w:pPr>
              <w:pStyle w:val="TableParagraph"/>
              <w:ind w:left="379" w:right="377"/>
              <w:rPr>
                <w:rFonts w:ascii="Calibri"/>
                <w:sz w:val="22"/>
              </w:rPr>
            </w:pPr>
            <w:r>
              <w:rPr>
                <w:rFonts w:ascii="Calibri"/>
                <w:sz w:val="22"/>
              </w:rPr>
              <w:t>10</w:t>
            </w:r>
          </w:p>
        </w:tc>
        <w:tc>
          <w:tcPr>
            <w:tcW w:w="922" w:type="dxa"/>
            <w:tcBorders>
              <w:top w:val="nil"/>
              <w:left w:val="dotted" w:sz="4" w:space="0" w:color="000000"/>
              <w:bottom w:val="nil"/>
              <w:right w:val="nil"/>
            </w:tcBorders>
          </w:tcPr>
          <w:p>
            <w:pPr>
              <w:pStyle w:val="TableParagraph"/>
              <w:ind w:right="6"/>
              <w:rPr>
                <w:rFonts w:ascii="Calibri"/>
                <w:sz w:val="22"/>
              </w:rPr>
            </w:pPr>
            <w:r>
              <w:rPr>
                <w:rFonts w:ascii="Calibri"/>
                <w:w w:val="100"/>
                <w:sz w:val="22"/>
              </w:rPr>
              <w:t>0</w:t>
            </w:r>
          </w:p>
        </w:tc>
        <w:tc>
          <w:tcPr>
            <w:tcW w:w="1034" w:type="dxa"/>
            <w:tcBorders>
              <w:top w:val="nil"/>
              <w:left w:val="nil"/>
              <w:bottom w:val="nil"/>
              <w:right w:val="nil"/>
            </w:tcBorders>
          </w:tcPr>
          <w:p>
            <w:pPr>
              <w:pStyle w:val="TableParagraph"/>
              <w:ind w:right="41"/>
              <w:rPr>
                <w:rFonts w:ascii="Calibri"/>
                <w:sz w:val="22"/>
              </w:rPr>
            </w:pPr>
            <w:r>
              <w:rPr>
                <w:rFonts w:ascii="Calibri"/>
                <w:w w:val="100"/>
                <w:sz w:val="22"/>
              </w:rPr>
              <w:t>1</w:t>
            </w:r>
          </w:p>
        </w:tc>
        <w:tc>
          <w:tcPr>
            <w:tcW w:w="1057" w:type="dxa"/>
            <w:tcBorders>
              <w:top w:val="nil"/>
              <w:left w:val="nil"/>
              <w:bottom w:val="nil"/>
              <w:right w:val="nil"/>
            </w:tcBorders>
          </w:tcPr>
          <w:p>
            <w:pPr>
              <w:pStyle w:val="TableParagraph"/>
              <w:ind w:left="385" w:right="391"/>
              <w:rPr>
                <w:rFonts w:ascii="Calibri"/>
                <w:sz w:val="22"/>
              </w:rPr>
            </w:pPr>
            <w:r>
              <w:rPr>
                <w:rFonts w:ascii="Calibri"/>
                <w:sz w:val="22"/>
              </w:rPr>
              <w:t>23</w:t>
            </w:r>
          </w:p>
        </w:tc>
        <w:tc>
          <w:tcPr>
            <w:tcW w:w="1027" w:type="dxa"/>
            <w:tcBorders>
              <w:top w:val="nil"/>
              <w:left w:val="nil"/>
              <w:bottom w:val="nil"/>
              <w:right w:val="nil"/>
            </w:tcBorders>
          </w:tcPr>
          <w:p>
            <w:pPr>
              <w:pStyle w:val="TableParagraph"/>
              <w:ind w:right="437"/>
              <w:jc w:val="right"/>
              <w:rPr>
                <w:rFonts w:ascii="Calibri"/>
                <w:sz w:val="22"/>
              </w:rPr>
            </w:pPr>
            <w:r>
              <w:rPr>
                <w:rFonts w:ascii="Calibri"/>
                <w:w w:val="100"/>
                <w:sz w:val="22"/>
              </w:rPr>
              <w:t>6</w:t>
            </w:r>
          </w:p>
        </w:tc>
        <w:tc>
          <w:tcPr>
            <w:tcW w:w="990" w:type="dxa"/>
            <w:tcBorders>
              <w:top w:val="nil"/>
              <w:left w:val="nil"/>
              <w:bottom w:val="nil"/>
              <w:right w:val="nil"/>
            </w:tcBorders>
          </w:tcPr>
          <w:p>
            <w:pPr>
              <w:pStyle w:val="TableParagraph"/>
              <w:ind w:left="384"/>
              <w:jc w:val="left"/>
              <w:rPr>
                <w:rFonts w:ascii="Calibri"/>
                <w:sz w:val="22"/>
              </w:rPr>
            </w:pPr>
            <w:r>
              <w:rPr>
                <w:rFonts w:ascii="Calibri"/>
                <w:sz w:val="22"/>
              </w:rPr>
              <w:t>15</w:t>
            </w:r>
          </w:p>
        </w:tc>
        <w:tc>
          <w:tcPr>
            <w:tcW w:w="1045" w:type="dxa"/>
            <w:tcBorders>
              <w:top w:val="nil"/>
              <w:left w:val="nil"/>
              <w:bottom w:val="nil"/>
              <w:right w:val="nil"/>
            </w:tcBorders>
          </w:tcPr>
          <w:p>
            <w:pPr>
              <w:pStyle w:val="TableParagraph"/>
              <w:ind w:right="490"/>
              <w:jc w:val="right"/>
              <w:rPr>
                <w:rFonts w:ascii="Calibri"/>
                <w:sz w:val="22"/>
              </w:rPr>
            </w:pPr>
            <w:r>
              <w:rPr>
                <w:rFonts w:ascii="Calibri"/>
                <w:w w:val="100"/>
                <w:sz w:val="22"/>
              </w:rPr>
              <w:t>1</w:t>
            </w:r>
          </w:p>
        </w:tc>
        <w:tc>
          <w:tcPr>
            <w:tcW w:w="1129" w:type="dxa"/>
            <w:tcBorders>
              <w:top w:val="nil"/>
              <w:left w:val="nil"/>
              <w:bottom w:val="nil"/>
              <w:right w:val="nil"/>
            </w:tcBorders>
          </w:tcPr>
          <w:p>
            <w:pPr>
              <w:pStyle w:val="TableParagraph"/>
              <w:ind w:left="482"/>
              <w:jc w:val="left"/>
              <w:rPr>
                <w:rFonts w:ascii="Calibri"/>
                <w:sz w:val="22"/>
              </w:rPr>
            </w:pPr>
            <w:r>
              <w:rPr>
                <w:rFonts w:ascii="Calibri"/>
                <w:w w:val="100"/>
                <w:sz w:val="22"/>
              </w:rPr>
              <w:t>5</w:t>
            </w:r>
          </w:p>
        </w:tc>
        <w:tc>
          <w:tcPr>
            <w:tcW w:w="1030" w:type="dxa"/>
            <w:tcBorders>
              <w:top w:val="nil"/>
              <w:left w:val="nil"/>
              <w:bottom w:val="nil"/>
            </w:tcBorders>
          </w:tcPr>
          <w:p>
            <w:pPr>
              <w:pStyle w:val="TableParagraph"/>
              <w:ind w:left="384" w:right="377"/>
              <w:rPr>
                <w:rFonts w:ascii="Calibri"/>
                <w:sz w:val="22"/>
              </w:rPr>
            </w:pPr>
            <w:r>
              <w:rPr>
                <w:rFonts w:ascii="Calibri"/>
                <w:sz w:val="22"/>
              </w:rPr>
              <w:t>51</w:t>
            </w:r>
          </w:p>
        </w:tc>
      </w:tr>
      <w:tr>
        <w:trPr>
          <w:trHeight w:val="509" w:hRule="exact"/>
        </w:trPr>
        <w:tc>
          <w:tcPr>
            <w:tcW w:w="1030" w:type="dxa"/>
            <w:tcBorders>
              <w:top w:val="nil"/>
              <w:bottom w:val="nil"/>
              <w:right w:val="dotted" w:sz="4" w:space="0" w:color="000000"/>
            </w:tcBorders>
          </w:tcPr>
          <w:p>
            <w:pPr>
              <w:pStyle w:val="TableParagraph"/>
              <w:ind w:left="379" w:right="377"/>
              <w:rPr>
                <w:rFonts w:ascii="Calibri"/>
                <w:sz w:val="22"/>
              </w:rPr>
            </w:pPr>
            <w:r>
              <w:rPr>
                <w:rFonts w:ascii="Calibri"/>
                <w:sz w:val="22"/>
              </w:rPr>
              <w:t>11</w:t>
            </w:r>
          </w:p>
        </w:tc>
        <w:tc>
          <w:tcPr>
            <w:tcW w:w="922" w:type="dxa"/>
            <w:tcBorders>
              <w:top w:val="nil"/>
              <w:left w:val="dotted" w:sz="4" w:space="0" w:color="000000"/>
              <w:bottom w:val="nil"/>
              <w:right w:val="nil"/>
            </w:tcBorders>
          </w:tcPr>
          <w:p>
            <w:pPr>
              <w:pStyle w:val="TableParagraph"/>
              <w:ind w:right="6"/>
              <w:rPr>
                <w:rFonts w:ascii="Calibri"/>
                <w:sz w:val="22"/>
              </w:rPr>
            </w:pPr>
            <w:r>
              <w:rPr>
                <w:rFonts w:ascii="Calibri"/>
                <w:w w:val="100"/>
                <w:sz w:val="22"/>
              </w:rPr>
              <w:t>1</w:t>
            </w:r>
          </w:p>
        </w:tc>
        <w:tc>
          <w:tcPr>
            <w:tcW w:w="1034" w:type="dxa"/>
            <w:tcBorders>
              <w:top w:val="nil"/>
              <w:left w:val="nil"/>
              <w:bottom w:val="nil"/>
              <w:right w:val="nil"/>
            </w:tcBorders>
          </w:tcPr>
          <w:p>
            <w:pPr>
              <w:pStyle w:val="TableParagraph"/>
              <w:ind w:right="41"/>
              <w:rPr>
                <w:rFonts w:ascii="Calibri"/>
                <w:sz w:val="22"/>
              </w:rPr>
            </w:pPr>
            <w:r>
              <w:rPr>
                <w:rFonts w:ascii="Calibri"/>
                <w:w w:val="100"/>
                <w:sz w:val="22"/>
              </w:rPr>
              <w:t>2</w:t>
            </w:r>
          </w:p>
        </w:tc>
        <w:tc>
          <w:tcPr>
            <w:tcW w:w="1057" w:type="dxa"/>
            <w:tcBorders>
              <w:top w:val="nil"/>
              <w:left w:val="nil"/>
              <w:bottom w:val="nil"/>
              <w:right w:val="nil"/>
            </w:tcBorders>
          </w:tcPr>
          <w:p>
            <w:pPr>
              <w:pStyle w:val="TableParagraph"/>
              <w:ind w:left="385" w:right="391"/>
              <w:rPr>
                <w:rFonts w:ascii="Calibri"/>
                <w:sz w:val="22"/>
              </w:rPr>
            </w:pPr>
            <w:r>
              <w:rPr>
                <w:rFonts w:ascii="Calibri"/>
                <w:sz w:val="22"/>
              </w:rPr>
              <w:t>24</w:t>
            </w:r>
          </w:p>
        </w:tc>
        <w:tc>
          <w:tcPr>
            <w:tcW w:w="1027" w:type="dxa"/>
            <w:tcBorders>
              <w:top w:val="nil"/>
              <w:left w:val="nil"/>
              <w:bottom w:val="nil"/>
              <w:right w:val="nil"/>
            </w:tcBorders>
          </w:tcPr>
          <w:p>
            <w:pPr>
              <w:pStyle w:val="TableParagraph"/>
              <w:ind w:right="437"/>
              <w:jc w:val="right"/>
              <w:rPr>
                <w:rFonts w:ascii="Calibri"/>
                <w:sz w:val="22"/>
              </w:rPr>
            </w:pPr>
            <w:r>
              <w:rPr>
                <w:rFonts w:ascii="Calibri"/>
                <w:w w:val="100"/>
                <w:sz w:val="22"/>
              </w:rPr>
              <w:t>5</w:t>
            </w:r>
          </w:p>
        </w:tc>
        <w:tc>
          <w:tcPr>
            <w:tcW w:w="990" w:type="dxa"/>
            <w:tcBorders>
              <w:top w:val="nil"/>
              <w:left w:val="nil"/>
              <w:bottom w:val="nil"/>
              <w:right w:val="nil"/>
            </w:tcBorders>
          </w:tcPr>
          <w:p>
            <w:pPr>
              <w:pStyle w:val="TableParagraph"/>
              <w:ind w:left="439"/>
              <w:jc w:val="left"/>
              <w:rPr>
                <w:rFonts w:ascii="Calibri"/>
                <w:sz w:val="22"/>
              </w:rPr>
            </w:pPr>
            <w:r>
              <w:rPr>
                <w:rFonts w:ascii="Calibri"/>
                <w:w w:val="100"/>
                <w:sz w:val="22"/>
              </w:rPr>
              <w:t>6</w:t>
            </w:r>
          </w:p>
        </w:tc>
        <w:tc>
          <w:tcPr>
            <w:tcW w:w="1045" w:type="dxa"/>
            <w:tcBorders>
              <w:top w:val="nil"/>
              <w:left w:val="nil"/>
              <w:bottom w:val="nil"/>
              <w:right w:val="nil"/>
            </w:tcBorders>
          </w:tcPr>
          <w:p>
            <w:pPr>
              <w:pStyle w:val="TableParagraph"/>
              <w:ind w:right="490"/>
              <w:jc w:val="right"/>
              <w:rPr>
                <w:rFonts w:ascii="Calibri"/>
                <w:sz w:val="22"/>
              </w:rPr>
            </w:pPr>
            <w:r>
              <w:rPr>
                <w:rFonts w:ascii="Calibri"/>
                <w:w w:val="100"/>
                <w:sz w:val="22"/>
              </w:rPr>
              <w:t>3</w:t>
            </w:r>
          </w:p>
        </w:tc>
        <w:tc>
          <w:tcPr>
            <w:tcW w:w="1129" w:type="dxa"/>
            <w:tcBorders>
              <w:top w:val="nil"/>
              <w:left w:val="nil"/>
              <w:bottom w:val="nil"/>
              <w:right w:val="nil"/>
            </w:tcBorders>
          </w:tcPr>
          <w:p>
            <w:pPr>
              <w:pStyle w:val="TableParagraph"/>
              <w:ind w:left="482"/>
              <w:jc w:val="left"/>
              <w:rPr>
                <w:rFonts w:ascii="Calibri"/>
                <w:sz w:val="22"/>
              </w:rPr>
            </w:pPr>
            <w:r>
              <w:rPr>
                <w:rFonts w:ascii="Calibri"/>
                <w:w w:val="100"/>
                <w:sz w:val="22"/>
              </w:rPr>
              <w:t>3</w:t>
            </w:r>
          </w:p>
        </w:tc>
        <w:tc>
          <w:tcPr>
            <w:tcW w:w="1030" w:type="dxa"/>
            <w:tcBorders>
              <w:top w:val="nil"/>
              <w:left w:val="nil"/>
              <w:bottom w:val="nil"/>
            </w:tcBorders>
          </w:tcPr>
          <w:p>
            <w:pPr>
              <w:pStyle w:val="TableParagraph"/>
              <w:ind w:left="384" w:right="377"/>
              <w:rPr>
                <w:rFonts w:ascii="Calibri"/>
                <w:sz w:val="22"/>
              </w:rPr>
            </w:pPr>
            <w:r>
              <w:rPr>
                <w:rFonts w:ascii="Calibri"/>
                <w:sz w:val="22"/>
              </w:rPr>
              <w:t>43</w:t>
            </w:r>
          </w:p>
        </w:tc>
      </w:tr>
      <w:tr>
        <w:trPr>
          <w:trHeight w:val="509" w:hRule="exact"/>
        </w:trPr>
        <w:tc>
          <w:tcPr>
            <w:tcW w:w="1030" w:type="dxa"/>
            <w:tcBorders>
              <w:top w:val="nil"/>
              <w:bottom w:val="nil"/>
              <w:right w:val="dotted" w:sz="4" w:space="0" w:color="000000"/>
            </w:tcBorders>
          </w:tcPr>
          <w:p>
            <w:pPr>
              <w:pStyle w:val="TableParagraph"/>
              <w:ind w:left="379" w:right="377"/>
              <w:rPr>
                <w:rFonts w:ascii="Calibri"/>
                <w:sz w:val="22"/>
              </w:rPr>
            </w:pPr>
            <w:r>
              <w:rPr>
                <w:rFonts w:ascii="Calibri"/>
                <w:sz w:val="22"/>
              </w:rPr>
              <w:t>12</w:t>
            </w:r>
          </w:p>
        </w:tc>
        <w:tc>
          <w:tcPr>
            <w:tcW w:w="922" w:type="dxa"/>
            <w:tcBorders>
              <w:top w:val="nil"/>
              <w:left w:val="dotted" w:sz="4" w:space="0" w:color="000000"/>
              <w:bottom w:val="nil"/>
              <w:right w:val="nil"/>
            </w:tcBorders>
          </w:tcPr>
          <w:p>
            <w:pPr>
              <w:pStyle w:val="TableParagraph"/>
              <w:ind w:right="6"/>
              <w:rPr>
                <w:rFonts w:ascii="Calibri"/>
                <w:sz w:val="22"/>
              </w:rPr>
            </w:pPr>
            <w:r>
              <w:rPr>
                <w:rFonts w:ascii="Calibri"/>
                <w:w w:val="100"/>
                <w:sz w:val="22"/>
              </w:rPr>
              <w:t>0</w:t>
            </w:r>
          </w:p>
        </w:tc>
        <w:tc>
          <w:tcPr>
            <w:tcW w:w="1034" w:type="dxa"/>
            <w:tcBorders>
              <w:top w:val="nil"/>
              <w:left w:val="nil"/>
              <w:bottom w:val="nil"/>
              <w:right w:val="nil"/>
            </w:tcBorders>
          </w:tcPr>
          <w:p>
            <w:pPr>
              <w:pStyle w:val="TableParagraph"/>
              <w:ind w:right="41"/>
              <w:rPr>
                <w:rFonts w:ascii="Calibri"/>
                <w:sz w:val="22"/>
              </w:rPr>
            </w:pPr>
            <w:r>
              <w:rPr>
                <w:rFonts w:ascii="Calibri"/>
                <w:w w:val="100"/>
                <w:sz w:val="22"/>
              </w:rPr>
              <w:t>1</w:t>
            </w:r>
          </w:p>
        </w:tc>
        <w:tc>
          <w:tcPr>
            <w:tcW w:w="1057" w:type="dxa"/>
            <w:tcBorders>
              <w:top w:val="nil"/>
              <w:left w:val="nil"/>
              <w:bottom w:val="nil"/>
              <w:right w:val="nil"/>
            </w:tcBorders>
          </w:tcPr>
          <w:p>
            <w:pPr>
              <w:pStyle w:val="TableParagraph"/>
              <w:ind w:right="5"/>
              <w:rPr>
                <w:rFonts w:ascii="Calibri"/>
                <w:sz w:val="22"/>
              </w:rPr>
            </w:pPr>
            <w:r>
              <w:rPr>
                <w:rFonts w:ascii="Calibri"/>
                <w:w w:val="100"/>
                <w:sz w:val="22"/>
              </w:rPr>
              <w:t>2</w:t>
            </w:r>
          </w:p>
        </w:tc>
        <w:tc>
          <w:tcPr>
            <w:tcW w:w="1027" w:type="dxa"/>
            <w:tcBorders>
              <w:top w:val="nil"/>
              <w:left w:val="nil"/>
              <w:bottom w:val="nil"/>
              <w:right w:val="nil"/>
            </w:tcBorders>
          </w:tcPr>
          <w:p>
            <w:pPr>
              <w:pStyle w:val="TableParagraph"/>
              <w:ind w:right="437"/>
              <w:jc w:val="right"/>
              <w:rPr>
                <w:rFonts w:ascii="Calibri"/>
                <w:sz w:val="22"/>
              </w:rPr>
            </w:pPr>
            <w:r>
              <w:rPr>
                <w:rFonts w:ascii="Calibri"/>
                <w:w w:val="100"/>
                <w:sz w:val="22"/>
              </w:rPr>
              <w:t>1</w:t>
            </w:r>
          </w:p>
        </w:tc>
        <w:tc>
          <w:tcPr>
            <w:tcW w:w="990" w:type="dxa"/>
            <w:tcBorders>
              <w:top w:val="nil"/>
              <w:left w:val="nil"/>
              <w:bottom w:val="nil"/>
              <w:right w:val="nil"/>
            </w:tcBorders>
          </w:tcPr>
          <w:p>
            <w:pPr>
              <w:pStyle w:val="TableParagraph"/>
              <w:ind w:left="439"/>
              <w:jc w:val="left"/>
              <w:rPr>
                <w:rFonts w:ascii="Calibri"/>
                <w:sz w:val="22"/>
              </w:rPr>
            </w:pPr>
            <w:r>
              <w:rPr>
                <w:rFonts w:ascii="Calibri"/>
                <w:w w:val="100"/>
                <w:sz w:val="22"/>
              </w:rPr>
              <w:t>1</w:t>
            </w:r>
          </w:p>
        </w:tc>
        <w:tc>
          <w:tcPr>
            <w:tcW w:w="1045" w:type="dxa"/>
            <w:tcBorders>
              <w:top w:val="nil"/>
              <w:left w:val="nil"/>
              <w:bottom w:val="nil"/>
              <w:right w:val="nil"/>
            </w:tcBorders>
          </w:tcPr>
          <w:p>
            <w:pPr>
              <w:pStyle w:val="TableParagraph"/>
              <w:ind w:right="490"/>
              <w:jc w:val="right"/>
              <w:rPr>
                <w:rFonts w:ascii="Calibri"/>
                <w:sz w:val="22"/>
              </w:rPr>
            </w:pPr>
            <w:r>
              <w:rPr>
                <w:rFonts w:ascii="Calibri"/>
                <w:w w:val="100"/>
                <w:sz w:val="22"/>
              </w:rPr>
              <w:t>3</w:t>
            </w:r>
          </w:p>
        </w:tc>
        <w:tc>
          <w:tcPr>
            <w:tcW w:w="1129" w:type="dxa"/>
            <w:tcBorders>
              <w:top w:val="nil"/>
              <w:left w:val="nil"/>
              <w:bottom w:val="nil"/>
              <w:right w:val="nil"/>
            </w:tcBorders>
          </w:tcPr>
          <w:p>
            <w:pPr>
              <w:pStyle w:val="TableParagraph"/>
              <w:ind w:left="427"/>
              <w:jc w:val="left"/>
              <w:rPr>
                <w:rFonts w:ascii="Calibri"/>
                <w:sz w:val="22"/>
              </w:rPr>
            </w:pPr>
            <w:r>
              <w:rPr>
                <w:rFonts w:ascii="Calibri"/>
                <w:sz w:val="22"/>
              </w:rPr>
              <w:t>13</w:t>
            </w:r>
          </w:p>
        </w:tc>
        <w:tc>
          <w:tcPr>
            <w:tcW w:w="1030" w:type="dxa"/>
            <w:tcBorders>
              <w:top w:val="nil"/>
              <w:left w:val="nil"/>
              <w:bottom w:val="nil"/>
            </w:tcBorders>
          </w:tcPr>
          <w:p>
            <w:pPr>
              <w:pStyle w:val="TableParagraph"/>
              <w:ind w:left="384" w:right="377"/>
              <w:rPr>
                <w:rFonts w:ascii="Calibri"/>
                <w:sz w:val="22"/>
              </w:rPr>
            </w:pPr>
            <w:r>
              <w:rPr>
                <w:rFonts w:ascii="Calibri"/>
                <w:sz w:val="22"/>
              </w:rPr>
              <w:t>21</w:t>
            </w:r>
          </w:p>
        </w:tc>
      </w:tr>
      <w:tr>
        <w:trPr>
          <w:trHeight w:val="509" w:hRule="exact"/>
        </w:trPr>
        <w:tc>
          <w:tcPr>
            <w:tcW w:w="1030" w:type="dxa"/>
            <w:tcBorders>
              <w:top w:val="nil"/>
              <w:bottom w:val="nil"/>
              <w:right w:val="dotted" w:sz="4" w:space="0" w:color="000000"/>
            </w:tcBorders>
          </w:tcPr>
          <w:p>
            <w:pPr>
              <w:pStyle w:val="TableParagraph"/>
              <w:ind w:left="379" w:right="377"/>
              <w:rPr>
                <w:rFonts w:ascii="Calibri"/>
                <w:sz w:val="22"/>
              </w:rPr>
            </w:pPr>
            <w:r>
              <w:rPr>
                <w:rFonts w:ascii="Calibri"/>
                <w:sz w:val="22"/>
              </w:rPr>
              <w:t>13</w:t>
            </w:r>
          </w:p>
        </w:tc>
        <w:tc>
          <w:tcPr>
            <w:tcW w:w="922" w:type="dxa"/>
            <w:tcBorders>
              <w:top w:val="nil"/>
              <w:left w:val="dotted" w:sz="4" w:space="0" w:color="000000"/>
              <w:bottom w:val="nil"/>
              <w:right w:val="nil"/>
            </w:tcBorders>
          </w:tcPr>
          <w:p>
            <w:pPr>
              <w:pStyle w:val="TableParagraph"/>
              <w:ind w:right="6"/>
              <w:rPr>
                <w:rFonts w:ascii="Calibri"/>
                <w:sz w:val="22"/>
              </w:rPr>
            </w:pPr>
            <w:r>
              <w:rPr>
                <w:rFonts w:ascii="Calibri"/>
                <w:w w:val="100"/>
                <w:sz w:val="22"/>
              </w:rPr>
              <w:t>0</w:t>
            </w:r>
          </w:p>
        </w:tc>
        <w:tc>
          <w:tcPr>
            <w:tcW w:w="1034" w:type="dxa"/>
            <w:tcBorders>
              <w:top w:val="nil"/>
              <w:left w:val="nil"/>
              <w:bottom w:val="nil"/>
              <w:right w:val="nil"/>
            </w:tcBorders>
          </w:tcPr>
          <w:p>
            <w:pPr>
              <w:pStyle w:val="TableParagraph"/>
              <w:ind w:right="41"/>
              <w:rPr>
                <w:rFonts w:ascii="Calibri"/>
                <w:sz w:val="22"/>
              </w:rPr>
            </w:pPr>
            <w:r>
              <w:rPr>
                <w:rFonts w:ascii="Calibri"/>
                <w:w w:val="100"/>
                <w:sz w:val="22"/>
              </w:rPr>
              <w:t>2</w:t>
            </w:r>
          </w:p>
        </w:tc>
        <w:tc>
          <w:tcPr>
            <w:tcW w:w="1057" w:type="dxa"/>
            <w:tcBorders>
              <w:top w:val="nil"/>
              <w:left w:val="nil"/>
              <w:bottom w:val="nil"/>
              <w:right w:val="nil"/>
            </w:tcBorders>
          </w:tcPr>
          <w:p>
            <w:pPr>
              <w:pStyle w:val="TableParagraph"/>
              <w:ind w:left="385" w:right="391"/>
              <w:rPr>
                <w:rFonts w:ascii="Calibri"/>
                <w:sz w:val="22"/>
              </w:rPr>
            </w:pPr>
            <w:r>
              <w:rPr>
                <w:rFonts w:ascii="Calibri"/>
                <w:sz w:val="22"/>
              </w:rPr>
              <w:t>14</w:t>
            </w:r>
          </w:p>
        </w:tc>
        <w:tc>
          <w:tcPr>
            <w:tcW w:w="1027" w:type="dxa"/>
            <w:tcBorders>
              <w:top w:val="nil"/>
              <w:left w:val="nil"/>
              <w:bottom w:val="nil"/>
              <w:right w:val="nil"/>
            </w:tcBorders>
          </w:tcPr>
          <w:p>
            <w:pPr>
              <w:pStyle w:val="TableParagraph"/>
              <w:ind w:right="437"/>
              <w:jc w:val="right"/>
              <w:rPr>
                <w:rFonts w:ascii="Calibri"/>
                <w:sz w:val="22"/>
              </w:rPr>
            </w:pPr>
            <w:r>
              <w:rPr>
                <w:rFonts w:ascii="Calibri"/>
                <w:w w:val="100"/>
                <w:sz w:val="22"/>
              </w:rPr>
              <w:t>1</w:t>
            </w:r>
          </w:p>
        </w:tc>
        <w:tc>
          <w:tcPr>
            <w:tcW w:w="990" w:type="dxa"/>
            <w:tcBorders>
              <w:top w:val="nil"/>
              <w:left w:val="nil"/>
              <w:bottom w:val="nil"/>
              <w:right w:val="nil"/>
            </w:tcBorders>
          </w:tcPr>
          <w:p>
            <w:pPr>
              <w:pStyle w:val="TableParagraph"/>
              <w:ind w:left="439"/>
              <w:jc w:val="left"/>
              <w:rPr>
                <w:rFonts w:ascii="Calibri"/>
                <w:sz w:val="22"/>
              </w:rPr>
            </w:pPr>
            <w:r>
              <w:rPr>
                <w:rFonts w:ascii="Calibri"/>
                <w:w w:val="100"/>
                <w:sz w:val="22"/>
              </w:rPr>
              <w:t>2</w:t>
            </w:r>
          </w:p>
        </w:tc>
        <w:tc>
          <w:tcPr>
            <w:tcW w:w="1045" w:type="dxa"/>
            <w:tcBorders>
              <w:top w:val="nil"/>
              <w:left w:val="nil"/>
              <w:bottom w:val="nil"/>
              <w:right w:val="nil"/>
            </w:tcBorders>
          </w:tcPr>
          <w:p>
            <w:pPr>
              <w:pStyle w:val="TableParagraph"/>
              <w:ind w:right="490"/>
              <w:jc w:val="right"/>
              <w:rPr>
                <w:rFonts w:ascii="Calibri"/>
                <w:sz w:val="22"/>
              </w:rPr>
            </w:pPr>
            <w:r>
              <w:rPr>
                <w:rFonts w:ascii="Calibri"/>
                <w:w w:val="100"/>
                <w:sz w:val="22"/>
              </w:rPr>
              <w:t>1</w:t>
            </w:r>
          </w:p>
        </w:tc>
        <w:tc>
          <w:tcPr>
            <w:tcW w:w="1129" w:type="dxa"/>
            <w:tcBorders>
              <w:top w:val="nil"/>
              <w:left w:val="nil"/>
              <w:bottom w:val="nil"/>
              <w:right w:val="nil"/>
            </w:tcBorders>
          </w:tcPr>
          <w:p>
            <w:pPr>
              <w:pStyle w:val="TableParagraph"/>
              <w:ind w:left="482"/>
              <w:jc w:val="left"/>
              <w:rPr>
                <w:rFonts w:ascii="Calibri"/>
                <w:sz w:val="22"/>
              </w:rPr>
            </w:pPr>
            <w:r>
              <w:rPr>
                <w:rFonts w:ascii="Calibri"/>
                <w:w w:val="100"/>
                <w:sz w:val="22"/>
              </w:rPr>
              <w:t>7</w:t>
            </w:r>
          </w:p>
        </w:tc>
        <w:tc>
          <w:tcPr>
            <w:tcW w:w="1030" w:type="dxa"/>
            <w:tcBorders>
              <w:top w:val="nil"/>
              <w:left w:val="nil"/>
              <w:bottom w:val="nil"/>
            </w:tcBorders>
          </w:tcPr>
          <w:p>
            <w:pPr>
              <w:pStyle w:val="TableParagraph"/>
              <w:ind w:left="384" w:right="377"/>
              <w:rPr>
                <w:rFonts w:ascii="Calibri"/>
                <w:sz w:val="22"/>
              </w:rPr>
            </w:pPr>
            <w:r>
              <w:rPr>
                <w:rFonts w:ascii="Calibri"/>
                <w:sz w:val="22"/>
              </w:rPr>
              <w:t>27</w:t>
            </w:r>
          </w:p>
        </w:tc>
      </w:tr>
      <w:tr>
        <w:trPr>
          <w:trHeight w:val="509" w:hRule="exact"/>
        </w:trPr>
        <w:tc>
          <w:tcPr>
            <w:tcW w:w="1030" w:type="dxa"/>
            <w:tcBorders>
              <w:top w:val="nil"/>
              <w:bottom w:val="nil"/>
              <w:right w:val="dotted" w:sz="4" w:space="0" w:color="000000"/>
            </w:tcBorders>
          </w:tcPr>
          <w:p>
            <w:pPr>
              <w:pStyle w:val="TableParagraph"/>
              <w:ind w:left="379" w:right="377"/>
              <w:rPr>
                <w:rFonts w:ascii="Calibri"/>
                <w:sz w:val="22"/>
              </w:rPr>
            </w:pPr>
            <w:r>
              <w:rPr>
                <w:rFonts w:ascii="Calibri"/>
                <w:sz w:val="22"/>
              </w:rPr>
              <w:t>14</w:t>
            </w:r>
          </w:p>
        </w:tc>
        <w:tc>
          <w:tcPr>
            <w:tcW w:w="922" w:type="dxa"/>
            <w:tcBorders>
              <w:top w:val="nil"/>
              <w:left w:val="dotted" w:sz="4" w:space="0" w:color="000000"/>
              <w:bottom w:val="nil"/>
              <w:right w:val="nil"/>
            </w:tcBorders>
          </w:tcPr>
          <w:p>
            <w:pPr>
              <w:pStyle w:val="TableParagraph"/>
              <w:ind w:right="6"/>
              <w:rPr>
                <w:rFonts w:ascii="Calibri"/>
                <w:sz w:val="22"/>
              </w:rPr>
            </w:pPr>
            <w:r>
              <w:rPr>
                <w:rFonts w:ascii="Calibri"/>
                <w:w w:val="100"/>
                <w:sz w:val="22"/>
              </w:rPr>
              <w:t>1</w:t>
            </w:r>
          </w:p>
        </w:tc>
        <w:tc>
          <w:tcPr>
            <w:tcW w:w="1034" w:type="dxa"/>
            <w:tcBorders>
              <w:top w:val="nil"/>
              <w:left w:val="nil"/>
              <w:bottom w:val="nil"/>
              <w:right w:val="nil"/>
            </w:tcBorders>
          </w:tcPr>
          <w:p>
            <w:pPr>
              <w:pStyle w:val="TableParagraph"/>
              <w:ind w:right="41"/>
              <w:rPr>
                <w:rFonts w:ascii="Calibri"/>
                <w:sz w:val="22"/>
              </w:rPr>
            </w:pPr>
            <w:r>
              <w:rPr>
                <w:rFonts w:ascii="Calibri"/>
                <w:w w:val="100"/>
                <w:sz w:val="22"/>
              </w:rPr>
              <w:t>2</w:t>
            </w:r>
          </w:p>
        </w:tc>
        <w:tc>
          <w:tcPr>
            <w:tcW w:w="1057" w:type="dxa"/>
            <w:tcBorders>
              <w:top w:val="nil"/>
              <w:left w:val="nil"/>
              <w:bottom w:val="nil"/>
              <w:right w:val="nil"/>
            </w:tcBorders>
          </w:tcPr>
          <w:p>
            <w:pPr>
              <w:pStyle w:val="TableParagraph"/>
              <w:ind w:left="385" w:right="391"/>
              <w:rPr>
                <w:rFonts w:ascii="Calibri"/>
                <w:sz w:val="22"/>
              </w:rPr>
            </w:pPr>
            <w:r>
              <w:rPr>
                <w:rFonts w:ascii="Calibri"/>
                <w:sz w:val="22"/>
              </w:rPr>
              <w:t>22</w:t>
            </w:r>
          </w:p>
        </w:tc>
        <w:tc>
          <w:tcPr>
            <w:tcW w:w="1027" w:type="dxa"/>
            <w:tcBorders>
              <w:top w:val="nil"/>
              <w:left w:val="nil"/>
              <w:bottom w:val="nil"/>
              <w:right w:val="nil"/>
            </w:tcBorders>
          </w:tcPr>
          <w:p>
            <w:pPr>
              <w:pStyle w:val="TableParagraph"/>
              <w:ind w:right="381"/>
              <w:jc w:val="right"/>
              <w:rPr>
                <w:rFonts w:ascii="Calibri"/>
                <w:sz w:val="22"/>
              </w:rPr>
            </w:pPr>
            <w:r>
              <w:rPr>
                <w:rFonts w:ascii="Calibri"/>
                <w:sz w:val="22"/>
              </w:rPr>
              <w:t>16</w:t>
            </w:r>
          </w:p>
        </w:tc>
        <w:tc>
          <w:tcPr>
            <w:tcW w:w="990" w:type="dxa"/>
            <w:tcBorders>
              <w:top w:val="nil"/>
              <w:left w:val="nil"/>
              <w:bottom w:val="nil"/>
              <w:right w:val="nil"/>
            </w:tcBorders>
          </w:tcPr>
          <w:p>
            <w:pPr>
              <w:pStyle w:val="TableParagraph"/>
              <w:ind w:left="384"/>
              <w:jc w:val="left"/>
              <w:rPr>
                <w:rFonts w:ascii="Calibri"/>
                <w:sz w:val="22"/>
              </w:rPr>
            </w:pPr>
            <w:r>
              <w:rPr>
                <w:rFonts w:ascii="Calibri"/>
                <w:sz w:val="22"/>
              </w:rPr>
              <w:t>12</w:t>
            </w:r>
          </w:p>
        </w:tc>
        <w:tc>
          <w:tcPr>
            <w:tcW w:w="1045" w:type="dxa"/>
            <w:tcBorders>
              <w:top w:val="nil"/>
              <w:left w:val="nil"/>
              <w:bottom w:val="nil"/>
              <w:right w:val="nil"/>
            </w:tcBorders>
          </w:tcPr>
          <w:p>
            <w:pPr>
              <w:pStyle w:val="TableParagraph"/>
              <w:ind w:right="490"/>
              <w:jc w:val="right"/>
              <w:rPr>
                <w:rFonts w:ascii="Calibri"/>
                <w:sz w:val="22"/>
              </w:rPr>
            </w:pPr>
            <w:r>
              <w:rPr>
                <w:rFonts w:ascii="Calibri"/>
                <w:w w:val="100"/>
                <w:sz w:val="22"/>
              </w:rPr>
              <w:t>1</w:t>
            </w:r>
          </w:p>
        </w:tc>
        <w:tc>
          <w:tcPr>
            <w:tcW w:w="1129" w:type="dxa"/>
            <w:tcBorders>
              <w:top w:val="nil"/>
              <w:left w:val="nil"/>
              <w:bottom w:val="nil"/>
              <w:right w:val="nil"/>
            </w:tcBorders>
          </w:tcPr>
          <w:p>
            <w:pPr>
              <w:pStyle w:val="TableParagraph"/>
              <w:ind w:left="427"/>
              <w:jc w:val="left"/>
              <w:rPr>
                <w:rFonts w:ascii="Calibri"/>
                <w:sz w:val="22"/>
              </w:rPr>
            </w:pPr>
            <w:r>
              <w:rPr>
                <w:rFonts w:ascii="Calibri"/>
                <w:sz w:val="22"/>
              </w:rPr>
              <w:t>16</w:t>
            </w:r>
          </w:p>
        </w:tc>
        <w:tc>
          <w:tcPr>
            <w:tcW w:w="1030" w:type="dxa"/>
            <w:tcBorders>
              <w:top w:val="nil"/>
              <w:left w:val="nil"/>
              <w:bottom w:val="nil"/>
            </w:tcBorders>
          </w:tcPr>
          <w:p>
            <w:pPr>
              <w:pStyle w:val="TableParagraph"/>
              <w:ind w:left="384" w:right="377"/>
              <w:rPr>
                <w:rFonts w:ascii="Calibri"/>
                <w:sz w:val="22"/>
              </w:rPr>
            </w:pPr>
            <w:r>
              <w:rPr>
                <w:rFonts w:ascii="Calibri"/>
                <w:sz w:val="22"/>
              </w:rPr>
              <w:t>69</w:t>
            </w:r>
          </w:p>
        </w:tc>
      </w:tr>
      <w:tr>
        <w:trPr>
          <w:trHeight w:val="509" w:hRule="exact"/>
        </w:trPr>
        <w:tc>
          <w:tcPr>
            <w:tcW w:w="1030" w:type="dxa"/>
            <w:tcBorders>
              <w:top w:val="nil"/>
              <w:bottom w:val="nil"/>
              <w:right w:val="dotted" w:sz="4" w:space="0" w:color="000000"/>
            </w:tcBorders>
          </w:tcPr>
          <w:p>
            <w:pPr>
              <w:pStyle w:val="TableParagraph"/>
              <w:ind w:left="379" w:right="377"/>
              <w:rPr>
                <w:rFonts w:ascii="Calibri"/>
                <w:sz w:val="22"/>
              </w:rPr>
            </w:pPr>
            <w:r>
              <w:rPr>
                <w:rFonts w:ascii="Calibri"/>
                <w:sz w:val="22"/>
              </w:rPr>
              <w:t>15</w:t>
            </w:r>
          </w:p>
        </w:tc>
        <w:tc>
          <w:tcPr>
            <w:tcW w:w="922" w:type="dxa"/>
            <w:tcBorders>
              <w:top w:val="nil"/>
              <w:left w:val="dotted" w:sz="4" w:space="0" w:color="000000"/>
              <w:bottom w:val="nil"/>
              <w:right w:val="nil"/>
            </w:tcBorders>
          </w:tcPr>
          <w:p>
            <w:pPr>
              <w:pStyle w:val="TableParagraph"/>
              <w:ind w:right="6"/>
              <w:rPr>
                <w:rFonts w:ascii="Calibri"/>
                <w:sz w:val="22"/>
              </w:rPr>
            </w:pPr>
            <w:r>
              <w:rPr>
                <w:rFonts w:ascii="Calibri"/>
                <w:w w:val="100"/>
                <w:sz w:val="22"/>
              </w:rPr>
              <w:t>1</w:t>
            </w:r>
          </w:p>
        </w:tc>
        <w:tc>
          <w:tcPr>
            <w:tcW w:w="1034" w:type="dxa"/>
            <w:tcBorders>
              <w:top w:val="nil"/>
              <w:left w:val="nil"/>
              <w:bottom w:val="nil"/>
              <w:right w:val="nil"/>
            </w:tcBorders>
          </w:tcPr>
          <w:p>
            <w:pPr>
              <w:pStyle w:val="TableParagraph"/>
              <w:ind w:right="41"/>
              <w:rPr>
                <w:rFonts w:ascii="Calibri"/>
                <w:sz w:val="22"/>
              </w:rPr>
            </w:pPr>
            <w:r>
              <w:rPr>
                <w:rFonts w:ascii="Calibri"/>
                <w:w w:val="100"/>
                <w:sz w:val="22"/>
              </w:rPr>
              <w:t>8</w:t>
            </w:r>
          </w:p>
        </w:tc>
        <w:tc>
          <w:tcPr>
            <w:tcW w:w="1057" w:type="dxa"/>
            <w:tcBorders>
              <w:top w:val="nil"/>
              <w:left w:val="nil"/>
              <w:bottom w:val="nil"/>
              <w:right w:val="nil"/>
            </w:tcBorders>
          </w:tcPr>
          <w:p>
            <w:pPr>
              <w:pStyle w:val="TableParagraph"/>
              <w:ind w:left="385" w:right="391"/>
              <w:rPr>
                <w:rFonts w:ascii="Calibri"/>
                <w:sz w:val="22"/>
              </w:rPr>
            </w:pPr>
            <w:r>
              <w:rPr>
                <w:rFonts w:ascii="Calibri"/>
                <w:sz w:val="22"/>
              </w:rPr>
              <w:t>25</w:t>
            </w:r>
          </w:p>
        </w:tc>
        <w:tc>
          <w:tcPr>
            <w:tcW w:w="1027" w:type="dxa"/>
            <w:tcBorders>
              <w:top w:val="nil"/>
              <w:left w:val="nil"/>
              <w:bottom w:val="nil"/>
              <w:right w:val="nil"/>
            </w:tcBorders>
          </w:tcPr>
          <w:p>
            <w:pPr>
              <w:pStyle w:val="TableParagraph"/>
              <w:ind w:right="381"/>
              <w:jc w:val="right"/>
              <w:rPr>
                <w:rFonts w:ascii="Calibri"/>
                <w:sz w:val="22"/>
              </w:rPr>
            </w:pPr>
            <w:r>
              <w:rPr>
                <w:rFonts w:ascii="Calibri"/>
                <w:sz w:val="22"/>
              </w:rPr>
              <w:t>22</w:t>
            </w:r>
          </w:p>
        </w:tc>
        <w:tc>
          <w:tcPr>
            <w:tcW w:w="990" w:type="dxa"/>
            <w:tcBorders>
              <w:top w:val="nil"/>
              <w:left w:val="nil"/>
              <w:bottom w:val="nil"/>
              <w:right w:val="nil"/>
            </w:tcBorders>
          </w:tcPr>
          <w:p>
            <w:pPr>
              <w:pStyle w:val="TableParagraph"/>
              <w:ind w:left="439"/>
              <w:jc w:val="left"/>
              <w:rPr>
                <w:rFonts w:ascii="Calibri"/>
                <w:sz w:val="22"/>
              </w:rPr>
            </w:pPr>
            <w:r>
              <w:rPr>
                <w:rFonts w:ascii="Calibri"/>
                <w:w w:val="100"/>
                <w:sz w:val="22"/>
              </w:rPr>
              <w:t>9</w:t>
            </w:r>
          </w:p>
        </w:tc>
        <w:tc>
          <w:tcPr>
            <w:tcW w:w="1045" w:type="dxa"/>
            <w:tcBorders>
              <w:top w:val="nil"/>
              <w:left w:val="nil"/>
              <w:bottom w:val="nil"/>
              <w:right w:val="nil"/>
            </w:tcBorders>
          </w:tcPr>
          <w:p>
            <w:pPr>
              <w:pStyle w:val="TableParagraph"/>
              <w:ind w:right="490"/>
              <w:jc w:val="right"/>
              <w:rPr>
                <w:rFonts w:ascii="Calibri"/>
                <w:sz w:val="22"/>
              </w:rPr>
            </w:pPr>
            <w:r>
              <w:rPr>
                <w:rFonts w:ascii="Calibri"/>
                <w:w w:val="100"/>
                <w:sz w:val="22"/>
              </w:rPr>
              <w:t>1</w:t>
            </w:r>
          </w:p>
        </w:tc>
        <w:tc>
          <w:tcPr>
            <w:tcW w:w="1129" w:type="dxa"/>
            <w:tcBorders>
              <w:top w:val="nil"/>
              <w:left w:val="nil"/>
              <w:bottom w:val="nil"/>
              <w:right w:val="nil"/>
            </w:tcBorders>
          </w:tcPr>
          <w:p>
            <w:pPr>
              <w:pStyle w:val="TableParagraph"/>
              <w:ind w:left="482"/>
              <w:jc w:val="left"/>
              <w:rPr>
                <w:rFonts w:ascii="Calibri"/>
                <w:sz w:val="22"/>
              </w:rPr>
            </w:pPr>
            <w:r>
              <w:rPr>
                <w:rFonts w:ascii="Calibri"/>
                <w:w w:val="100"/>
                <w:sz w:val="22"/>
              </w:rPr>
              <w:t>9</w:t>
            </w:r>
          </w:p>
        </w:tc>
        <w:tc>
          <w:tcPr>
            <w:tcW w:w="1030" w:type="dxa"/>
            <w:tcBorders>
              <w:top w:val="nil"/>
              <w:left w:val="nil"/>
              <w:bottom w:val="nil"/>
            </w:tcBorders>
          </w:tcPr>
          <w:p>
            <w:pPr>
              <w:pStyle w:val="TableParagraph"/>
              <w:ind w:left="384" w:right="377"/>
              <w:rPr>
                <w:rFonts w:ascii="Calibri"/>
                <w:sz w:val="22"/>
              </w:rPr>
            </w:pPr>
            <w:r>
              <w:rPr>
                <w:rFonts w:ascii="Calibri"/>
                <w:sz w:val="22"/>
              </w:rPr>
              <w:t>74</w:t>
            </w:r>
          </w:p>
        </w:tc>
      </w:tr>
      <w:tr>
        <w:trPr>
          <w:trHeight w:val="509" w:hRule="exact"/>
        </w:trPr>
        <w:tc>
          <w:tcPr>
            <w:tcW w:w="1030" w:type="dxa"/>
            <w:tcBorders>
              <w:top w:val="nil"/>
              <w:bottom w:val="nil"/>
              <w:right w:val="dotted" w:sz="4" w:space="0" w:color="000000"/>
            </w:tcBorders>
          </w:tcPr>
          <w:p>
            <w:pPr>
              <w:pStyle w:val="TableParagraph"/>
              <w:ind w:left="379" w:right="377"/>
              <w:rPr>
                <w:rFonts w:ascii="Calibri"/>
                <w:sz w:val="22"/>
              </w:rPr>
            </w:pPr>
            <w:r>
              <w:rPr>
                <w:rFonts w:ascii="Calibri"/>
                <w:sz w:val="22"/>
              </w:rPr>
              <w:t>16</w:t>
            </w:r>
          </w:p>
        </w:tc>
        <w:tc>
          <w:tcPr>
            <w:tcW w:w="922" w:type="dxa"/>
            <w:tcBorders>
              <w:top w:val="nil"/>
              <w:left w:val="dotted" w:sz="4" w:space="0" w:color="000000"/>
              <w:bottom w:val="nil"/>
              <w:right w:val="nil"/>
            </w:tcBorders>
          </w:tcPr>
          <w:p>
            <w:pPr>
              <w:pStyle w:val="TableParagraph"/>
              <w:ind w:right="6"/>
              <w:rPr>
                <w:rFonts w:ascii="Calibri"/>
                <w:sz w:val="22"/>
              </w:rPr>
            </w:pPr>
            <w:r>
              <w:rPr>
                <w:rFonts w:ascii="Calibri"/>
                <w:w w:val="100"/>
                <w:sz w:val="22"/>
              </w:rPr>
              <w:t>0</w:t>
            </w:r>
          </w:p>
        </w:tc>
        <w:tc>
          <w:tcPr>
            <w:tcW w:w="1034" w:type="dxa"/>
            <w:tcBorders>
              <w:top w:val="nil"/>
              <w:left w:val="nil"/>
              <w:bottom w:val="nil"/>
              <w:right w:val="nil"/>
            </w:tcBorders>
          </w:tcPr>
          <w:p>
            <w:pPr>
              <w:pStyle w:val="TableParagraph"/>
              <w:ind w:right="41"/>
              <w:rPr>
                <w:rFonts w:ascii="Calibri"/>
                <w:sz w:val="22"/>
              </w:rPr>
            </w:pPr>
            <w:r>
              <w:rPr>
                <w:rFonts w:ascii="Calibri"/>
                <w:w w:val="100"/>
                <w:sz w:val="22"/>
              </w:rPr>
              <w:t>5</w:t>
            </w:r>
          </w:p>
        </w:tc>
        <w:tc>
          <w:tcPr>
            <w:tcW w:w="1057" w:type="dxa"/>
            <w:tcBorders>
              <w:top w:val="nil"/>
              <w:left w:val="nil"/>
              <w:bottom w:val="nil"/>
              <w:right w:val="nil"/>
            </w:tcBorders>
          </w:tcPr>
          <w:p>
            <w:pPr>
              <w:pStyle w:val="TableParagraph"/>
              <w:ind w:left="385" w:right="391"/>
              <w:rPr>
                <w:rFonts w:ascii="Calibri"/>
                <w:sz w:val="22"/>
              </w:rPr>
            </w:pPr>
            <w:r>
              <w:rPr>
                <w:rFonts w:ascii="Calibri"/>
                <w:sz w:val="22"/>
              </w:rPr>
              <w:t>30</w:t>
            </w:r>
          </w:p>
        </w:tc>
        <w:tc>
          <w:tcPr>
            <w:tcW w:w="1027" w:type="dxa"/>
            <w:tcBorders>
              <w:top w:val="nil"/>
              <w:left w:val="nil"/>
              <w:bottom w:val="nil"/>
              <w:right w:val="nil"/>
            </w:tcBorders>
          </w:tcPr>
          <w:p>
            <w:pPr>
              <w:pStyle w:val="TableParagraph"/>
              <w:ind w:right="437"/>
              <w:jc w:val="right"/>
              <w:rPr>
                <w:rFonts w:ascii="Calibri"/>
                <w:sz w:val="22"/>
              </w:rPr>
            </w:pPr>
            <w:r>
              <w:rPr>
                <w:rFonts w:ascii="Calibri"/>
                <w:w w:val="100"/>
                <w:sz w:val="22"/>
              </w:rPr>
              <w:t>1</w:t>
            </w:r>
          </w:p>
        </w:tc>
        <w:tc>
          <w:tcPr>
            <w:tcW w:w="990" w:type="dxa"/>
            <w:tcBorders>
              <w:top w:val="nil"/>
              <w:left w:val="nil"/>
              <w:bottom w:val="nil"/>
              <w:right w:val="nil"/>
            </w:tcBorders>
          </w:tcPr>
          <w:p>
            <w:pPr>
              <w:pStyle w:val="TableParagraph"/>
              <w:ind w:left="439"/>
              <w:jc w:val="left"/>
              <w:rPr>
                <w:rFonts w:ascii="Calibri"/>
                <w:sz w:val="22"/>
              </w:rPr>
            </w:pPr>
            <w:r>
              <w:rPr>
                <w:rFonts w:ascii="Calibri"/>
                <w:w w:val="100"/>
                <w:sz w:val="22"/>
              </w:rPr>
              <w:t>5</w:t>
            </w:r>
          </w:p>
        </w:tc>
        <w:tc>
          <w:tcPr>
            <w:tcW w:w="1045" w:type="dxa"/>
            <w:tcBorders>
              <w:top w:val="nil"/>
              <w:left w:val="nil"/>
              <w:bottom w:val="nil"/>
              <w:right w:val="nil"/>
            </w:tcBorders>
          </w:tcPr>
          <w:p>
            <w:pPr>
              <w:pStyle w:val="TableParagraph"/>
              <w:ind w:right="490"/>
              <w:jc w:val="right"/>
              <w:rPr>
                <w:rFonts w:ascii="Calibri"/>
                <w:sz w:val="22"/>
              </w:rPr>
            </w:pPr>
            <w:r>
              <w:rPr>
                <w:rFonts w:ascii="Calibri"/>
                <w:w w:val="100"/>
                <w:sz w:val="22"/>
              </w:rPr>
              <w:t>4</w:t>
            </w:r>
          </w:p>
        </w:tc>
        <w:tc>
          <w:tcPr>
            <w:tcW w:w="1129" w:type="dxa"/>
            <w:tcBorders>
              <w:top w:val="nil"/>
              <w:left w:val="nil"/>
              <w:bottom w:val="nil"/>
              <w:right w:val="nil"/>
            </w:tcBorders>
          </w:tcPr>
          <w:p>
            <w:pPr>
              <w:pStyle w:val="TableParagraph"/>
              <w:ind w:left="427"/>
              <w:jc w:val="left"/>
              <w:rPr>
                <w:rFonts w:ascii="Calibri"/>
                <w:sz w:val="22"/>
              </w:rPr>
            </w:pPr>
            <w:r>
              <w:rPr>
                <w:rFonts w:ascii="Calibri"/>
                <w:sz w:val="22"/>
              </w:rPr>
              <w:t>16</w:t>
            </w:r>
          </w:p>
        </w:tc>
        <w:tc>
          <w:tcPr>
            <w:tcW w:w="1030" w:type="dxa"/>
            <w:tcBorders>
              <w:top w:val="nil"/>
              <w:left w:val="nil"/>
              <w:bottom w:val="nil"/>
            </w:tcBorders>
          </w:tcPr>
          <w:p>
            <w:pPr>
              <w:pStyle w:val="TableParagraph"/>
              <w:ind w:left="384" w:right="377"/>
              <w:rPr>
                <w:rFonts w:ascii="Calibri"/>
                <w:sz w:val="22"/>
              </w:rPr>
            </w:pPr>
            <w:r>
              <w:rPr>
                <w:rFonts w:ascii="Calibri"/>
                <w:sz w:val="22"/>
              </w:rPr>
              <w:t>61</w:t>
            </w:r>
          </w:p>
        </w:tc>
      </w:tr>
      <w:tr>
        <w:trPr>
          <w:trHeight w:val="509" w:hRule="exact"/>
        </w:trPr>
        <w:tc>
          <w:tcPr>
            <w:tcW w:w="1030" w:type="dxa"/>
            <w:tcBorders>
              <w:top w:val="nil"/>
              <w:bottom w:val="nil"/>
              <w:right w:val="dotted" w:sz="4" w:space="0" w:color="000000"/>
            </w:tcBorders>
          </w:tcPr>
          <w:p>
            <w:pPr>
              <w:pStyle w:val="TableParagraph"/>
              <w:ind w:left="379" w:right="377"/>
              <w:rPr>
                <w:rFonts w:ascii="Calibri"/>
                <w:sz w:val="22"/>
              </w:rPr>
            </w:pPr>
            <w:r>
              <w:rPr>
                <w:rFonts w:ascii="Calibri"/>
                <w:sz w:val="22"/>
              </w:rPr>
              <w:t>17</w:t>
            </w:r>
          </w:p>
        </w:tc>
        <w:tc>
          <w:tcPr>
            <w:tcW w:w="922" w:type="dxa"/>
            <w:tcBorders>
              <w:top w:val="nil"/>
              <w:left w:val="dotted" w:sz="4" w:space="0" w:color="000000"/>
              <w:bottom w:val="nil"/>
              <w:right w:val="nil"/>
            </w:tcBorders>
          </w:tcPr>
          <w:p>
            <w:pPr>
              <w:pStyle w:val="TableParagraph"/>
              <w:ind w:right="6"/>
              <w:rPr>
                <w:rFonts w:ascii="Calibri"/>
                <w:sz w:val="22"/>
              </w:rPr>
            </w:pPr>
            <w:r>
              <w:rPr>
                <w:rFonts w:ascii="Calibri"/>
                <w:w w:val="100"/>
                <w:sz w:val="22"/>
              </w:rPr>
              <w:t>1</w:t>
            </w:r>
          </w:p>
        </w:tc>
        <w:tc>
          <w:tcPr>
            <w:tcW w:w="1034" w:type="dxa"/>
            <w:tcBorders>
              <w:top w:val="nil"/>
              <w:left w:val="nil"/>
              <w:bottom w:val="nil"/>
              <w:right w:val="nil"/>
            </w:tcBorders>
          </w:tcPr>
          <w:p>
            <w:pPr>
              <w:pStyle w:val="TableParagraph"/>
              <w:ind w:right="41"/>
              <w:rPr>
                <w:rFonts w:ascii="Calibri"/>
                <w:sz w:val="22"/>
              </w:rPr>
            </w:pPr>
            <w:r>
              <w:rPr>
                <w:rFonts w:ascii="Calibri"/>
                <w:w w:val="100"/>
                <w:sz w:val="22"/>
              </w:rPr>
              <w:t>3</w:t>
            </w:r>
          </w:p>
        </w:tc>
        <w:tc>
          <w:tcPr>
            <w:tcW w:w="1057" w:type="dxa"/>
            <w:tcBorders>
              <w:top w:val="nil"/>
              <w:left w:val="nil"/>
              <w:bottom w:val="nil"/>
              <w:right w:val="nil"/>
            </w:tcBorders>
          </w:tcPr>
          <w:p>
            <w:pPr>
              <w:pStyle w:val="TableParagraph"/>
              <w:ind w:right="5"/>
              <w:rPr>
                <w:rFonts w:ascii="Calibri"/>
                <w:sz w:val="22"/>
              </w:rPr>
            </w:pPr>
            <w:r>
              <w:rPr>
                <w:rFonts w:ascii="Calibri"/>
                <w:w w:val="100"/>
                <w:sz w:val="22"/>
              </w:rPr>
              <w:t>3</w:t>
            </w:r>
          </w:p>
        </w:tc>
        <w:tc>
          <w:tcPr>
            <w:tcW w:w="1027" w:type="dxa"/>
            <w:tcBorders>
              <w:top w:val="nil"/>
              <w:left w:val="nil"/>
              <w:bottom w:val="nil"/>
              <w:right w:val="nil"/>
            </w:tcBorders>
          </w:tcPr>
          <w:p>
            <w:pPr>
              <w:pStyle w:val="TableParagraph"/>
              <w:ind w:right="437"/>
              <w:jc w:val="right"/>
              <w:rPr>
                <w:rFonts w:ascii="Calibri"/>
                <w:sz w:val="22"/>
              </w:rPr>
            </w:pPr>
            <w:r>
              <w:rPr>
                <w:rFonts w:ascii="Calibri"/>
                <w:w w:val="100"/>
                <w:sz w:val="22"/>
              </w:rPr>
              <w:t>0</w:t>
            </w:r>
          </w:p>
        </w:tc>
        <w:tc>
          <w:tcPr>
            <w:tcW w:w="990" w:type="dxa"/>
            <w:tcBorders>
              <w:top w:val="nil"/>
              <w:left w:val="nil"/>
              <w:bottom w:val="nil"/>
              <w:right w:val="nil"/>
            </w:tcBorders>
          </w:tcPr>
          <w:p>
            <w:pPr>
              <w:pStyle w:val="TableParagraph"/>
              <w:ind w:left="439"/>
              <w:jc w:val="left"/>
              <w:rPr>
                <w:rFonts w:ascii="Calibri"/>
                <w:sz w:val="22"/>
              </w:rPr>
            </w:pPr>
            <w:r>
              <w:rPr>
                <w:rFonts w:ascii="Calibri"/>
                <w:w w:val="100"/>
                <w:sz w:val="22"/>
              </w:rPr>
              <w:t>1</w:t>
            </w:r>
          </w:p>
        </w:tc>
        <w:tc>
          <w:tcPr>
            <w:tcW w:w="1045" w:type="dxa"/>
            <w:tcBorders>
              <w:top w:val="nil"/>
              <w:left w:val="nil"/>
              <w:bottom w:val="nil"/>
              <w:right w:val="nil"/>
            </w:tcBorders>
          </w:tcPr>
          <w:p>
            <w:pPr>
              <w:pStyle w:val="TableParagraph"/>
              <w:ind w:right="490"/>
              <w:jc w:val="right"/>
              <w:rPr>
                <w:rFonts w:ascii="Calibri"/>
                <w:sz w:val="22"/>
              </w:rPr>
            </w:pPr>
            <w:r>
              <w:rPr>
                <w:rFonts w:ascii="Calibri"/>
                <w:w w:val="100"/>
                <w:sz w:val="22"/>
              </w:rPr>
              <w:t>0</w:t>
            </w:r>
          </w:p>
        </w:tc>
        <w:tc>
          <w:tcPr>
            <w:tcW w:w="1129" w:type="dxa"/>
            <w:tcBorders>
              <w:top w:val="nil"/>
              <w:left w:val="nil"/>
              <w:bottom w:val="nil"/>
              <w:right w:val="nil"/>
            </w:tcBorders>
          </w:tcPr>
          <w:p>
            <w:pPr>
              <w:pStyle w:val="TableParagraph"/>
              <w:ind w:left="482"/>
              <w:jc w:val="left"/>
              <w:rPr>
                <w:rFonts w:ascii="Calibri"/>
                <w:sz w:val="22"/>
              </w:rPr>
            </w:pPr>
            <w:r>
              <w:rPr>
                <w:rFonts w:ascii="Calibri"/>
                <w:w w:val="100"/>
                <w:sz w:val="22"/>
              </w:rPr>
              <w:t>1</w:t>
            </w:r>
          </w:p>
        </w:tc>
        <w:tc>
          <w:tcPr>
            <w:tcW w:w="1030" w:type="dxa"/>
            <w:tcBorders>
              <w:top w:val="nil"/>
              <w:left w:val="nil"/>
              <w:bottom w:val="nil"/>
            </w:tcBorders>
          </w:tcPr>
          <w:p>
            <w:pPr>
              <w:pStyle w:val="TableParagraph"/>
              <w:ind w:left="3"/>
              <w:rPr>
                <w:rFonts w:ascii="Calibri"/>
                <w:sz w:val="22"/>
              </w:rPr>
            </w:pPr>
            <w:r>
              <w:rPr>
                <w:rFonts w:ascii="Calibri"/>
                <w:w w:val="100"/>
                <w:sz w:val="22"/>
              </w:rPr>
              <w:t>8</w:t>
            </w:r>
          </w:p>
        </w:tc>
      </w:tr>
      <w:tr>
        <w:trPr>
          <w:trHeight w:val="509" w:hRule="exact"/>
        </w:trPr>
        <w:tc>
          <w:tcPr>
            <w:tcW w:w="1030" w:type="dxa"/>
            <w:tcBorders>
              <w:top w:val="nil"/>
              <w:bottom w:val="nil"/>
              <w:right w:val="dotted" w:sz="4" w:space="0" w:color="000000"/>
            </w:tcBorders>
          </w:tcPr>
          <w:p>
            <w:pPr>
              <w:pStyle w:val="TableParagraph"/>
              <w:ind w:left="379" w:right="377"/>
              <w:rPr>
                <w:rFonts w:ascii="Calibri"/>
                <w:sz w:val="22"/>
              </w:rPr>
            </w:pPr>
            <w:r>
              <w:rPr>
                <w:rFonts w:ascii="Calibri"/>
                <w:sz w:val="22"/>
              </w:rPr>
              <w:t>18</w:t>
            </w:r>
          </w:p>
        </w:tc>
        <w:tc>
          <w:tcPr>
            <w:tcW w:w="922" w:type="dxa"/>
            <w:tcBorders>
              <w:top w:val="nil"/>
              <w:left w:val="dotted" w:sz="4" w:space="0" w:color="000000"/>
              <w:bottom w:val="nil"/>
              <w:right w:val="nil"/>
            </w:tcBorders>
          </w:tcPr>
          <w:p>
            <w:pPr>
              <w:pStyle w:val="TableParagraph"/>
              <w:ind w:right="6"/>
              <w:rPr>
                <w:rFonts w:ascii="Calibri"/>
                <w:sz w:val="22"/>
              </w:rPr>
            </w:pPr>
            <w:r>
              <w:rPr>
                <w:rFonts w:ascii="Calibri"/>
                <w:w w:val="100"/>
                <w:sz w:val="22"/>
              </w:rPr>
              <w:t>0</w:t>
            </w:r>
          </w:p>
        </w:tc>
        <w:tc>
          <w:tcPr>
            <w:tcW w:w="1034" w:type="dxa"/>
            <w:tcBorders>
              <w:top w:val="nil"/>
              <w:left w:val="nil"/>
              <w:bottom w:val="nil"/>
              <w:right w:val="nil"/>
            </w:tcBorders>
          </w:tcPr>
          <w:p>
            <w:pPr>
              <w:pStyle w:val="TableParagraph"/>
              <w:ind w:right="41"/>
              <w:rPr>
                <w:rFonts w:ascii="Calibri"/>
                <w:sz w:val="22"/>
              </w:rPr>
            </w:pPr>
            <w:r>
              <w:rPr>
                <w:rFonts w:ascii="Calibri"/>
                <w:w w:val="100"/>
                <w:sz w:val="22"/>
              </w:rPr>
              <w:t>0</w:t>
            </w:r>
          </w:p>
        </w:tc>
        <w:tc>
          <w:tcPr>
            <w:tcW w:w="1057" w:type="dxa"/>
            <w:tcBorders>
              <w:top w:val="nil"/>
              <w:left w:val="nil"/>
              <w:bottom w:val="nil"/>
              <w:right w:val="nil"/>
            </w:tcBorders>
          </w:tcPr>
          <w:p>
            <w:pPr>
              <w:pStyle w:val="TableParagraph"/>
              <w:ind w:right="5"/>
              <w:rPr>
                <w:rFonts w:ascii="Calibri"/>
                <w:sz w:val="22"/>
              </w:rPr>
            </w:pPr>
            <w:r>
              <w:rPr>
                <w:rFonts w:ascii="Calibri"/>
                <w:w w:val="100"/>
                <w:sz w:val="22"/>
              </w:rPr>
              <w:t>8</w:t>
            </w:r>
          </w:p>
        </w:tc>
        <w:tc>
          <w:tcPr>
            <w:tcW w:w="1027" w:type="dxa"/>
            <w:tcBorders>
              <w:top w:val="nil"/>
              <w:left w:val="nil"/>
              <w:bottom w:val="nil"/>
              <w:right w:val="nil"/>
            </w:tcBorders>
          </w:tcPr>
          <w:p>
            <w:pPr>
              <w:pStyle w:val="TableParagraph"/>
              <w:ind w:right="437"/>
              <w:jc w:val="right"/>
              <w:rPr>
                <w:rFonts w:ascii="Calibri"/>
                <w:sz w:val="22"/>
              </w:rPr>
            </w:pPr>
            <w:r>
              <w:rPr>
                <w:rFonts w:ascii="Calibri"/>
                <w:w w:val="100"/>
                <w:sz w:val="22"/>
              </w:rPr>
              <w:t>8</w:t>
            </w:r>
          </w:p>
        </w:tc>
        <w:tc>
          <w:tcPr>
            <w:tcW w:w="990" w:type="dxa"/>
            <w:tcBorders>
              <w:top w:val="nil"/>
              <w:left w:val="nil"/>
              <w:bottom w:val="nil"/>
              <w:right w:val="nil"/>
            </w:tcBorders>
          </w:tcPr>
          <w:p>
            <w:pPr>
              <w:pStyle w:val="TableParagraph"/>
              <w:ind w:left="439"/>
              <w:jc w:val="left"/>
              <w:rPr>
                <w:rFonts w:ascii="Calibri"/>
                <w:sz w:val="22"/>
              </w:rPr>
            </w:pPr>
            <w:r>
              <w:rPr>
                <w:rFonts w:ascii="Calibri"/>
                <w:w w:val="100"/>
                <w:sz w:val="22"/>
              </w:rPr>
              <w:t>0</w:t>
            </w:r>
          </w:p>
        </w:tc>
        <w:tc>
          <w:tcPr>
            <w:tcW w:w="1045" w:type="dxa"/>
            <w:tcBorders>
              <w:top w:val="nil"/>
              <w:left w:val="nil"/>
              <w:bottom w:val="nil"/>
              <w:right w:val="nil"/>
            </w:tcBorders>
          </w:tcPr>
          <w:p>
            <w:pPr>
              <w:pStyle w:val="TableParagraph"/>
              <w:ind w:right="490"/>
              <w:jc w:val="right"/>
              <w:rPr>
                <w:rFonts w:ascii="Calibri"/>
                <w:sz w:val="22"/>
              </w:rPr>
            </w:pPr>
            <w:r>
              <w:rPr>
                <w:rFonts w:ascii="Calibri"/>
                <w:w w:val="100"/>
                <w:sz w:val="22"/>
              </w:rPr>
              <w:t>1</w:t>
            </w:r>
          </w:p>
        </w:tc>
        <w:tc>
          <w:tcPr>
            <w:tcW w:w="1129" w:type="dxa"/>
            <w:tcBorders>
              <w:top w:val="nil"/>
              <w:left w:val="nil"/>
              <w:bottom w:val="nil"/>
              <w:right w:val="nil"/>
            </w:tcBorders>
          </w:tcPr>
          <w:p>
            <w:pPr>
              <w:pStyle w:val="TableParagraph"/>
              <w:ind w:left="482"/>
              <w:jc w:val="left"/>
              <w:rPr>
                <w:rFonts w:ascii="Calibri"/>
                <w:sz w:val="22"/>
              </w:rPr>
            </w:pPr>
            <w:r>
              <w:rPr>
                <w:rFonts w:ascii="Calibri"/>
                <w:w w:val="100"/>
                <w:sz w:val="22"/>
              </w:rPr>
              <w:t>2</w:t>
            </w:r>
          </w:p>
        </w:tc>
        <w:tc>
          <w:tcPr>
            <w:tcW w:w="1030" w:type="dxa"/>
            <w:tcBorders>
              <w:top w:val="nil"/>
              <w:left w:val="nil"/>
              <w:bottom w:val="nil"/>
            </w:tcBorders>
          </w:tcPr>
          <w:p>
            <w:pPr>
              <w:pStyle w:val="TableParagraph"/>
              <w:ind w:left="384" w:right="377"/>
              <w:rPr>
                <w:rFonts w:ascii="Calibri"/>
                <w:sz w:val="22"/>
              </w:rPr>
            </w:pPr>
            <w:r>
              <w:rPr>
                <w:rFonts w:ascii="Calibri"/>
                <w:sz w:val="22"/>
              </w:rPr>
              <w:t>19</w:t>
            </w:r>
          </w:p>
        </w:tc>
      </w:tr>
      <w:tr>
        <w:trPr>
          <w:trHeight w:val="509" w:hRule="exact"/>
        </w:trPr>
        <w:tc>
          <w:tcPr>
            <w:tcW w:w="1030" w:type="dxa"/>
            <w:tcBorders>
              <w:top w:val="nil"/>
              <w:bottom w:val="nil"/>
              <w:right w:val="dotted" w:sz="4" w:space="0" w:color="000000"/>
            </w:tcBorders>
          </w:tcPr>
          <w:p>
            <w:pPr>
              <w:pStyle w:val="TableParagraph"/>
              <w:ind w:left="379" w:right="377"/>
              <w:rPr>
                <w:rFonts w:ascii="Calibri"/>
                <w:sz w:val="22"/>
              </w:rPr>
            </w:pPr>
            <w:r>
              <w:rPr>
                <w:rFonts w:ascii="Calibri"/>
                <w:sz w:val="22"/>
              </w:rPr>
              <w:t>19</w:t>
            </w:r>
          </w:p>
        </w:tc>
        <w:tc>
          <w:tcPr>
            <w:tcW w:w="922" w:type="dxa"/>
            <w:tcBorders>
              <w:top w:val="nil"/>
              <w:left w:val="dotted" w:sz="4" w:space="0" w:color="000000"/>
              <w:bottom w:val="nil"/>
              <w:right w:val="nil"/>
            </w:tcBorders>
          </w:tcPr>
          <w:p>
            <w:pPr>
              <w:pStyle w:val="TableParagraph"/>
              <w:ind w:right="6"/>
              <w:rPr>
                <w:rFonts w:ascii="Calibri"/>
                <w:sz w:val="22"/>
              </w:rPr>
            </w:pPr>
            <w:r>
              <w:rPr>
                <w:rFonts w:ascii="Calibri"/>
                <w:w w:val="100"/>
                <w:sz w:val="22"/>
              </w:rPr>
              <w:t>0</w:t>
            </w:r>
          </w:p>
        </w:tc>
        <w:tc>
          <w:tcPr>
            <w:tcW w:w="1034" w:type="dxa"/>
            <w:tcBorders>
              <w:top w:val="nil"/>
              <w:left w:val="nil"/>
              <w:bottom w:val="nil"/>
              <w:right w:val="nil"/>
            </w:tcBorders>
          </w:tcPr>
          <w:p>
            <w:pPr>
              <w:pStyle w:val="TableParagraph"/>
              <w:ind w:right="41"/>
              <w:rPr>
                <w:rFonts w:ascii="Calibri"/>
                <w:sz w:val="22"/>
              </w:rPr>
            </w:pPr>
            <w:r>
              <w:rPr>
                <w:rFonts w:ascii="Calibri"/>
                <w:w w:val="100"/>
                <w:sz w:val="22"/>
              </w:rPr>
              <w:t>0</w:t>
            </w:r>
          </w:p>
        </w:tc>
        <w:tc>
          <w:tcPr>
            <w:tcW w:w="1057" w:type="dxa"/>
            <w:tcBorders>
              <w:top w:val="nil"/>
              <w:left w:val="nil"/>
              <w:bottom w:val="nil"/>
              <w:right w:val="nil"/>
            </w:tcBorders>
          </w:tcPr>
          <w:p>
            <w:pPr>
              <w:pStyle w:val="TableParagraph"/>
              <w:ind w:right="5"/>
              <w:rPr>
                <w:rFonts w:ascii="Calibri"/>
                <w:sz w:val="22"/>
              </w:rPr>
            </w:pPr>
            <w:r>
              <w:rPr>
                <w:rFonts w:ascii="Calibri"/>
                <w:w w:val="100"/>
                <w:sz w:val="22"/>
              </w:rPr>
              <w:t>4</w:t>
            </w:r>
          </w:p>
        </w:tc>
        <w:tc>
          <w:tcPr>
            <w:tcW w:w="1027" w:type="dxa"/>
            <w:tcBorders>
              <w:top w:val="nil"/>
              <w:left w:val="nil"/>
              <w:bottom w:val="nil"/>
              <w:right w:val="nil"/>
            </w:tcBorders>
          </w:tcPr>
          <w:p>
            <w:pPr>
              <w:pStyle w:val="TableParagraph"/>
              <w:ind w:right="437"/>
              <w:jc w:val="right"/>
              <w:rPr>
                <w:rFonts w:ascii="Calibri"/>
                <w:sz w:val="22"/>
              </w:rPr>
            </w:pPr>
            <w:r>
              <w:rPr>
                <w:rFonts w:ascii="Calibri"/>
                <w:w w:val="100"/>
                <w:sz w:val="22"/>
              </w:rPr>
              <w:t>2</w:t>
            </w:r>
          </w:p>
        </w:tc>
        <w:tc>
          <w:tcPr>
            <w:tcW w:w="990" w:type="dxa"/>
            <w:tcBorders>
              <w:top w:val="nil"/>
              <w:left w:val="nil"/>
              <w:bottom w:val="nil"/>
              <w:right w:val="nil"/>
            </w:tcBorders>
          </w:tcPr>
          <w:p>
            <w:pPr>
              <w:pStyle w:val="TableParagraph"/>
              <w:ind w:left="439"/>
              <w:jc w:val="left"/>
              <w:rPr>
                <w:rFonts w:ascii="Calibri"/>
                <w:sz w:val="22"/>
              </w:rPr>
            </w:pPr>
            <w:r>
              <w:rPr>
                <w:rFonts w:ascii="Calibri"/>
                <w:w w:val="100"/>
                <w:sz w:val="22"/>
              </w:rPr>
              <w:t>0</w:t>
            </w:r>
          </w:p>
        </w:tc>
        <w:tc>
          <w:tcPr>
            <w:tcW w:w="1045" w:type="dxa"/>
            <w:tcBorders>
              <w:top w:val="nil"/>
              <w:left w:val="nil"/>
              <w:bottom w:val="nil"/>
              <w:right w:val="nil"/>
            </w:tcBorders>
          </w:tcPr>
          <w:p>
            <w:pPr>
              <w:pStyle w:val="TableParagraph"/>
              <w:ind w:right="490"/>
              <w:jc w:val="right"/>
              <w:rPr>
                <w:rFonts w:ascii="Calibri"/>
                <w:sz w:val="22"/>
              </w:rPr>
            </w:pPr>
            <w:r>
              <w:rPr>
                <w:rFonts w:ascii="Calibri"/>
                <w:w w:val="100"/>
                <w:sz w:val="22"/>
              </w:rPr>
              <w:t>1</w:t>
            </w:r>
          </w:p>
        </w:tc>
        <w:tc>
          <w:tcPr>
            <w:tcW w:w="1129" w:type="dxa"/>
            <w:tcBorders>
              <w:top w:val="nil"/>
              <w:left w:val="nil"/>
              <w:bottom w:val="nil"/>
              <w:right w:val="nil"/>
            </w:tcBorders>
          </w:tcPr>
          <w:p>
            <w:pPr>
              <w:pStyle w:val="TableParagraph"/>
              <w:ind w:left="482"/>
              <w:jc w:val="left"/>
              <w:rPr>
                <w:rFonts w:ascii="Calibri"/>
                <w:sz w:val="22"/>
              </w:rPr>
            </w:pPr>
            <w:r>
              <w:rPr>
                <w:rFonts w:ascii="Calibri"/>
                <w:w w:val="100"/>
                <w:sz w:val="22"/>
              </w:rPr>
              <w:t>6</w:t>
            </w:r>
          </w:p>
        </w:tc>
        <w:tc>
          <w:tcPr>
            <w:tcW w:w="1030" w:type="dxa"/>
            <w:tcBorders>
              <w:top w:val="nil"/>
              <w:left w:val="nil"/>
              <w:bottom w:val="nil"/>
            </w:tcBorders>
          </w:tcPr>
          <w:p>
            <w:pPr>
              <w:pStyle w:val="TableParagraph"/>
              <w:ind w:left="384" w:right="377"/>
              <w:rPr>
                <w:rFonts w:ascii="Calibri"/>
                <w:sz w:val="22"/>
              </w:rPr>
            </w:pPr>
            <w:r>
              <w:rPr>
                <w:rFonts w:ascii="Calibri"/>
                <w:sz w:val="22"/>
              </w:rPr>
              <w:t>13</w:t>
            </w:r>
          </w:p>
        </w:tc>
      </w:tr>
      <w:tr>
        <w:trPr>
          <w:trHeight w:val="509" w:hRule="exact"/>
        </w:trPr>
        <w:tc>
          <w:tcPr>
            <w:tcW w:w="1030" w:type="dxa"/>
            <w:tcBorders>
              <w:top w:val="nil"/>
              <w:bottom w:val="nil"/>
              <w:right w:val="dotted" w:sz="4" w:space="0" w:color="000000"/>
            </w:tcBorders>
          </w:tcPr>
          <w:p>
            <w:pPr>
              <w:pStyle w:val="TableParagraph"/>
              <w:ind w:left="379" w:right="377"/>
              <w:rPr>
                <w:rFonts w:ascii="Calibri"/>
                <w:sz w:val="22"/>
              </w:rPr>
            </w:pPr>
            <w:r>
              <w:rPr>
                <w:rFonts w:ascii="Calibri"/>
                <w:sz w:val="22"/>
              </w:rPr>
              <w:t>20</w:t>
            </w:r>
          </w:p>
        </w:tc>
        <w:tc>
          <w:tcPr>
            <w:tcW w:w="922" w:type="dxa"/>
            <w:tcBorders>
              <w:top w:val="nil"/>
              <w:left w:val="dotted" w:sz="4" w:space="0" w:color="000000"/>
              <w:bottom w:val="nil"/>
              <w:right w:val="nil"/>
            </w:tcBorders>
          </w:tcPr>
          <w:p>
            <w:pPr>
              <w:pStyle w:val="TableParagraph"/>
              <w:ind w:right="6"/>
              <w:rPr>
                <w:rFonts w:ascii="Calibri"/>
                <w:sz w:val="22"/>
              </w:rPr>
            </w:pPr>
            <w:r>
              <w:rPr>
                <w:rFonts w:ascii="Calibri"/>
                <w:w w:val="100"/>
                <w:sz w:val="22"/>
              </w:rPr>
              <w:t>0</w:t>
            </w:r>
          </w:p>
        </w:tc>
        <w:tc>
          <w:tcPr>
            <w:tcW w:w="1034" w:type="dxa"/>
            <w:tcBorders>
              <w:top w:val="nil"/>
              <w:left w:val="nil"/>
              <w:bottom w:val="nil"/>
              <w:right w:val="nil"/>
            </w:tcBorders>
          </w:tcPr>
          <w:p>
            <w:pPr>
              <w:pStyle w:val="TableParagraph"/>
              <w:ind w:right="41"/>
              <w:rPr>
                <w:rFonts w:ascii="Calibri"/>
                <w:sz w:val="22"/>
              </w:rPr>
            </w:pPr>
            <w:r>
              <w:rPr>
                <w:rFonts w:ascii="Calibri"/>
                <w:w w:val="100"/>
                <w:sz w:val="22"/>
              </w:rPr>
              <w:t>1</w:t>
            </w:r>
          </w:p>
        </w:tc>
        <w:tc>
          <w:tcPr>
            <w:tcW w:w="1057" w:type="dxa"/>
            <w:tcBorders>
              <w:top w:val="nil"/>
              <w:left w:val="nil"/>
              <w:bottom w:val="nil"/>
              <w:right w:val="nil"/>
            </w:tcBorders>
          </w:tcPr>
          <w:p>
            <w:pPr>
              <w:pStyle w:val="TableParagraph"/>
              <w:ind w:left="385" w:right="391"/>
              <w:rPr>
                <w:rFonts w:ascii="Calibri"/>
                <w:sz w:val="22"/>
              </w:rPr>
            </w:pPr>
            <w:r>
              <w:rPr>
                <w:rFonts w:ascii="Calibri"/>
                <w:sz w:val="22"/>
              </w:rPr>
              <w:t>22</w:t>
            </w:r>
          </w:p>
        </w:tc>
        <w:tc>
          <w:tcPr>
            <w:tcW w:w="1027" w:type="dxa"/>
            <w:tcBorders>
              <w:top w:val="nil"/>
              <w:left w:val="nil"/>
              <w:bottom w:val="nil"/>
              <w:right w:val="nil"/>
            </w:tcBorders>
          </w:tcPr>
          <w:p>
            <w:pPr>
              <w:pStyle w:val="TableParagraph"/>
              <w:ind w:right="437"/>
              <w:jc w:val="right"/>
              <w:rPr>
                <w:rFonts w:ascii="Calibri"/>
                <w:sz w:val="22"/>
              </w:rPr>
            </w:pPr>
            <w:r>
              <w:rPr>
                <w:rFonts w:ascii="Calibri"/>
                <w:w w:val="100"/>
                <w:sz w:val="22"/>
              </w:rPr>
              <w:t>8</w:t>
            </w:r>
          </w:p>
        </w:tc>
        <w:tc>
          <w:tcPr>
            <w:tcW w:w="990" w:type="dxa"/>
            <w:tcBorders>
              <w:top w:val="nil"/>
              <w:left w:val="nil"/>
              <w:bottom w:val="nil"/>
              <w:right w:val="nil"/>
            </w:tcBorders>
          </w:tcPr>
          <w:p>
            <w:pPr>
              <w:pStyle w:val="TableParagraph"/>
              <w:ind w:left="439"/>
              <w:jc w:val="left"/>
              <w:rPr>
                <w:rFonts w:ascii="Calibri"/>
                <w:sz w:val="22"/>
              </w:rPr>
            </w:pPr>
            <w:r>
              <w:rPr>
                <w:rFonts w:ascii="Calibri"/>
                <w:w w:val="100"/>
                <w:sz w:val="22"/>
              </w:rPr>
              <w:t>1</w:t>
            </w:r>
          </w:p>
        </w:tc>
        <w:tc>
          <w:tcPr>
            <w:tcW w:w="1045" w:type="dxa"/>
            <w:tcBorders>
              <w:top w:val="nil"/>
              <w:left w:val="nil"/>
              <w:bottom w:val="nil"/>
              <w:right w:val="nil"/>
            </w:tcBorders>
          </w:tcPr>
          <w:p>
            <w:pPr>
              <w:pStyle w:val="TableParagraph"/>
              <w:ind w:right="490"/>
              <w:jc w:val="right"/>
              <w:rPr>
                <w:rFonts w:ascii="Calibri"/>
                <w:sz w:val="22"/>
              </w:rPr>
            </w:pPr>
            <w:r>
              <w:rPr>
                <w:rFonts w:ascii="Calibri"/>
                <w:w w:val="100"/>
                <w:sz w:val="22"/>
              </w:rPr>
              <w:t>1</w:t>
            </w:r>
          </w:p>
        </w:tc>
        <w:tc>
          <w:tcPr>
            <w:tcW w:w="1129" w:type="dxa"/>
            <w:tcBorders>
              <w:top w:val="nil"/>
              <w:left w:val="nil"/>
              <w:bottom w:val="nil"/>
              <w:right w:val="nil"/>
            </w:tcBorders>
          </w:tcPr>
          <w:p>
            <w:pPr>
              <w:pStyle w:val="TableParagraph"/>
              <w:ind w:left="482"/>
              <w:jc w:val="left"/>
              <w:rPr>
                <w:rFonts w:ascii="Calibri"/>
                <w:sz w:val="22"/>
              </w:rPr>
            </w:pPr>
            <w:r>
              <w:rPr>
                <w:rFonts w:ascii="Calibri"/>
                <w:w w:val="100"/>
                <w:sz w:val="22"/>
              </w:rPr>
              <w:t>3</w:t>
            </w:r>
          </w:p>
        </w:tc>
        <w:tc>
          <w:tcPr>
            <w:tcW w:w="1030" w:type="dxa"/>
            <w:tcBorders>
              <w:top w:val="nil"/>
              <w:left w:val="nil"/>
              <w:bottom w:val="nil"/>
            </w:tcBorders>
          </w:tcPr>
          <w:p>
            <w:pPr>
              <w:pStyle w:val="TableParagraph"/>
              <w:ind w:left="384" w:right="377"/>
              <w:rPr>
                <w:rFonts w:ascii="Calibri"/>
                <w:sz w:val="22"/>
              </w:rPr>
            </w:pPr>
            <w:r>
              <w:rPr>
                <w:rFonts w:ascii="Calibri"/>
                <w:sz w:val="22"/>
              </w:rPr>
              <w:t>36</w:t>
            </w:r>
          </w:p>
        </w:tc>
      </w:tr>
      <w:tr>
        <w:trPr>
          <w:trHeight w:val="617" w:hRule="exact"/>
        </w:trPr>
        <w:tc>
          <w:tcPr>
            <w:tcW w:w="1030" w:type="dxa"/>
            <w:tcBorders>
              <w:top w:val="nil"/>
              <w:bottom w:val="dotted" w:sz="4" w:space="0" w:color="000000"/>
              <w:right w:val="dotted" w:sz="4" w:space="0" w:color="000000"/>
            </w:tcBorders>
          </w:tcPr>
          <w:p>
            <w:pPr>
              <w:pStyle w:val="TableParagraph"/>
              <w:ind w:left="379" w:right="377"/>
              <w:rPr>
                <w:rFonts w:ascii="Calibri"/>
                <w:sz w:val="22"/>
              </w:rPr>
            </w:pPr>
            <w:r>
              <w:rPr>
                <w:rFonts w:ascii="Calibri"/>
                <w:sz w:val="22"/>
              </w:rPr>
              <w:t>21</w:t>
            </w:r>
          </w:p>
        </w:tc>
        <w:tc>
          <w:tcPr>
            <w:tcW w:w="922" w:type="dxa"/>
            <w:tcBorders>
              <w:top w:val="nil"/>
              <w:left w:val="dotted" w:sz="4" w:space="0" w:color="000000"/>
              <w:bottom w:val="dotted" w:sz="4" w:space="0" w:color="000000"/>
              <w:right w:val="nil"/>
            </w:tcBorders>
          </w:tcPr>
          <w:p>
            <w:pPr>
              <w:pStyle w:val="TableParagraph"/>
              <w:ind w:right="6"/>
              <w:rPr>
                <w:rFonts w:ascii="Calibri"/>
                <w:sz w:val="22"/>
              </w:rPr>
            </w:pPr>
            <w:r>
              <w:rPr>
                <w:rFonts w:ascii="Calibri"/>
                <w:w w:val="100"/>
                <w:sz w:val="22"/>
              </w:rPr>
              <w:t>0</w:t>
            </w:r>
          </w:p>
        </w:tc>
        <w:tc>
          <w:tcPr>
            <w:tcW w:w="1034" w:type="dxa"/>
            <w:tcBorders>
              <w:top w:val="nil"/>
              <w:left w:val="nil"/>
              <w:bottom w:val="dotted" w:sz="4" w:space="0" w:color="000000"/>
              <w:right w:val="nil"/>
            </w:tcBorders>
          </w:tcPr>
          <w:p>
            <w:pPr>
              <w:pStyle w:val="TableParagraph"/>
              <w:ind w:right="41"/>
              <w:rPr>
                <w:rFonts w:ascii="Calibri"/>
                <w:sz w:val="22"/>
              </w:rPr>
            </w:pPr>
            <w:r>
              <w:rPr>
                <w:rFonts w:ascii="Calibri"/>
                <w:w w:val="100"/>
                <w:sz w:val="22"/>
              </w:rPr>
              <w:t>1</w:t>
            </w:r>
          </w:p>
        </w:tc>
        <w:tc>
          <w:tcPr>
            <w:tcW w:w="1057" w:type="dxa"/>
            <w:tcBorders>
              <w:top w:val="nil"/>
              <w:left w:val="nil"/>
              <w:bottom w:val="dotted" w:sz="4" w:space="0" w:color="000000"/>
              <w:right w:val="nil"/>
            </w:tcBorders>
          </w:tcPr>
          <w:p>
            <w:pPr>
              <w:pStyle w:val="TableParagraph"/>
              <w:ind w:left="385" w:right="391"/>
              <w:rPr>
                <w:rFonts w:ascii="Calibri"/>
                <w:sz w:val="22"/>
              </w:rPr>
            </w:pPr>
            <w:r>
              <w:rPr>
                <w:rFonts w:ascii="Calibri"/>
                <w:sz w:val="22"/>
              </w:rPr>
              <w:t>27</w:t>
            </w:r>
          </w:p>
        </w:tc>
        <w:tc>
          <w:tcPr>
            <w:tcW w:w="1027" w:type="dxa"/>
            <w:tcBorders>
              <w:top w:val="nil"/>
              <w:left w:val="nil"/>
              <w:bottom w:val="dotted" w:sz="4" w:space="0" w:color="000000"/>
              <w:right w:val="nil"/>
            </w:tcBorders>
          </w:tcPr>
          <w:p>
            <w:pPr>
              <w:pStyle w:val="TableParagraph"/>
              <w:ind w:right="381"/>
              <w:jc w:val="right"/>
              <w:rPr>
                <w:rFonts w:ascii="Calibri"/>
                <w:sz w:val="22"/>
              </w:rPr>
            </w:pPr>
            <w:r>
              <w:rPr>
                <w:rFonts w:ascii="Calibri"/>
                <w:sz w:val="22"/>
              </w:rPr>
              <w:t>11</w:t>
            </w:r>
          </w:p>
        </w:tc>
        <w:tc>
          <w:tcPr>
            <w:tcW w:w="990" w:type="dxa"/>
            <w:tcBorders>
              <w:top w:val="nil"/>
              <w:left w:val="nil"/>
              <w:bottom w:val="dotted" w:sz="4" w:space="0" w:color="000000"/>
              <w:right w:val="nil"/>
            </w:tcBorders>
          </w:tcPr>
          <w:p>
            <w:pPr>
              <w:pStyle w:val="TableParagraph"/>
              <w:ind w:left="439"/>
              <w:jc w:val="left"/>
              <w:rPr>
                <w:rFonts w:ascii="Calibri"/>
                <w:sz w:val="22"/>
              </w:rPr>
            </w:pPr>
            <w:r>
              <w:rPr>
                <w:rFonts w:ascii="Calibri"/>
                <w:w w:val="100"/>
                <w:sz w:val="22"/>
              </w:rPr>
              <w:t>0</w:t>
            </w:r>
          </w:p>
        </w:tc>
        <w:tc>
          <w:tcPr>
            <w:tcW w:w="1045" w:type="dxa"/>
            <w:tcBorders>
              <w:top w:val="nil"/>
              <w:left w:val="nil"/>
              <w:bottom w:val="dotted" w:sz="4" w:space="0" w:color="000000"/>
              <w:right w:val="nil"/>
            </w:tcBorders>
          </w:tcPr>
          <w:p>
            <w:pPr>
              <w:pStyle w:val="TableParagraph"/>
              <w:ind w:right="490"/>
              <w:jc w:val="right"/>
              <w:rPr>
                <w:rFonts w:ascii="Calibri"/>
                <w:sz w:val="22"/>
              </w:rPr>
            </w:pPr>
            <w:r>
              <w:rPr>
                <w:rFonts w:ascii="Calibri"/>
                <w:w w:val="100"/>
                <w:sz w:val="22"/>
              </w:rPr>
              <w:t>0</w:t>
            </w:r>
          </w:p>
        </w:tc>
        <w:tc>
          <w:tcPr>
            <w:tcW w:w="1129" w:type="dxa"/>
            <w:tcBorders>
              <w:top w:val="nil"/>
              <w:left w:val="nil"/>
              <w:bottom w:val="dotted" w:sz="4" w:space="0" w:color="000000"/>
              <w:right w:val="nil"/>
            </w:tcBorders>
          </w:tcPr>
          <w:p>
            <w:pPr>
              <w:pStyle w:val="TableParagraph"/>
              <w:ind w:left="482"/>
              <w:jc w:val="left"/>
              <w:rPr>
                <w:rFonts w:ascii="Calibri"/>
                <w:sz w:val="22"/>
              </w:rPr>
            </w:pPr>
            <w:r>
              <w:rPr>
                <w:rFonts w:ascii="Calibri"/>
                <w:w w:val="100"/>
                <w:sz w:val="22"/>
              </w:rPr>
              <w:t>0</w:t>
            </w:r>
          </w:p>
        </w:tc>
        <w:tc>
          <w:tcPr>
            <w:tcW w:w="1030" w:type="dxa"/>
            <w:tcBorders>
              <w:top w:val="nil"/>
              <w:left w:val="nil"/>
              <w:bottom w:val="dotted" w:sz="4" w:space="0" w:color="000000"/>
            </w:tcBorders>
          </w:tcPr>
          <w:p>
            <w:pPr>
              <w:pStyle w:val="TableParagraph"/>
              <w:ind w:left="384" w:right="377"/>
              <w:rPr>
                <w:rFonts w:ascii="Calibri"/>
                <w:sz w:val="22"/>
              </w:rPr>
            </w:pPr>
            <w:r>
              <w:rPr>
                <w:rFonts w:ascii="Calibri"/>
                <w:sz w:val="22"/>
              </w:rPr>
              <w:t>39</w:t>
            </w:r>
          </w:p>
        </w:tc>
      </w:tr>
    </w:tbl>
    <w:p>
      <w:pPr>
        <w:spacing w:after="0"/>
        <w:rPr>
          <w:rFonts w:ascii="Calibri"/>
          <w:sz w:val="22"/>
        </w:rPr>
        <w:sectPr>
          <w:pgSz w:w="12240" w:h="15840"/>
          <w:pgMar w:header="0" w:footer="534" w:top="1500" w:bottom="780" w:left="0" w:right="0"/>
        </w:sectPr>
      </w:pPr>
    </w:p>
    <w:p>
      <w:pPr>
        <w:pStyle w:val="BodyText"/>
        <w:spacing w:before="6"/>
        <w:rPr>
          <w:rFonts w:ascii="Times New Roman"/>
          <w:sz w:val="17"/>
        </w:rPr>
      </w:pPr>
    </w:p>
    <w:tbl>
      <w:tblPr>
        <w:tblW w:w="0" w:type="auto"/>
        <w:jc w:val="left"/>
        <w:tblInd w:w="1344"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CellMar>
          <w:top w:w="0" w:type="dxa"/>
          <w:left w:w="0" w:type="dxa"/>
          <w:bottom w:w="0" w:type="dxa"/>
          <w:right w:w="0" w:type="dxa"/>
        </w:tblCellMar>
        <w:tblLook w:val="01E0"/>
      </w:tblPr>
      <w:tblGrid>
        <w:gridCol w:w="1030"/>
        <w:gridCol w:w="938"/>
        <w:gridCol w:w="982"/>
        <w:gridCol w:w="1091"/>
        <w:gridCol w:w="1029"/>
        <w:gridCol w:w="993"/>
        <w:gridCol w:w="1039"/>
        <w:gridCol w:w="1068"/>
        <w:gridCol w:w="1094"/>
      </w:tblGrid>
      <w:tr>
        <w:trPr>
          <w:trHeight w:val="413" w:hRule="exact"/>
        </w:trPr>
        <w:tc>
          <w:tcPr>
            <w:tcW w:w="1030" w:type="dxa"/>
            <w:tcBorders>
              <w:left w:val="single" w:sz="4" w:space="0" w:color="000000"/>
              <w:bottom w:val="nil"/>
            </w:tcBorders>
          </w:tcPr>
          <w:p>
            <w:pPr>
              <w:pStyle w:val="TableParagraph"/>
              <w:spacing w:line="268" w:lineRule="exact" w:before="0"/>
              <w:ind w:left="379" w:right="377"/>
              <w:rPr>
                <w:rFonts w:ascii="Calibri"/>
                <w:sz w:val="22"/>
              </w:rPr>
            </w:pPr>
            <w:r>
              <w:rPr>
                <w:rFonts w:ascii="Calibri"/>
                <w:sz w:val="22"/>
              </w:rPr>
              <w:t>22</w:t>
            </w:r>
          </w:p>
        </w:tc>
        <w:tc>
          <w:tcPr>
            <w:tcW w:w="938" w:type="dxa"/>
            <w:tcBorders>
              <w:bottom w:val="nil"/>
              <w:right w:val="nil"/>
            </w:tcBorders>
          </w:tcPr>
          <w:p>
            <w:pPr>
              <w:pStyle w:val="TableParagraph"/>
              <w:spacing w:line="268" w:lineRule="exact" w:before="0"/>
              <w:ind w:right="22"/>
              <w:rPr>
                <w:rFonts w:ascii="Calibri"/>
                <w:sz w:val="22"/>
              </w:rPr>
            </w:pPr>
            <w:r>
              <w:rPr>
                <w:rFonts w:ascii="Calibri"/>
                <w:w w:val="100"/>
                <w:sz w:val="22"/>
              </w:rPr>
              <w:t>0</w:t>
            </w:r>
          </w:p>
        </w:tc>
        <w:tc>
          <w:tcPr>
            <w:tcW w:w="982" w:type="dxa"/>
            <w:tcBorders>
              <w:left w:val="nil"/>
              <w:bottom w:val="nil"/>
              <w:right w:val="nil"/>
            </w:tcBorders>
          </w:tcPr>
          <w:p>
            <w:pPr>
              <w:pStyle w:val="TableParagraph"/>
              <w:spacing w:line="268" w:lineRule="exact" w:before="0"/>
              <w:ind w:right="22"/>
              <w:rPr>
                <w:rFonts w:ascii="Calibri"/>
                <w:sz w:val="22"/>
              </w:rPr>
            </w:pPr>
            <w:r>
              <w:rPr>
                <w:rFonts w:ascii="Calibri"/>
                <w:w w:val="100"/>
                <w:sz w:val="22"/>
              </w:rPr>
              <w:t>1</w:t>
            </w:r>
          </w:p>
        </w:tc>
        <w:tc>
          <w:tcPr>
            <w:tcW w:w="1091" w:type="dxa"/>
            <w:tcBorders>
              <w:left w:val="nil"/>
              <w:bottom w:val="nil"/>
              <w:right w:val="nil"/>
            </w:tcBorders>
          </w:tcPr>
          <w:p>
            <w:pPr>
              <w:pStyle w:val="TableParagraph"/>
              <w:spacing w:line="268" w:lineRule="exact" w:before="0"/>
              <w:ind w:left="428" w:right="400"/>
              <w:rPr>
                <w:rFonts w:ascii="Calibri"/>
                <w:sz w:val="22"/>
              </w:rPr>
            </w:pPr>
            <w:r>
              <w:rPr>
                <w:rFonts w:ascii="Calibri"/>
                <w:sz w:val="22"/>
              </w:rPr>
              <w:t>15</w:t>
            </w:r>
          </w:p>
        </w:tc>
        <w:tc>
          <w:tcPr>
            <w:tcW w:w="1029" w:type="dxa"/>
            <w:tcBorders>
              <w:left w:val="nil"/>
              <w:bottom w:val="nil"/>
              <w:right w:val="nil"/>
            </w:tcBorders>
          </w:tcPr>
          <w:p>
            <w:pPr>
              <w:pStyle w:val="TableParagraph"/>
              <w:spacing w:line="268" w:lineRule="exact" w:before="0"/>
              <w:ind w:right="381"/>
              <w:jc w:val="right"/>
              <w:rPr>
                <w:rFonts w:ascii="Calibri"/>
                <w:sz w:val="22"/>
              </w:rPr>
            </w:pPr>
            <w:r>
              <w:rPr>
                <w:rFonts w:ascii="Calibri"/>
                <w:sz w:val="22"/>
              </w:rPr>
              <w:t>20</w:t>
            </w:r>
          </w:p>
        </w:tc>
        <w:tc>
          <w:tcPr>
            <w:tcW w:w="993" w:type="dxa"/>
            <w:tcBorders>
              <w:left w:val="nil"/>
              <w:bottom w:val="nil"/>
              <w:right w:val="nil"/>
            </w:tcBorders>
          </w:tcPr>
          <w:p>
            <w:pPr>
              <w:pStyle w:val="TableParagraph"/>
              <w:spacing w:line="268" w:lineRule="exact" w:before="0"/>
              <w:ind w:left="439"/>
              <w:jc w:val="left"/>
              <w:rPr>
                <w:rFonts w:ascii="Calibri"/>
                <w:sz w:val="22"/>
              </w:rPr>
            </w:pPr>
            <w:r>
              <w:rPr>
                <w:rFonts w:ascii="Calibri"/>
                <w:w w:val="100"/>
                <w:sz w:val="22"/>
              </w:rPr>
              <w:t>1</w:t>
            </w:r>
          </w:p>
        </w:tc>
        <w:tc>
          <w:tcPr>
            <w:tcW w:w="1039" w:type="dxa"/>
            <w:tcBorders>
              <w:left w:val="nil"/>
              <w:bottom w:val="nil"/>
              <w:right w:val="nil"/>
            </w:tcBorders>
          </w:tcPr>
          <w:p>
            <w:pPr>
              <w:pStyle w:val="TableParagraph"/>
              <w:spacing w:line="268" w:lineRule="exact" w:before="0"/>
              <w:ind w:right="486"/>
              <w:jc w:val="right"/>
              <w:rPr>
                <w:rFonts w:ascii="Calibri"/>
                <w:sz w:val="22"/>
              </w:rPr>
            </w:pPr>
            <w:r>
              <w:rPr>
                <w:rFonts w:ascii="Calibri"/>
                <w:w w:val="100"/>
                <w:sz w:val="22"/>
              </w:rPr>
              <w:t>0</w:t>
            </w:r>
          </w:p>
        </w:tc>
        <w:tc>
          <w:tcPr>
            <w:tcW w:w="1068" w:type="dxa"/>
            <w:tcBorders>
              <w:left w:val="nil"/>
              <w:bottom w:val="nil"/>
              <w:right w:val="nil"/>
            </w:tcBorders>
          </w:tcPr>
          <w:p>
            <w:pPr>
              <w:pStyle w:val="TableParagraph"/>
              <w:spacing w:line="268" w:lineRule="exact" w:before="0"/>
              <w:ind w:left="486"/>
              <w:jc w:val="left"/>
              <w:rPr>
                <w:rFonts w:ascii="Calibri"/>
                <w:sz w:val="22"/>
              </w:rPr>
            </w:pPr>
            <w:r>
              <w:rPr>
                <w:rFonts w:ascii="Calibri"/>
                <w:w w:val="100"/>
                <w:sz w:val="22"/>
              </w:rPr>
              <w:t>8</w:t>
            </w:r>
          </w:p>
        </w:tc>
        <w:tc>
          <w:tcPr>
            <w:tcW w:w="1094" w:type="dxa"/>
            <w:tcBorders>
              <w:left w:val="nil"/>
              <w:bottom w:val="nil"/>
              <w:right w:val="single" w:sz="4" w:space="0" w:color="000000"/>
            </w:tcBorders>
          </w:tcPr>
          <w:p>
            <w:pPr>
              <w:pStyle w:val="TableParagraph"/>
              <w:spacing w:line="268" w:lineRule="exact" w:before="0"/>
              <w:ind w:left="392" w:right="321"/>
              <w:rPr>
                <w:rFonts w:ascii="Calibri"/>
                <w:sz w:val="22"/>
              </w:rPr>
            </w:pPr>
            <w:r>
              <w:rPr>
                <w:rFonts w:ascii="Calibri"/>
                <w:sz w:val="22"/>
              </w:rPr>
              <w:t>45</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23</w:t>
            </w:r>
          </w:p>
        </w:tc>
        <w:tc>
          <w:tcPr>
            <w:tcW w:w="938" w:type="dxa"/>
            <w:tcBorders>
              <w:top w:val="nil"/>
              <w:bottom w:val="nil"/>
              <w:right w:val="nil"/>
            </w:tcBorders>
          </w:tcPr>
          <w:p>
            <w:pPr>
              <w:pStyle w:val="TableParagraph"/>
              <w:ind w:right="22"/>
              <w:rPr>
                <w:rFonts w:ascii="Calibri"/>
                <w:sz w:val="22"/>
              </w:rPr>
            </w:pPr>
            <w:r>
              <w:rPr>
                <w:rFonts w:ascii="Calibri"/>
                <w:w w:val="100"/>
                <w:sz w:val="22"/>
              </w:rPr>
              <w:t>0</w:t>
            </w:r>
          </w:p>
        </w:tc>
        <w:tc>
          <w:tcPr>
            <w:tcW w:w="982" w:type="dxa"/>
            <w:tcBorders>
              <w:top w:val="nil"/>
              <w:left w:val="nil"/>
              <w:bottom w:val="nil"/>
              <w:right w:val="nil"/>
            </w:tcBorders>
          </w:tcPr>
          <w:p>
            <w:pPr>
              <w:pStyle w:val="TableParagraph"/>
              <w:ind w:right="22"/>
              <w:rPr>
                <w:rFonts w:ascii="Calibri"/>
                <w:sz w:val="22"/>
              </w:rPr>
            </w:pPr>
            <w:r>
              <w:rPr>
                <w:rFonts w:ascii="Calibri"/>
                <w:w w:val="100"/>
                <w:sz w:val="22"/>
              </w:rPr>
              <w:t>4</w:t>
            </w:r>
          </w:p>
        </w:tc>
        <w:tc>
          <w:tcPr>
            <w:tcW w:w="1091" w:type="dxa"/>
            <w:tcBorders>
              <w:top w:val="nil"/>
              <w:left w:val="nil"/>
              <w:bottom w:val="nil"/>
              <w:right w:val="nil"/>
            </w:tcBorders>
          </w:tcPr>
          <w:p>
            <w:pPr>
              <w:pStyle w:val="TableParagraph"/>
              <w:ind w:left="428" w:right="400"/>
              <w:rPr>
                <w:rFonts w:ascii="Calibri"/>
                <w:sz w:val="22"/>
              </w:rPr>
            </w:pPr>
            <w:r>
              <w:rPr>
                <w:rFonts w:ascii="Calibri"/>
                <w:sz w:val="22"/>
              </w:rPr>
              <w:t>14</w:t>
            </w:r>
          </w:p>
        </w:tc>
        <w:tc>
          <w:tcPr>
            <w:tcW w:w="1029" w:type="dxa"/>
            <w:tcBorders>
              <w:top w:val="nil"/>
              <w:left w:val="nil"/>
              <w:bottom w:val="nil"/>
              <w:right w:val="nil"/>
            </w:tcBorders>
          </w:tcPr>
          <w:p>
            <w:pPr>
              <w:pStyle w:val="TableParagraph"/>
              <w:ind w:right="381"/>
              <w:jc w:val="right"/>
              <w:rPr>
                <w:rFonts w:ascii="Calibri"/>
                <w:sz w:val="22"/>
              </w:rPr>
            </w:pPr>
            <w:r>
              <w:rPr>
                <w:rFonts w:ascii="Calibri"/>
                <w:sz w:val="22"/>
              </w:rPr>
              <w:t>24</w:t>
            </w:r>
          </w:p>
        </w:tc>
        <w:tc>
          <w:tcPr>
            <w:tcW w:w="993" w:type="dxa"/>
            <w:tcBorders>
              <w:top w:val="nil"/>
              <w:left w:val="nil"/>
              <w:bottom w:val="nil"/>
              <w:right w:val="nil"/>
            </w:tcBorders>
          </w:tcPr>
          <w:p>
            <w:pPr>
              <w:pStyle w:val="TableParagraph"/>
              <w:ind w:left="439"/>
              <w:jc w:val="left"/>
              <w:rPr>
                <w:rFonts w:ascii="Calibri"/>
                <w:sz w:val="22"/>
              </w:rPr>
            </w:pPr>
            <w:r>
              <w:rPr>
                <w:rFonts w:ascii="Calibri"/>
                <w:w w:val="100"/>
                <w:sz w:val="22"/>
              </w:rPr>
              <w:t>0</w:t>
            </w:r>
          </w:p>
        </w:tc>
        <w:tc>
          <w:tcPr>
            <w:tcW w:w="1039" w:type="dxa"/>
            <w:tcBorders>
              <w:top w:val="nil"/>
              <w:left w:val="nil"/>
              <w:bottom w:val="nil"/>
              <w:right w:val="nil"/>
            </w:tcBorders>
          </w:tcPr>
          <w:p>
            <w:pPr>
              <w:pStyle w:val="TableParagraph"/>
              <w:ind w:right="486"/>
              <w:jc w:val="right"/>
              <w:rPr>
                <w:rFonts w:ascii="Calibri"/>
                <w:sz w:val="22"/>
              </w:rPr>
            </w:pPr>
            <w:r>
              <w:rPr>
                <w:rFonts w:ascii="Calibri"/>
                <w:w w:val="100"/>
                <w:sz w:val="22"/>
              </w:rPr>
              <w:t>4</w:t>
            </w:r>
          </w:p>
        </w:tc>
        <w:tc>
          <w:tcPr>
            <w:tcW w:w="1068" w:type="dxa"/>
            <w:tcBorders>
              <w:top w:val="nil"/>
              <w:left w:val="nil"/>
              <w:bottom w:val="nil"/>
              <w:right w:val="nil"/>
            </w:tcBorders>
          </w:tcPr>
          <w:p>
            <w:pPr>
              <w:pStyle w:val="TableParagraph"/>
              <w:ind w:left="431"/>
              <w:jc w:val="left"/>
              <w:rPr>
                <w:rFonts w:ascii="Calibri"/>
                <w:sz w:val="22"/>
              </w:rPr>
            </w:pPr>
            <w:r>
              <w:rPr>
                <w:rFonts w:ascii="Calibri"/>
                <w:sz w:val="22"/>
              </w:rPr>
              <w:t>14</w:t>
            </w:r>
          </w:p>
        </w:tc>
        <w:tc>
          <w:tcPr>
            <w:tcW w:w="1094" w:type="dxa"/>
            <w:tcBorders>
              <w:top w:val="nil"/>
              <w:left w:val="nil"/>
              <w:bottom w:val="nil"/>
              <w:right w:val="single" w:sz="4" w:space="0" w:color="000000"/>
            </w:tcBorders>
          </w:tcPr>
          <w:p>
            <w:pPr>
              <w:pStyle w:val="TableParagraph"/>
              <w:ind w:left="392" w:right="321"/>
              <w:rPr>
                <w:rFonts w:ascii="Calibri"/>
                <w:sz w:val="22"/>
              </w:rPr>
            </w:pPr>
            <w:r>
              <w:rPr>
                <w:rFonts w:ascii="Calibri"/>
                <w:sz w:val="22"/>
              </w:rPr>
              <w:t>60</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24</w:t>
            </w:r>
          </w:p>
        </w:tc>
        <w:tc>
          <w:tcPr>
            <w:tcW w:w="938" w:type="dxa"/>
            <w:tcBorders>
              <w:top w:val="nil"/>
              <w:bottom w:val="nil"/>
              <w:right w:val="nil"/>
            </w:tcBorders>
          </w:tcPr>
          <w:p>
            <w:pPr>
              <w:pStyle w:val="TableParagraph"/>
              <w:ind w:right="22"/>
              <w:rPr>
                <w:rFonts w:ascii="Calibri"/>
                <w:sz w:val="22"/>
              </w:rPr>
            </w:pPr>
            <w:r>
              <w:rPr>
                <w:rFonts w:ascii="Calibri"/>
                <w:w w:val="100"/>
                <w:sz w:val="22"/>
              </w:rPr>
              <w:t>1</w:t>
            </w:r>
          </w:p>
        </w:tc>
        <w:tc>
          <w:tcPr>
            <w:tcW w:w="982" w:type="dxa"/>
            <w:tcBorders>
              <w:top w:val="nil"/>
              <w:left w:val="nil"/>
              <w:bottom w:val="nil"/>
              <w:right w:val="nil"/>
            </w:tcBorders>
          </w:tcPr>
          <w:p>
            <w:pPr>
              <w:pStyle w:val="TableParagraph"/>
              <w:ind w:right="22"/>
              <w:rPr>
                <w:rFonts w:ascii="Calibri"/>
                <w:sz w:val="22"/>
              </w:rPr>
            </w:pPr>
            <w:r>
              <w:rPr>
                <w:rFonts w:ascii="Calibri"/>
                <w:w w:val="100"/>
                <w:sz w:val="22"/>
              </w:rPr>
              <w:t>2</w:t>
            </w:r>
          </w:p>
        </w:tc>
        <w:tc>
          <w:tcPr>
            <w:tcW w:w="1091" w:type="dxa"/>
            <w:tcBorders>
              <w:top w:val="nil"/>
              <w:left w:val="nil"/>
              <w:bottom w:val="nil"/>
              <w:right w:val="nil"/>
            </w:tcBorders>
          </w:tcPr>
          <w:p>
            <w:pPr>
              <w:pStyle w:val="TableParagraph"/>
              <w:ind w:left="428" w:right="400"/>
              <w:rPr>
                <w:rFonts w:ascii="Calibri"/>
                <w:sz w:val="22"/>
              </w:rPr>
            </w:pPr>
            <w:r>
              <w:rPr>
                <w:rFonts w:ascii="Calibri"/>
                <w:sz w:val="22"/>
              </w:rPr>
              <w:t>15</w:t>
            </w:r>
          </w:p>
        </w:tc>
        <w:tc>
          <w:tcPr>
            <w:tcW w:w="1029" w:type="dxa"/>
            <w:tcBorders>
              <w:top w:val="nil"/>
              <w:left w:val="nil"/>
              <w:bottom w:val="nil"/>
              <w:right w:val="nil"/>
            </w:tcBorders>
          </w:tcPr>
          <w:p>
            <w:pPr>
              <w:pStyle w:val="TableParagraph"/>
              <w:ind w:right="381"/>
              <w:jc w:val="right"/>
              <w:rPr>
                <w:rFonts w:ascii="Calibri"/>
                <w:sz w:val="22"/>
              </w:rPr>
            </w:pPr>
            <w:r>
              <w:rPr>
                <w:rFonts w:ascii="Calibri"/>
                <w:sz w:val="22"/>
              </w:rPr>
              <w:t>11</w:t>
            </w:r>
          </w:p>
        </w:tc>
        <w:tc>
          <w:tcPr>
            <w:tcW w:w="993" w:type="dxa"/>
            <w:tcBorders>
              <w:top w:val="nil"/>
              <w:left w:val="nil"/>
              <w:bottom w:val="nil"/>
              <w:right w:val="nil"/>
            </w:tcBorders>
          </w:tcPr>
          <w:p>
            <w:pPr>
              <w:pStyle w:val="TableParagraph"/>
              <w:ind w:left="384"/>
              <w:jc w:val="left"/>
              <w:rPr>
                <w:rFonts w:ascii="Calibri"/>
                <w:sz w:val="22"/>
              </w:rPr>
            </w:pPr>
            <w:r>
              <w:rPr>
                <w:rFonts w:ascii="Calibri"/>
                <w:sz w:val="22"/>
              </w:rPr>
              <w:t>11</w:t>
            </w:r>
          </w:p>
        </w:tc>
        <w:tc>
          <w:tcPr>
            <w:tcW w:w="1039" w:type="dxa"/>
            <w:tcBorders>
              <w:top w:val="nil"/>
              <w:left w:val="nil"/>
              <w:bottom w:val="nil"/>
              <w:right w:val="nil"/>
            </w:tcBorders>
          </w:tcPr>
          <w:p>
            <w:pPr>
              <w:pStyle w:val="TableParagraph"/>
              <w:ind w:right="486"/>
              <w:jc w:val="right"/>
              <w:rPr>
                <w:rFonts w:ascii="Calibri"/>
                <w:sz w:val="22"/>
              </w:rPr>
            </w:pPr>
            <w:r>
              <w:rPr>
                <w:rFonts w:ascii="Calibri"/>
                <w:w w:val="100"/>
                <w:sz w:val="22"/>
              </w:rPr>
              <w:t>5</w:t>
            </w:r>
          </w:p>
        </w:tc>
        <w:tc>
          <w:tcPr>
            <w:tcW w:w="1068" w:type="dxa"/>
            <w:tcBorders>
              <w:top w:val="nil"/>
              <w:left w:val="nil"/>
              <w:bottom w:val="nil"/>
              <w:right w:val="nil"/>
            </w:tcBorders>
          </w:tcPr>
          <w:p>
            <w:pPr>
              <w:pStyle w:val="TableParagraph"/>
              <w:ind w:left="431"/>
              <w:jc w:val="left"/>
              <w:rPr>
                <w:rFonts w:ascii="Calibri"/>
                <w:sz w:val="22"/>
              </w:rPr>
            </w:pPr>
            <w:r>
              <w:rPr>
                <w:rFonts w:ascii="Calibri"/>
                <w:sz w:val="22"/>
              </w:rPr>
              <w:t>36</w:t>
            </w:r>
          </w:p>
        </w:tc>
        <w:tc>
          <w:tcPr>
            <w:tcW w:w="1094" w:type="dxa"/>
            <w:tcBorders>
              <w:top w:val="nil"/>
              <w:left w:val="nil"/>
              <w:bottom w:val="nil"/>
              <w:right w:val="single" w:sz="4" w:space="0" w:color="000000"/>
            </w:tcBorders>
          </w:tcPr>
          <w:p>
            <w:pPr>
              <w:pStyle w:val="TableParagraph"/>
              <w:ind w:left="392" w:right="321"/>
              <w:rPr>
                <w:rFonts w:ascii="Calibri"/>
                <w:sz w:val="22"/>
              </w:rPr>
            </w:pPr>
            <w:r>
              <w:rPr>
                <w:rFonts w:ascii="Calibri"/>
                <w:sz w:val="22"/>
              </w:rPr>
              <w:t>80</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25</w:t>
            </w:r>
          </w:p>
        </w:tc>
        <w:tc>
          <w:tcPr>
            <w:tcW w:w="938" w:type="dxa"/>
            <w:tcBorders>
              <w:top w:val="nil"/>
              <w:bottom w:val="nil"/>
              <w:right w:val="nil"/>
            </w:tcBorders>
          </w:tcPr>
          <w:p>
            <w:pPr>
              <w:pStyle w:val="TableParagraph"/>
              <w:ind w:right="22"/>
              <w:rPr>
                <w:rFonts w:ascii="Calibri"/>
                <w:sz w:val="22"/>
              </w:rPr>
            </w:pPr>
            <w:r>
              <w:rPr>
                <w:rFonts w:ascii="Calibri"/>
                <w:w w:val="100"/>
                <w:sz w:val="22"/>
              </w:rPr>
              <w:t>1</w:t>
            </w:r>
          </w:p>
        </w:tc>
        <w:tc>
          <w:tcPr>
            <w:tcW w:w="982" w:type="dxa"/>
            <w:tcBorders>
              <w:top w:val="nil"/>
              <w:left w:val="nil"/>
              <w:bottom w:val="nil"/>
              <w:right w:val="nil"/>
            </w:tcBorders>
          </w:tcPr>
          <w:p>
            <w:pPr>
              <w:pStyle w:val="TableParagraph"/>
              <w:ind w:right="22"/>
              <w:rPr>
                <w:rFonts w:ascii="Calibri"/>
                <w:sz w:val="22"/>
              </w:rPr>
            </w:pPr>
            <w:r>
              <w:rPr>
                <w:rFonts w:ascii="Calibri"/>
                <w:w w:val="100"/>
                <w:sz w:val="22"/>
              </w:rPr>
              <w:t>3</w:t>
            </w:r>
          </w:p>
        </w:tc>
        <w:tc>
          <w:tcPr>
            <w:tcW w:w="1091" w:type="dxa"/>
            <w:tcBorders>
              <w:top w:val="nil"/>
              <w:left w:val="nil"/>
              <w:bottom w:val="nil"/>
              <w:right w:val="nil"/>
            </w:tcBorders>
          </w:tcPr>
          <w:p>
            <w:pPr>
              <w:pStyle w:val="TableParagraph"/>
              <w:ind w:left="30"/>
              <w:rPr>
                <w:rFonts w:ascii="Calibri"/>
                <w:sz w:val="22"/>
              </w:rPr>
            </w:pPr>
            <w:r>
              <w:rPr>
                <w:rFonts w:ascii="Calibri"/>
                <w:w w:val="100"/>
                <w:sz w:val="22"/>
              </w:rPr>
              <w:t>7</w:t>
            </w:r>
          </w:p>
        </w:tc>
        <w:tc>
          <w:tcPr>
            <w:tcW w:w="1029" w:type="dxa"/>
            <w:tcBorders>
              <w:top w:val="nil"/>
              <w:left w:val="nil"/>
              <w:bottom w:val="nil"/>
              <w:right w:val="nil"/>
            </w:tcBorders>
          </w:tcPr>
          <w:p>
            <w:pPr>
              <w:pStyle w:val="TableParagraph"/>
              <w:ind w:right="381"/>
              <w:jc w:val="right"/>
              <w:rPr>
                <w:rFonts w:ascii="Calibri"/>
                <w:sz w:val="22"/>
              </w:rPr>
            </w:pPr>
            <w:r>
              <w:rPr>
                <w:rFonts w:ascii="Calibri"/>
                <w:sz w:val="22"/>
              </w:rPr>
              <w:t>10</w:t>
            </w:r>
          </w:p>
        </w:tc>
        <w:tc>
          <w:tcPr>
            <w:tcW w:w="993" w:type="dxa"/>
            <w:tcBorders>
              <w:top w:val="nil"/>
              <w:left w:val="nil"/>
              <w:bottom w:val="nil"/>
              <w:right w:val="nil"/>
            </w:tcBorders>
          </w:tcPr>
          <w:p>
            <w:pPr>
              <w:pStyle w:val="TableParagraph"/>
              <w:ind w:left="384"/>
              <w:jc w:val="left"/>
              <w:rPr>
                <w:rFonts w:ascii="Calibri"/>
                <w:sz w:val="22"/>
              </w:rPr>
            </w:pPr>
            <w:r>
              <w:rPr>
                <w:rFonts w:ascii="Calibri"/>
                <w:sz w:val="22"/>
              </w:rPr>
              <w:t>16</w:t>
            </w:r>
          </w:p>
        </w:tc>
        <w:tc>
          <w:tcPr>
            <w:tcW w:w="1039" w:type="dxa"/>
            <w:tcBorders>
              <w:top w:val="nil"/>
              <w:left w:val="nil"/>
              <w:bottom w:val="nil"/>
              <w:right w:val="nil"/>
            </w:tcBorders>
          </w:tcPr>
          <w:p>
            <w:pPr>
              <w:pStyle w:val="TableParagraph"/>
              <w:ind w:right="486"/>
              <w:jc w:val="right"/>
              <w:rPr>
                <w:rFonts w:ascii="Calibri"/>
                <w:sz w:val="22"/>
              </w:rPr>
            </w:pPr>
            <w:r>
              <w:rPr>
                <w:rFonts w:ascii="Calibri"/>
                <w:w w:val="100"/>
                <w:sz w:val="22"/>
              </w:rPr>
              <w:t>6</w:t>
            </w:r>
          </w:p>
        </w:tc>
        <w:tc>
          <w:tcPr>
            <w:tcW w:w="1068" w:type="dxa"/>
            <w:tcBorders>
              <w:top w:val="nil"/>
              <w:left w:val="nil"/>
              <w:bottom w:val="nil"/>
              <w:right w:val="nil"/>
            </w:tcBorders>
          </w:tcPr>
          <w:p>
            <w:pPr>
              <w:pStyle w:val="TableParagraph"/>
              <w:ind w:left="431"/>
              <w:jc w:val="left"/>
              <w:rPr>
                <w:rFonts w:ascii="Calibri"/>
                <w:sz w:val="22"/>
              </w:rPr>
            </w:pPr>
            <w:r>
              <w:rPr>
                <w:rFonts w:ascii="Calibri"/>
                <w:sz w:val="22"/>
              </w:rPr>
              <w:t>14</w:t>
            </w:r>
          </w:p>
        </w:tc>
        <w:tc>
          <w:tcPr>
            <w:tcW w:w="1094" w:type="dxa"/>
            <w:tcBorders>
              <w:top w:val="nil"/>
              <w:left w:val="nil"/>
              <w:bottom w:val="nil"/>
              <w:right w:val="single" w:sz="4" w:space="0" w:color="000000"/>
            </w:tcBorders>
          </w:tcPr>
          <w:p>
            <w:pPr>
              <w:pStyle w:val="TableParagraph"/>
              <w:ind w:left="392" w:right="321"/>
              <w:rPr>
                <w:rFonts w:ascii="Calibri"/>
                <w:sz w:val="22"/>
              </w:rPr>
            </w:pPr>
            <w:r>
              <w:rPr>
                <w:rFonts w:ascii="Calibri"/>
                <w:sz w:val="22"/>
              </w:rPr>
              <w:t>56</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26</w:t>
            </w:r>
          </w:p>
        </w:tc>
        <w:tc>
          <w:tcPr>
            <w:tcW w:w="938" w:type="dxa"/>
            <w:tcBorders>
              <w:top w:val="nil"/>
              <w:bottom w:val="nil"/>
              <w:right w:val="nil"/>
            </w:tcBorders>
          </w:tcPr>
          <w:p>
            <w:pPr>
              <w:pStyle w:val="TableParagraph"/>
              <w:ind w:right="22"/>
              <w:rPr>
                <w:rFonts w:ascii="Calibri"/>
                <w:sz w:val="22"/>
              </w:rPr>
            </w:pPr>
            <w:r>
              <w:rPr>
                <w:rFonts w:ascii="Calibri"/>
                <w:w w:val="100"/>
                <w:sz w:val="22"/>
              </w:rPr>
              <w:t>0</w:t>
            </w:r>
          </w:p>
        </w:tc>
        <w:tc>
          <w:tcPr>
            <w:tcW w:w="982" w:type="dxa"/>
            <w:tcBorders>
              <w:top w:val="nil"/>
              <w:left w:val="nil"/>
              <w:bottom w:val="nil"/>
              <w:right w:val="nil"/>
            </w:tcBorders>
          </w:tcPr>
          <w:p>
            <w:pPr>
              <w:pStyle w:val="TableParagraph"/>
              <w:ind w:right="22"/>
              <w:rPr>
                <w:rFonts w:ascii="Calibri"/>
                <w:sz w:val="22"/>
              </w:rPr>
            </w:pPr>
            <w:r>
              <w:rPr>
                <w:rFonts w:ascii="Calibri"/>
                <w:w w:val="100"/>
                <w:sz w:val="22"/>
              </w:rPr>
              <w:t>6</w:t>
            </w:r>
          </w:p>
        </w:tc>
        <w:tc>
          <w:tcPr>
            <w:tcW w:w="1091" w:type="dxa"/>
            <w:tcBorders>
              <w:top w:val="nil"/>
              <w:left w:val="nil"/>
              <w:bottom w:val="nil"/>
              <w:right w:val="nil"/>
            </w:tcBorders>
          </w:tcPr>
          <w:p>
            <w:pPr>
              <w:pStyle w:val="TableParagraph"/>
              <w:ind w:left="428" w:right="400"/>
              <w:rPr>
                <w:rFonts w:ascii="Calibri"/>
                <w:sz w:val="22"/>
              </w:rPr>
            </w:pPr>
            <w:r>
              <w:rPr>
                <w:rFonts w:ascii="Calibri"/>
                <w:sz w:val="22"/>
              </w:rPr>
              <w:t>16</w:t>
            </w:r>
          </w:p>
        </w:tc>
        <w:tc>
          <w:tcPr>
            <w:tcW w:w="1029" w:type="dxa"/>
            <w:tcBorders>
              <w:top w:val="nil"/>
              <w:left w:val="nil"/>
              <w:bottom w:val="nil"/>
              <w:right w:val="nil"/>
            </w:tcBorders>
          </w:tcPr>
          <w:p>
            <w:pPr>
              <w:pStyle w:val="TableParagraph"/>
              <w:ind w:right="437"/>
              <w:jc w:val="right"/>
              <w:rPr>
                <w:rFonts w:ascii="Calibri"/>
                <w:sz w:val="22"/>
              </w:rPr>
            </w:pPr>
            <w:r>
              <w:rPr>
                <w:rFonts w:ascii="Calibri"/>
                <w:w w:val="100"/>
                <w:sz w:val="22"/>
              </w:rPr>
              <w:t>9</w:t>
            </w:r>
          </w:p>
        </w:tc>
        <w:tc>
          <w:tcPr>
            <w:tcW w:w="993" w:type="dxa"/>
            <w:tcBorders>
              <w:top w:val="nil"/>
              <w:left w:val="nil"/>
              <w:bottom w:val="nil"/>
              <w:right w:val="nil"/>
            </w:tcBorders>
          </w:tcPr>
          <w:p>
            <w:pPr>
              <w:pStyle w:val="TableParagraph"/>
              <w:ind w:left="439"/>
              <w:jc w:val="left"/>
              <w:rPr>
                <w:rFonts w:ascii="Calibri"/>
                <w:sz w:val="22"/>
              </w:rPr>
            </w:pPr>
            <w:r>
              <w:rPr>
                <w:rFonts w:ascii="Calibri"/>
                <w:w w:val="100"/>
                <w:sz w:val="22"/>
              </w:rPr>
              <w:t>6</w:t>
            </w:r>
          </w:p>
        </w:tc>
        <w:tc>
          <w:tcPr>
            <w:tcW w:w="1039" w:type="dxa"/>
            <w:tcBorders>
              <w:top w:val="nil"/>
              <w:left w:val="nil"/>
              <w:bottom w:val="nil"/>
              <w:right w:val="nil"/>
            </w:tcBorders>
          </w:tcPr>
          <w:p>
            <w:pPr>
              <w:pStyle w:val="TableParagraph"/>
              <w:ind w:right="486"/>
              <w:jc w:val="right"/>
              <w:rPr>
                <w:rFonts w:ascii="Calibri"/>
                <w:sz w:val="22"/>
              </w:rPr>
            </w:pPr>
            <w:r>
              <w:rPr>
                <w:rFonts w:ascii="Calibri"/>
                <w:w w:val="100"/>
                <w:sz w:val="22"/>
              </w:rPr>
              <w:t>0</w:t>
            </w:r>
          </w:p>
        </w:tc>
        <w:tc>
          <w:tcPr>
            <w:tcW w:w="1068" w:type="dxa"/>
            <w:tcBorders>
              <w:top w:val="nil"/>
              <w:left w:val="nil"/>
              <w:bottom w:val="nil"/>
              <w:right w:val="nil"/>
            </w:tcBorders>
          </w:tcPr>
          <w:p>
            <w:pPr>
              <w:pStyle w:val="TableParagraph"/>
              <w:ind w:left="486"/>
              <w:jc w:val="left"/>
              <w:rPr>
                <w:rFonts w:ascii="Calibri"/>
                <w:sz w:val="22"/>
              </w:rPr>
            </w:pPr>
            <w:r>
              <w:rPr>
                <w:rFonts w:ascii="Calibri"/>
                <w:w w:val="100"/>
                <w:sz w:val="22"/>
              </w:rPr>
              <w:t>5</w:t>
            </w:r>
          </w:p>
        </w:tc>
        <w:tc>
          <w:tcPr>
            <w:tcW w:w="1094" w:type="dxa"/>
            <w:tcBorders>
              <w:top w:val="nil"/>
              <w:left w:val="nil"/>
              <w:bottom w:val="nil"/>
              <w:right w:val="single" w:sz="4" w:space="0" w:color="000000"/>
            </w:tcBorders>
          </w:tcPr>
          <w:p>
            <w:pPr>
              <w:pStyle w:val="TableParagraph"/>
              <w:ind w:left="392" w:right="321"/>
              <w:rPr>
                <w:rFonts w:ascii="Calibri"/>
                <w:sz w:val="22"/>
              </w:rPr>
            </w:pPr>
            <w:r>
              <w:rPr>
                <w:rFonts w:ascii="Calibri"/>
                <w:sz w:val="22"/>
              </w:rPr>
              <w:t>48</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27</w:t>
            </w:r>
          </w:p>
        </w:tc>
        <w:tc>
          <w:tcPr>
            <w:tcW w:w="938" w:type="dxa"/>
            <w:tcBorders>
              <w:top w:val="nil"/>
              <w:bottom w:val="nil"/>
              <w:right w:val="nil"/>
            </w:tcBorders>
          </w:tcPr>
          <w:p>
            <w:pPr>
              <w:pStyle w:val="TableParagraph"/>
              <w:ind w:right="22"/>
              <w:rPr>
                <w:rFonts w:ascii="Calibri"/>
                <w:sz w:val="22"/>
              </w:rPr>
            </w:pPr>
            <w:r>
              <w:rPr>
                <w:rFonts w:ascii="Calibri"/>
                <w:w w:val="100"/>
                <w:sz w:val="22"/>
              </w:rPr>
              <w:t>0</w:t>
            </w:r>
          </w:p>
        </w:tc>
        <w:tc>
          <w:tcPr>
            <w:tcW w:w="982" w:type="dxa"/>
            <w:tcBorders>
              <w:top w:val="nil"/>
              <w:left w:val="nil"/>
              <w:bottom w:val="nil"/>
              <w:right w:val="nil"/>
            </w:tcBorders>
          </w:tcPr>
          <w:p>
            <w:pPr>
              <w:pStyle w:val="TableParagraph"/>
              <w:ind w:right="22"/>
              <w:rPr>
                <w:rFonts w:ascii="Calibri"/>
                <w:sz w:val="22"/>
              </w:rPr>
            </w:pPr>
            <w:r>
              <w:rPr>
                <w:rFonts w:ascii="Calibri"/>
                <w:w w:val="100"/>
                <w:sz w:val="22"/>
              </w:rPr>
              <w:t>0</w:t>
            </w:r>
          </w:p>
        </w:tc>
        <w:tc>
          <w:tcPr>
            <w:tcW w:w="1091" w:type="dxa"/>
            <w:tcBorders>
              <w:top w:val="nil"/>
              <w:left w:val="nil"/>
              <w:bottom w:val="nil"/>
              <w:right w:val="nil"/>
            </w:tcBorders>
          </w:tcPr>
          <w:p>
            <w:pPr>
              <w:pStyle w:val="TableParagraph"/>
              <w:ind w:left="428" w:right="400"/>
              <w:rPr>
                <w:rFonts w:ascii="Calibri"/>
                <w:sz w:val="22"/>
              </w:rPr>
            </w:pPr>
            <w:r>
              <w:rPr>
                <w:rFonts w:ascii="Calibri"/>
                <w:sz w:val="22"/>
              </w:rPr>
              <w:t>15</w:t>
            </w:r>
          </w:p>
        </w:tc>
        <w:tc>
          <w:tcPr>
            <w:tcW w:w="1029" w:type="dxa"/>
            <w:tcBorders>
              <w:top w:val="nil"/>
              <w:left w:val="nil"/>
              <w:bottom w:val="nil"/>
              <w:right w:val="nil"/>
            </w:tcBorders>
          </w:tcPr>
          <w:p>
            <w:pPr>
              <w:pStyle w:val="TableParagraph"/>
              <w:ind w:right="381"/>
              <w:jc w:val="right"/>
              <w:rPr>
                <w:rFonts w:ascii="Calibri"/>
                <w:sz w:val="22"/>
              </w:rPr>
            </w:pPr>
            <w:r>
              <w:rPr>
                <w:rFonts w:ascii="Calibri"/>
                <w:sz w:val="22"/>
              </w:rPr>
              <w:t>10</w:t>
            </w:r>
          </w:p>
        </w:tc>
        <w:tc>
          <w:tcPr>
            <w:tcW w:w="993" w:type="dxa"/>
            <w:tcBorders>
              <w:top w:val="nil"/>
              <w:left w:val="nil"/>
              <w:bottom w:val="nil"/>
              <w:right w:val="nil"/>
            </w:tcBorders>
          </w:tcPr>
          <w:p>
            <w:pPr>
              <w:pStyle w:val="TableParagraph"/>
              <w:ind w:left="439"/>
              <w:jc w:val="left"/>
              <w:rPr>
                <w:rFonts w:ascii="Calibri"/>
                <w:sz w:val="22"/>
              </w:rPr>
            </w:pPr>
            <w:r>
              <w:rPr>
                <w:rFonts w:ascii="Calibri"/>
                <w:w w:val="100"/>
                <w:sz w:val="22"/>
              </w:rPr>
              <w:t>3</w:t>
            </w:r>
          </w:p>
        </w:tc>
        <w:tc>
          <w:tcPr>
            <w:tcW w:w="1039" w:type="dxa"/>
            <w:tcBorders>
              <w:top w:val="nil"/>
              <w:left w:val="nil"/>
              <w:bottom w:val="nil"/>
              <w:right w:val="nil"/>
            </w:tcBorders>
          </w:tcPr>
          <w:p>
            <w:pPr>
              <w:pStyle w:val="TableParagraph"/>
              <w:ind w:right="486"/>
              <w:jc w:val="right"/>
              <w:rPr>
                <w:rFonts w:ascii="Calibri"/>
                <w:sz w:val="22"/>
              </w:rPr>
            </w:pPr>
            <w:r>
              <w:rPr>
                <w:rFonts w:ascii="Calibri"/>
                <w:w w:val="100"/>
                <w:sz w:val="22"/>
              </w:rPr>
              <w:t>0</w:t>
            </w:r>
          </w:p>
        </w:tc>
        <w:tc>
          <w:tcPr>
            <w:tcW w:w="1068" w:type="dxa"/>
            <w:tcBorders>
              <w:top w:val="nil"/>
              <w:left w:val="nil"/>
              <w:bottom w:val="nil"/>
              <w:right w:val="nil"/>
            </w:tcBorders>
          </w:tcPr>
          <w:p>
            <w:pPr>
              <w:pStyle w:val="TableParagraph"/>
              <w:ind w:left="431"/>
              <w:jc w:val="left"/>
              <w:rPr>
                <w:rFonts w:ascii="Calibri"/>
                <w:sz w:val="22"/>
              </w:rPr>
            </w:pPr>
            <w:r>
              <w:rPr>
                <w:rFonts w:ascii="Calibri"/>
                <w:sz w:val="22"/>
              </w:rPr>
              <w:t>10</w:t>
            </w:r>
          </w:p>
        </w:tc>
        <w:tc>
          <w:tcPr>
            <w:tcW w:w="1094" w:type="dxa"/>
            <w:tcBorders>
              <w:top w:val="nil"/>
              <w:left w:val="nil"/>
              <w:bottom w:val="nil"/>
              <w:right w:val="single" w:sz="4" w:space="0" w:color="000000"/>
            </w:tcBorders>
          </w:tcPr>
          <w:p>
            <w:pPr>
              <w:pStyle w:val="TableParagraph"/>
              <w:ind w:left="392" w:right="321"/>
              <w:rPr>
                <w:rFonts w:ascii="Calibri"/>
                <w:sz w:val="22"/>
              </w:rPr>
            </w:pPr>
            <w:r>
              <w:rPr>
                <w:rFonts w:ascii="Calibri"/>
                <w:sz w:val="22"/>
              </w:rPr>
              <w:t>38</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28</w:t>
            </w:r>
          </w:p>
        </w:tc>
        <w:tc>
          <w:tcPr>
            <w:tcW w:w="938" w:type="dxa"/>
            <w:tcBorders>
              <w:top w:val="nil"/>
              <w:bottom w:val="nil"/>
              <w:right w:val="nil"/>
            </w:tcBorders>
          </w:tcPr>
          <w:p>
            <w:pPr>
              <w:pStyle w:val="TableParagraph"/>
              <w:ind w:right="22"/>
              <w:rPr>
                <w:rFonts w:ascii="Calibri"/>
                <w:sz w:val="22"/>
              </w:rPr>
            </w:pPr>
            <w:r>
              <w:rPr>
                <w:rFonts w:ascii="Calibri"/>
                <w:w w:val="100"/>
                <w:sz w:val="22"/>
              </w:rPr>
              <w:t>1</w:t>
            </w:r>
          </w:p>
        </w:tc>
        <w:tc>
          <w:tcPr>
            <w:tcW w:w="982" w:type="dxa"/>
            <w:tcBorders>
              <w:top w:val="nil"/>
              <w:left w:val="nil"/>
              <w:bottom w:val="nil"/>
              <w:right w:val="nil"/>
            </w:tcBorders>
          </w:tcPr>
          <w:p>
            <w:pPr>
              <w:pStyle w:val="TableParagraph"/>
              <w:ind w:right="22"/>
              <w:rPr>
                <w:rFonts w:ascii="Calibri"/>
                <w:sz w:val="22"/>
              </w:rPr>
            </w:pPr>
            <w:r>
              <w:rPr>
                <w:rFonts w:ascii="Calibri"/>
                <w:w w:val="100"/>
                <w:sz w:val="22"/>
              </w:rPr>
              <w:t>2</w:t>
            </w:r>
          </w:p>
        </w:tc>
        <w:tc>
          <w:tcPr>
            <w:tcW w:w="1091" w:type="dxa"/>
            <w:tcBorders>
              <w:top w:val="nil"/>
              <w:left w:val="nil"/>
              <w:bottom w:val="nil"/>
              <w:right w:val="nil"/>
            </w:tcBorders>
          </w:tcPr>
          <w:p>
            <w:pPr>
              <w:pStyle w:val="TableParagraph"/>
              <w:ind w:left="428" w:right="400"/>
              <w:rPr>
                <w:rFonts w:ascii="Calibri"/>
                <w:sz w:val="22"/>
              </w:rPr>
            </w:pPr>
            <w:r>
              <w:rPr>
                <w:rFonts w:ascii="Calibri"/>
                <w:sz w:val="22"/>
              </w:rPr>
              <w:t>22</w:t>
            </w:r>
          </w:p>
        </w:tc>
        <w:tc>
          <w:tcPr>
            <w:tcW w:w="1029" w:type="dxa"/>
            <w:tcBorders>
              <w:top w:val="nil"/>
              <w:left w:val="nil"/>
              <w:bottom w:val="nil"/>
              <w:right w:val="nil"/>
            </w:tcBorders>
          </w:tcPr>
          <w:p>
            <w:pPr>
              <w:pStyle w:val="TableParagraph"/>
              <w:ind w:right="437"/>
              <w:jc w:val="right"/>
              <w:rPr>
                <w:rFonts w:ascii="Calibri"/>
                <w:sz w:val="22"/>
              </w:rPr>
            </w:pPr>
            <w:r>
              <w:rPr>
                <w:rFonts w:ascii="Calibri"/>
                <w:w w:val="100"/>
                <w:sz w:val="22"/>
              </w:rPr>
              <w:t>6</w:t>
            </w:r>
          </w:p>
        </w:tc>
        <w:tc>
          <w:tcPr>
            <w:tcW w:w="993" w:type="dxa"/>
            <w:tcBorders>
              <w:top w:val="nil"/>
              <w:left w:val="nil"/>
              <w:bottom w:val="nil"/>
              <w:right w:val="nil"/>
            </w:tcBorders>
          </w:tcPr>
          <w:p>
            <w:pPr>
              <w:pStyle w:val="TableParagraph"/>
              <w:ind w:left="439"/>
              <w:jc w:val="left"/>
              <w:rPr>
                <w:rFonts w:ascii="Calibri"/>
                <w:sz w:val="22"/>
              </w:rPr>
            </w:pPr>
            <w:r>
              <w:rPr>
                <w:rFonts w:ascii="Calibri"/>
                <w:w w:val="100"/>
                <w:sz w:val="22"/>
              </w:rPr>
              <w:t>1</w:t>
            </w:r>
          </w:p>
        </w:tc>
        <w:tc>
          <w:tcPr>
            <w:tcW w:w="1039" w:type="dxa"/>
            <w:tcBorders>
              <w:top w:val="nil"/>
              <w:left w:val="nil"/>
              <w:bottom w:val="nil"/>
              <w:right w:val="nil"/>
            </w:tcBorders>
          </w:tcPr>
          <w:p>
            <w:pPr>
              <w:pStyle w:val="TableParagraph"/>
              <w:ind w:right="486"/>
              <w:jc w:val="right"/>
              <w:rPr>
                <w:rFonts w:ascii="Calibri"/>
                <w:sz w:val="22"/>
              </w:rPr>
            </w:pPr>
            <w:r>
              <w:rPr>
                <w:rFonts w:ascii="Calibri"/>
                <w:w w:val="100"/>
                <w:sz w:val="22"/>
              </w:rPr>
              <w:t>5</w:t>
            </w:r>
          </w:p>
        </w:tc>
        <w:tc>
          <w:tcPr>
            <w:tcW w:w="1068" w:type="dxa"/>
            <w:tcBorders>
              <w:top w:val="nil"/>
              <w:left w:val="nil"/>
              <w:bottom w:val="nil"/>
              <w:right w:val="nil"/>
            </w:tcBorders>
          </w:tcPr>
          <w:p>
            <w:pPr>
              <w:pStyle w:val="TableParagraph"/>
              <w:ind w:left="486"/>
              <w:jc w:val="left"/>
              <w:rPr>
                <w:rFonts w:ascii="Calibri"/>
                <w:sz w:val="22"/>
              </w:rPr>
            </w:pPr>
            <w:r>
              <w:rPr>
                <w:rFonts w:ascii="Calibri"/>
                <w:w w:val="100"/>
                <w:sz w:val="22"/>
              </w:rPr>
              <w:t>8</w:t>
            </w:r>
          </w:p>
        </w:tc>
        <w:tc>
          <w:tcPr>
            <w:tcW w:w="1094" w:type="dxa"/>
            <w:tcBorders>
              <w:top w:val="nil"/>
              <w:left w:val="nil"/>
              <w:bottom w:val="nil"/>
              <w:right w:val="single" w:sz="4" w:space="0" w:color="000000"/>
            </w:tcBorders>
          </w:tcPr>
          <w:p>
            <w:pPr>
              <w:pStyle w:val="TableParagraph"/>
              <w:ind w:left="392" w:right="321"/>
              <w:rPr>
                <w:rFonts w:ascii="Calibri"/>
                <w:sz w:val="22"/>
              </w:rPr>
            </w:pPr>
            <w:r>
              <w:rPr>
                <w:rFonts w:ascii="Calibri"/>
                <w:sz w:val="22"/>
              </w:rPr>
              <w:t>44</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29</w:t>
            </w:r>
          </w:p>
        </w:tc>
        <w:tc>
          <w:tcPr>
            <w:tcW w:w="938" w:type="dxa"/>
            <w:tcBorders>
              <w:top w:val="nil"/>
              <w:bottom w:val="nil"/>
              <w:right w:val="nil"/>
            </w:tcBorders>
          </w:tcPr>
          <w:p>
            <w:pPr>
              <w:pStyle w:val="TableParagraph"/>
              <w:ind w:right="22"/>
              <w:rPr>
                <w:rFonts w:ascii="Calibri"/>
                <w:sz w:val="22"/>
              </w:rPr>
            </w:pPr>
            <w:r>
              <w:rPr>
                <w:rFonts w:ascii="Calibri"/>
                <w:w w:val="100"/>
                <w:sz w:val="22"/>
              </w:rPr>
              <w:t>0</w:t>
            </w:r>
          </w:p>
        </w:tc>
        <w:tc>
          <w:tcPr>
            <w:tcW w:w="982" w:type="dxa"/>
            <w:tcBorders>
              <w:top w:val="nil"/>
              <w:left w:val="nil"/>
              <w:bottom w:val="nil"/>
              <w:right w:val="nil"/>
            </w:tcBorders>
          </w:tcPr>
          <w:p>
            <w:pPr>
              <w:pStyle w:val="TableParagraph"/>
              <w:ind w:right="22"/>
              <w:rPr>
                <w:rFonts w:ascii="Calibri"/>
                <w:sz w:val="22"/>
              </w:rPr>
            </w:pPr>
            <w:r>
              <w:rPr>
                <w:rFonts w:ascii="Calibri"/>
                <w:w w:val="100"/>
                <w:sz w:val="22"/>
              </w:rPr>
              <w:t>0</w:t>
            </w:r>
          </w:p>
        </w:tc>
        <w:tc>
          <w:tcPr>
            <w:tcW w:w="1091" w:type="dxa"/>
            <w:tcBorders>
              <w:top w:val="nil"/>
              <w:left w:val="nil"/>
              <w:bottom w:val="nil"/>
              <w:right w:val="nil"/>
            </w:tcBorders>
          </w:tcPr>
          <w:p>
            <w:pPr>
              <w:pStyle w:val="TableParagraph"/>
              <w:ind w:left="30"/>
              <w:rPr>
                <w:rFonts w:ascii="Calibri"/>
                <w:sz w:val="22"/>
              </w:rPr>
            </w:pPr>
            <w:r>
              <w:rPr>
                <w:rFonts w:ascii="Calibri"/>
                <w:w w:val="100"/>
                <w:sz w:val="22"/>
              </w:rPr>
              <w:t>8</w:t>
            </w:r>
          </w:p>
        </w:tc>
        <w:tc>
          <w:tcPr>
            <w:tcW w:w="1029" w:type="dxa"/>
            <w:tcBorders>
              <w:top w:val="nil"/>
              <w:left w:val="nil"/>
              <w:bottom w:val="nil"/>
              <w:right w:val="nil"/>
            </w:tcBorders>
          </w:tcPr>
          <w:p>
            <w:pPr>
              <w:pStyle w:val="TableParagraph"/>
              <w:ind w:right="437"/>
              <w:jc w:val="right"/>
              <w:rPr>
                <w:rFonts w:ascii="Calibri"/>
                <w:sz w:val="22"/>
              </w:rPr>
            </w:pPr>
            <w:r>
              <w:rPr>
                <w:rFonts w:ascii="Calibri"/>
                <w:w w:val="100"/>
                <w:sz w:val="22"/>
              </w:rPr>
              <w:t>2</w:t>
            </w:r>
          </w:p>
        </w:tc>
        <w:tc>
          <w:tcPr>
            <w:tcW w:w="993" w:type="dxa"/>
            <w:tcBorders>
              <w:top w:val="nil"/>
              <w:left w:val="nil"/>
              <w:bottom w:val="nil"/>
              <w:right w:val="nil"/>
            </w:tcBorders>
          </w:tcPr>
          <w:p>
            <w:pPr>
              <w:pStyle w:val="TableParagraph"/>
              <w:ind w:left="439"/>
              <w:jc w:val="left"/>
              <w:rPr>
                <w:rFonts w:ascii="Calibri"/>
                <w:sz w:val="22"/>
              </w:rPr>
            </w:pPr>
            <w:r>
              <w:rPr>
                <w:rFonts w:ascii="Calibri"/>
                <w:w w:val="100"/>
                <w:sz w:val="22"/>
              </w:rPr>
              <w:t>0</w:t>
            </w:r>
          </w:p>
        </w:tc>
        <w:tc>
          <w:tcPr>
            <w:tcW w:w="1039" w:type="dxa"/>
            <w:tcBorders>
              <w:top w:val="nil"/>
              <w:left w:val="nil"/>
              <w:bottom w:val="nil"/>
              <w:right w:val="nil"/>
            </w:tcBorders>
          </w:tcPr>
          <w:p>
            <w:pPr>
              <w:pStyle w:val="TableParagraph"/>
              <w:ind w:right="486"/>
              <w:jc w:val="right"/>
              <w:rPr>
                <w:rFonts w:ascii="Calibri"/>
                <w:sz w:val="22"/>
              </w:rPr>
            </w:pPr>
            <w:r>
              <w:rPr>
                <w:rFonts w:ascii="Calibri"/>
                <w:w w:val="100"/>
                <w:sz w:val="22"/>
              </w:rPr>
              <w:t>0</w:t>
            </w:r>
          </w:p>
        </w:tc>
        <w:tc>
          <w:tcPr>
            <w:tcW w:w="1068" w:type="dxa"/>
            <w:tcBorders>
              <w:top w:val="nil"/>
              <w:left w:val="nil"/>
              <w:bottom w:val="nil"/>
              <w:right w:val="nil"/>
            </w:tcBorders>
          </w:tcPr>
          <w:p>
            <w:pPr>
              <w:pStyle w:val="TableParagraph"/>
              <w:ind w:left="431"/>
              <w:jc w:val="left"/>
              <w:rPr>
                <w:rFonts w:ascii="Calibri"/>
                <w:sz w:val="22"/>
              </w:rPr>
            </w:pPr>
            <w:r>
              <w:rPr>
                <w:rFonts w:ascii="Calibri"/>
                <w:sz w:val="22"/>
              </w:rPr>
              <w:t>13</w:t>
            </w:r>
          </w:p>
        </w:tc>
        <w:tc>
          <w:tcPr>
            <w:tcW w:w="1094" w:type="dxa"/>
            <w:tcBorders>
              <w:top w:val="nil"/>
              <w:left w:val="nil"/>
              <w:bottom w:val="nil"/>
              <w:right w:val="single" w:sz="4" w:space="0" w:color="000000"/>
            </w:tcBorders>
          </w:tcPr>
          <w:p>
            <w:pPr>
              <w:pStyle w:val="TableParagraph"/>
              <w:ind w:left="392" w:right="321"/>
              <w:rPr>
                <w:rFonts w:ascii="Calibri"/>
                <w:sz w:val="22"/>
              </w:rPr>
            </w:pPr>
            <w:r>
              <w:rPr>
                <w:rFonts w:ascii="Calibri"/>
                <w:sz w:val="22"/>
              </w:rPr>
              <w:t>23</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30</w:t>
            </w:r>
          </w:p>
        </w:tc>
        <w:tc>
          <w:tcPr>
            <w:tcW w:w="938" w:type="dxa"/>
            <w:tcBorders>
              <w:top w:val="nil"/>
              <w:bottom w:val="nil"/>
              <w:right w:val="nil"/>
            </w:tcBorders>
          </w:tcPr>
          <w:p>
            <w:pPr>
              <w:pStyle w:val="TableParagraph"/>
              <w:ind w:right="22"/>
              <w:rPr>
                <w:rFonts w:ascii="Calibri"/>
                <w:sz w:val="22"/>
              </w:rPr>
            </w:pPr>
            <w:r>
              <w:rPr>
                <w:rFonts w:ascii="Calibri"/>
                <w:w w:val="100"/>
                <w:sz w:val="22"/>
              </w:rPr>
              <w:t>0</w:t>
            </w:r>
          </w:p>
        </w:tc>
        <w:tc>
          <w:tcPr>
            <w:tcW w:w="982" w:type="dxa"/>
            <w:tcBorders>
              <w:top w:val="nil"/>
              <w:left w:val="nil"/>
              <w:bottom w:val="nil"/>
              <w:right w:val="nil"/>
            </w:tcBorders>
          </w:tcPr>
          <w:p>
            <w:pPr>
              <w:pStyle w:val="TableParagraph"/>
              <w:ind w:right="22"/>
              <w:rPr>
                <w:rFonts w:ascii="Calibri"/>
                <w:sz w:val="22"/>
              </w:rPr>
            </w:pPr>
            <w:r>
              <w:rPr>
                <w:rFonts w:ascii="Calibri"/>
                <w:w w:val="100"/>
                <w:sz w:val="22"/>
              </w:rPr>
              <w:t>2</w:t>
            </w:r>
          </w:p>
        </w:tc>
        <w:tc>
          <w:tcPr>
            <w:tcW w:w="1091" w:type="dxa"/>
            <w:tcBorders>
              <w:top w:val="nil"/>
              <w:left w:val="nil"/>
              <w:bottom w:val="nil"/>
              <w:right w:val="nil"/>
            </w:tcBorders>
          </w:tcPr>
          <w:p>
            <w:pPr>
              <w:pStyle w:val="TableParagraph"/>
              <w:ind w:left="428" w:right="400"/>
              <w:rPr>
                <w:rFonts w:ascii="Calibri"/>
                <w:sz w:val="22"/>
              </w:rPr>
            </w:pPr>
            <w:r>
              <w:rPr>
                <w:rFonts w:ascii="Calibri"/>
                <w:sz w:val="22"/>
              </w:rPr>
              <w:t>17</w:t>
            </w:r>
          </w:p>
        </w:tc>
        <w:tc>
          <w:tcPr>
            <w:tcW w:w="1029" w:type="dxa"/>
            <w:tcBorders>
              <w:top w:val="nil"/>
              <w:left w:val="nil"/>
              <w:bottom w:val="nil"/>
              <w:right w:val="nil"/>
            </w:tcBorders>
          </w:tcPr>
          <w:p>
            <w:pPr>
              <w:pStyle w:val="TableParagraph"/>
              <w:ind w:right="381"/>
              <w:jc w:val="right"/>
              <w:rPr>
                <w:rFonts w:ascii="Calibri"/>
                <w:sz w:val="22"/>
              </w:rPr>
            </w:pPr>
            <w:r>
              <w:rPr>
                <w:rFonts w:ascii="Calibri"/>
                <w:sz w:val="22"/>
              </w:rPr>
              <w:t>14</w:t>
            </w:r>
          </w:p>
        </w:tc>
        <w:tc>
          <w:tcPr>
            <w:tcW w:w="993" w:type="dxa"/>
            <w:tcBorders>
              <w:top w:val="nil"/>
              <w:left w:val="nil"/>
              <w:bottom w:val="nil"/>
              <w:right w:val="nil"/>
            </w:tcBorders>
          </w:tcPr>
          <w:p>
            <w:pPr>
              <w:pStyle w:val="TableParagraph"/>
              <w:ind w:left="439"/>
              <w:jc w:val="left"/>
              <w:rPr>
                <w:rFonts w:ascii="Calibri"/>
                <w:sz w:val="22"/>
              </w:rPr>
            </w:pPr>
            <w:r>
              <w:rPr>
                <w:rFonts w:ascii="Calibri"/>
                <w:w w:val="100"/>
                <w:sz w:val="22"/>
              </w:rPr>
              <w:t>3</w:t>
            </w:r>
          </w:p>
        </w:tc>
        <w:tc>
          <w:tcPr>
            <w:tcW w:w="1039" w:type="dxa"/>
            <w:tcBorders>
              <w:top w:val="nil"/>
              <w:left w:val="nil"/>
              <w:bottom w:val="nil"/>
              <w:right w:val="nil"/>
            </w:tcBorders>
          </w:tcPr>
          <w:p>
            <w:pPr>
              <w:pStyle w:val="TableParagraph"/>
              <w:ind w:right="486"/>
              <w:jc w:val="right"/>
              <w:rPr>
                <w:rFonts w:ascii="Calibri"/>
                <w:sz w:val="22"/>
              </w:rPr>
            </w:pPr>
            <w:r>
              <w:rPr>
                <w:rFonts w:ascii="Calibri"/>
                <w:w w:val="100"/>
                <w:sz w:val="22"/>
              </w:rPr>
              <w:t>2</w:t>
            </w:r>
          </w:p>
        </w:tc>
        <w:tc>
          <w:tcPr>
            <w:tcW w:w="1068" w:type="dxa"/>
            <w:tcBorders>
              <w:top w:val="nil"/>
              <w:left w:val="nil"/>
              <w:bottom w:val="nil"/>
              <w:right w:val="nil"/>
            </w:tcBorders>
          </w:tcPr>
          <w:p>
            <w:pPr>
              <w:pStyle w:val="TableParagraph"/>
              <w:ind w:left="431"/>
              <w:jc w:val="left"/>
              <w:rPr>
                <w:rFonts w:ascii="Calibri"/>
                <w:sz w:val="22"/>
              </w:rPr>
            </w:pPr>
            <w:r>
              <w:rPr>
                <w:rFonts w:ascii="Calibri"/>
                <w:sz w:val="22"/>
              </w:rPr>
              <w:t>10</w:t>
            </w:r>
          </w:p>
        </w:tc>
        <w:tc>
          <w:tcPr>
            <w:tcW w:w="1094" w:type="dxa"/>
            <w:tcBorders>
              <w:top w:val="nil"/>
              <w:left w:val="nil"/>
              <w:bottom w:val="nil"/>
              <w:right w:val="single" w:sz="4" w:space="0" w:color="000000"/>
            </w:tcBorders>
          </w:tcPr>
          <w:p>
            <w:pPr>
              <w:pStyle w:val="TableParagraph"/>
              <w:ind w:left="392" w:right="321"/>
              <w:rPr>
                <w:rFonts w:ascii="Calibri"/>
                <w:sz w:val="22"/>
              </w:rPr>
            </w:pPr>
            <w:r>
              <w:rPr>
                <w:rFonts w:ascii="Calibri"/>
                <w:sz w:val="22"/>
              </w:rPr>
              <w:t>48</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31</w:t>
            </w:r>
          </w:p>
        </w:tc>
        <w:tc>
          <w:tcPr>
            <w:tcW w:w="938" w:type="dxa"/>
            <w:tcBorders>
              <w:top w:val="nil"/>
              <w:bottom w:val="nil"/>
              <w:right w:val="nil"/>
            </w:tcBorders>
          </w:tcPr>
          <w:p>
            <w:pPr>
              <w:pStyle w:val="TableParagraph"/>
              <w:ind w:right="22"/>
              <w:rPr>
                <w:rFonts w:ascii="Calibri"/>
                <w:sz w:val="22"/>
              </w:rPr>
            </w:pPr>
            <w:r>
              <w:rPr>
                <w:rFonts w:ascii="Calibri"/>
                <w:w w:val="100"/>
                <w:sz w:val="22"/>
              </w:rPr>
              <w:t>0</w:t>
            </w:r>
          </w:p>
        </w:tc>
        <w:tc>
          <w:tcPr>
            <w:tcW w:w="982" w:type="dxa"/>
            <w:tcBorders>
              <w:top w:val="nil"/>
              <w:left w:val="nil"/>
              <w:bottom w:val="nil"/>
              <w:right w:val="nil"/>
            </w:tcBorders>
          </w:tcPr>
          <w:p>
            <w:pPr>
              <w:pStyle w:val="TableParagraph"/>
              <w:ind w:right="22"/>
              <w:rPr>
                <w:rFonts w:ascii="Calibri"/>
                <w:sz w:val="22"/>
              </w:rPr>
            </w:pPr>
            <w:r>
              <w:rPr>
                <w:rFonts w:ascii="Calibri"/>
                <w:w w:val="100"/>
                <w:sz w:val="22"/>
              </w:rPr>
              <w:t>1</w:t>
            </w:r>
          </w:p>
        </w:tc>
        <w:tc>
          <w:tcPr>
            <w:tcW w:w="1091" w:type="dxa"/>
            <w:tcBorders>
              <w:top w:val="nil"/>
              <w:left w:val="nil"/>
              <w:bottom w:val="nil"/>
              <w:right w:val="nil"/>
            </w:tcBorders>
          </w:tcPr>
          <w:p>
            <w:pPr>
              <w:pStyle w:val="TableParagraph"/>
              <w:ind w:left="30"/>
              <w:rPr>
                <w:rFonts w:ascii="Calibri"/>
                <w:sz w:val="22"/>
              </w:rPr>
            </w:pPr>
            <w:r>
              <w:rPr>
                <w:rFonts w:ascii="Calibri"/>
                <w:w w:val="100"/>
                <w:sz w:val="22"/>
              </w:rPr>
              <w:t>2</w:t>
            </w:r>
          </w:p>
        </w:tc>
        <w:tc>
          <w:tcPr>
            <w:tcW w:w="1029" w:type="dxa"/>
            <w:tcBorders>
              <w:top w:val="nil"/>
              <w:left w:val="nil"/>
              <w:bottom w:val="nil"/>
              <w:right w:val="nil"/>
            </w:tcBorders>
          </w:tcPr>
          <w:p>
            <w:pPr>
              <w:pStyle w:val="TableParagraph"/>
              <w:ind w:right="381"/>
              <w:jc w:val="right"/>
              <w:rPr>
                <w:rFonts w:ascii="Calibri"/>
                <w:sz w:val="22"/>
              </w:rPr>
            </w:pPr>
            <w:r>
              <w:rPr>
                <w:rFonts w:ascii="Calibri"/>
                <w:sz w:val="22"/>
              </w:rPr>
              <w:t>10</w:t>
            </w:r>
          </w:p>
        </w:tc>
        <w:tc>
          <w:tcPr>
            <w:tcW w:w="993" w:type="dxa"/>
            <w:tcBorders>
              <w:top w:val="nil"/>
              <w:left w:val="nil"/>
              <w:bottom w:val="nil"/>
              <w:right w:val="nil"/>
            </w:tcBorders>
          </w:tcPr>
          <w:p>
            <w:pPr>
              <w:pStyle w:val="TableParagraph"/>
              <w:ind w:left="439"/>
              <w:jc w:val="left"/>
              <w:rPr>
                <w:rFonts w:ascii="Calibri"/>
                <w:sz w:val="22"/>
              </w:rPr>
            </w:pPr>
            <w:r>
              <w:rPr>
                <w:rFonts w:ascii="Calibri"/>
                <w:w w:val="100"/>
                <w:sz w:val="22"/>
              </w:rPr>
              <w:t>0</w:t>
            </w:r>
          </w:p>
        </w:tc>
        <w:tc>
          <w:tcPr>
            <w:tcW w:w="1039" w:type="dxa"/>
            <w:tcBorders>
              <w:top w:val="nil"/>
              <w:left w:val="nil"/>
              <w:bottom w:val="nil"/>
              <w:right w:val="nil"/>
            </w:tcBorders>
          </w:tcPr>
          <w:p>
            <w:pPr>
              <w:pStyle w:val="TableParagraph"/>
              <w:ind w:right="486"/>
              <w:jc w:val="right"/>
              <w:rPr>
                <w:rFonts w:ascii="Calibri"/>
                <w:sz w:val="22"/>
              </w:rPr>
            </w:pPr>
            <w:r>
              <w:rPr>
                <w:rFonts w:ascii="Calibri"/>
                <w:w w:val="100"/>
                <w:sz w:val="22"/>
              </w:rPr>
              <w:t>0</w:t>
            </w:r>
          </w:p>
        </w:tc>
        <w:tc>
          <w:tcPr>
            <w:tcW w:w="1068" w:type="dxa"/>
            <w:tcBorders>
              <w:top w:val="nil"/>
              <w:left w:val="nil"/>
              <w:bottom w:val="nil"/>
              <w:right w:val="nil"/>
            </w:tcBorders>
          </w:tcPr>
          <w:p>
            <w:pPr>
              <w:pStyle w:val="TableParagraph"/>
              <w:ind w:left="431"/>
              <w:jc w:val="left"/>
              <w:rPr>
                <w:rFonts w:ascii="Calibri"/>
                <w:sz w:val="22"/>
              </w:rPr>
            </w:pPr>
            <w:r>
              <w:rPr>
                <w:rFonts w:ascii="Calibri"/>
                <w:sz w:val="22"/>
              </w:rPr>
              <w:t>17</w:t>
            </w:r>
          </w:p>
        </w:tc>
        <w:tc>
          <w:tcPr>
            <w:tcW w:w="1094" w:type="dxa"/>
            <w:tcBorders>
              <w:top w:val="nil"/>
              <w:left w:val="nil"/>
              <w:bottom w:val="nil"/>
              <w:right w:val="single" w:sz="4" w:space="0" w:color="000000"/>
            </w:tcBorders>
          </w:tcPr>
          <w:p>
            <w:pPr>
              <w:pStyle w:val="TableParagraph"/>
              <w:ind w:left="392" w:right="321"/>
              <w:rPr>
                <w:rFonts w:ascii="Calibri"/>
                <w:sz w:val="22"/>
              </w:rPr>
            </w:pPr>
            <w:r>
              <w:rPr>
                <w:rFonts w:ascii="Calibri"/>
                <w:sz w:val="22"/>
              </w:rPr>
              <w:t>30</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32</w:t>
            </w:r>
          </w:p>
        </w:tc>
        <w:tc>
          <w:tcPr>
            <w:tcW w:w="938" w:type="dxa"/>
            <w:tcBorders>
              <w:top w:val="nil"/>
              <w:bottom w:val="nil"/>
              <w:right w:val="nil"/>
            </w:tcBorders>
          </w:tcPr>
          <w:p>
            <w:pPr>
              <w:pStyle w:val="TableParagraph"/>
              <w:ind w:right="22"/>
              <w:rPr>
                <w:rFonts w:ascii="Calibri"/>
                <w:sz w:val="22"/>
              </w:rPr>
            </w:pPr>
            <w:r>
              <w:rPr>
                <w:rFonts w:ascii="Calibri"/>
                <w:w w:val="100"/>
                <w:sz w:val="22"/>
              </w:rPr>
              <w:t>1</w:t>
            </w:r>
          </w:p>
        </w:tc>
        <w:tc>
          <w:tcPr>
            <w:tcW w:w="982" w:type="dxa"/>
            <w:tcBorders>
              <w:top w:val="nil"/>
              <w:left w:val="nil"/>
              <w:bottom w:val="nil"/>
              <w:right w:val="nil"/>
            </w:tcBorders>
          </w:tcPr>
          <w:p>
            <w:pPr>
              <w:pStyle w:val="TableParagraph"/>
              <w:ind w:right="22"/>
              <w:rPr>
                <w:rFonts w:ascii="Calibri"/>
                <w:sz w:val="22"/>
              </w:rPr>
            </w:pPr>
            <w:r>
              <w:rPr>
                <w:rFonts w:ascii="Calibri"/>
                <w:w w:val="100"/>
                <w:sz w:val="22"/>
              </w:rPr>
              <w:t>3</w:t>
            </w:r>
          </w:p>
        </w:tc>
        <w:tc>
          <w:tcPr>
            <w:tcW w:w="1091" w:type="dxa"/>
            <w:tcBorders>
              <w:top w:val="nil"/>
              <w:left w:val="nil"/>
              <w:bottom w:val="nil"/>
              <w:right w:val="nil"/>
            </w:tcBorders>
          </w:tcPr>
          <w:p>
            <w:pPr>
              <w:pStyle w:val="TableParagraph"/>
              <w:ind w:left="428" w:right="400"/>
              <w:rPr>
                <w:rFonts w:ascii="Calibri"/>
                <w:sz w:val="22"/>
              </w:rPr>
            </w:pPr>
            <w:r>
              <w:rPr>
                <w:rFonts w:ascii="Calibri"/>
                <w:sz w:val="22"/>
              </w:rPr>
              <w:t>21</w:t>
            </w:r>
          </w:p>
        </w:tc>
        <w:tc>
          <w:tcPr>
            <w:tcW w:w="1029" w:type="dxa"/>
            <w:tcBorders>
              <w:top w:val="nil"/>
              <w:left w:val="nil"/>
              <w:bottom w:val="nil"/>
              <w:right w:val="nil"/>
            </w:tcBorders>
          </w:tcPr>
          <w:p>
            <w:pPr>
              <w:pStyle w:val="TableParagraph"/>
              <w:ind w:right="437"/>
              <w:jc w:val="right"/>
              <w:rPr>
                <w:rFonts w:ascii="Calibri"/>
                <w:sz w:val="22"/>
              </w:rPr>
            </w:pPr>
            <w:r>
              <w:rPr>
                <w:rFonts w:ascii="Calibri"/>
                <w:w w:val="100"/>
                <w:sz w:val="22"/>
              </w:rPr>
              <w:t>7</w:t>
            </w:r>
          </w:p>
        </w:tc>
        <w:tc>
          <w:tcPr>
            <w:tcW w:w="993" w:type="dxa"/>
            <w:tcBorders>
              <w:top w:val="nil"/>
              <w:left w:val="nil"/>
              <w:bottom w:val="nil"/>
              <w:right w:val="nil"/>
            </w:tcBorders>
          </w:tcPr>
          <w:p>
            <w:pPr>
              <w:pStyle w:val="TableParagraph"/>
              <w:ind w:left="384"/>
              <w:jc w:val="left"/>
              <w:rPr>
                <w:rFonts w:ascii="Calibri"/>
                <w:sz w:val="22"/>
              </w:rPr>
            </w:pPr>
            <w:r>
              <w:rPr>
                <w:rFonts w:ascii="Calibri"/>
                <w:sz w:val="22"/>
              </w:rPr>
              <w:t>11</w:t>
            </w:r>
          </w:p>
        </w:tc>
        <w:tc>
          <w:tcPr>
            <w:tcW w:w="1039" w:type="dxa"/>
            <w:tcBorders>
              <w:top w:val="nil"/>
              <w:left w:val="nil"/>
              <w:bottom w:val="nil"/>
              <w:right w:val="nil"/>
            </w:tcBorders>
          </w:tcPr>
          <w:p>
            <w:pPr>
              <w:pStyle w:val="TableParagraph"/>
              <w:ind w:right="486"/>
              <w:jc w:val="right"/>
              <w:rPr>
                <w:rFonts w:ascii="Calibri"/>
                <w:sz w:val="22"/>
              </w:rPr>
            </w:pPr>
            <w:r>
              <w:rPr>
                <w:rFonts w:ascii="Calibri"/>
                <w:w w:val="100"/>
                <w:sz w:val="22"/>
              </w:rPr>
              <w:t>8</w:t>
            </w:r>
          </w:p>
        </w:tc>
        <w:tc>
          <w:tcPr>
            <w:tcW w:w="1068" w:type="dxa"/>
            <w:tcBorders>
              <w:top w:val="nil"/>
              <w:left w:val="nil"/>
              <w:bottom w:val="nil"/>
              <w:right w:val="nil"/>
            </w:tcBorders>
          </w:tcPr>
          <w:p>
            <w:pPr>
              <w:pStyle w:val="TableParagraph"/>
              <w:ind w:left="486"/>
              <w:jc w:val="left"/>
              <w:rPr>
                <w:rFonts w:ascii="Calibri"/>
                <w:sz w:val="22"/>
              </w:rPr>
            </w:pPr>
            <w:r>
              <w:rPr>
                <w:rFonts w:ascii="Calibri"/>
                <w:w w:val="100"/>
                <w:sz w:val="22"/>
              </w:rPr>
              <w:t>8</w:t>
            </w:r>
          </w:p>
        </w:tc>
        <w:tc>
          <w:tcPr>
            <w:tcW w:w="1094" w:type="dxa"/>
            <w:tcBorders>
              <w:top w:val="nil"/>
              <w:left w:val="nil"/>
              <w:bottom w:val="nil"/>
              <w:right w:val="single" w:sz="4" w:space="0" w:color="000000"/>
            </w:tcBorders>
          </w:tcPr>
          <w:p>
            <w:pPr>
              <w:pStyle w:val="TableParagraph"/>
              <w:ind w:left="392" w:right="321"/>
              <w:rPr>
                <w:rFonts w:ascii="Calibri"/>
                <w:sz w:val="22"/>
              </w:rPr>
            </w:pPr>
            <w:r>
              <w:rPr>
                <w:rFonts w:ascii="Calibri"/>
                <w:sz w:val="22"/>
              </w:rPr>
              <w:t>58</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33</w:t>
            </w:r>
          </w:p>
        </w:tc>
        <w:tc>
          <w:tcPr>
            <w:tcW w:w="938" w:type="dxa"/>
            <w:tcBorders>
              <w:top w:val="nil"/>
              <w:bottom w:val="nil"/>
              <w:right w:val="nil"/>
            </w:tcBorders>
          </w:tcPr>
          <w:p>
            <w:pPr>
              <w:pStyle w:val="TableParagraph"/>
              <w:ind w:right="22"/>
              <w:rPr>
                <w:rFonts w:ascii="Calibri"/>
                <w:sz w:val="22"/>
              </w:rPr>
            </w:pPr>
            <w:r>
              <w:rPr>
                <w:rFonts w:ascii="Calibri"/>
                <w:w w:val="100"/>
                <w:sz w:val="22"/>
              </w:rPr>
              <w:t>0</w:t>
            </w:r>
          </w:p>
        </w:tc>
        <w:tc>
          <w:tcPr>
            <w:tcW w:w="982" w:type="dxa"/>
            <w:tcBorders>
              <w:top w:val="nil"/>
              <w:left w:val="nil"/>
              <w:bottom w:val="nil"/>
              <w:right w:val="nil"/>
            </w:tcBorders>
          </w:tcPr>
          <w:p>
            <w:pPr>
              <w:pStyle w:val="TableParagraph"/>
              <w:ind w:right="22"/>
              <w:rPr>
                <w:rFonts w:ascii="Calibri"/>
                <w:sz w:val="22"/>
              </w:rPr>
            </w:pPr>
            <w:r>
              <w:rPr>
                <w:rFonts w:ascii="Calibri"/>
                <w:w w:val="100"/>
                <w:sz w:val="22"/>
              </w:rPr>
              <w:t>1</w:t>
            </w:r>
          </w:p>
        </w:tc>
        <w:tc>
          <w:tcPr>
            <w:tcW w:w="1091" w:type="dxa"/>
            <w:tcBorders>
              <w:top w:val="nil"/>
              <w:left w:val="nil"/>
              <w:bottom w:val="nil"/>
              <w:right w:val="nil"/>
            </w:tcBorders>
          </w:tcPr>
          <w:p>
            <w:pPr>
              <w:pStyle w:val="TableParagraph"/>
              <w:ind w:left="30"/>
              <w:rPr>
                <w:rFonts w:ascii="Calibri"/>
                <w:sz w:val="22"/>
              </w:rPr>
            </w:pPr>
            <w:r>
              <w:rPr>
                <w:rFonts w:ascii="Calibri"/>
                <w:w w:val="100"/>
                <w:sz w:val="22"/>
              </w:rPr>
              <w:t>2</w:t>
            </w:r>
          </w:p>
        </w:tc>
        <w:tc>
          <w:tcPr>
            <w:tcW w:w="1029" w:type="dxa"/>
            <w:tcBorders>
              <w:top w:val="nil"/>
              <w:left w:val="nil"/>
              <w:bottom w:val="nil"/>
              <w:right w:val="nil"/>
            </w:tcBorders>
          </w:tcPr>
          <w:p>
            <w:pPr>
              <w:pStyle w:val="TableParagraph"/>
              <w:ind w:right="437"/>
              <w:jc w:val="right"/>
              <w:rPr>
                <w:rFonts w:ascii="Calibri"/>
                <w:sz w:val="22"/>
              </w:rPr>
            </w:pPr>
            <w:r>
              <w:rPr>
                <w:rFonts w:ascii="Calibri"/>
                <w:w w:val="100"/>
                <w:sz w:val="22"/>
              </w:rPr>
              <w:t>0</w:t>
            </w:r>
          </w:p>
        </w:tc>
        <w:tc>
          <w:tcPr>
            <w:tcW w:w="993" w:type="dxa"/>
            <w:tcBorders>
              <w:top w:val="nil"/>
              <w:left w:val="nil"/>
              <w:bottom w:val="nil"/>
              <w:right w:val="nil"/>
            </w:tcBorders>
          </w:tcPr>
          <w:p>
            <w:pPr>
              <w:pStyle w:val="TableParagraph"/>
              <w:ind w:left="439"/>
              <w:jc w:val="left"/>
              <w:rPr>
                <w:rFonts w:ascii="Calibri"/>
                <w:sz w:val="22"/>
              </w:rPr>
            </w:pPr>
            <w:r>
              <w:rPr>
                <w:rFonts w:ascii="Calibri"/>
                <w:w w:val="100"/>
                <w:sz w:val="22"/>
              </w:rPr>
              <w:t>0</w:t>
            </w:r>
          </w:p>
        </w:tc>
        <w:tc>
          <w:tcPr>
            <w:tcW w:w="1039" w:type="dxa"/>
            <w:tcBorders>
              <w:top w:val="nil"/>
              <w:left w:val="nil"/>
              <w:bottom w:val="nil"/>
              <w:right w:val="nil"/>
            </w:tcBorders>
          </w:tcPr>
          <w:p>
            <w:pPr>
              <w:pStyle w:val="TableParagraph"/>
              <w:ind w:right="486"/>
              <w:jc w:val="right"/>
              <w:rPr>
                <w:rFonts w:ascii="Calibri"/>
                <w:sz w:val="22"/>
              </w:rPr>
            </w:pPr>
            <w:r>
              <w:rPr>
                <w:rFonts w:ascii="Calibri"/>
                <w:w w:val="100"/>
                <w:sz w:val="22"/>
              </w:rPr>
              <w:t>1</w:t>
            </w:r>
          </w:p>
        </w:tc>
        <w:tc>
          <w:tcPr>
            <w:tcW w:w="1068" w:type="dxa"/>
            <w:tcBorders>
              <w:top w:val="nil"/>
              <w:left w:val="nil"/>
              <w:bottom w:val="nil"/>
              <w:right w:val="nil"/>
            </w:tcBorders>
          </w:tcPr>
          <w:p>
            <w:pPr>
              <w:pStyle w:val="TableParagraph"/>
              <w:ind w:left="486"/>
              <w:jc w:val="left"/>
              <w:rPr>
                <w:rFonts w:ascii="Calibri"/>
                <w:sz w:val="22"/>
              </w:rPr>
            </w:pPr>
            <w:r>
              <w:rPr>
                <w:rFonts w:ascii="Calibri"/>
                <w:w w:val="100"/>
                <w:sz w:val="22"/>
              </w:rPr>
              <w:t>3</w:t>
            </w:r>
          </w:p>
        </w:tc>
        <w:tc>
          <w:tcPr>
            <w:tcW w:w="1094" w:type="dxa"/>
            <w:tcBorders>
              <w:top w:val="nil"/>
              <w:left w:val="nil"/>
              <w:bottom w:val="nil"/>
              <w:right w:val="single" w:sz="4" w:space="0" w:color="000000"/>
            </w:tcBorders>
          </w:tcPr>
          <w:p>
            <w:pPr>
              <w:pStyle w:val="TableParagraph"/>
              <w:ind w:left="68"/>
              <w:rPr>
                <w:rFonts w:ascii="Calibri"/>
                <w:sz w:val="22"/>
              </w:rPr>
            </w:pPr>
            <w:r>
              <w:rPr>
                <w:rFonts w:ascii="Calibri"/>
                <w:w w:val="100"/>
                <w:sz w:val="22"/>
              </w:rPr>
              <w:t>7</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34</w:t>
            </w:r>
          </w:p>
        </w:tc>
        <w:tc>
          <w:tcPr>
            <w:tcW w:w="938" w:type="dxa"/>
            <w:tcBorders>
              <w:top w:val="nil"/>
              <w:bottom w:val="nil"/>
              <w:right w:val="nil"/>
            </w:tcBorders>
          </w:tcPr>
          <w:p>
            <w:pPr>
              <w:pStyle w:val="TableParagraph"/>
              <w:ind w:right="22"/>
              <w:rPr>
                <w:rFonts w:ascii="Calibri"/>
                <w:sz w:val="22"/>
              </w:rPr>
            </w:pPr>
            <w:r>
              <w:rPr>
                <w:rFonts w:ascii="Calibri"/>
                <w:w w:val="100"/>
                <w:sz w:val="22"/>
              </w:rPr>
              <w:t>0</w:t>
            </w:r>
          </w:p>
        </w:tc>
        <w:tc>
          <w:tcPr>
            <w:tcW w:w="982" w:type="dxa"/>
            <w:tcBorders>
              <w:top w:val="nil"/>
              <w:left w:val="nil"/>
              <w:bottom w:val="nil"/>
              <w:right w:val="nil"/>
            </w:tcBorders>
          </w:tcPr>
          <w:p>
            <w:pPr>
              <w:pStyle w:val="TableParagraph"/>
              <w:ind w:right="22"/>
              <w:rPr>
                <w:rFonts w:ascii="Calibri"/>
                <w:sz w:val="22"/>
              </w:rPr>
            </w:pPr>
            <w:r>
              <w:rPr>
                <w:rFonts w:ascii="Calibri"/>
                <w:w w:val="100"/>
                <w:sz w:val="22"/>
              </w:rPr>
              <w:t>3</w:t>
            </w:r>
          </w:p>
        </w:tc>
        <w:tc>
          <w:tcPr>
            <w:tcW w:w="1091" w:type="dxa"/>
            <w:tcBorders>
              <w:top w:val="nil"/>
              <w:left w:val="nil"/>
              <w:bottom w:val="nil"/>
              <w:right w:val="nil"/>
            </w:tcBorders>
          </w:tcPr>
          <w:p>
            <w:pPr>
              <w:pStyle w:val="TableParagraph"/>
              <w:ind w:left="428" w:right="400"/>
              <w:rPr>
                <w:rFonts w:ascii="Calibri"/>
                <w:sz w:val="22"/>
              </w:rPr>
            </w:pPr>
            <w:r>
              <w:rPr>
                <w:rFonts w:ascii="Calibri"/>
                <w:sz w:val="22"/>
              </w:rPr>
              <w:t>24</w:t>
            </w:r>
          </w:p>
        </w:tc>
        <w:tc>
          <w:tcPr>
            <w:tcW w:w="1029" w:type="dxa"/>
            <w:tcBorders>
              <w:top w:val="nil"/>
              <w:left w:val="nil"/>
              <w:bottom w:val="nil"/>
              <w:right w:val="nil"/>
            </w:tcBorders>
          </w:tcPr>
          <w:p>
            <w:pPr>
              <w:pStyle w:val="TableParagraph"/>
              <w:ind w:right="437"/>
              <w:jc w:val="right"/>
              <w:rPr>
                <w:rFonts w:ascii="Calibri"/>
                <w:sz w:val="22"/>
              </w:rPr>
            </w:pPr>
            <w:r>
              <w:rPr>
                <w:rFonts w:ascii="Calibri"/>
                <w:w w:val="100"/>
                <w:sz w:val="22"/>
              </w:rPr>
              <w:t>6</w:t>
            </w:r>
          </w:p>
        </w:tc>
        <w:tc>
          <w:tcPr>
            <w:tcW w:w="993" w:type="dxa"/>
            <w:tcBorders>
              <w:top w:val="nil"/>
              <w:left w:val="nil"/>
              <w:bottom w:val="nil"/>
              <w:right w:val="nil"/>
            </w:tcBorders>
          </w:tcPr>
          <w:p>
            <w:pPr>
              <w:pStyle w:val="TableParagraph"/>
              <w:ind w:left="439"/>
              <w:jc w:val="left"/>
              <w:rPr>
                <w:rFonts w:ascii="Calibri"/>
                <w:sz w:val="22"/>
              </w:rPr>
            </w:pPr>
            <w:r>
              <w:rPr>
                <w:rFonts w:ascii="Calibri"/>
                <w:w w:val="100"/>
                <w:sz w:val="22"/>
              </w:rPr>
              <w:t>2</w:t>
            </w:r>
          </w:p>
        </w:tc>
        <w:tc>
          <w:tcPr>
            <w:tcW w:w="1039" w:type="dxa"/>
            <w:tcBorders>
              <w:top w:val="nil"/>
              <w:left w:val="nil"/>
              <w:bottom w:val="nil"/>
              <w:right w:val="nil"/>
            </w:tcBorders>
          </w:tcPr>
          <w:p>
            <w:pPr>
              <w:pStyle w:val="TableParagraph"/>
              <w:ind w:right="486"/>
              <w:jc w:val="right"/>
              <w:rPr>
                <w:rFonts w:ascii="Calibri"/>
                <w:sz w:val="22"/>
              </w:rPr>
            </w:pPr>
            <w:r>
              <w:rPr>
                <w:rFonts w:ascii="Calibri"/>
                <w:w w:val="100"/>
                <w:sz w:val="22"/>
              </w:rPr>
              <w:t>1</w:t>
            </w:r>
          </w:p>
        </w:tc>
        <w:tc>
          <w:tcPr>
            <w:tcW w:w="1068" w:type="dxa"/>
            <w:tcBorders>
              <w:top w:val="nil"/>
              <w:left w:val="nil"/>
              <w:bottom w:val="nil"/>
              <w:right w:val="nil"/>
            </w:tcBorders>
          </w:tcPr>
          <w:p>
            <w:pPr>
              <w:pStyle w:val="TableParagraph"/>
              <w:ind w:left="486"/>
              <w:jc w:val="left"/>
              <w:rPr>
                <w:rFonts w:ascii="Calibri"/>
                <w:sz w:val="22"/>
              </w:rPr>
            </w:pPr>
            <w:r>
              <w:rPr>
                <w:rFonts w:ascii="Calibri"/>
                <w:w w:val="100"/>
                <w:sz w:val="22"/>
              </w:rPr>
              <w:t>3</w:t>
            </w:r>
          </w:p>
        </w:tc>
        <w:tc>
          <w:tcPr>
            <w:tcW w:w="1094" w:type="dxa"/>
            <w:tcBorders>
              <w:top w:val="nil"/>
              <w:left w:val="nil"/>
              <w:bottom w:val="nil"/>
              <w:right w:val="single" w:sz="4" w:space="0" w:color="000000"/>
            </w:tcBorders>
          </w:tcPr>
          <w:p>
            <w:pPr>
              <w:pStyle w:val="TableParagraph"/>
              <w:ind w:left="392" w:right="321"/>
              <w:rPr>
                <w:rFonts w:ascii="Calibri"/>
                <w:sz w:val="22"/>
              </w:rPr>
            </w:pPr>
            <w:r>
              <w:rPr>
                <w:rFonts w:ascii="Calibri"/>
                <w:sz w:val="22"/>
              </w:rPr>
              <w:t>39</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35</w:t>
            </w:r>
          </w:p>
        </w:tc>
        <w:tc>
          <w:tcPr>
            <w:tcW w:w="938" w:type="dxa"/>
            <w:tcBorders>
              <w:top w:val="nil"/>
              <w:bottom w:val="nil"/>
              <w:right w:val="nil"/>
            </w:tcBorders>
          </w:tcPr>
          <w:p>
            <w:pPr>
              <w:pStyle w:val="TableParagraph"/>
              <w:ind w:right="22"/>
              <w:rPr>
                <w:rFonts w:ascii="Calibri"/>
                <w:sz w:val="22"/>
              </w:rPr>
            </w:pPr>
            <w:r>
              <w:rPr>
                <w:rFonts w:ascii="Calibri"/>
                <w:w w:val="100"/>
                <w:sz w:val="22"/>
              </w:rPr>
              <w:t>1</w:t>
            </w:r>
          </w:p>
        </w:tc>
        <w:tc>
          <w:tcPr>
            <w:tcW w:w="982" w:type="dxa"/>
            <w:tcBorders>
              <w:top w:val="nil"/>
              <w:left w:val="nil"/>
              <w:bottom w:val="nil"/>
              <w:right w:val="nil"/>
            </w:tcBorders>
          </w:tcPr>
          <w:p>
            <w:pPr>
              <w:pStyle w:val="TableParagraph"/>
              <w:ind w:right="22"/>
              <w:rPr>
                <w:rFonts w:ascii="Calibri"/>
                <w:sz w:val="22"/>
              </w:rPr>
            </w:pPr>
            <w:r>
              <w:rPr>
                <w:rFonts w:ascii="Calibri"/>
                <w:w w:val="100"/>
                <w:sz w:val="22"/>
              </w:rPr>
              <w:t>5</w:t>
            </w:r>
          </w:p>
        </w:tc>
        <w:tc>
          <w:tcPr>
            <w:tcW w:w="1091" w:type="dxa"/>
            <w:tcBorders>
              <w:top w:val="nil"/>
              <w:left w:val="nil"/>
              <w:bottom w:val="nil"/>
              <w:right w:val="nil"/>
            </w:tcBorders>
          </w:tcPr>
          <w:p>
            <w:pPr>
              <w:pStyle w:val="TableParagraph"/>
              <w:ind w:left="428" w:right="400"/>
              <w:rPr>
                <w:rFonts w:ascii="Calibri"/>
                <w:sz w:val="22"/>
              </w:rPr>
            </w:pPr>
            <w:r>
              <w:rPr>
                <w:rFonts w:ascii="Calibri"/>
                <w:sz w:val="22"/>
              </w:rPr>
              <w:t>10</w:t>
            </w:r>
          </w:p>
        </w:tc>
        <w:tc>
          <w:tcPr>
            <w:tcW w:w="1029" w:type="dxa"/>
            <w:tcBorders>
              <w:top w:val="nil"/>
              <w:left w:val="nil"/>
              <w:bottom w:val="nil"/>
              <w:right w:val="nil"/>
            </w:tcBorders>
          </w:tcPr>
          <w:p>
            <w:pPr>
              <w:pStyle w:val="TableParagraph"/>
              <w:ind w:right="381"/>
              <w:jc w:val="right"/>
              <w:rPr>
                <w:rFonts w:ascii="Calibri"/>
                <w:sz w:val="22"/>
              </w:rPr>
            </w:pPr>
            <w:r>
              <w:rPr>
                <w:rFonts w:ascii="Calibri"/>
                <w:sz w:val="22"/>
              </w:rPr>
              <w:t>13</w:t>
            </w:r>
          </w:p>
        </w:tc>
        <w:tc>
          <w:tcPr>
            <w:tcW w:w="993" w:type="dxa"/>
            <w:tcBorders>
              <w:top w:val="nil"/>
              <w:left w:val="nil"/>
              <w:bottom w:val="nil"/>
              <w:right w:val="nil"/>
            </w:tcBorders>
          </w:tcPr>
          <w:p>
            <w:pPr>
              <w:pStyle w:val="TableParagraph"/>
              <w:ind w:left="439"/>
              <w:jc w:val="left"/>
              <w:rPr>
                <w:rFonts w:ascii="Calibri"/>
                <w:sz w:val="22"/>
              </w:rPr>
            </w:pPr>
            <w:r>
              <w:rPr>
                <w:rFonts w:ascii="Calibri"/>
                <w:w w:val="100"/>
                <w:sz w:val="22"/>
              </w:rPr>
              <w:t>0</w:t>
            </w:r>
          </w:p>
        </w:tc>
        <w:tc>
          <w:tcPr>
            <w:tcW w:w="1039" w:type="dxa"/>
            <w:tcBorders>
              <w:top w:val="nil"/>
              <w:left w:val="nil"/>
              <w:bottom w:val="nil"/>
              <w:right w:val="nil"/>
            </w:tcBorders>
          </w:tcPr>
          <w:p>
            <w:pPr>
              <w:pStyle w:val="TableParagraph"/>
              <w:ind w:right="486"/>
              <w:jc w:val="right"/>
              <w:rPr>
                <w:rFonts w:ascii="Calibri"/>
                <w:sz w:val="22"/>
              </w:rPr>
            </w:pPr>
            <w:r>
              <w:rPr>
                <w:rFonts w:ascii="Calibri"/>
                <w:w w:val="100"/>
                <w:sz w:val="22"/>
              </w:rPr>
              <w:t>0</w:t>
            </w:r>
          </w:p>
        </w:tc>
        <w:tc>
          <w:tcPr>
            <w:tcW w:w="1068" w:type="dxa"/>
            <w:tcBorders>
              <w:top w:val="nil"/>
              <w:left w:val="nil"/>
              <w:bottom w:val="nil"/>
              <w:right w:val="nil"/>
            </w:tcBorders>
          </w:tcPr>
          <w:p>
            <w:pPr>
              <w:pStyle w:val="TableParagraph"/>
              <w:ind w:left="486"/>
              <w:jc w:val="left"/>
              <w:rPr>
                <w:rFonts w:ascii="Calibri"/>
                <w:sz w:val="22"/>
              </w:rPr>
            </w:pPr>
            <w:r>
              <w:rPr>
                <w:rFonts w:ascii="Calibri"/>
                <w:w w:val="100"/>
                <w:sz w:val="22"/>
              </w:rPr>
              <w:t>6</w:t>
            </w:r>
          </w:p>
        </w:tc>
        <w:tc>
          <w:tcPr>
            <w:tcW w:w="1094" w:type="dxa"/>
            <w:tcBorders>
              <w:top w:val="nil"/>
              <w:left w:val="nil"/>
              <w:bottom w:val="nil"/>
              <w:right w:val="single" w:sz="4" w:space="0" w:color="000000"/>
            </w:tcBorders>
          </w:tcPr>
          <w:p>
            <w:pPr>
              <w:pStyle w:val="TableParagraph"/>
              <w:ind w:left="392" w:right="321"/>
              <w:rPr>
                <w:rFonts w:ascii="Calibri"/>
                <w:sz w:val="22"/>
              </w:rPr>
            </w:pPr>
            <w:r>
              <w:rPr>
                <w:rFonts w:ascii="Calibri"/>
                <w:sz w:val="22"/>
              </w:rPr>
              <w:t>34</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36</w:t>
            </w:r>
          </w:p>
        </w:tc>
        <w:tc>
          <w:tcPr>
            <w:tcW w:w="938" w:type="dxa"/>
            <w:tcBorders>
              <w:top w:val="nil"/>
              <w:bottom w:val="nil"/>
              <w:right w:val="nil"/>
            </w:tcBorders>
          </w:tcPr>
          <w:p>
            <w:pPr>
              <w:pStyle w:val="TableParagraph"/>
              <w:ind w:right="22"/>
              <w:rPr>
                <w:rFonts w:ascii="Calibri"/>
                <w:sz w:val="22"/>
              </w:rPr>
            </w:pPr>
            <w:r>
              <w:rPr>
                <w:rFonts w:ascii="Calibri"/>
                <w:w w:val="100"/>
                <w:sz w:val="22"/>
              </w:rPr>
              <w:t>1</w:t>
            </w:r>
          </w:p>
        </w:tc>
        <w:tc>
          <w:tcPr>
            <w:tcW w:w="982" w:type="dxa"/>
            <w:tcBorders>
              <w:top w:val="nil"/>
              <w:left w:val="nil"/>
              <w:bottom w:val="nil"/>
              <w:right w:val="nil"/>
            </w:tcBorders>
          </w:tcPr>
          <w:p>
            <w:pPr>
              <w:pStyle w:val="TableParagraph"/>
              <w:ind w:right="22"/>
              <w:rPr>
                <w:rFonts w:ascii="Calibri"/>
                <w:sz w:val="22"/>
              </w:rPr>
            </w:pPr>
            <w:r>
              <w:rPr>
                <w:rFonts w:ascii="Calibri"/>
                <w:w w:val="100"/>
                <w:sz w:val="22"/>
              </w:rPr>
              <w:t>0</w:t>
            </w:r>
          </w:p>
        </w:tc>
        <w:tc>
          <w:tcPr>
            <w:tcW w:w="1091" w:type="dxa"/>
            <w:tcBorders>
              <w:top w:val="nil"/>
              <w:left w:val="nil"/>
              <w:bottom w:val="nil"/>
              <w:right w:val="nil"/>
            </w:tcBorders>
          </w:tcPr>
          <w:p>
            <w:pPr>
              <w:pStyle w:val="TableParagraph"/>
              <w:ind w:left="428" w:right="400"/>
              <w:rPr>
                <w:rFonts w:ascii="Calibri"/>
                <w:sz w:val="22"/>
              </w:rPr>
            </w:pPr>
            <w:r>
              <w:rPr>
                <w:rFonts w:ascii="Calibri"/>
                <w:sz w:val="22"/>
              </w:rPr>
              <w:t>32</w:t>
            </w:r>
          </w:p>
        </w:tc>
        <w:tc>
          <w:tcPr>
            <w:tcW w:w="1029" w:type="dxa"/>
            <w:tcBorders>
              <w:top w:val="nil"/>
              <w:left w:val="nil"/>
              <w:bottom w:val="nil"/>
              <w:right w:val="nil"/>
            </w:tcBorders>
          </w:tcPr>
          <w:p>
            <w:pPr>
              <w:pStyle w:val="TableParagraph"/>
              <w:ind w:right="381"/>
              <w:jc w:val="right"/>
              <w:rPr>
                <w:rFonts w:ascii="Calibri"/>
                <w:sz w:val="22"/>
              </w:rPr>
            </w:pPr>
            <w:r>
              <w:rPr>
                <w:rFonts w:ascii="Calibri"/>
                <w:sz w:val="22"/>
              </w:rPr>
              <w:t>20</w:t>
            </w:r>
          </w:p>
        </w:tc>
        <w:tc>
          <w:tcPr>
            <w:tcW w:w="993" w:type="dxa"/>
            <w:tcBorders>
              <w:top w:val="nil"/>
              <w:left w:val="nil"/>
              <w:bottom w:val="nil"/>
              <w:right w:val="nil"/>
            </w:tcBorders>
          </w:tcPr>
          <w:p>
            <w:pPr>
              <w:pStyle w:val="TableParagraph"/>
              <w:ind w:left="439"/>
              <w:jc w:val="left"/>
              <w:rPr>
                <w:rFonts w:ascii="Calibri"/>
                <w:sz w:val="22"/>
              </w:rPr>
            </w:pPr>
            <w:r>
              <w:rPr>
                <w:rFonts w:ascii="Calibri"/>
                <w:w w:val="100"/>
                <w:sz w:val="22"/>
              </w:rPr>
              <w:t>3</w:t>
            </w:r>
          </w:p>
        </w:tc>
        <w:tc>
          <w:tcPr>
            <w:tcW w:w="1039" w:type="dxa"/>
            <w:tcBorders>
              <w:top w:val="nil"/>
              <w:left w:val="nil"/>
              <w:bottom w:val="nil"/>
              <w:right w:val="nil"/>
            </w:tcBorders>
          </w:tcPr>
          <w:p>
            <w:pPr>
              <w:pStyle w:val="TableParagraph"/>
              <w:ind w:right="486"/>
              <w:jc w:val="right"/>
              <w:rPr>
                <w:rFonts w:ascii="Calibri"/>
                <w:sz w:val="22"/>
              </w:rPr>
            </w:pPr>
            <w:r>
              <w:rPr>
                <w:rFonts w:ascii="Calibri"/>
                <w:w w:val="100"/>
                <w:sz w:val="22"/>
              </w:rPr>
              <w:t>5</w:t>
            </w:r>
          </w:p>
        </w:tc>
        <w:tc>
          <w:tcPr>
            <w:tcW w:w="1068" w:type="dxa"/>
            <w:tcBorders>
              <w:top w:val="nil"/>
              <w:left w:val="nil"/>
              <w:bottom w:val="nil"/>
              <w:right w:val="nil"/>
            </w:tcBorders>
          </w:tcPr>
          <w:p>
            <w:pPr>
              <w:pStyle w:val="TableParagraph"/>
              <w:ind w:left="431"/>
              <w:jc w:val="left"/>
              <w:rPr>
                <w:rFonts w:ascii="Calibri"/>
                <w:sz w:val="22"/>
              </w:rPr>
            </w:pPr>
            <w:r>
              <w:rPr>
                <w:rFonts w:ascii="Calibri"/>
                <w:sz w:val="22"/>
              </w:rPr>
              <w:t>13</w:t>
            </w:r>
          </w:p>
        </w:tc>
        <w:tc>
          <w:tcPr>
            <w:tcW w:w="1094" w:type="dxa"/>
            <w:tcBorders>
              <w:top w:val="nil"/>
              <w:left w:val="nil"/>
              <w:bottom w:val="nil"/>
              <w:right w:val="single" w:sz="4" w:space="0" w:color="000000"/>
            </w:tcBorders>
          </w:tcPr>
          <w:p>
            <w:pPr>
              <w:pStyle w:val="TableParagraph"/>
              <w:ind w:left="392" w:right="321"/>
              <w:rPr>
                <w:rFonts w:ascii="Calibri"/>
                <w:sz w:val="22"/>
              </w:rPr>
            </w:pPr>
            <w:r>
              <w:rPr>
                <w:rFonts w:ascii="Calibri"/>
                <w:sz w:val="22"/>
              </w:rPr>
              <w:t>73</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37</w:t>
            </w:r>
          </w:p>
        </w:tc>
        <w:tc>
          <w:tcPr>
            <w:tcW w:w="938" w:type="dxa"/>
            <w:tcBorders>
              <w:top w:val="nil"/>
              <w:bottom w:val="nil"/>
              <w:right w:val="nil"/>
            </w:tcBorders>
          </w:tcPr>
          <w:p>
            <w:pPr>
              <w:pStyle w:val="TableParagraph"/>
              <w:ind w:right="22"/>
              <w:rPr>
                <w:rFonts w:ascii="Calibri"/>
                <w:sz w:val="22"/>
              </w:rPr>
            </w:pPr>
            <w:r>
              <w:rPr>
                <w:rFonts w:ascii="Calibri"/>
                <w:w w:val="100"/>
                <w:sz w:val="22"/>
              </w:rPr>
              <w:t>0</w:t>
            </w:r>
          </w:p>
        </w:tc>
        <w:tc>
          <w:tcPr>
            <w:tcW w:w="982" w:type="dxa"/>
            <w:tcBorders>
              <w:top w:val="nil"/>
              <w:left w:val="nil"/>
              <w:bottom w:val="nil"/>
              <w:right w:val="nil"/>
            </w:tcBorders>
          </w:tcPr>
          <w:p>
            <w:pPr>
              <w:pStyle w:val="TableParagraph"/>
              <w:ind w:right="22"/>
              <w:rPr>
                <w:rFonts w:ascii="Calibri"/>
                <w:sz w:val="22"/>
              </w:rPr>
            </w:pPr>
            <w:r>
              <w:rPr>
                <w:rFonts w:ascii="Calibri"/>
                <w:w w:val="100"/>
                <w:sz w:val="22"/>
              </w:rPr>
              <w:t>2</w:t>
            </w:r>
          </w:p>
        </w:tc>
        <w:tc>
          <w:tcPr>
            <w:tcW w:w="1091" w:type="dxa"/>
            <w:tcBorders>
              <w:top w:val="nil"/>
              <w:left w:val="nil"/>
              <w:bottom w:val="nil"/>
              <w:right w:val="nil"/>
            </w:tcBorders>
          </w:tcPr>
          <w:p>
            <w:pPr>
              <w:pStyle w:val="TableParagraph"/>
              <w:ind w:left="428" w:right="400"/>
              <w:rPr>
                <w:rFonts w:ascii="Calibri"/>
                <w:sz w:val="22"/>
              </w:rPr>
            </w:pPr>
            <w:r>
              <w:rPr>
                <w:rFonts w:ascii="Calibri"/>
                <w:sz w:val="22"/>
              </w:rPr>
              <w:t>23</w:t>
            </w:r>
          </w:p>
        </w:tc>
        <w:tc>
          <w:tcPr>
            <w:tcW w:w="1029" w:type="dxa"/>
            <w:tcBorders>
              <w:top w:val="nil"/>
              <w:left w:val="nil"/>
              <w:bottom w:val="nil"/>
              <w:right w:val="nil"/>
            </w:tcBorders>
          </w:tcPr>
          <w:p>
            <w:pPr>
              <w:pStyle w:val="TableParagraph"/>
              <w:ind w:right="437"/>
              <w:jc w:val="right"/>
              <w:rPr>
                <w:rFonts w:ascii="Calibri"/>
                <w:sz w:val="22"/>
              </w:rPr>
            </w:pPr>
            <w:r>
              <w:rPr>
                <w:rFonts w:ascii="Calibri"/>
                <w:w w:val="100"/>
                <w:sz w:val="22"/>
              </w:rPr>
              <w:t>6</w:t>
            </w:r>
          </w:p>
        </w:tc>
        <w:tc>
          <w:tcPr>
            <w:tcW w:w="993" w:type="dxa"/>
            <w:tcBorders>
              <w:top w:val="nil"/>
              <w:left w:val="nil"/>
              <w:bottom w:val="nil"/>
              <w:right w:val="nil"/>
            </w:tcBorders>
          </w:tcPr>
          <w:p>
            <w:pPr>
              <w:pStyle w:val="TableParagraph"/>
              <w:ind w:left="439"/>
              <w:jc w:val="left"/>
              <w:rPr>
                <w:rFonts w:ascii="Calibri"/>
                <w:sz w:val="22"/>
              </w:rPr>
            </w:pPr>
            <w:r>
              <w:rPr>
                <w:rFonts w:ascii="Calibri"/>
                <w:w w:val="100"/>
                <w:sz w:val="22"/>
              </w:rPr>
              <w:t>3</w:t>
            </w:r>
          </w:p>
        </w:tc>
        <w:tc>
          <w:tcPr>
            <w:tcW w:w="1039" w:type="dxa"/>
            <w:tcBorders>
              <w:top w:val="nil"/>
              <w:left w:val="nil"/>
              <w:bottom w:val="nil"/>
              <w:right w:val="nil"/>
            </w:tcBorders>
          </w:tcPr>
          <w:p>
            <w:pPr>
              <w:pStyle w:val="TableParagraph"/>
              <w:ind w:right="486"/>
              <w:jc w:val="right"/>
              <w:rPr>
                <w:rFonts w:ascii="Calibri"/>
                <w:sz w:val="22"/>
              </w:rPr>
            </w:pPr>
            <w:r>
              <w:rPr>
                <w:rFonts w:ascii="Calibri"/>
                <w:w w:val="100"/>
                <w:sz w:val="22"/>
              </w:rPr>
              <w:t>1</w:t>
            </w:r>
          </w:p>
        </w:tc>
        <w:tc>
          <w:tcPr>
            <w:tcW w:w="1068" w:type="dxa"/>
            <w:tcBorders>
              <w:top w:val="nil"/>
              <w:left w:val="nil"/>
              <w:bottom w:val="nil"/>
              <w:right w:val="nil"/>
            </w:tcBorders>
          </w:tcPr>
          <w:p>
            <w:pPr>
              <w:pStyle w:val="TableParagraph"/>
              <w:ind w:left="431"/>
              <w:jc w:val="left"/>
              <w:rPr>
                <w:rFonts w:ascii="Calibri"/>
                <w:sz w:val="22"/>
              </w:rPr>
            </w:pPr>
            <w:r>
              <w:rPr>
                <w:rFonts w:ascii="Calibri"/>
                <w:sz w:val="22"/>
              </w:rPr>
              <w:t>13</w:t>
            </w:r>
          </w:p>
        </w:tc>
        <w:tc>
          <w:tcPr>
            <w:tcW w:w="1094" w:type="dxa"/>
            <w:tcBorders>
              <w:top w:val="nil"/>
              <w:left w:val="nil"/>
              <w:bottom w:val="nil"/>
              <w:right w:val="single" w:sz="4" w:space="0" w:color="000000"/>
            </w:tcBorders>
          </w:tcPr>
          <w:p>
            <w:pPr>
              <w:pStyle w:val="TableParagraph"/>
              <w:ind w:left="392" w:right="321"/>
              <w:rPr>
                <w:rFonts w:ascii="Calibri"/>
                <w:sz w:val="22"/>
              </w:rPr>
            </w:pPr>
            <w:r>
              <w:rPr>
                <w:rFonts w:ascii="Calibri"/>
                <w:sz w:val="22"/>
              </w:rPr>
              <w:t>48</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38</w:t>
            </w:r>
          </w:p>
        </w:tc>
        <w:tc>
          <w:tcPr>
            <w:tcW w:w="938" w:type="dxa"/>
            <w:tcBorders>
              <w:top w:val="nil"/>
              <w:bottom w:val="nil"/>
              <w:right w:val="nil"/>
            </w:tcBorders>
          </w:tcPr>
          <w:p>
            <w:pPr>
              <w:pStyle w:val="TableParagraph"/>
              <w:ind w:right="22"/>
              <w:rPr>
                <w:rFonts w:ascii="Calibri"/>
                <w:sz w:val="22"/>
              </w:rPr>
            </w:pPr>
            <w:r>
              <w:rPr>
                <w:rFonts w:ascii="Calibri"/>
                <w:w w:val="100"/>
                <w:sz w:val="22"/>
              </w:rPr>
              <w:t>0</w:t>
            </w:r>
          </w:p>
        </w:tc>
        <w:tc>
          <w:tcPr>
            <w:tcW w:w="982" w:type="dxa"/>
            <w:tcBorders>
              <w:top w:val="nil"/>
              <w:left w:val="nil"/>
              <w:bottom w:val="nil"/>
              <w:right w:val="nil"/>
            </w:tcBorders>
          </w:tcPr>
          <w:p>
            <w:pPr>
              <w:pStyle w:val="TableParagraph"/>
              <w:ind w:right="22"/>
              <w:rPr>
                <w:rFonts w:ascii="Calibri"/>
                <w:sz w:val="22"/>
              </w:rPr>
            </w:pPr>
            <w:r>
              <w:rPr>
                <w:rFonts w:ascii="Calibri"/>
                <w:w w:val="100"/>
                <w:sz w:val="22"/>
              </w:rPr>
              <w:t>0</w:t>
            </w:r>
          </w:p>
        </w:tc>
        <w:tc>
          <w:tcPr>
            <w:tcW w:w="1091" w:type="dxa"/>
            <w:tcBorders>
              <w:top w:val="nil"/>
              <w:left w:val="nil"/>
              <w:bottom w:val="nil"/>
              <w:right w:val="nil"/>
            </w:tcBorders>
          </w:tcPr>
          <w:p>
            <w:pPr>
              <w:pStyle w:val="TableParagraph"/>
              <w:ind w:left="428" w:right="400"/>
              <w:rPr>
                <w:rFonts w:ascii="Calibri"/>
                <w:sz w:val="22"/>
              </w:rPr>
            </w:pPr>
            <w:r>
              <w:rPr>
                <w:rFonts w:ascii="Calibri"/>
                <w:sz w:val="22"/>
              </w:rPr>
              <w:t>19</w:t>
            </w:r>
          </w:p>
        </w:tc>
        <w:tc>
          <w:tcPr>
            <w:tcW w:w="1029" w:type="dxa"/>
            <w:tcBorders>
              <w:top w:val="nil"/>
              <w:left w:val="nil"/>
              <w:bottom w:val="nil"/>
              <w:right w:val="nil"/>
            </w:tcBorders>
          </w:tcPr>
          <w:p>
            <w:pPr>
              <w:pStyle w:val="TableParagraph"/>
              <w:ind w:right="437"/>
              <w:jc w:val="right"/>
              <w:rPr>
                <w:rFonts w:ascii="Calibri"/>
                <w:sz w:val="22"/>
              </w:rPr>
            </w:pPr>
            <w:r>
              <w:rPr>
                <w:rFonts w:ascii="Calibri"/>
                <w:w w:val="100"/>
                <w:sz w:val="22"/>
              </w:rPr>
              <w:t>9</w:t>
            </w:r>
          </w:p>
        </w:tc>
        <w:tc>
          <w:tcPr>
            <w:tcW w:w="993" w:type="dxa"/>
            <w:tcBorders>
              <w:top w:val="nil"/>
              <w:left w:val="nil"/>
              <w:bottom w:val="nil"/>
              <w:right w:val="nil"/>
            </w:tcBorders>
          </w:tcPr>
          <w:p>
            <w:pPr>
              <w:pStyle w:val="TableParagraph"/>
              <w:ind w:left="384"/>
              <w:jc w:val="left"/>
              <w:rPr>
                <w:rFonts w:ascii="Calibri"/>
                <w:sz w:val="22"/>
              </w:rPr>
            </w:pPr>
            <w:r>
              <w:rPr>
                <w:rFonts w:ascii="Calibri"/>
                <w:sz w:val="22"/>
              </w:rPr>
              <w:t>14</w:t>
            </w:r>
          </w:p>
        </w:tc>
        <w:tc>
          <w:tcPr>
            <w:tcW w:w="1039" w:type="dxa"/>
            <w:tcBorders>
              <w:top w:val="nil"/>
              <w:left w:val="nil"/>
              <w:bottom w:val="nil"/>
              <w:right w:val="nil"/>
            </w:tcBorders>
          </w:tcPr>
          <w:p>
            <w:pPr>
              <w:pStyle w:val="TableParagraph"/>
              <w:ind w:right="486"/>
              <w:jc w:val="right"/>
              <w:rPr>
                <w:rFonts w:ascii="Calibri"/>
                <w:sz w:val="22"/>
              </w:rPr>
            </w:pPr>
            <w:r>
              <w:rPr>
                <w:rFonts w:ascii="Calibri"/>
                <w:w w:val="100"/>
                <w:sz w:val="22"/>
              </w:rPr>
              <w:t>3</w:t>
            </w:r>
          </w:p>
        </w:tc>
        <w:tc>
          <w:tcPr>
            <w:tcW w:w="1068" w:type="dxa"/>
            <w:tcBorders>
              <w:top w:val="nil"/>
              <w:left w:val="nil"/>
              <w:bottom w:val="nil"/>
              <w:right w:val="nil"/>
            </w:tcBorders>
          </w:tcPr>
          <w:p>
            <w:pPr>
              <w:pStyle w:val="TableParagraph"/>
              <w:ind w:left="486"/>
              <w:jc w:val="left"/>
              <w:rPr>
                <w:rFonts w:ascii="Calibri"/>
                <w:sz w:val="22"/>
              </w:rPr>
            </w:pPr>
            <w:r>
              <w:rPr>
                <w:rFonts w:ascii="Calibri"/>
                <w:w w:val="100"/>
                <w:sz w:val="22"/>
              </w:rPr>
              <w:t>6</w:t>
            </w:r>
          </w:p>
        </w:tc>
        <w:tc>
          <w:tcPr>
            <w:tcW w:w="1094" w:type="dxa"/>
            <w:tcBorders>
              <w:top w:val="nil"/>
              <w:left w:val="nil"/>
              <w:bottom w:val="nil"/>
              <w:right w:val="single" w:sz="4" w:space="0" w:color="000000"/>
            </w:tcBorders>
          </w:tcPr>
          <w:p>
            <w:pPr>
              <w:pStyle w:val="TableParagraph"/>
              <w:ind w:left="392" w:right="321"/>
              <w:rPr>
                <w:rFonts w:ascii="Calibri"/>
                <w:sz w:val="22"/>
              </w:rPr>
            </w:pPr>
            <w:r>
              <w:rPr>
                <w:rFonts w:ascii="Calibri"/>
                <w:sz w:val="22"/>
              </w:rPr>
              <w:t>51</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39</w:t>
            </w:r>
          </w:p>
        </w:tc>
        <w:tc>
          <w:tcPr>
            <w:tcW w:w="938" w:type="dxa"/>
            <w:tcBorders>
              <w:top w:val="nil"/>
              <w:bottom w:val="nil"/>
              <w:right w:val="nil"/>
            </w:tcBorders>
          </w:tcPr>
          <w:p>
            <w:pPr>
              <w:pStyle w:val="TableParagraph"/>
              <w:ind w:right="22"/>
              <w:rPr>
                <w:rFonts w:ascii="Calibri"/>
                <w:sz w:val="22"/>
              </w:rPr>
            </w:pPr>
            <w:r>
              <w:rPr>
                <w:rFonts w:ascii="Calibri"/>
                <w:w w:val="100"/>
                <w:sz w:val="22"/>
              </w:rPr>
              <w:t>0</w:t>
            </w:r>
          </w:p>
        </w:tc>
        <w:tc>
          <w:tcPr>
            <w:tcW w:w="982" w:type="dxa"/>
            <w:tcBorders>
              <w:top w:val="nil"/>
              <w:left w:val="nil"/>
              <w:bottom w:val="nil"/>
              <w:right w:val="nil"/>
            </w:tcBorders>
          </w:tcPr>
          <w:p>
            <w:pPr>
              <w:pStyle w:val="TableParagraph"/>
              <w:ind w:right="22"/>
              <w:rPr>
                <w:rFonts w:ascii="Calibri"/>
                <w:sz w:val="22"/>
              </w:rPr>
            </w:pPr>
            <w:r>
              <w:rPr>
                <w:rFonts w:ascii="Calibri"/>
                <w:w w:val="100"/>
                <w:sz w:val="22"/>
              </w:rPr>
              <w:t>0</w:t>
            </w:r>
          </w:p>
        </w:tc>
        <w:tc>
          <w:tcPr>
            <w:tcW w:w="1091" w:type="dxa"/>
            <w:tcBorders>
              <w:top w:val="nil"/>
              <w:left w:val="nil"/>
              <w:bottom w:val="nil"/>
              <w:right w:val="nil"/>
            </w:tcBorders>
          </w:tcPr>
          <w:p>
            <w:pPr>
              <w:pStyle w:val="TableParagraph"/>
              <w:ind w:left="428" w:right="400"/>
              <w:rPr>
                <w:rFonts w:ascii="Calibri"/>
                <w:sz w:val="22"/>
              </w:rPr>
            </w:pPr>
            <w:r>
              <w:rPr>
                <w:rFonts w:ascii="Calibri"/>
                <w:sz w:val="22"/>
              </w:rPr>
              <w:t>20</w:t>
            </w:r>
          </w:p>
        </w:tc>
        <w:tc>
          <w:tcPr>
            <w:tcW w:w="1029" w:type="dxa"/>
            <w:tcBorders>
              <w:top w:val="nil"/>
              <w:left w:val="nil"/>
              <w:bottom w:val="nil"/>
              <w:right w:val="nil"/>
            </w:tcBorders>
          </w:tcPr>
          <w:p>
            <w:pPr>
              <w:pStyle w:val="TableParagraph"/>
              <w:ind w:right="437"/>
              <w:jc w:val="right"/>
              <w:rPr>
                <w:rFonts w:ascii="Calibri"/>
                <w:sz w:val="22"/>
              </w:rPr>
            </w:pPr>
            <w:r>
              <w:rPr>
                <w:rFonts w:ascii="Calibri"/>
                <w:w w:val="100"/>
                <w:sz w:val="22"/>
              </w:rPr>
              <w:t>6</w:t>
            </w:r>
          </w:p>
        </w:tc>
        <w:tc>
          <w:tcPr>
            <w:tcW w:w="993" w:type="dxa"/>
            <w:tcBorders>
              <w:top w:val="nil"/>
              <w:left w:val="nil"/>
              <w:bottom w:val="nil"/>
              <w:right w:val="nil"/>
            </w:tcBorders>
          </w:tcPr>
          <w:p>
            <w:pPr>
              <w:pStyle w:val="TableParagraph"/>
              <w:ind w:left="384"/>
              <w:jc w:val="left"/>
              <w:rPr>
                <w:rFonts w:ascii="Calibri"/>
                <w:sz w:val="22"/>
              </w:rPr>
            </w:pPr>
            <w:r>
              <w:rPr>
                <w:rFonts w:ascii="Calibri"/>
                <w:sz w:val="22"/>
              </w:rPr>
              <w:t>10</w:t>
            </w:r>
          </w:p>
        </w:tc>
        <w:tc>
          <w:tcPr>
            <w:tcW w:w="1039" w:type="dxa"/>
            <w:tcBorders>
              <w:top w:val="nil"/>
              <w:left w:val="nil"/>
              <w:bottom w:val="nil"/>
              <w:right w:val="nil"/>
            </w:tcBorders>
          </w:tcPr>
          <w:p>
            <w:pPr>
              <w:pStyle w:val="TableParagraph"/>
              <w:ind w:right="486"/>
              <w:jc w:val="right"/>
              <w:rPr>
                <w:rFonts w:ascii="Calibri"/>
                <w:sz w:val="22"/>
              </w:rPr>
            </w:pPr>
            <w:r>
              <w:rPr>
                <w:rFonts w:ascii="Calibri"/>
                <w:w w:val="100"/>
                <w:sz w:val="22"/>
              </w:rPr>
              <w:t>2</w:t>
            </w:r>
          </w:p>
        </w:tc>
        <w:tc>
          <w:tcPr>
            <w:tcW w:w="1068" w:type="dxa"/>
            <w:tcBorders>
              <w:top w:val="nil"/>
              <w:left w:val="nil"/>
              <w:bottom w:val="nil"/>
              <w:right w:val="nil"/>
            </w:tcBorders>
          </w:tcPr>
          <w:p>
            <w:pPr>
              <w:pStyle w:val="TableParagraph"/>
              <w:ind w:left="431"/>
              <w:jc w:val="left"/>
              <w:rPr>
                <w:rFonts w:ascii="Calibri"/>
                <w:sz w:val="22"/>
              </w:rPr>
            </w:pPr>
            <w:r>
              <w:rPr>
                <w:rFonts w:ascii="Calibri"/>
                <w:sz w:val="22"/>
              </w:rPr>
              <w:t>45</w:t>
            </w:r>
          </w:p>
        </w:tc>
        <w:tc>
          <w:tcPr>
            <w:tcW w:w="1094" w:type="dxa"/>
            <w:tcBorders>
              <w:top w:val="nil"/>
              <w:left w:val="nil"/>
              <w:bottom w:val="nil"/>
              <w:right w:val="single" w:sz="4" w:space="0" w:color="000000"/>
            </w:tcBorders>
          </w:tcPr>
          <w:p>
            <w:pPr>
              <w:pStyle w:val="TableParagraph"/>
              <w:ind w:left="392" w:right="321"/>
              <w:rPr>
                <w:rFonts w:ascii="Calibri"/>
                <w:sz w:val="22"/>
              </w:rPr>
            </w:pPr>
            <w:r>
              <w:rPr>
                <w:rFonts w:ascii="Calibri"/>
                <w:sz w:val="22"/>
              </w:rPr>
              <w:t>83</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40</w:t>
            </w:r>
          </w:p>
        </w:tc>
        <w:tc>
          <w:tcPr>
            <w:tcW w:w="938" w:type="dxa"/>
            <w:tcBorders>
              <w:top w:val="nil"/>
              <w:bottom w:val="nil"/>
              <w:right w:val="nil"/>
            </w:tcBorders>
          </w:tcPr>
          <w:p>
            <w:pPr>
              <w:pStyle w:val="TableParagraph"/>
              <w:ind w:right="22"/>
              <w:rPr>
                <w:rFonts w:ascii="Calibri"/>
                <w:sz w:val="22"/>
              </w:rPr>
            </w:pPr>
            <w:r>
              <w:rPr>
                <w:rFonts w:ascii="Calibri"/>
                <w:w w:val="100"/>
                <w:sz w:val="22"/>
              </w:rPr>
              <w:t>0</w:t>
            </w:r>
          </w:p>
        </w:tc>
        <w:tc>
          <w:tcPr>
            <w:tcW w:w="982" w:type="dxa"/>
            <w:tcBorders>
              <w:top w:val="nil"/>
              <w:left w:val="nil"/>
              <w:bottom w:val="nil"/>
              <w:right w:val="nil"/>
            </w:tcBorders>
          </w:tcPr>
          <w:p>
            <w:pPr>
              <w:pStyle w:val="TableParagraph"/>
              <w:ind w:right="22"/>
              <w:rPr>
                <w:rFonts w:ascii="Calibri"/>
                <w:sz w:val="22"/>
              </w:rPr>
            </w:pPr>
            <w:r>
              <w:rPr>
                <w:rFonts w:ascii="Calibri"/>
                <w:w w:val="100"/>
                <w:sz w:val="22"/>
              </w:rPr>
              <w:t>0</w:t>
            </w:r>
          </w:p>
        </w:tc>
        <w:tc>
          <w:tcPr>
            <w:tcW w:w="1091" w:type="dxa"/>
            <w:tcBorders>
              <w:top w:val="nil"/>
              <w:left w:val="nil"/>
              <w:bottom w:val="nil"/>
              <w:right w:val="nil"/>
            </w:tcBorders>
          </w:tcPr>
          <w:p>
            <w:pPr>
              <w:pStyle w:val="TableParagraph"/>
              <w:ind w:left="428" w:right="400"/>
              <w:rPr>
                <w:rFonts w:ascii="Calibri"/>
                <w:sz w:val="22"/>
              </w:rPr>
            </w:pPr>
            <w:r>
              <w:rPr>
                <w:rFonts w:ascii="Calibri"/>
                <w:sz w:val="22"/>
              </w:rPr>
              <w:t>14</w:t>
            </w:r>
          </w:p>
        </w:tc>
        <w:tc>
          <w:tcPr>
            <w:tcW w:w="1029" w:type="dxa"/>
            <w:tcBorders>
              <w:top w:val="nil"/>
              <w:left w:val="nil"/>
              <w:bottom w:val="nil"/>
              <w:right w:val="nil"/>
            </w:tcBorders>
          </w:tcPr>
          <w:p>
            <w:pPr>
              <w:pStyle w:val="TableParagraph"/>
              <w:ind w:right="437"/>
              <w:jc w:val="right"/>
              <w:rPr>
                <w:rFonts w:ascii="Calibri"/>
                <w:sz w:val="22"/>
              </w:rPr>
            </w:pPr>
            <w:r>
              <w:rPr>
                <w:rFonts w:ascii="Calibri"/>
                <w:w w:val="100"/>
                <w:sz w:val="22"/>
              </w:rPr>
              <w:t>4</w:t>
            </w:r>
          </w:p>
        </w:tc>
        <w:tc>
          <w:tcPr>
            <w:tcW w:w="993" w:type="dxa"/>
            <w:tcBorders>
              <w:top w:val="nil"/>
              <w:left w:val="nil"/>
              <w:bottom w:val="nil"/>
              <w:right w:val="nil"/>
            </w:tcBorders>
          </w:tcPr>
          <w:p>
            <w:pPr>
              <w:pStyle w:val="TableParagraph"/>
              <w:ind w:left="439"/>
              <w:jc w:val="left"/>
              <w:rPr>
                <w:rFonts w:ascii="Calibri"/>
                <w:sz w:val="22"/>
              </w:rPr>
            </w:pPr>
            <w:r>
              <w:rPr>
                <w:rFonts w:ascii="Calibri"/>
                <w:w w:val="100"/>
                <w:sz w:val="22"/>
              </w:rPr>
              <w:t>5</w:t>
            </w:r>
          </w:p>
        </w:tc>
        <w:tc>
          <w:tcPr>
            <w:tcW w:w="1039" w:type="dxa"/>
            <w:tcBorders>
              <w:top w:val="nil"/>
              <w:left w:val="nil"/>
              <w:bottom w:val="nil"/>
              <w:right w:val="nil"/>
            </w:tcBorders>
          </w:tcPr>
          <w:p>
            <w:pPr>
              <w:pStyle w:val="TableParagraph"/>
              <w:ind w:right="486"/>
              <w:jc w:val="right"/>
              <w:rPr>
                <w:rFonts w:ascii="Calibri"/>
                <w:sz w:val="22"/>
              </w:rPr>
            </w:pPr>
            <w:r>
              <w:rPr>
                <w:rFonts w:ascii="Calibri"/>
                <w:w w:val="100"/>
                <w:sz w:val="22"/>
              </w:rPr>
              <w:t>0</w:t>
            </w:r>
          </w:p>
        </w:tc>
        <w:tc>
          <w:tcPr>
            <w:tcW w:w="1068" w:type="dxa"/>
            <w:tcBorders>
              <w:top w:val="nil"/>
              <w:left w:val="nil"/>
              <w:bottom w:val="nil"/>
              <w:right w:val="nil"/>
            </w:tcBorders>
          </w:tcPr>
          <w:p>
            <w:pPr>
              <w:pStyle w:val="TableParagraph"/>
              <w:ind w:left="431"/>
              <w:jc w:val="left"/>
              <w:rPr>
                <w:rFonts w:ascii="Calibri"/>
                <w:sz w:val="22"/>
              </w:rPr>
            </w:pPr>
            <w:r>
              <w:rPr>
                <w:rFonts w:ascii="Calibri"/>
                <w:sz w:val="22"/>
              </w:rPr>
              <w:t>16</w:t>
            </w:r>
          </w:p>
        </w:tc>
        <w:tc>
          <w:tcPr>
            <w:tcW w:w="1094" w:type="dxa"/>
            <w:tcBorders>
              <w:top w:val="nil"/>
              <w:left w:val="nil"/>
              <w:bottom w:val="nil"/>
              <w:right w:val="single" w:sz="4" w:space="0" w:color="000000"/>
            </w:tcBorders>
          </w:tcPr>
          <w:p>
            <w:pPr>
              <w:pStyle w:val="TableParagraph"/>
              <w:ind w:left="392" w:right="321"/>
              <w:rPr>
                <w:rFonts w:ascii="Calibri"/>
                <w:sz w:val="22"/>
              </w:rPr>
            </w:pPr>
            <w:r>
              <w:rPr>
                <w:rFonts w:ascii="Calibri"/>
                <w:sz w:val="22"/>
              </w:rPr>
              <w:t>39</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41</w:t>
            </w:r>
          </w:p>
        </w:tc>
        <w:tc>
          <w:tcPr>
            <w:tcW w:w="938" w:type="dxa"/>
            <w:tcBorders>
              <w:top w:val="nil"/>
              <w:bottom w:val="nil"/>
              <w:right w:val="nil"/>
            </w:tcBorders>
          </w:tcPr>
          <w:p>
            <w:pPr>
              <w:pStyle w:val="TableParagraph"/>
              <w:ind w:right="22"/>
              <w:rPr>
                <w:rFonts w:ascii="Calibri"/>
                <w:sz w:val="22"/>
              </w:rPr>
            </w:pPr>
            <w:r>
              <w:rPr>
                <w:rFonts w:ascii="Calibri"/>
                <w:w w:val="100"/>
                <w:sz w:val="22"/>
              </w:rPr>
              <w:t>0</w:t>
            </w:r>
          </w:p>
        </w:tc>
        <w:tc>
          <w:tcPr>
            <w:tcW w:w="982" w:type="dxa"/>
            <w:tcBorders>
              <w:top w:val="nil"/>
              <w:left w:val="nil"/>
              <w:bottom w:val="nil"/>
              <w:right w:val="nil"/>
            </w:tcBorders>
          </w:tcPr>
          <w:p>
            <w:pPr>
              <w:pStyle w:val="TableParagraph"/>
              <w:ind w:right="22"/>
              <w:rPr>
                <w:rFonts w:ascii="Calibri"/>
                <w:sz w:val="22"/>
              </w:rPr>
            </w:pPr>
            <w:r>
              <w:rPr>
                <w:rFonts w:ascii="Calibri"/>
                <w:w w:val="100"/>
                <w:sz w:val="22"/>
              </w:rPr>
              <w:t>3</w:t>
            </w:r>
          </w:p>
        </w:tc>
        <w:tc>
          <w:tcPr>
            <w:tcW w:w="1091" w:type="dxa"/>
            <w:tcBorders>
              <w:top w:val="nil"/>
              <w:left w:val="nil"/>
              <w:bottom w:val="nil"/>
              <w:right w:val="nil"/>
            </w:tcBorders>
          </w:tcPr>
          <w:p>
            <w:pPr>
              <w:pStyle w:val="TableParagraph"/>
              <w:ind w:left="428" w:right="400"/>
              <w:rPr>
                <w:rFonts w:ascii="Calibri"/>
                <w:sz w:val="22"/>
              </w:rPr>
            </w:pPr>
            <w:r>
              <w:rPr>
                <w:rFonts w:ascii="Calibri"/>
                <w:sz w:val="22"/>
              </w:rPr>
              <w:t>18</w:t>
            </w:r>
          </w:p>
        </w:tc>
        <w:tc>
          <w:tcPr>
            <w:tcW w:w="1029" w:type="dxa"/>
            <w:tcBorders>
              <w:top w:val="nil"/>
              <w:left w:val="nil"/>
              <w:bottom w:val="nil"/>
              <w:right w:val="nil"/>
            </w:tcBorders>
          </w:tcPr>
          <w:p>
            <w:pPr>
              <w:pStyle w:val="TableParagraph"/>
              <w:ind w:right="437"/>
              <w:jc w:val="right"/>
              <w:rPr>
                <w:rFonts w:ascii="Calibri"/>
                <w:sz w:val="22"/>
              </w:rPr>
            </w:pPr>
            <w:r>
              <w:rPr>
                <w:rFonts w:ascii="Calibri"/>
                <w:w w:val="100"/>
                <w:sz w:val="22"/>
              </w:rPr>
              <w:t>8</w:t>
            </w:r>
          </w:p>
        </w:tc>
        <w:tc>
          <w:tcPr>
            <w:tcW w:w="993" w:type="dxa"/>
            <w:tcBorders>
              <w:top w:val="nil"/>
              <w:left w:val="nil"/>
              <w:bottom w:val="nil"/>
              <w:right w:val="nil"/>
            </w:tcBorders>
          </w:tcPr>
          <w:p>
            <w:pPr>
              <w:pStyle w:val="TableParagraph"/>
              <w:ind w:left="384"/>
              <w:jc w:val="left"/>
              <w:rPr>
                <w:rFonts w:ascii="Calibri"/>
                <w:sz w:val="22"/>
              </w:rPr>
            </w:pPr>
            <w:r>
              <w:rPr>
                <w:rFonts w:ascii="Calibri"/>
                <w:sz w:val="22"/>
              </w:rPr>
              <w:t>22</w:t>
            </w:r>
          </w:p>
        </w:tc>
        <w:tc>
          <w:tcPr>
            <w:tcW w:w="1039" w:type="dxa"/>
            <w:tcBorders>
              <w:top w:val="nil"/>
              <w:left w:val="nil"/>
              <w:bottom w:val="nil"/>
              <w:right w:val="nil"/>
            </w:tcBorders>
          </w:tcPr>
          <w:p>
            <w:pPr>
              <w:pStyle w:val="TableParagraph"/>
              <w:ind w:right="486"/>
              <w:jc w:val="right"/>
              <w:rPr>
                <w:rFonts w:ascii="Calibri"/>
                <w:sz w:val="22"/>
              </w:rPr>
            </w:pPr>
            <w:r>
              <w:rPr>
                <w:rFonts w:ascii="Calibri"/>
                <w:w w:val="100"/>
                <w:sz w:val="22"/>
              </w:rPr>
              <w:t>3</w:t>
            </w:r>
          </w:p>
        </w:tc>
        <w:tc>
          <w:tcPr>
            <w:tcW w:w="1068" w:type="dxa"/>
            <w:tcBorders>
              <w:top w:val="nil"/>
              <w:left w:val="nil"/>
              <w:bottom w:val="nil"/>
              <w:right w:val="nil"/>
            </w:tcBorders>
          </w:tcPr>
          <w:p>
            <w:pPr>
              <w:pStyle w:val="TableParagraph"/>
              <w:ind w:left="486"/>
              <w:jc w:val="left"/>
              <w:rPr>
                <w:rFonts w:ascii="Calibri"/>
                <w:sz w:val="22"/>
              </w:rPr>
            </w:pPr>
            <w:r>
              <w:rPr>
                <w:rFonts w:ascii="Calibri"/>
                <w:w w:val="100"/>
                <w:sz w:val="22"/>
              </w:rPr>
              <w:t>4</w:t>
            </w:r>
          </w:p>
        </w:tc>
        <w:tc>
          <w:tcPr>
            <w:tcW w:w="1094" w:type="dxa"/>
            <w:tcBorders>
              <w:top w:val="nil"/>
              <w:left w:val="nil"/>
              <w:bottom w:val="nil"/>
              <w:right w:val="single" w:sz="4" w:space="0" w:color="000000"/>
            </w:tcBorders>
          </w:tcPr>
          <w:p>
            <w:pPr>
              <w:pStyle w:val="TableParagraph"/>
              <w:ind w:left="392" w:right="321"/>
              <w:rPr>
                <w:rFonts w:ascii="Calibri"/>
                <w:sz w:val="22"/>
              </w:rPr>
            </w:pPr>
            <w:r>
              <w:rPr>
                <w:rFonts w:ascii="Calibri"/>
                <w:sz w:val="22"/>
              </w:rPr>
              <w:t>58</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42</w:t>
            </w:r>
          </w:p>
        </w:tc>
        <w:tc>
          <w:tcPr>
            <w:tcW w:w="938" w:type="dxa"/>
            <w:tcBorders>
              <w:top w:val="nil"/>
              <w:bottom w:val="nil"/>
              <w:right w:val="nil"/>
            </w:tcBorders>
          </w:tcPr>
          <w:p>
            <w:pPr>
              <w:pStyle w:val="TableParagraph"/>
              <w:ind w:right="22"/>
              <w:rPr>
                <w:rFonts w:ascii="Calibri"/>
                <w:sz w:val="22"/>
              </w:rPr>
            </w:pPr>
            <w:r>
              <w:rPr>
                <w:rFonts w:ascii="Calibri"/>
                <w:w w:val="100"/>
                <w:sz w:val="22"/>
              </w:rPr>
              <w:t>1</w:t>
            </w:r>
          </w:p>
        </w:tc>
        <w:tc>
          <w:tcPr>
            <w:tcW w:w="982" w:type="dxa"/>
            <w:tcBorders>
              <w:top w:val="nil"/>
              <w:left w:val="nil"/>
              <w:bottom w:val="nil"/>
              <w:right w:val="nil"/>
            </w:tcBorders>
          </w:tcPr>
          <w:p>
            <w:pPr>
              <w:pStyle w:val="TableParagraph"/>
              <w:ind w:right="22"/>
              <w:rPr>
                <w:rFonts w:ascii="Calibri"/>
                <w:sz w:val="22"/>
              </w:rPr>
            </w:pPr>
            <w:r>
              <w:rPr>
                <w:rFonts w:ascii="Calibri"/>
                <w:w w:val="100"/>
                <w:sz w:val="22"/>
              </w:rPr>
              <w:t>1</w:t>
            </w:r>
          </w:p>
        </w:tc>
        <w:tc>
          <w:tcPr>
            <w:tcW w:w="1091" w:type="dxa"/>
            <w:tcBorders>
              <w:top w:val="nil"/>
              <w:left w:val="nil"/>
              <w:bottom w:val="nil"/>
              <w:right w:val="nil"/>
            </w:tcBorders>
          </w:tcPr>
          <w:p>
            <w:pPr>
              <w:pStyle w:val="TableParagraph"/>
              <w:ind w:left="428" w:right="400"/>
              <w:rPr>
                <w:rFonts w:ascii="Calibri"/>
                <w:sz w:val="22"/>
              </w:rPr>
            </w:pPr>
            <w:r>
              <w:rPr>
                <w:rFonts w:ascii="Calibri"/>
                <w:sz w:val="22"/>
              </w:rPr>
              <w:t>17</w:t>
            </w:r>
          </w:p>
        </w:tc>
        <w:tc>
          <w:tcPr>
            <w:tcW w:w="1029" w:type="dxa"/>
            <w:tcBorders>
              <w:top w:val="nil"/>
              <w:left w:val="nil"/>
              <w:bottom w:val="nil"/>
              <w:right w:val="nil"/>
            </w:tcBorders>
          </w:tcPr>
          <w:p>
            <w:pPr>
              <w:pStyle w:val="TableParagraph"/>
              <w:ind w:right="381"/>
              <w:jc w:val="right"/>
              <w:rPr>
                <w:rFonts w:ascii="Calibri"/>
                <w:sz w:val="22"/>
              </w:rPr>
            </w:pPr>
            <w:r>
              <w:rPr>
                <w:rFonts w:ascii="Calibri"/>
                <w:sz w:val="22"/>
              </w:rPr>
              <w:t>15</w:t>
            </w:r>
          </w:p>
        </w:tc>
        <w:tc>
          <w:tcPr>
            <w:tcW w:w="993" w:type="dxa"/>
            <w:tcBorders>
              <w:top w:val="nil"/>
              <w:left w:val="nil"/>
              <w:bottom w:val="nil"/>
              <w:right w:val="nil"/>
            </w:tcBorders>
          </w:tcPr>
          <w:p>
            <w:pPr>
              <w:pStyle w:val="TableParagraph"/>
              <w:ind w:left="384"/>
              <w:jc w:val="left"/>
              <w:rPr>
                <w:rFonts w:ascii="Calibri"/>
                <w:sz w:val="22"/>
              </w:rPr>
            </w:pPr>
            <w:r>
              <w:rPr>
                <w:rFonts w:ascii="Calibri"/>
                <w:sz w:val="22"/>
              </w:rPr>
              <w:t>22</w:t>
            </w:r>
          </w:p>
        </w:tc>
        <w:tc>
          <w:tcPr>
            <w:tcW w:w="1039" w:type="dxa"/>
            <w:tcBorders>
              <w:top w:val="nil"/>
              <w:left w:val="nil"/>
              <w:bottom w:val="nil"/>
              <w:right w:val="nil"/>
            </w:tcBorders>
          </w:tcPr>
          <w:p>
            <w:pPr>
              <w:pStyle w:val="TableParagraph"/>
              <w:ind w:right="428"/>
              <w:jc w:val="right"/>
              <w:rPr>
                <w:rFonts w:ascii="Calibri"/>
                <w:sz w:val="22"/>
              </w:rPr>
            </w:pPr>
            <w:r>
              <w:rPr>
                <w:rFonts w:ascii="Calibri"/>
                <w:sz w:val="22"/>
              </w:rPr>
              <w:t>11</w:t>
            </w:r>
          </w:p>
        </w:tc>
        <w:tc>
          <w:tcPr>
            <w:tcW w:w="1068" w:type="dxa"/>
            <w:tcBorders>
              <w:top w:val="nil"/>
              <w:left w:val="nil"/>
              <w:bottom w:val="nil"/>
              <w:right w:val="nil"/>
            </w:tcBorders>
          </w:tcPr>
          <w:p>
            <w:pPr>
              <w:pStyle w:val="TableParagraph"/>
              <w:ind w:left="431"/>
              <w:jc w:val="left"/>
              <w:rPr>
                <w:rFonts w:ascii="Calibri"/>
                <w:sz w:val="22"/>
              </w:rPr>
            </w:pPr>
            <w:r>
              <w:rPr>
                <w:rFonts w:ascii="Calibri"/>
                <w:sz w:val="22"/>
              </w:rPr>
              <w:t>47</w:t>
            </w:r>
          </w:p>
        </w:tc>
        <w:tc>
          <w:tcPr>
            <w:tcW w:w="1094" w:type="dxa"/>
            <w:tcBorders>
              <w:top w:val="nil"/>
              <w:left w:val="nil"/>
              <w:bottom w:val="nil"/>
              <w:right w:val="single" w:sz="4" w:space="0" w:color="000000"/>
            </w:tcBorders>
          </w:tcPr>
          <w:p>
            <w:pPr>
              <w:pStyle w:val="TableParagraph"/>
              <w:ind w:left="392" w:right="322"/>
              <w:rPr>
                <w:rFonts w:ascii="Calibri"/>
                <w:sz w:val="22"/>
              </w:rPr>
            </w:pPr>
            <w:r>
              <w:rPr>
                <w:rFonts w:ascii="Calibri"/>
                <w:sz w:val="22"/>
              </w:rPr>
              <w:t>113</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43</w:t>
            </w:r>
          </w:p>
        </w:tc>
        <w:tc>
          <w:tcPr>
            <w:tcW w:w="938" w:type="dxa"/>
            <w:tcBorders>
              <w:top w:val="nil"/>
              <w:bottom w:val="nil"/>
              <w:right w:val="nil"/>
            </w:tcBorders>
          </w:tcPr>
          <w:p>
            <w:pPr>
              <w:pStyle w:val="TableParagraph"/>
              <w:ind w:right="22"/>
              <w:rPr>
                <w:rFonts w:ascii="Calibri"/>
                <w:sz w:val="22"/>
              </w:rPr>
            </w:pPr>
            <w:r>
              <w:rPr>
                <w:rFonts w:ascii="Calibri"/>
                <w:w w:val="100"/>
                <w:sz w:val="22"/>
              </w:rPr>
              <w:t>0</w:t>
            </w:r>
          </w:p>
        </w:tc>
        <w:tc>
          <w:tcPr>
            <w:tcW w:w="982" w:type="dxa"/>
            <w:tcBorders>
              <w:top w:val="nil"/>
              <w:left w:val="nil"/>
              <w:bottom w:val="nil"/>
              <w:right w:val="nil"/>
            </w:tcBorders>
          </w:tcPr>
          <w:p>
            <w:pPr>
              <w:pStyle w:val="TableParagraph"/>
              <w:ind w:right="22"/>
              <w:rPr>
                <w:rFonts w:ascii="Calibri"/>
                <w:sz w:val="22"/>
              </w:rPr>
            </w:pPr>
            <w:r>
              <w:rPr>
                <w:rFonts w:ascii="Calibri"/>
                <w:w w:val="100"/>
                <w:sz w:val="22"/>
              </w:rPr>
              <w:t>0</w:t>
            </w:r>
          </w:p>
        </w:tc>
        <w:tc>
          <w:tcPr>
            <w:tcW w:w="1091" w:type="dxa"/>
            <w:tcBorders>
              <w:top w:val="nil"/>
              <w:left w:val="nil"/>
              <w:bottom w:val="nil"/>
              <w:right w:val="nil"/>
            </w:tcBorders>
          </w:tcPr>
          <w:p>
            <w:pPr>
              <w:pStyle w:val="TableParagraph"/>
              <w:ind w:left="428" w:right="400"/>
              <w:rPr>
                <w:rFonts w:ascii="Calibri"/>
                <w:sz w:val="22"/>
              </w:rPr>
            </w:pPr>
            <w:r>
              <w:rPr>
                <w:rFonts w:ascii="Calibri"/>
                <w:sz w:val="22"/>
              </w:rPr>
              <w:t>25</w:t>
            </w:r>
          </w:p>
        </w:tc>
        <w:tc>
          <w:tcPr>
            <w:tcW w:w="1029" w:type="dxa"/>
            <w:tcBorders>
              <w:top w:val="nil"/>
              <w:left w:val="nil"/>
              <w:bottom w:val="nil"/>
              <w:right w:val="nil"/>
            </w:tcBorders>
          </w:tcPr>
          <w:p>
            <w:pPr>
              <w:pStyle w:val="TableParagraph"/>
              <w:ind w:right="437"/>
              <w:jc w:val="right"/>
              <w:rPr>
                <w:rFonts w:ascii="Calibri"/>
                <w:sz w:val="22"/>
              </w:rPr>
            </w:pPr>
            <w:r>
              <w:rPr>
                <w:rFonts w:ascii="Calibri"/>
                <w:w w:val="100"/>
                <w:sz w:val="22"/>
              </w:rPr>
              <w:t>6</w:t>
            </w:r>
          </w:p>
        </w:tc>
        <w:tc>
          <w:tcPr>
            <w:tcW w:w="993" w:type="dxa"/>
            <w:tcBorders>
              <w:top w:val="nil"/>
              <w:left w:val="nil"/>
              <w:bottom w:val="nil"/>
              <w:right w:val="nil"/>
            </w:tcBorders>
          </w:tcPr>
          <w:p>
            <w:pPr>
              <w:pStyle w:val="TableParagraph"/>
              <w:ind w:left="439"/>
              <w:jc w:val="left"/>
              <w:rPr>
                <w:rFonts w:ascii="Calibri"/>
                <w:sz w:val="22"/>
              </w:rPr>
            </w:pPr>
            <w:r>
              <w:rPr>
                <w:rFonts w:ascii="Calibri"/>
                <w:w w:val="100"/>
                <w:sz w:val="22"/>
              </w:rPr>
              <w:t>1</w:t>
            </w:r>
          </w:p>
        </w:tc>
        <w:tc>
          <w:tcPr>
            <w:tcW w:w="1039" w:type="dxa"/>
            <w:tcBorders>
              <w:top w:val="nil"/>
              <w:left w:val="nil"/>
              <w:bottom w:val="nil"/>
              <w:right w:val="nil"/>
            </w:tcBorders>
          </w:tcPr>
          <w:p>
            <w:pPr>
              <w:pStyle w:val="TableParagraph"/>
              <w:ind w:right="486"/>
              <w:jc w:val="right"/>
              <w:rPr>
                <w:rFonts w:ascii="Calibri"/>
                <w:sz w:val="22"/>
              </w:rPr>
            </w:pPr>
            <w:r>
              <w:rPr>
                <w:rFonts w:ascii="Calibri"/>
                <w:w w:val="100"/>
                <w:sz w:val="22"/>
              </w:rPr>
              <w:t>0</w:t>
            </w:r>
          </w:p>
        </w:tc>
        <w:tc>
          <w:tcPr>
            <w:tcW w:w="1068" w:type="dxa"/>
            <w:tcBorders>
              <w:top w:val="nil"/>
              <w:left w:val="nil"/>
              <w:bottom w:val="nil"/>
              <w:right w:val="nil"/>
            </w:tcBorders>
          </w:tcPr>
          <w:p>
            <w:pPr>
              <w:pStyle w:val="TableParagraph"/>
              <w:ind w:left="486"/>
              <w:jc w:val="left"/>
              <w:rPr>
                <w:rFonts w:ascii="Calibri"/>
                <w:sz w:val="22"/>
              </w:rPr>
            </w:pPr>
            <w:r>
              <w:rPr>
                <w:rFonts w:ascii="Calibri"/>
                <w:w w:val="100"/>
                <w:sz w:val="22"/>
              </w:rPr>
              <w:t>7</w:t>
            </w:r>
          </w:p>
        </w:tc>
        <w:tc>
          <w:tcPr>
            <w:tcW w:w="1094" w:type="dxa"/>
            <w:tcBorders>
              <w:top w:val="nil"/>
              <w:left w:val="nil"/>
              <w:bottom w:val="nil"/>
              <w:right w:val="single" w:sz="4" w:space="0" w:color="000000"/>
            </w:tcBorders>
          </w:tcPr>
          <w:p>
            <w:pPr>
              <w:pStyle w:val="TableParagraph"/>
              <w:ind w:left="392" w:right="321"/>
              <w:rPr>
                <w:rFonts w:ascii="Calibri"/>
                <w:sz w:val="22"/>
              </w:rPr>
            </w:pPr>
            <w:r>
              <w:rPr>
                <w:rFonts w:ascii="Calibri"/>
                <w:sz w:val="22"/>
              </w:rPr>
              <w:t>39</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44</w:t>
            </w:r>
          </w:p>
        </w:tc>
        <w:tc>
          <w:tcPr>
            <w:tcW w:w="938" w:type="dxa"/>
            <w:tcBorders>
              <w:top w:val="nil"/>
              <w:bottom w:val="nil"/>
              <w:right w:val="nil"/>
            </w:tcBorders>
          </w:tcPr>
          <w:p>
            <w:pPr>
              <w:pStyle w:val="TableParagraph"/>
              <w:ind w:right="22"/>
              <w:rPr>
                <w:rFonts w:ascii="Calibri"/>
                <w:sz w:val="22"/>
              </w:rPr>
            </w:pPr>
            <w:r>
              <w:rPr>
                <w:rFonts w:ascii="Calibri"/>
                <w:w w:val="100"/>
                <w:sz w:val="22"/>
              </w:rPr>
              <w:t>0</w:t>
            </w:r>
          </w:p>
        </w:tc>
        <w:tc>
          <w:tcPr>
            <w:tcW w:w="982" w:type="dxa"/>
            <w:tcBorders>
              <w:top w:val="nil"/>
              <w:left w:val="nil"/>
              <w:bottom w:val="nil"/>
              <w:right w:val="nil"/>
            </w:tcBorders>
          </w:tcPr>
          <w:p>
            <w:pPr>
              <w:pStyle w:val="TableParagraph"/>
              <w:ind w:right="22"/>
              <w:rPr>
                <w:rFonts w:ascii="Calibri"/>
                <w:sz w:val="22"/>
              </w:rPr>
            </w:pPr>
            <w:r>
              <w:rPr>
                <w:rFonts w:ascii="Calibri"/>
                <w:w w:val="100"/>
                <w:sz w:val="22"/>
              </w:rPr>
              <w:t>0</w:t>
            </w:r>
          </w:p>
        </w:tc>
        <w:tc>
          <w:tcPr>
            <w:tcW w:w="1091" w:type="dxa"/>
            <w:tcBorders>
              <w:top w:val="nil"/>
              <w:left w:val="nil"/>
              <w:bottom w:val="nil"/>
              <w:right w:val="nil"/>
            </w:tcBorders>
          </w:tcPr>
          <w:p>
            <w:pPr>
              <w:pStyle w:val="TableParagraph"/>
              <w:ind w:left="428" w:right="400"/>
              <w:rPr>
                <w:rFonts w:ascii="Calibri"/>
                <w:sz w:val="22"/>
              </w:rPr>
            </w:pPr>
            <w:r>
              <w:rPr>
                <w:rFonts w:ascii="Calibri"/>
                <w:sz w:val="22"/>
              </w:rPr>
              <w:t>23</w:t>
            </w:r>
          </w:p>
        </w:tc>
        <w:tc>
          <w:tcPr>
            <w:tcW w:w="1029" w:type="dxa"/>
            <w:tcBorders>
              <w:top w:val="nil"/>
              <w:left w:val="nil"/>
              <w:bottom w:val="nil"/>
              <w:right w:val="nil"/>
            </w:tcBorders>
          </w:tcPr>
          <w:p>
            <w:pPr>
              <w:pStyle w:val="TableParagraph"/>
              <w:ind w:right="381"/>
              <w:jc w:val="right"/>
              <w:rPr>
                <w:rFonts w:ascii="Calibri"/>
                <w:sz w:val="22"/>
              </w:rPr>
            </w:pPr>
            <w:r>
              <w:rPr>
                <w:rFonts w:ascii="Calibri"/>
                <w:sz w:val="22"/>
              </w:rPr>
              <w:t>12</w:t>
            </w:r>
          </w:p>
        </w:tc>
        <w:tc>
          <w:tcPr>
            <w:tcW w:w="993" w:type="dxa"/>
            <w:tcBorders>
              <w:top w:val="nil"/>
              <w:left w:val="nil"/>
              <w:bottom w:val="nil"/>
              <w:right w:val="nil"/>
            </w:tcBorders>
          </w:tcPr>
          <w:p>
            <w:pPr>
              <w:pStyle w:val="TableParagraph"/>
              <w:ind w:left="384"/>
              <w:jc w:val="left"/>
              <w:rPr>
                <w:rFonts w:ascii="Calibri"/>
                <w:sz w:val="22"/>
              </w:rPr>
            </w:pPr>
            <w:r>
              <w:rPr>
                <w:rFonts w:ascii="Calibri"/>
                <w:sz w:val="22"/>
              </w:rPr>
              <w:t>15</w:t>
            </w:r>
          </w:p>
        </w:tc>
        <w:tc>
          <w:tcPr>
            <w:tcW w:w="1039" w:type="dxa"/>
            <w:tcBorders>
              <w:top w:val="nil"/>
              <w:left w:val="nil"/>
              <w:bottom w:val="nil"/>
              <w:right w:val="nil"/>
            </w:tcBorders>
          </w:tcPr>
          <w:p>
            <w:pPr>
              <w:pStyle w:val="TableParagraph"/>
              <w:ind w:right="486"/>
              <w:jc w:val="right"/>
              <w:rPr>
                <w:rFonts w:ascii="Calibri"/>
                <w:sz w:val="22"/>
              </w:rPr>
            </w:pPr>
            <w:r>
              <w:rPr>
                <w:rFonts w:ascii="Calibri"/>
                <w:w w:val="100"/>
                <w:sz w:val="22"/>
              </w:rPr>
              <w:t>5</w:t>
            </w:r>
          </w:p>
        </w:tc>
        <w:tc>
          <w:tcPr>
            <w:tcW w:w="1068" w:type="dxa"/>
            <w:tcBorders>
              <w:top w:val="nil"/>
              <w:left w:val="nil"/>
              <w:bottom w:val="nil"/>
              <w:right w:val="nil"/>
            </w:tcBorders>
          </w:tcPr>
          <w:p>
            <w:pPr>
              <w:pStyle w:val="TableParagraph"/>
              <w:ind w:left="431"/>
              <w:jc w:val="left"/>
              <w:rPr>
                <w:rFonts w:ascii="Calibri"/>
                <w:sz w:val="22"/>
              </w:rPr>
            </w:pPr>
            <w:r>
              <w:rPr>
                <w:rFonts w:ascii="Calibri"/>
                <w:sz w:val="22"/>
              </w:rPr>
              <w:t>11</w:t>
            </w:r>
          </w:p>
        </w:tc>
        <w:tc>
          <w:tcPr>
            <w:tcW w:w="1094" w:type="dxa"/>
            <w:tcBorders>
              <w:top w:val="nil"/>
              <w:left w:val="nil"/>
              <w:bottom w:val="nil"/>
              <w:right w:val="single" w:sz="4" w:space="0" w:color="000000"/>
            </w:tcBorders>
          </w:tcPr>
          <w:p>
            <w:pPr>
              <w:pStyle w:val="TableParagraph"/>
              <w:ind w:left="392" w:right="321"/>
              <w:rPr>
                <w:rFonts w:ascii="Calibri"/>
                <w:sz w:val="22"/>
              </w:rPr>
            </w:pPr>
            <w:r>
              <w:rPr>
                <w:rFonts w:ascii="Calibri"/>
                <w:sz w:val="22"/>
              </w:rPr>
              <w:t>66</w:t>
            </w:r>
          </w:p>
        </w:tc>
      </w:tr>
      <w:tr>
        <w:trPr>
          <w:trHeight w:val="614" w:hRule="exact"/>
        </w:trPr>
        <w:tc>
          <w:tcPr>
            <w:tcW w:w="1030" w:type="dxa"/>
            <w:tcBorders>
              <w:top w:val="nil"/>
              <w:left w:val="single" w:sz="4" w:space="0" w:color="000000"/>
            </w:tcBorders>
          </w:tcPr>
          <w:p>
            <w:pPr>
              <w:pStyle w:val="TableParagraph"/>
              <w:ind w:left="379" w:right="377"/>
              <w:rPr>
                <w:rFonts w:ascii="Calibri"/>
                <w:sz w:val="22"/>
              </w:rPr>
            </w:pPr>
            <w:r>
              <w:rPr>
                <w:rFonts w:ascii="Calibri"/>
                <w:sz w:val="22"/>
              </w:rPr>
              <w:t>45</w:t>
            </w:r>
          </w:p>
        </w:tc>
        <w:tc>
          <w:tcPr>
            <w:tcW w:w="938" w:type="dxa"/>
            <w:tcBorders>
              <w:top w:val="nil"/>
              <w:right w:val="nil"/>
            </w:tcBorders>
          </w:tcPr>
          <w:p>
            <w:pPr>
              <w:pStyle w:val="TableParagraph"/>
              <w:ind w:right="22"/>
              <w:rPr>
                <w:rFonts w:ascii="Calibri"/>
                <w:sz w:val="22"/>
              </w:rPr>
            </w:pPr>
            <w:r>
              <w:rPr>
                <w:rFonts w:ascii="Calibri"/>
                <w:w w:val="100"/>
                <w:sz w:val="22"/>
              </w:rPr>
              <w:t>0</w:t>
            </w:r>
          </w:p>
        </w:tc>
        <w:tc>
          <w:tcPr>
            <w:tcW w:w="982" w:type="dxa"/>
            <w:tcBorders>
              <w:top w:val="nil"/>
              <w:left w:val="nil"/>
              <w:right w:val="nil"/>
            </w:tcBorders>
          </w:tcPr>
          <w:p>
            <w:pPr>
              <w:pStyle w:val="TableParagraph"/>
              <w:ind w:right="22"/>
              <w:rPr>
                <w:rFonts w:ascii="Calibri"/>
                <w:sz w:val="22"/>
              </w:rPr>
            </w:pPr>
            <w:r>
              <w:rPr>
                <w:rFonts w:ascii="Calibri"/>
                <w:w w:val="100"/>
                <w:sz w:val="22"/>
              </w:rPr>
              <w:t>3</w:t>
            </w:r>
          </w:p>
        </w:tc>
        <w:tc>
          <w:tcPr>
            <w:tcW w:w="1091" w:type="dxa"/>
            <w:tcBorders>
              <w:top w:val="nil"/>
              <w:left w:val="nil"/>
              <w:right w:val="nil"/>
            </w:tcBorders>
          </w:tcPr>
          <w:p>
            <w:pPr>
              <w:pStyle w:val="TableParagraph"/>
              <w:ind w:left="30"/>
              <w:rPr>
                <w:rFonts w:ascii="Calibri"/>
                <w:sz w:val="22"/>
              </w:rPr>
            </w:pPr>
            <w:r>
              <w:rPr>
                <w:rFonts w:ascii="Calibri"/>
                <w:w w:val="100"/>
                <w:sz w:val="22"/>
              </w:rPr>
              <w:t>8</w:t>
            </w:r>
          </w:p>
        </w:tc>
        <w:tc>
          <w:tcPr>
            <w:tcW w:w="1029" w:type="dxa"/>
            <w:tcBorders>
              <w:top w:val="nil"/>
              <w:left w:val="nil"/>
              <w:right w:val="nil"/>
            </w:tcBorders>
          </w:tcPr>
          <w:p>
            <w:pPr>
              <w:pStyle w:val="TableParagraph"/>
              <w:ind w:right="437"/>
              <w:jc w:val="right"/>
              <w:rPr>
                <w:rFonts w:ascii="Calibri"/>
                <w:sz w:val="22"/>
              </w:rPr>
            </w:pPr>
            <w:r>
              <w:rPr>
                <w:rFonts w:ascii="Calibri"/>
                <w:w w:val="100"/>
                <w:sz w:val="22"/>
              </w:rPr>
              <w:t>7</w:t>
            </w:r>
          </w:p>
        </w:tc>
        <w:tc>
          <w:tcPr>
            <w:tcW w:w="993" w:type="dxa"/>
            <w:tcBorders>
              <w:top w:val="nil"/>
              <w:left w:val="nil"/>
              <w:right w:val="nil"/>
            </w:tcBorders>
          </w:tcPr>
          <w:p>
            <w:pPr>
              <w:pStyle w:val="TableParagraph"/>
              <w:ind w:left="439"/>
              <w:jc w:val="left"/>
              <w:rPr>
                <w:rFonts w:ascii="Calibri"/>
                <w:sz w:val="22"/>
              </w:rPr>
            </w:pPr>
            <w:r>
              <w:rPr>
                <w:rFonts w:ascii="Calibri"/>
                <w:w w:val="100"/>
                <w:sz w:val="22"/>
              </w:rPr>
              <w:t>6</w:t>
            </w:r>
          </w:p>
        </w:tc>
        <w:tc>
          <w:tcPr>
            <w:tcW w:w="1039" w:type="dxa"/>
            <w:tcBorders>
              <w:top w:val="nil"/>
              <w:left w:val="nil"/>
              <w:right w:val="nil"/>
            </w:tcBorders>
          </w:tcPr>
          <w:p>
            <w:pPr>
              <w:pStyle w:val="TableParagraph"/>
              <w:ind w:right="486"/>
              <w:jc w:val="right"/>
              <w:rPr>
                <w:rFonts w:ascii="Calibri"/>
                <w:sz w:val="22"/>
              </w:rPr>
            </w:pPr>
            <w:r>
              <w:rPr>
                <w:rFonts w:ascii="Calibri"/>
                <w:w w:val="100"/>
                <w:sz w:val="22"/>
              </w:rPr>
              <w:t>2</w:t>
            </w:r>
          </w:p>
        </w:tc>
        <w:tc>
          <w:tcPr>
            <w:tcW w:w="1068" w:type="dxa"/>
            <w:tcBorders>
              <w:top w:val="nil"/>
              <w:left w:val="nil"/>
              <w:right w:val="nil"/>
            </w:tcBorders>
          </w:tcPr>
          <w:p>
            <w:pPr>
              <w:pStyle w:val="TableParagraph"/>
              <w:ind w:left="486"/>
              <w:jc w:val="left"/>
              <w:rPr>
                <w:rFonts w:ascii="Calibri"/>
                <w:sz w:val="22"/>
              </w:rPr>
            </w:pPr>
            <w:r>
              <w:rPr>
                <w:rFonts w:ascii="Calibri"/>
                <w:w w:val="100"/>
                <w:sz w:val="22"/>
              </w:rPr>
              <w:t>8</w:t>
            </w:r>
          </w:p>
        </w:tc>
        <w:tc>
          <w:tcPr>
            <w:tcW w:w="1094" w:type="dxa"/>
            <w:tcBorders>
              <w:top w:val="nil"/>
              <w:left w:val="nil"/>
              <w:right w:val="single" w:sz="4" w:space="0" w:color="000000"/>
            </w:tcBorders>
          </w:tcPr>
          <w:p>
            <w:pPr>
              <w:pStyle w:val="TableParagraph"/>
              <w:ind w:left="392" w:right="321"/>
              <w:rPr>
                <w:rFonts w:ascii="Calibri"/>
                <w:sz w:val="22"/>
              </w:rPr>
            </w:pPr>
            <w:r>
              <w:rPr>
                <w:rFonts w:ascii="Calibri"/>
                <w:sz w:val="22"/>
              </w:rPr>
              <w:t>34</w:t>
            </w:r>
          </w:p>
        </w:tc>
      </w:tr>
    </w:tbl>
    <w:p>
      <w:pPr>
        <w:spacing w:after="0"/>
        <w:rPr>
          <w:rFonts w:ascii="Calibri"/>
          <w:sz w:val="22"/>
        </w:rPr>
        <w:sectPr>
          <w:pgSz w:w="12240" w:h="15840"/>
          <w:pgMar w:header="0" w:footer="534" w:top="1500" w:bottom="780" w:left="0" w:right="0"/>
        </w:sectPr>
      </w:pPr>
    </w:p>
    <w:p>
      <w:pPr>
        <w:pStyle w:val="BodyText"/>
        <w:spacing w:before="6"/>
        <w:rPr>
          <w:rFonts w:ascii="Times New Roman"/>
          <w:sz w:val="17"/>
        </w:rPr>
      </w:pPr>
    </w:p>
    <w:tbl>
      <w:tblPr>
        <w:tblW w:w="0" w:type="auto"/>
        <w:jc w:val="left"/>
        <w:tblInd w:w="1344" w:type="dxa"/>
        <w:tblBorders>
          <w:top w:val="dotted" w:sz="4" w:space="0" w:color="000000"/>
          <w:left w:val="dotted" w:sz="4" w:space="0" w:color="000000"/>
          <w:bottom w:val="dotted" w:sz="4" w:space="0" w:color="000000"/>
          <w:right w:val="dotted" w:sz="4" w:space="0" w:color="000000"/>
          <w:insideH w:val="dotted" w:sz="4" w:space="0" w:color="000000"/>
          <w:insideV w:val="dotted" w:sz="4" w:space="0" w:color="000000"/>
        </w:tblBorders>
        <w:tblLayout w:type="fixed"/>
        <w:tblCellMar>
          <w:top w:w="0" w:type="dxa"/>
          <w:left w:w="0" w:type="dxa"/>
          <w:bottom w:w="0" w:type="dxa"/>
          <w:right w:w="0" w:type="dxa"/>
        </w:tblCellMar>
        <w:tblLook w:val="01E0"/>
      </w:tblPr>
      <w:tblGrid>
        <w:gridCol w:w="1030"/>
        <w:gridCol w:w="936"/>
        <w:gridCol w:w="986"/>
        <w:gridCol w:w="1114"/>
        <w:gridCol w:w="1002"/>
        <w:gridCol w:w="991"/>
        <w:gridCol w:w="989"/>
        <w:gridCol w:w="1186"/>
        <w:gridCol w:w="1030"/>
      </w:tblGrid>
      <w:tr>
        <w:trPr>
          <w:trHeight w:val="413" w:hRule="exact"/>
        </w:trPr>
        <w:tc>
          <w:tcPr>
            <w:tcW w:w="1030" w:type="dxa"/>
            <w:tcBorders>
              <w:left w:val="single" w:sz="4" w:space="0" w:color="000000"/>
              <w:bottom w:val="nil"/>
            </w:tcBorders>
          </w:tcPr>
          <w:p>
            <w:pPr>
              <w:pStyle w:val="TableParagraph"/>
              <w:spacing w:line="268" w:lineRule="exact" w:before="0"/>
              <w:ind w:left="379" w:right="377"/>
              <w:rPr>
                <w:rFonts w:ascii="Calibri"/>
                <w:sz w:val="22"/>
              </w:rPr>
            </w:pPr>
            <w:r>
              <w:rPr>
                <w:rFonts w:ascii="Calibri"/>
                <w:sz w:val="22"/>
              </w:rPr>
              <w:t>46</w:t>
            </w:r>
          </w:p>
        </w:tc>
        <w:tc>
          <w:tcPr>
            <w:tcW w:w="936" w:type="dxa"/>
            <w:tcBorders>
              <w:bottom w:val="nil"/>
              <w:right w:val="nil"/>
            </w:tcBorders>
          </w:tcPr>
          <w:p>
            <w:pPr>
              <w:pStyle w:val="TableParagraph"/>
              <w:spacing w:line="268" w:lineRule="exact" w:before="0"/>
              <w:ind w:right="20"/>
              <w:rPr>
                <w:rFonts w:ascii="Calibri"/>
                <w:sz w:val="22"/>
              </w:rPr>
            </w:pPr>
            <w:r>
              <w:rPr>
                <w:rFonts w:ascii="Calibri"/>
                <w:w w:val="100"/>
                <w:sz w:val="22"/>
              </w:rPr>
              <w:t>2</w:t>
            </w:r>
          </w:p>
        </w:tc>
        <w:tc>
          <w:tcPr>
            <w:tcW w:w="986" w:type="dxa"/>
            <w:tcBorders>
              <w:left w:val="nil"/>
              <w:bottom w:val="nil"/>
              <w:right w:val="nil"/>
            </w:tcBorders>
          </w:tcPr>
          <w:p>
            <w:pPr>
              <w:pStyle w:val="TableParagraph"/>
              <w:spacing w:line="268" w:lineRule="exact" w:before="0"/>
              <w:ind w:right="21"/>
              <w:rPr>
                <w:rFonts w:ascii="Calibri"/>
                <w:sz w:val="22"/>
              </w:rPr>
            </w:pPr>
            <w:r>
              <w:rPr>
                <w:rFonts w:ascii="Calibri"/>
                <w:w w:val="100"/>
                <w:sz w:val="22"/>
              </w:rPr>
              <w:t>0</w:t>
            </w:r>
          </w:p>
        </w:tc>
        <w:tc>
          <w:tcPr>
            <w:tcW w:w="1114" w:type="dxa"/>
            <w:tcBorders>
              <w:left w:val="nil"/>
              <w:bottom w:val="nil"/>
              <w:right w:val="nil"/>
            </w:tcBorders>
          </w:tcPr>
          <w:p>
            <w:pPr>
              <w:pStyle w:val="TableParagraph"/>
              <w:spacing w:line="268" w:lineRule="exact" w:before="0"/>
              <w:ind w:left="138" w:right="135"/>
              <w:rPr>
                <w:rFonts w:ascii="Calibri"/>
                <w:sz w:val="22"/>
              </w:rPr>
            </w:pPr>
            <w:r>
              <w:rPr>
                <w:rFonts w:ascii="Calibri"/>
                <w:sz w:val="22"/>
              </w:rPr>
              <w:t>22</w:t>
            </w:r>
          </w:p>
        </w:tc>
        <w:tc>
          <w:tcPr>
            <w:tcW w:w="1002" w:type="dxa"/>
            <w:tcBorders>
              <w:left w:val="nil"/>
              <w:bottom w:val="nil"/>
              <w:right w:val="nil"/>
            </w:tcBorders>
          </w:tcPr>
          <w:p>
            <w:pPr>
              <w:pStyle w:val="TableParagraph"/>
              <w:spacing w:line="268" w:lineRule="exact" w:before="0"/>
              <w:ind w:left="14"/>
              <w:rPr>
                <w:rFonts w:ascii="Calibri"/>
                <w:sz w:val="22"/>
              </w:rPr>
            </w:pPr>
            <w:r>
              <w:rPr>
                <w:rFonts w:ascii="Calibri"/>
                <w:w w:val="100"/>
                <w:sz w:val="22"/>
              </w:rPr>
              <w:t>5</w:t>
            </w:r>
          </w:p>
        </w:tc>
        <w:tc>
          <w:tcPr>
            <w:tcW w:w="991" w:type="dxa"/>
            <w:tcBorders>
              <w:left w:val="nil"/>
              <w:bottom w:val="nil"/>
              <w:right w:val="nil"/>
            </w:tcBorders>
          </w:tcPr>
          <w:p>
            <w:pPr>
              <w:pStyle w:val="TableParagraph"/>
              <w:spacing w:line="268" w:lineRule="exact" w:before="0"/>
              <w:ind w:left="4"/>
              <w:rPr>
                <w:rFonts w:ascii="Calibri"/>
                <w:sz w:val="22"/>
              </w:rPr>
            </w:pPr>
            <w:r>
              <w:rPr>
                <w:rFonts w:ascii="Calibri"/>
                <w:w w:val="100"/>
                <w:sz w:val="22"/>
              </w:rPr>
              <w:t>1</w:t>
            </w:r>
          </w:p>
        </w:tc>
        <w:tc>
          <w:tcPr>
            <w:tcW w:w="989" w:type="dxa"/>
            <w:tcBorders>
              <w:left w:val="nil"/>
              <w:bottom w:val="nil"/>
              <w:right w:val="nil"/>
            </w:tcBorders>
          </w:tcPr>
          <w:p>
            <w:pPr>
              <w:pStyle w:val="TableParagraph"/>
              <w:spacing w:line="268" w:lineRule="exact" w:before="0"/>
              <w:ind w:left="6"/>
              <w:rPr>
                <w:rFonts w:ascii="Calibri"/>
                <w:sz w:val="22"/>
              </w:rPr>
            </w:pPr>
            <w:r>
              <w:rPr>
                <w:rFonts w:ascii="Calibri"/>
                <w:w w:val="100"/>
                <w:sz w:val="22"/>
              </w:rPr>
              <w:t>2</w:t>
            </w:r>
          </w:p>
        </w:tc>
        <w:tc>
          <w:tcPr>
            <w:tcW w:w="1186" w:type="dxa"/>
            <w:tcBorders>
              <w:left w:val="nil"/>
              <w:bottom w:val="nil"/>
              <w:right w:val="nil"/>
            </w:tcBorders>
          </w:tcPr>
          <w:p>
            <w:pPr>
              <w:pStyle w:val="TableParagraph"/>
              <w:spacing w:line="268" w:lineRule="exact" w:before="0"/>
              <w:ind w:left="125" w:right="116"/>
              <w:rPr>
                <w:rFonts w:ascii="Calibri"/>
                <w:sz w:val="22"/>
              </w:rPr>
            </w:pPr>
            <w:r>
              <w:rPr>
                <w:rFonts w:ascii="Calibri"/>
                <w:sz w:val="22"/>
              </w:rPr>
              <w:t>34</w:t>
            </w:r>
          </w:p>
        </w:tc>
        <w:tc>
          <w:tcPr>
            <w:tcW w:w="1030" w:type="dxa"/>
            <w:tcBorders>
              <w:left w:val="nil"/>
              <w:bottom w:val="nil"/>
              <w:right w:val="single" w:sz="4" w:space="0" w:color="000000"/>
            </w:tcBorders>
          </w:tcPr>
          <w:p>
            <w:pPr>
              <w:pStyle w:val="TableParagraph"/>
              <w:spacing w:line="268" w:lineRule="exact" w:before="0"/>
              <w:ind w:left="119" w:right="112"/>
              <w:rPr>
                <w:rFonts w:ascii="Calibri"/>
                <w:sz w:val="22"/>
              </w:rPr>
            </w:pPr>
            <w:r>
              <w:rPr>
                <w:rFonts w:ascii="Calibri"/>
                <w:sz w:val="22"/>
              </w:rPr>
              <w:t>64</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47</w:t>
            </w:r>
          </w:p>
        </w:tc>
        <w:tc>
          <w:tcPr>
            <w:tcW w:w="936" w:type="dxa"/>
            <w:tcBorders>
              <w:top w:val="nil"/>
              <w:bottom w:val="nil"/>
              <w:right w:val="nil"/>
            </w:tcBorders>
          </w:tcPr>
          <w:p>
            <w:pPr>
              <w:pStyle w:val="TableParagraph"/>
              <w:ind w:right="20"/>
              <w:rPr>
                <w:rFonts w:ascii="Calibri"/>
                <w:sz w:val="22"/>
              </w:rPr>
            </w:pPr>
            <w:r>
              <w:rPr>
                <w:rFonts w:ascii="Calibri"/>
                <w:w w:val="100"/>
                <w:sz w:val="22"/>
              </w:rPr>
              <w:t>1</w:t>
            </w:r>
          </w:p>
        </w:tc>
        <w:tc>
          <w:tcPr>
            <w:tcW w:w="986" w:type="dxa"/>
            <w:tcBorders>
              <w:top w:val="nil"/>
              <w:left w:val="nil"/>
              <w:bottom w:val="nil"/>
              <w:right w:val="nil"/>
            </w:tcBorders>
          </w:tcPr>
          <w:p>
            <w:pPr>
              <w:pStyle w:val="TableParagraph"/>
              <w:ind w:right="21"/>
              <w:rPr>
                <w:rFonts w:ascii="Calibri"/>
                <w:sz w:val="22"/>
              </w:rPr>
            </w:pPr>
            <w:r>
              <w:rPr>
                <w:rFonts w:ascii="Calibri"/>
                <w:w w:val="100"/>
                <w:sz w:val="22"/>
              </w:rPr>
              <w:t>0</w:t>
            </w:r>
          </w:p>
        </w:tc>
        <w:tc>
          <w:tcPr>
            <w:tcW w:w="1114" w:type="dxa"/>
            <w:tcBorders>
              <w:top w:val="nil"/>
              <w:left w:val="nil"/>
              <w:bottom w:val="nil"/>
              <w:right w:val="nil"/>
            </w:tcBorders>
          </w:tcPr>
          <w:p>
            <w:pPr>
              <w:pStyle w:val="TableParagraph"/>
              <w:ind w:left="138" w:right="135"/>
              <w:rPr>
                <w:rFonts w:ascii="Calibri"/>
                <w:sz w:val="22"/>
              </w:rPr>
            </w:pPr>
            <w:r>
              <w:rPr>
                <w:rFonts w:ascii="Calibri"/>
                <w:sz w:val="22"/>
              </w:rPr>
              <w:t>41</w:t>
            </w:r>
          </w:p>
        </w:tc>
        <w:tc>
          <w:tcPr>
            <w:tcW w:w="1002" w:type="dxa"/>
            <w:tcBorders>
              <w:top w:val="nil"/>
              <w:left w:val="nil"/>
              <w:bottom w:val="nil"/>
              <w:right w:val="nil"/>
            </w:tcBorders>
          </w:tcPr>
          <w:p>
            <w:pPr>
              <w:pStyle w:val="TableParagraph"/>
              <w:ind w:left="14"/>
              <w:rPr>
                <w:rFonts w:ascii="Calibri"/>
                <w:sz w:val="22"/>
              </w:rPr>
            </w:pPr>
            <w:r>
              <w:rPr>
                <w:rFonts w:ascii="Calibri"/>
                <w:w w:val="100"/>
                <w:sz w:val="22"/>
              </w:rPr>
              <w:t>7</w:t>
            </w:r>
          </w:p>
        </w:tc>
        <w:tc>
          <w:tcPr>
            <w:tcW w:w="991" w:type="dxa"/>
            <w:tcBorders>
              <w:top w:val="nil"/>
              <w:left w:val="nil"/>
              <w:bottom w:val="nil"/>
              <w:right w:val="nil"/>
            </w:tcBorders>
          </w:tcPr>
          <w:p>
            <w:pPr>
              <w:pStyle w:val="TableParagraph"/>
              <w:ind w:left="4"/>
              <w:rPr>
                <w:rFonts w:ascii="Calibri"/>
                <w:sz w:val="22"/>
              </w:rPr>
            </w:pPr>
            <w:r>
              <w:rPr>
                <w:rFonts w:ascii="Calibri"/>
                <w:w w:val="100"/>
                <w:sz w:val="22"/>
              </w:rPr>
              <w:t>6</w:t>
            </w:r>
          </w:p>
        </w:tc>
        <w:tc>
          <w:tcPr>
            <w:tcW w:w="989" w:type="dxa"/>
            <w:tcBorders>
              <w:top w:val="nil"/>
              <w:left w:val="nil"/>
              <w:bottom w:val="nil"/>
              <w:right w:val="nil"/>
            </w:tcBorders>
          </w:tcPr>
          <w:p>
            <w:pPr>
              <w:pStyle w:val="TableParagraph"/>
              <w:ind w:left="6"/>
              <w:rPr>
                <w:rFonts w:ascii="Calibri"/>
                <w:sz w:val="22"/>
              </w:rPr>
            </w:pPr>
            <w:r>
              <w:rPr>
                <w:rFonts w:ascii="Calibri"/>
                <w:w w:val="100"/>
                <w:sz w:val="22"/>
              </w:rPr>
              <w:t>0</w:t>
            </w:r>
          </w:p>
        </w:tc>
        <w:tc>
          <w:tcPr>
            <w:tcW w:w="1186" w:type="dxa"/>
            <w:tcBorders>
              <w:top w:val="nil"/>
              <w:left w:val="nil"/>
              <w:bottom w:val="nil"/>
              <w:right w:val="nil"/>
            </w:tcBorders>
          </w:tcPr>
          <w:p>
            <w:pPr>
              <w:pStyle w:val="TableParagraph"/>
              <w:ind w:left="125" w:right="116"/>
              <w:rPr>
                <w:rFonts w:ascii="Calibri"/>
                <w:sz w:val="22"/>
              </w:rPr>
            </w:pPr>
            <w:r>
              <w:rPr>
                <w:rFonts w:ascii="Calibri"/>
                <w:sz w:val="22"/>
              </w:rPr>
              <w:t>17</w:t>
            </w:r>
          </w:p>
        </w:tc>
        <w:tc>
          <w:tcPr>
            <w:tcW w:w="1030" w:type="dxa"/>
            <w:tcBorders>
              <w:top w:val="nil"/>
              <w:left w:val="nil"/>
              <w:bottom w:val="nil"/>
              <w:right w:val="single" w:sz="4" w:space="0" w:color="000000"/>
            </w:tcBorders>
          </w:tcPr>
          <w:p>
            <w:pPr>
              <w:pStyle w:val="TableParagraph"/>
              <w:ind w:left="119" w:right="112"/>
              <w:rPr>
                <w:rFonts w:ascii="Calibri"/>
                <w:sz w:val="22"/>
              </w:rPr>
            </w:pPr>
            <w:r>
              <w:rPr>
                <w:rFonts w:ascii="Calibri"/>
                <w:sz w:val="22"/>
              </w:rPr>
              <w:t>71</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48</w:t>
            </w:r>
          </w:p>
        </w:tc>
        <w:tc>
          <w:tcPr>
            <w:tcW w:w="936" w:type="dxa"/>
            <w:tcBorders>
              <w:top w:val="nil"/>
              <w:bottom w:val="nil"/>
              <w:right w:val="nil"/>
            </w:tcBorders>
          </w:tcPr>
          <w:p>
            <w:pPr>
              <w:pStyle w:val="TableParagraph"/>
              <w:ind w:right="20"/>
              <w:rPr>
                <w:rFonts w:ascii="Calibri"/>
                <w:sz w:val="22"/>
              </w:rPr>
            </w:pPr>
            <w:r>
              <w:rPr>
                <w:rFonts w:ascii="Calibri"/>
                <w:w w:val="100"/>
                <w:sz w:val="22"/>
              </w:rPr>
              <w:t>1</w:t>
            </w:r>
          </w:p>
        </w:tc>
        <w:tc>
          <w:tcPr>
            <w:tcW w:w="986" w:type="dxa"/>
            <w:tcBorders>
              <w:top w:val="nil"/>
              <w:left w:val="nil"/>
              <w:bottom w:val="nil"/>
              <w:right w:val="nil"/>
            </w:tcBorders>
          </w:tcPr>
          <w:p>
            <w:pPr>
              <w:pStyle w:val="TableParagraph"/>
              <w:ind w:right="21"/>
              <w:rPr>
                <w:rFonts w:ascii="Calibri"/>
                <w:sz w:val="22"/>
              </w:rPr>
            </w:pPr>
            <w:r>
              <w:rPr>
                <w:rFonts w:ascii="Calibri"/>
                <w:w w:val="100"/>
                <w:sz w:val="22"/>
              </w:rPr>
              <w:t>0</w:t>
            </w:r>
          </w:p>
        </w:tc>
        <w:tc>
          <w:tcPr>
            <w:tcW w:w="1114" w:type="dxa"/>
            <w:tcBorders>
              <w:top w:val="nil"/>
              <w:left w:val="nil"/>
              <w:bottom w:val="nil"/>
              <w:right w:val="nil"/>
            </w:tcBorders>
          </w:tcPr>
          <w:p>
            <w:pPr>
              <w:pStyle w:val="TableParagraph"/>
              <w:ind w:left="138" w:right="135"/>
              <w:rPr>
                <w:rFonts w:ascii="Calibri"/>
                <w:sz w:val="22"/>
              </w:rPr>
            </w:pPr>
            <w:r>
              <w:rPr>
                <w:rFonts w:ascii="Calibri"/>
                <w:sz w:val="22"/>
              </w:rPr>
              <w:t>14</w:t>
            </w:r>
          </w:p>
        </w:tc>
        <w:tc>
          <w:tcPr>
            <w:tcW w:w="1002" w:type="dxa"/>
            <w:tcBorders>
              <w:top w:val="nil"/>
              <w:left w:val="nil"/>
              <w:bottom w:val="nil"/>
              <w:right w:val="nil"/>
            </w:tcBorders>
          </w:tcPr>
          <w:p>
            <w:pPr>
              <w:pStyle w:val="TableParagraph"/>
              <w:ind w:left="14"/>
              <w:rPr>
                <w:rFonts w:ascii="Calibri"/>
                <w:sz w:val="22"/>
              </w:rPr>
            </w:pPr>
            <w:r>
              <w:rPr>
                <w:rFonts w:ascii="Calibri"/>
                <w:w w:val="100"/>
                <w:sz w:val="22"/>
              </w:rPr>
              <w:t>6</w:t>
            </w:r>
          </w:p>
        </w:tc>
        <w:tc>
          <w:tcPr>
            <w:tcW w:w="991" w:type="dxa"/>
            <w:tcBorders>
              <w:top w:val="nil"/>
              <w:left w:val="nil"/>
              <w:bottom w:val="nil"/>
              <w:right w:val="nil"/>
            </w:tcBorders>
          </w:tcPr>
          <w:p>
            <w:pPr>
              <w:pStyle w:val="TableParagraph"/>
              <w:ind w:left="4"/>
              <w:rPr>
                <w:rFonts w:ascii="Calibri"/>
                <w:sz w:val="22"/>
              </w:rPr>
            </w:pPr>
            <w:r>
              <w:rPr>
                <w:rFonts w:ascii="Calibri"/>
                <w:w w:val="100"/>
                <w:sz w:val="22"/>
              </w:rPr>
              <w:t>0</w:t>
            </w:r>
          </w:p>
        </w:tc>
        <w:tc>
          <w:tcPr>
            <w:tcW w:w="989" w:type="dxa"/>
            <w:tcBorders>
              <w:top w:val="nil"/>
              <w:left w:val="nil"/>
              <w:bottom w:val="nil"/>
              <w:right w:val="nil"/>
            </w:tcBorders>
          </w:tcPr>
          <w:p>
            <w:pPr>
              <w:pStyle w:val="TableParagraph"/>
              <w:ind w:left="6"/>
              <w:rPr>
                <w:rFonts w:ascii="Calibri"/>
                <w:sz w:val="22"/>
              </w:rPr>
            </w:pPr>
            <w:r>
              <w:rPr>
                <w:rFonts w:ascii="Calibri"/>
                <w:w w:val="100"/>
                <w:sz w:val="22"/>
              </w:rPr>
              <w:t>0</w:t>
            </w:r>
          </w:p>
        </w:tc>
        <w:tc>
          <w:tcPr>
            <w:tcW w:w="1186" w:type="dxa"/>
            <w:tcBorders>
              <w:top w:val="nil"/>
              <w:left w:val="nil"/>
              <w:bottom w:val="nil"/>
              <w:right w:val="nil"/>
            </w:tcBorders>
          </w:tcPr>
          <w:p>
            <w:pPr>
              <w:pStyle w:val="TableParagraph"/>
              <w:ind w:left="125" w:right="116"/>
              <w:rPr>
                <w:rFonts w:ascii="Calibri"/>
                <w:sz w:val="22"/>
              </w:rPr>
            </w:pPr>
            <w:r>
              <w:rPr>
                <w:rFonts w:ascii="Calibri"/>
                <w:sz w:val="22"/>
              </w:rPr>
              <w:t>30</w:t>
            </w:r>
          </w:p>
        </w:tc>
        <w:tc>
          <w:tcPr>
            <w:tcW w:w="1030" w:type="dxa"/>
            <w:tcBorders>
              <w:top w:val="nil"/>
              <w:left w:val="nil"/>
              <w:bottom w:val="nil"/>
              <w:right w:val="single" w:sz="4" w:space="0" w:color="000000"/>
            </w:tcBorders>
          </w:tcPr>
          <w:p>
            <w:pPr>
              <w:pStyle w:val="TableParagraph"/>
              <w:ind w:left="119" w:right="112"/>
              <w:rPr>
                <w:rFonts w:ascii="Calibri"/>
                <w:sz w:val="22"/>
              </w:rPr>
            </w:pPr>
            <w:r>
              <w:rPr>
                <w:rFonts w:ascii="Calibri"/>
                <w:sz w:val="22"/>
              </w:rPr>
              <w:t>50</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49</w:t>
            </w:r>
          </w:p>
        </w:tc>
        <w:tc>
          <w:tcPr>
            <w:tcW w:w="936" w:type="dxa"/>
            <w:tcBorders>
              <w:top w:val="nil"/>
              <w:bottom w:val="nil"/>
              <w:right w:val="nil"/>
            </w:tcBorders>
          </w:tcPr>
          <w:p>
            <w:pPr>
              <w:pStyle w:val="TableParagraph"/>
              <w:ind w:right="20"/>
              <w:rPr>
                <w:rFonts w:ascii="Calibri"/>
                <w:sz w:val="22"/>
              </w:rPr>
            </w:pPr>
            <w:r>
              <w:rPr>
                <w:rFonts w:ascii="Calibri"/>
                <w:w w:val="100"/>
                <w:sz w:val="22"/>
              </w:rPr>
              <w:t>2</w:t>
            </w:r>
          </w:p>
        </w:tc>
        <w:tc>
          <w:tcPr>
            <w:tcW w:w="986" w:type="dxa"/>
            <w:tcBorders>
              <w:top w:val="nil"/>
              <w:left w:val="nil"/>
              <w:bottom w:val="nil"/>
              <w:right w:val="nil"/>
            </w:tcBorders>
          </w:tcPr>
          <w:p>
            <w:pPr>
              <w:pStyle w:val="TableParagraph"/>
              <w:ind w:right="21"/>
              <w:rPr>
                <w:rFonts w:ascii="Calibri"/>
                <w:sz w:val="22"/>
              </w:rPr>
            </w:pPr>
            <w:r>
              <w:rPr>
                <w:rFonts w:ascii="Calibri"/>
                <w:w w:val="100"/>
                <w:sz w:val="22"/>
              </w:rPr>
              <w:t>4</w:t>
            </w:r>
          </w:p>
        </w:tc>
        <w:tc>
          <w:tcPr>
            <w:tcW w:w="1114" w:type="dxa"/>
            <w:tcBorders>
              <w:top w:val="nil"/>
              <w:left w:val="nil"/>
              <w:bottom w:val="nil"/>
              <w:right w:val="nil"/>
            </w:tcBorders>
          </w:tcPr>
          <w:p>
            <w:pPr>
              <w:pStyle w:val="TableParagraph"/>
              <w:ind w:left="138" w:right="135"/>
              <w:rPr>
                <w:rFonts w:ascii="Calibri"/>
                <w:sz w:val="22"/>
              </w:rPr>
            </w:pPr>
            <w:r>
              <w:rPr>
                <w:rFonts w:ascii="Calibri"/>
                <w:sz w:val="22"/>
              </w:rPr>
              <w:t>30</w:t>
            </w:r>
          </w:p>
        </w:tc>
        <w:tc>
          <w:tcPr>
            <w:tcW w:w="1002" w:type="dxa"/>
            <w:tcBorders>
              <w:top w:val="nil"/>
              <w:left w:val="nil"/>
              <w:bottom w:val="nil"/>
              <w:right w:val="nil"/>
            </w:tcBorders>
          </w:tcPr>
          <w:p>
            <w:pPr>
              <w:pStyle w:val="TableParagraph"/>
              <w:ind w:left="137" w:right="124"/>
              <w:rPr>
                <w:rFonts w:ascii="Calibri"/>
                <w:sz w:val="22"/>
              </w:rPr>
            </w:pPr>
            <w:r>
              <w:rPr>
                <w:rFonts w:ascii="Calibri"/>
                <w:sz w:val="22"/>
              </w:rPr>
              <w:t>17</w:t>
            </w:r>
          </w:p>
        </w:tc>
        <w:tc>
          <w:tcPr>
            <w:tcW w:w="991" w:type="dxa"/>
            <w:tcBorders>
              <w:top w:val="nil"/>
              <w:left w:val="nil"/>
              <w:bottom w:val="nil"/>
              <w:right w:val="nil"/>
            </w:tcBorders>
          </w:tcPr>
          <w:p>
            <w:pPr>
              <w:pStyle w:val="TableParagraph"/>
              <w:ind w:left="4"/>
              <w:rPr>
                <w:rFonts w:ascii="Calibri"/>
                <w:sz w:val="22"/>
              </w:rPr>
            </w:pPr>
            <w:r>
              <w:rPr>
                <w:rFonts w:ascii="Calibri"/>
                <w:w w:val="100"/>
                <w:sz w:val="22"/>
              </w:rPr>
              <w:t>4</w:t>
            </w:r>
          </w:p>
        </w:tc>
        <w:tc>
          <w:tcPr>
            <w:tcW w:w="989" w:type="dxa"/>
            <w:tcBorders>
              <w:top w:val="nil"/>
              <w:left w:val="nil"/>
              <w:bottom w:val="nil"/>
              <w:right w:val="nil"/>
            </w:tcBorders>
          </w:tcPr>
          <w:p>
            <w:pPr>
              <w:pStyle w:val="TableParagraph"/>
              <w:ind w:left="127" w:right="118"/>
              <w:rPr>
                <w:rFonts w:ascii="Calibri"/>
                <w:sz w:val="22"/>
              </w:rPr>
            </w:pPr>
            <w:r>
              <w:rPr>
                <w:rFonts w:ascii="Calibri"/>
                <w:sz w:val="22"/>
              </w:rPr>
              <w:t>11</w:t>
            </w:r>
          </w:p>
        </w:tc>
        <w:tc>
          <w:tcPr>
            <w:tcW w:w="1186" w:type="dxa"/>
            <w:tcBorders>
              <w:top w:val="nil"/>
              <w:left w:val="nil"/>
              <w:bottom w:val="nil"/>
              <w:right w:val="nil"/>
            </w:tcBorders>
          </w:tcPr>
          <w:p>
            <w:pPr>
              <w:pStyle w:val="TableParagraph"/>
              <w:ind w:left="6"/>
              <w:rPr>
                <w:rFonts w:ascii="Calibri"/>
                <w:sz w:val="22"/>
              </w:rPr>
            </w:pPr>
            <w:r>
              <w:rPr>
                <w:rFonts w:ascii="Calibri"/>
                <w:w w:val="100"/>
                <w:sz w:val="22"/>
              </w:rPr>
              <w:t>1</w:t>
            </w:r>
          </w:p>
        </w:tc>
        <w:tc>
          <w:tcPr>
            <w:tcW w:w="1030" w:type="dxa"/>
            <w:tcBorders>
              <w:top w:val="nil"/>
              <w:left w:val="nil"/>
              <w:bottom w:val="nil"/>
              <w:right w:val="single" w:sz="4" w:space="0" w:color="000000"/>
            </w:tcBorders>
          </w:tcPr>
          <w:p>
            <w:pPr>
              <w:pStyle w:val="TableParagraph"/>
              <w:ind w:left="119" w:right="112"/>
              <w:rPr>
                <w:rFonts w:ascii="Calibri"/>
                <w:sz w:val="22"/>
              </w:rPr>
            </w:pPr>
            <w:r>
              <w:rPr>
                <w:rFonts w:ascii="Calibri"/>
                <w:sz w:val="22"/>
              </w:rPr>
              <w:t>67</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50</w:t>
            </w:r>
          </w:p>
        </w:tc>
        <w:tc>
          <w:tcPr>
            <w:tcW w:w="936" w:type="dxa"/>
            <w:tcBorders>
              <w:top w:val="nil"/>
              <w:bottom w:val="nil"/>
              <w:right w:val="nil"/>
            </w:tcBorders>
          </w:tcPr>
          <w:p>
            <w:pPr>
              <w:pStyle w:val="TableParagraph"/>
              <w:ind w:right="20"/>
              <w:rPr>
                <w:rFonts w:ascii="Calibri"/>
                <w:sz w:val="22"/>
              </w:rPr>
            </w:pPr>
            <w:r>
              <w:rPr>
                <w:rFonts w:ascii="Calibri"/>
                <w:w w:val="100"/>
                <w:sz w:val="22"/>
              </w:rPr>
              <w:t>0</w:t>
            </w:r>
          </w:p>
        </w:tc>
        <w:tc>
          <w:tcPr>
            <w:tcW w:w="986" w:type="dxa"/>
            <w:tcBorders>
              <w:top w:val="nil"/>
              <w:left w:val="nil"/>
              <w:bottom w:val="nil"/>
              <w:right w:val="nil"/>
            </w:tcBorders>
          </w:tcPr>
          <w:p>
            <w:pPr>
              <w:pStyle w:val="TableParagraph"/>
              <w:ind w:right="21"/>
              <w:rPr>
                <w:rFonts w:ascii="Calibri"/>
                <w:sz w:val="22"/>
              </w:rPr>
            </w:pPr>
            <w:r>
              <w:rPr>
                <w:rFonts w:ascii="Calibri"/>
                <w:w w:val="100"/>
                <w:sz w:val="22"/>
              </w:rPr>
              <w:t>0</w:t>
            </w:r>
          </w:p>
        </w:tc>
        <w:tc>
          <w:tcPr>
            <w:tcW w:w="1114" w:type="dxa"/>
            <w:tcBorders>
              <w:top w:val="nil"/>
              <w:left w:val="nil"/>
              <w:bottom w:val="nil"/>
              <w:right w:val="nil"/>
            </w:tcBorders>
          </w:tcPr>
          <w:p>
            <w:pPr>
              <w:pStyle w:val="TableParagraph"/>
              <w:ind w:left="138" w:right="135"/>
              <w:rPr>
                <w:rFonts w:ascii="Calibri"/>
                <w:sz w:val="22"/>
              </w:rPr>
            </w:pPr>
            <w:r>
              <w:rPr>
                <w:rFonts w:ascii="Calibri"/>
                <w:sz w:val="22"/>
              </w:rPr>
              <w:t>14</w:t>
            </w:r>
          </w:p>
        </w:tc>
        <w:tc>
          <w:tcPr>
            <w:tcW w:w="1002" w:type="dxa"/>
            <w:tcBorders>
              <w:top w:val="nil"/>
              <w:left w:val="nil"/>
              <w:bottom w:val="nil"/>
              <w:right w:val="nil"/>
            </w:tcBorders>
          </w:tcPr>
          <w:p>
            <w:pPr>
              <w:pStyle w:val="TableParagraph"/>
              <w:ind w:left="14"/>
              <w:rPr>
                <w:rFonts w:ascii="Calibri"/>
                <w:sz w:val="22"/>
              </w:rPr>
            </w:pPr>
            <w:r>
              <w:rPr>
                <w:rFonts w:ascii="Calibri"/>
                <w:w w:val="100"/>
                <w:sz w:val="22"/>
              </w:rPr>
              <w:t>4</w:t>
            </w:r>
          </w:p>
        </w:tc>
        <w:tc>
          <w:tcPr>
            <w:tcW w:w="991" w:type="dxa"/>
            <w:tcBorders>
              <w:top w:val="nil"/>
              <w:left w:val="nil"/>
              <w:bottom w:val="nil"/>
              <w:right w:val="nil"/>
            </w:tcBorders>
          </w:tcPr>
          <w:p>
            <w:pPr>
              <w:pStyle w:val="TableParagraph"/>
              <w:ind w:left="4"/>
              <w:rPr>
                <w:rFonts w:ascii="Calibri"/>
                <w:sz w:val="22"/>
              </w:rPr>
            </w:pPr>
            <w:r>
              <w:rPr>
                <w:rFonts w:ascii="Calibri"/>
                <w:w w:val="100"/>
                <w:sz w:val="22"/>
              </w:rPr>
              <w:t>5</w:t>
            </w:r>
          </w:p>
        </w:tc>
        <w:tc>
          <w:tcPr>
            <w:tcW w:w="989" w:type="dxa"/>
            <w:tcBorders>
              <w:top w:val="nil"/>
              <w:left w:val="nil"/>
              <w:bottom w:val="nil"/>
              <w:right w:val="nil"/>
            </w:tcBorders>
          </w:tcPr>
          <w:p>
            <w:pPr>
              <w:pStyle w:val="TableParagraph"/>
              <w:ind w:left="6"/>
              <w:rPr>
                <w:rFonts w:ascii="Calibri"/>
                <w:sz w:val="22"/>
              </w:rPr>
            </w:pPr>
            <w:r>
              <w:rPr>
                <w:rFonts w:ascii="Calibri"/>
                <w:w w:val="100"/>
                <w:sz w:val="22"/>
              </w:rPr>
              <w:t>0</w:t>
            </w:r>
          </w:p>
        </w:tc>
        <w:tc>
          <w:tcPr>
            <w:tcW w:w="1186" w:type="dxa"/>
            <w:tcBorders>
              <w:top w:val="nil"/>
              <w:left w:val="nil"/>
              <w:bottom w:val="nil"/>
              <w:right w:val="nil"/>
            </w:tcBorders>
          </w:tcPr>
          <w:p>
            <w:pPr>
              <w:pStyle w:val="TableParagraph"/>
              <w:ind w:left="125" w:right="116"/>
              <w:rPr>
                <w:rFonts w:ascii="Calibri"/>
                <w:sz w:val="22"/>
              </w:rPr>
            </w:pPr>
            <w:r>
              <w:rPr>
                <w:rFonts w:ascii="Calibri"/>
                <w:sz w:val="22"/>
              </w:rPr>
              <w:t>16</w:t>
            </w:r>
          </w:p>
        </w:tc>
        <w:tc>
          <w:tcPr>
            <w:tcW w:w="1030" w:type="dxa"/>
            <w:tcBorders>
              <w:top w:val="nil"/>
              <w:left w:val="nil"/>
              <w:bottom w:val="nil"/>
              <w:right w:val="single" w:sz="4" w:space="0" w:color="000000"/>
            </w:tcBorders>
          </w:tcPr>
          <w:p>
            <w:pPr>
              <w:pStyle w:val="TableParagraph"/>
              <w:ind w:left="119" w:right="112"/>
              <w:rPr>
                <w:rFonts w:ascii="Calibri"/>
                <w:sz w:val="22"/>
              </w:rPr>
            </w:pPr>
            <w:r>
              <w:rPr>
                <w:rFonts w:ascii="Calibri"/>
                <w:sz w:val="22"/>
              </w:rPr>
              <w:t>39</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51</w:t>
            </w:r>
          </w:p>
        </w:tc>
        <w:tc>
          <w:tcPr>
            <w:tcW w:w="936" w:type="dxa"/>
            <w:tcBorders>
              <w:top w:val="nil"/>
              <w:bottom w:val="nil"/>
              <w:right w:val="nil"/>
            </w:tcBorders>
          </w:tcPr>
          <w:p>
            <w:pPr>
              <w:pStyle w:val="TableParagraph"/>
              <w:ind w:right="20"/>
              <w:rPr>
                <w:rFonts w:ascii="Calibri"/>
                <w:sz w:val="22"/>
              </w:rPr>
            </w:pPr>
            <w:r>
              <w:rPr>
                <w:rFonts w:ascii="Calibri"/>
                <w:w w:val="100"/>
                <w:sz w:val="22"/>
              </w:rPr>
              <w:t>0</w:t>
            </w:r>
          </w:p>
        </w:tc>
        <w:tc>
          <w:tcPr>
            <w:tcW w:w="986" w:type="dxa"/>
            <w:tcBorders>
              <w:top w:val="nil"/>
              <w:left w:val="nil"/>
              <w:bottom w:val="nil"/>
              <w:right w:val="nil"/>
            </w:tcBorders>
          </w:tcPr>
          <w:p>
            <w:pPr>
              <w:pStyle w:val="TableParagraph"/>
              <w:ind w:right="21"/>
              <w:rPr>
                <w:rFonts w:ascii="Calibri"/>
                <w:sz w:val="22"/>
              </w:rPr>
            </w:pPr>
            <w:r>
              <w:rPr>
                <w:rFonts w:ascii="Calibri"/>
                <w:w w:val="100"/>
                <w:sz w:val="22"/>
              </w:rPr>
              <w:t>1</w:t>
            </w:r>
          </w:p>
        </w:tc>
        <w:tc>
          <w:tcPr>
            <w:tcW w:w="1114" w:type="dxa"/>
            <w:tcBorders>
              <w:top w:val="nil"/>
              <w:left w:val="nil"/>
              <w:bottom w:val="nil"/>
              <w:right w:val="nil"/>
            </w:tcBorders>
          </w:tcPr>
          <w:p>
            <w:pPr>
              <w:pStyle w:val="TableParagraph"/>
              <w:ind w:left="4"/>
              <w:rPr>
                <w:rFonts w:ascii="Calibri"/>
                <w:sz w:val="22"/>
              </w:rPr>
            </w:pPr>
            <w:r>
              <w:rPr>
                <w:rFonts w:ascii="Calibri"/>
                <w:w w:val="100"/>
                <w:sz w:val="22"/>
              </w:rPr>
              <w:t>3</w:t>
            </w:r>
          </w:p>
        </w:tc>
        <w:tc>
          <w:tcPr>
            <w:tcW w:w="1002" w:type="dxa"/>
            <w:tcBorders>
              <w:top w:val="nil"/>
              <w:left w:val="nil"/>
              <w:bottom w:val="nil"/>
              <w:right w:val="nil"/>
            </w:tcBorders>
          </w:tcPr>
          <w:p>
            <w:pPr>
              <w:pStyle w:val="TableParagraph"/>
              <w:ind w:left="14"/>
              <w:rPr>
                <w:rFonts w:ascii="Calibri"/>
                <w:sz w:val="22"/>
              </w:rPr>
            </w:pPr>
            <w:r>
              <w:rPr>
                <w:rFonts w:ascii="Calibri"/>
                <w:w w:val="100"/>
                <w:sz w:val="22"/>
              </w:rPr>
              <w:t>5</w:t>
            </w:r>
          </w:p>
        </w:tc>
        <w:tc>
          <w:tcPr>
            <w:tcW w:w="991" w:type="dxa"/>
            <w:tcBorders>
              <w:top w:val="nil"/>
              <w:left w:val="nil"/>
              <w:bottom w:val="nil"/>
              <w:right w:val="nil"/>
            </w:tcBorders>
          </w:tcPr>
          <w:p>
            <w:pPr>
              <w:pStyle w:val="TableParagraph"/>
              <w:ind w:left="4"/>
              <w:rPr>
                <w:rFonts w:ascii="Calibri"/>
                <w:sz w:val="22"/>
              </w:rPr>
            </w:pPr>
            <w:r>
              <w:rPr>
                <w:rFonts w:ascii="Calibri"/>
                <w:w w:val="100"/>
                <w:sz w:val="22"/>
              </w:rPr>
              <w:t>5</w:t>
            </w:r>
          </w:p>
        </w:tc>
        <w:tc>
          <w:tcPr>
            <w:tcW w:w="989" w:type="dxa"/>
            <w:tcBorders>
              <w:top w:val="nil"/>
              <w:left w:val="nil"/>
              <w:bottom w:val="nil"/>
              <w:right w:val="nil"/>
            </w:tcBorders>
          </w:tcPr>
          <w:p>
            <w:pPr>
              <w:pStyle w:val="TableParagraph"/>
              <w:ind w:left="6"/>
              <w:rPr>
                <w:rFonts w:ascii="Calibri"/>
                <w:sz w:val="22"/>
              </w:rPr>
            </w:pPr>
            <w:r>
              <w:rPr>
                <w:rFonts w:ascii="Calibri"/>
                <w:w w:val="100"/>
                <w:sz w:val="22"/>
              </w:rPr>
              <w:t>2</w:t>
            </w:r>
          </w:p>
        </w:tc>
        <w:tc>
          <w:tcPr>
            <w:tcW w:w="1186" w:type="dxa"/>
            <w:tcBorders>
              <w:top w:val="nil"/>
              <w:left w:val="nil"/>
              <w:bottom w:val="nil"/>
              <w:right w:val="nil"/>
            </w:tcBorders>
          </w:tcPr>
          <w:p>
            <w:pPr>
              <w:pStyle w:val="TableParagraph"/>
              <w:ind w:left="6"/>
              <w:rPr>
                <w:rFonts w:ascii="Calibri"/>
                <w:sz w:val="22"/>
              </w:rPr>
            </w:pPr>
            <w:r>
              <w:rPr>
                <w:rFonts w:ascii="Calibri"/>
                <w:w w:val="100"/>
                <w:sz w:val="22"/>
              </w:rPr>
              <w:t>5</w:t>
            </w:r>
          </w:p>
        </w:tc>
        <w:tc>
          <w:tcPr>
            <w:tcW w:w="1030" w:type="dxa"/>
            <w:tcBorders>
              <w:top w:val="nil"/>
              <w:left w:val="nil"/>
              <w:bottom w:val="nil"/>
              <w:right w:val="single" w:sz="4" w:space="0" w:color="000000"/>
            </w:tcBorders>
          </w:tcPr>
          <w:p>
            <w:pPr>
              <w:pStyle w:val="TableParagraph"/>
              <w:ind w:left="119" w:right="112"/>
              <w:rPr>
                <w:rFonts w:ascii="Calibri"/>
                <w:sz w:val="22"/>
              </w:rPr>
            </w:pPr>
            <w:r>
              <w:rPr>
                <w:rFonts w:ascii="Calibri"/>
                <w:sz w:val="22"/>
              </w:rPr>
              <w:t>21</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52</w:t>
            </w:r>
          </w:p>
        </w:tc>
        <w:tc>
          <w:tcPr>
            <w:tcW w:w="936" w:type="dxa"/>
            <w:tcBorders>
              <w:top w:val="nil"/>
              <w:bottom w:val="nil"/>
              <w:right w:val="nil"/>
            </w:tcBorders>
          </w:tcPr>
          <w:p>
            <w:pPr>
              <w:pStyle w:val="TableParagraph"/>
              <w:ind w:right="20"/>
              <w:rPr>
                <w:rFonts w:ascii="Calibri"/>
                <w:sz w:val="22"/>
              </w:rPr>
            </w:pPr>
            <w:r>
              <w:rPr>
                <w:rFonts w:ascii="Calibri"/>
                <w:w w:val="100"/>
                <w:sz w:val="22"/>
              </w:rPr>
              <w:t>0</w:t>
            </w:r>
          </w:p>
        </w:tc>
        <w:tc>
          <w:tcPr>
            <w:tcW w:w="986" w:type="dxa"/>
            <w:tcBorders>
              <w:top w:val="nil"/>
              <w:left w:val="nil"/>
              <w:bottom w:val="nil"/>
              <w:right w:val="nil"/>
            </w:tcBorders>
          </w:tcPr>
          <w:p>
            <w:pPr>
              <w:pStyle w:val="TableParagraph"/>
              <w:ind w:right="21"/>
              <w:rPr>
                <w:rFonts w:ascii="Calibri"/>
                <w:sz w:val="22"/>
              </w:rPr>
            </w:pPr>
            <w:r>
              <w:rPr>
                <w:rFonts w:ascii="Calibri"/>
                <w:w w:val="100"/>
                <w:sz w:val="22"/>
              </w:rPr>
              <w:t>0</w:t>
            </w:r>
          </w:p>
        </w:tc>
        <w:tc>
          <w:tcPr>
            <w:tcW w:w="1114" w:type="dxa"/>
            <w:tcBorders>
              <w:top w:val="nil"/>
              <w:left w:val="nil"/>
              <w:bottom w:val="nil"/>
              <w:right w:val="nil"/>
            </w:tcBorders>
          </w:tcPr>
          <w:p>
            <w:pPr>
              <w:pStyle w:val="TableParagraph"/>
              <w:ind w:left="138" w:right="135"/>
              <w:rPr>
                <w:rFonts w:ascii="Calibri"/>
                <w:sz w:val="22"/>
              </w:rPr>
            </w:pPr>
            <w:r>
              <w:rPr>
                <w:rFonts w:ascii="Calibri"/>
                <w:sz w:val="22"/>
              </w:rPr>
              <w:t>31</w:t>
            </w:r>
          </w:p>
        </w:tc>
        <w:tc>
          <w:tcPr>
            <w:tcW w:w="1002" w:type="dxa"/>
            <w:tcBorders>
              <w:top w:val="nil"/>
              <w:left w:val="nil"/>
              <w:bottom w:val="nil"/>
              <w:right w:val="nil"/>
            </w:tcBorders>
          </w:tcPr>
          <w:p>
            <w:pPr>
              <w:pStyle w:val="TableParagraph"/>
              <w:ind w:left="14"/>
              <w:rPr>
                <w:rFonts w:ascii="Calibri"/>
                <w:sz w:val="22"/>
              </w:rPr>
            </w:pPr>
            <w:r>
              <w:rPr>
                <w:rFonts w:ascii="Calibri"/>
                <w:w w:val="100"/>
                <w:sz w:val="22"/>
              </w:rPr>
              <w:t>5</w:t>
            </w:r>
          </w:p>
        </w:tc>
        <w:tc>
          <w:tcPr>
            <w:tcW w:w="991" w:type="dxa"/>
            <w:tcBorders>
              <w:top w:val="nil"/>
              <w:left w:val="nil"/>
              <w:bottom w:val="nil"/>
              <w:right w:val="nil"/>
            </w:tcBorders>
          </w:tcPr>
          <w:p>
            <w:pPr>
              <w:pStyle w:val="TableParagraph"/>
              <w:ind w:left="127" w:right="120"/>
              <w:rPr>
                <w:rFonts w:ascii="Calibri"/>
                <w:sz w:val="22"/>
              </w:rPr>
            </w:pPr>
            <w:r>
              <w:rPr>
                <w:rFonts w:ascii="Calibri"/>
                <w:sz w:val="22"/>
              </w:rPr>
              <w:t>25</w:t>
            </w:r>
          </w:p>
        </w:tc>
        <w:tc>
          <w:tcPr>
            <w:tcW w:w="989" w:type="dxa"/>
            <w:tcBorders>
              <w:top w:val="nil"/>
              <w:left w:val="nil"/>
              <w:bottom w:val="nil"/>
              <w:right w:val="nil"/>
            </w:tcBorders>
          </w:tcPr>
          <w:p>
            <w:pPr>
              <w:pStyle w:val="TableParagraph"/>
              <w:ind w:left="6"/>
              <w:rPr>
                <w:rFonts w:ascii="Calibri"/>
                <w:sz w:val="22"/>
              </w:rPr>
            </w:pPr>
            <w:r>
              <w:rPr>
                <w:rFonts w:ascii="Calibri"/>
                <w:w w:val="100"/>
                <w:sz w:val="22"/>
              </w:rPr>
              <w:t>6</w:t>
            </w:r>
          </w:p>
        </w:tc>
        <w:tc>
          <w:tcPr>
            <w:tcW w:w="1186" w:type="dxa"/>
            <w:tcBorders>
              <w:top w:val="nil"/>
              <w:left w:val="nil"/>
              <w:bottom w:val="nil"/>
              <w:right w:val="nil"/>
            </w:tcBorders>
          </w:tcPr>
          <w:p>
            <w:pPr>
              <w:pStyle w:val="TableParagraph"/>
              <w:ind w:left="6"/>
              <w:rPr>
                <w:rFonts w:ascii="Calibri"/>
                <w:sz w:val="22"/>
              </w:rPr>
            </w:pPr>
            <w:r>
              <w:rPr>
                <w:rFonts w:ascii="Calibri"/>
                <w:w w:val="100"/>
                <w:sz w:val="22"/>
              </w:rPr>
              <w:t>6</w:t>
            </w:r>
          </w:p>
        </w:tc>
        <w:tc>
          <w:tcPr>
            <w:tcW w:w="1030" w:type="dxa"/>
            <w:tcBorders>
              <w:top w:val="nil"/>
              <w:left w:val="nil"/>
              <w:bottom w:val="nil"/>
              <w:right w:val="single" w:sz="4" w:space="0" w:color="000000"/>
            </w:tcBorders>
          </w:tcPr>
          <w:p>
            <w:pPr>
              <w:pStyle w:val="TableParagraph"/>
              <w:ind w:left="119" w:right="112"/>
              <w:rPr>
                <w:rFonts w:ascii="Calibri"/>
                <w:sz w:val="22"/>
              </w:rPr>
            </w:pPr>
            <w:r>
              <w:rPr>
                <w:rFonts w:ascii="Calibri"/>
                <w:sz w:val="22"/>
              </w:rPr>
              <w:t>73</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53</w:t>
            </w:r>
          </w:p>
        </w:tc>
        <w:tc>
          <w:tcPr>
            <w:tcW w:w="936" w:type="dxa"/>
            <w:tcBorders>
              <w:top w:val="nil"/>
              <w:bottom w:val="nil"/>
              <w:right w:val="nil"/>
            </w:tcBorders>
          </w:tcPr>
          <w:p>
            <w:pPr>
              <w:pStyle w:val="TableParagraph"/>
              <w:ind w:right="20"/>
              <w:rPr>
                <w:rFonts w:ascii="Calibri"/>
                <w:sz w:val="22"/>
              </w:rPr>
            </w:pPr>
            <w:r>
              <w:rPr>
                <w:rFonts w:ascii="Calibri"/>
                <w:w w:val="100"/>
                <w:sz w:val="22"/>
              </w:rPr>
              <w:t>0</w:t>
            </w:r>
          </w:p>
        </w:tc>
        <w:tc>
          <w:tcPr>
            <w:tcW w:w="986" w:type="dxa"/>
            <w:tcBorders>
              <w:top w:val="nil"/>
              <w:left w:val="nil"/>
              <w:bottom w:val="nil"/>
              <w:right w:val="nil"/>
            </w:tcBorders>
          </w:tcPr>
          <w:p>
            <w:pPr>
              <w:pStyle w:val="TableParagraph"/>
              <w:ind w:right="21"/>
              <w:rPr>
                <w:rFonts w:ascii="Calibri"/>
                <w:sz w:val="22"/>
              </w:rPr>
            </w:pPr>
            <w:r>
              <w:rPr>
                <w:rFonts w:ascii="Calibri"/>
                <w:w w:val="100"/>
                <w:sz w:val="22"/>
              </w:rPr>
              <w:t>1</w:t>
            </w:r>
          </w:p>
        </w:tc>
        <w:tc>
          <w:tcPr>
            <w:tcW w:w="1114" w:type="dxa"/>
            <w:tcBorders>
              <w:top w:val="nil"/>
              <w:left w:val="nil"/>
              <w:bottom w:val="nil"/>
              <w:right w:val="nil"/>
            </w:tcBorders>
          </w:tcPr>
          <w:p>
            <w:pPr>
              <w:pStyle w:val="TableParagraph"/>
              <w:ind w:left="4"/>
              <w:rPr>
                <w:rFonts w:ascii="Calibri"/>
                <w:sz w:val="22"/>
              </w:rPr>
            </w:pPr>
            <w:r>
              <w:rPr>
                <w:rFonts w:ascii="Calibri"/>
                <w:w w:val="100"/>
                <w:sz w:val="22"/>
              </w:rPr>
              <w:t>4</w:t>
            </w:r>
          </w:p>
        </w:tc>
        <w:tc>
          <w:tcPr>
            <w:tcW w:w="1002" w:type="dxa"/>
            <w:tcBorders>
              <w:top w:val="nil"/>
              <w:left w:val="nil"/>
              <w:bottom w:val="nil"/>
              <w:right w:val="nil"/>
            </w:tcBorders>
          </w:tcPr>
          <w:p>
            <w:pPr>
              <w:pStyle w:val="TableParagraph"/>
              <w:ind w:left="137" w:right="124"/>
              <w:rPr>
                <w:rFonts w:ascii="Calibri"/>
                <w:sz w:val="22"/>
              </w:rPr>
            </w:pPr>
            <w:r>
              <w:rPr>
                <w:rFonts w:ascii="Calibri"/>
                <w:sz w:val="22"/>
              </w:rPr>
              <w:t>14</w:t>
            </w:r>
          </w:p>
        </w:tc>
        <w:tc>
          <w:tcPr>
            <w:tcW w:w="991" w:type="dxa"/>
            <w:tcBorders>
              <w:top w:val="nil"/>
              <w:left w:val="nil"/>
              <w:bottom w:val="nil"/>
              <w:right w:val="nil"/>
            </w:tcBorders>
          </w:tcPr>
          <w:p>
            <w:pPr>
              <w:pStyle w:val="TableParagraph"/>
              <w:ind w:left="4"/>
              <w:rPr>
                <w:rFonts w:ascii="Calibri"/>
                <w:sz w:val="22"/>
              </w:rPr>
            </w:pPr>
            <w:r>
              <w:rPr>
                <w:rFonts w:ascii="Calibri"/>
                <w:w w:val="100"/>
                <w:sz w:val="22"/>
              </w:rPr>
              <w:t>1</w:t>
            </w:r>
          </w:p>
        </w:tc>
        <w:tc>
          <w:tcPr>
            <w:tcW w:w="989" w:type="dxa"/>
            <w:tcBorders>
              <w:top w:val="nil"/>
              <w:left w:val="nil"/>
              <w:bottom w:val="nil"/>
              <w:right w:val="nil"/>
            </w:tcBorders>
          </w:tcPr>
          <w:p>
            <w:pPr>
              <w:pStyle w:val="TableParagraph"/>
              <w:ind w:left="6"/>
              <w:rPr>
                <w:rFonts w:ascii="Calibri"/>
                <w:sz w:val="22"/>
              </w:rPr>
            </w:pPr>
            <w:r>
              <w:rPr>
                <w:rFonts w:ascii="Calibri"/>
                <w:w w:val="100"/>
                <w:sz w:val="22"/>
              </w:rPr>
              <w:t>1</w:t>
            </w:r>
          </w:p>
        </w:tc>
        <w:tc>
          <w:tcPr>
            <w:tcW w:w="1186" w:type="dxa"/>
            <w:tcBorders>
              <w:top w:val="nil"/>
              <w:left w:val="nil"/>
              <w:bottom w:val="nil"/>
              <w:right w:val="nil"/>
            </w:tcBorders>
          </w:tcPr>
          <w:p>
            <w:pPr>
              <w:pStyle w:val="TableParagraph"/>
              <w:ind w:left="125" w:right="116"/>
              <w:rPr>
                <w:rFonts w:ascii="Calibri"/>
                <w:sz w:val="22"/>
              </w:rPr>
            </w:pPr>
            <w:r>
              <w:rPr>
                <w:rFonts w:ascii="Calibri"/>
                <w:sz w:val="22"/>
              </w:rPr>
              <w:t>10</w:t>
            </w:r>
          </w:p>
        </w:tc>
        <w:tc>
          <w:tcPr>
            <w:tcW w:w="1030" w:type="dxa"/>
            <w:tcBorders>
              <w:top w:val="nil"/>
              <w:left w:val="nil"/>
              <w:bottom w:val="nil"/>
              <w:right w:val="single" w:sz="4" w:space="0" w:color="000000"/>
            </w:tcBorders>
          </w:tcPr>
          <w:p>
            <w:pPr>
              <w:pStyle w:val="TableParagraph"/>
              <w:ind w:left="119" w:right="112"/>
              <w:rPr>
                <w:rFonts w:ascii="Calibri"/>
                <w:sz w:val="22"/>
              </w:rPr>
            </w:pPr>
            <w:r>
              <w:rPr>
                <w:rFonts w:ascii="Calibri"/>
                <w:sz w:val="22"/>
              </w:rPr>
              <w:t>31</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54</w:t>
            </w:r>
          </w:p>
        </w:tc>
        <w:tc>
          <w:tcPr>
            <w:tcW w:w="936" w:type="dxa"/>
            <w:tcBorders>
              <w:top w:val="nil"/>
              <w:bottom w:val="nil"/>
              <w:right w:val="nil"/>
            </w:tcBorders>
          </w:tcPr>
          <w:p>
            <w:pPr>
              <w:pStyle w:val="TableParagraph"/>
              <w:ind w:right="20"/>
              <w:rPr>
                <w:rFonts w:ascii="Calibri"/>
                <w:sz w:val="22"/>
              </w:rPr>
            </w:pPr>
            <w:r>
              <w:rPr>
                <w:rFonts w:ascii="Calibri"/>
                <w:w w:val="100"/>
                <w:sz w:val="22"/>
              </w:rPr>
              <w:t>0</w:t>
            </w:r>
          </w:p>
        </w:tc>
        <w:tc>
          <w:tcPr>
            <w:tcW w:w="986" w:type="dxa"/>
            <w:tcBorders>
              <w:top w:val="nil"/>
              <w:left w:val="nil"/>
              <w:bottom w:val="nil"/>
              <w:right w:val="nil"/>
            </w:tcBorders>
          </w:tcPr>
          <w:p>
            <w:pPr>
              <w:pStyle w:val="TableParagraph"/>
              <w:ind w:right="21"/>
              <w:rPr>
                <w:rFonts w:ascii="Calibri"/>
                <w:sz w:val="22"/>
              </w:rPr>
            </w:pPr>
            <w:r>
              <w:rPr>
                <w:rFonts w:ascii="Calibri"/>
                <w:w w:val="100"/>
                <w:sz w:val="22"/>
              </w:rPr>
              <w:t>3</w:t>
            </w:r>
          </w:p>
        </w:tc>
        <w:tc>
          <w:tcPr>
            <w:tcW w:w="1114" w:type="dxa"/>
            <w:tcBorders>
              <w:top w:val="nil"/>
              <w:left w:val="nil"/>
              <w:bottom w:val="nil"/>
              <w:right w:val="nil"/>
            </w:tcBorders>
          </w:tcPr>
          <w:p>
            <w:pPr>
              <w:pStyle w:val="TableParagraph"/>
              <w:ind w:left="4"/>
              <w:rPr>
                <w:rFonts w:ascii="Calibri"/>
                <w:sz w:val="22"/>
              </w:rPr>
            </w:pPr>
            <w:r>
              <w:rPr>
                <w:rFonts w:ascii="Calibri"/>
                <w:w w:val="100"/>
                <w:sz w:val="22"/>
              </w:rPr>
              <w:t>8</w:t>
            </w:r>
          </w:p>
        </w:tc>
        <w:tc>
          <w:tcPr>
            <w:tcW w:w="1002" w:type="dxa"/>
            <w:tcBorders>
              <w:top w:val="nil"/>
              <w:left w:val="nil"/>
              <w:bottom w:val="nil"/>
              <w:right w:val="nil"/>
            </w:tcBorders>
          </w:tcPr>
          <w:p>
            <w:pPr>
              <w:pStyle w:val="TableParagraph"/>
              <w:ind w:left="14"/>
              <w:rPr>
                <w:rFonts w:ascii="Calibri"/>
                <w:sz w:val="22"/>
              </w:rPr>
            </w:pPr>
            <w:r>
              <w:rPr>
                <w:rFonts w:ascii="Calibri"/>
                <w:w w:val="100"/>
                <w:sz w:val="22"/>
              </w:rPr>
              <w:t>7</w:t>
            </w:r>
          </w:p>
        </w:tc>
        <w:tc>
          <w:tcPr>
            <w:tcW w:w="991" w:type="dxa"/>
            <w:tcBorders>
              <w:top w:val="nil"/>
              <w:left w:val="nil"/>
              <w:bottom w:val="nil"/>
              <w:right w:val="nil"/>
            </w:tcBorders>
          </w:tcPr>
          <w:p>
            <w:pPr>
              <w:pStyle w:val="TableParagraph"/>
              <w:ind w:left="4"/>
              <w:rPr>
                <w:rFonts w:ascii="Calibri"/>
                <w:sz w:val="22"/>
              </w:rPr>
            </w:pPr>
            <w:r>
              <w:rPr>
                <w:rFonts w:ascii="Calibri"/>
                <w:w w:val="100"/>
                <w:sz w:val="22"/>
              </w:rPr>
              <w:t>6</w:t>
            </w:r>
          </w:p>
        </w:tc>
        <w:tc>
          <w:tcPr>
            <w:tcW w:w="989" w:type="dxa"/>
            <w:tcBorders>
              <w:top w:val="nil"/>
              <w:left w:val="nil"/>
              <w:bottom w:val="nil"/>
              <w:right w:val="nil"/>
            </w:tcBorders>
          </w:tcPr>
          <w:p>
            <w:pPr>
              <w:pStyle w:val="TableParagraph"/>
              <w:ind w:left="6"/>
              <w:rPr>
                <w:rFonts w:ascii="Calibri"/>
                <w:sz w:val="22"/>
              </w:rPr>
            </w:pPr>
            <w:r>
              <w:rPr>
                <w:rFonts w:ascii="Calibri"/>
                <w:w w:val="100"/>
                <w:sz w:val="22"/>
              </w:rPr>
              <w:t>2</w:t>
            </w:r>
          </w:p>
        </w:tc>
        <w:tc>
          <w:tcPr>
            <w:tcW w:w="1186" w:type="dxa"/>
            <w:tcBorders>
              <w:top w:val="nil"/>
              <w:left w:val="nil"/>
              <w:bottom w:val="nil"/>
              <w:right w:val="nil"/>
            </w:tcBorders>
          </w:tcPr>
          <w:p>
            <w:pPr>
              <w:pStyle w:val="TableParagraph"/>
              <w:ind w:left="6"/>
              <w:rPr>
                <w:rFonts w:ascii="Calibri"/>
                <w:sz w:val="22"/>
              </w:rPr>
            </w:pPr>
            <w:r>
              <w:rPr>
                <w:rFonts w:ascii="Calibri"/>
                <w:w w:val="100"/>
                <w:sz w:val="22"/>
              </w:rPr>
              <w:t>8</w:t>
            </w:r>
          </w:p>
        </w:tc>
        <w:tc>
          <w:tcPr>
            <w:tcW w:w="1030" w:type="dxa"/>
            <w:tcBorders>
              <w:top w:val="nil"/>
              <w:left w:val="nil"/>
              <w:bottom w:val="nil"/>
              <w:right w:val="single" w:sz="4" w:space="0" w:color="000000"/>
            </w:tcBorders>
          </w:tcPr>
          <w:p>
            <w:pPr>
              <w:pStyle w:val="TableParagraph"/>
              <w:ind w:left="119" w:right="112"/>
              <w:rPr>
                <w:rFonts w:ascii="Calibri"/>
                <w:sz w:val="22"/>
              </w:rPr>
            </w:pPr>
            <w:r>
              <w:rPr>
                <w:rFonts w:ascii="Calibri"/>
                <w:sz w:val="22"/>
              </w:rPr>
              <w:t>34</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55</w:t>
            </w:r>
          </w:p>
        </w:tc>
        <w:tc>
          <w:tcPr>
            <w:tcW w:w="936" w:type="dxa"/>
            <w:tcBorders>
              <w:top w:val="nil"/>
              <w:bottom w:val="nil"/>
              <w:right w:val="nil"/>
            </w:tcBorders>
          </w:tcPr>
          <w:p>
            <w:pPr>
              <w:pStyle w:val="TableParagraph"/>
              <w:ind w:right="20"/>
              <w:rPr>
                <w:rFonts w:ascii="Calibri"/>
                <w:sz w:val="22"/>
              </w:rPr>
            </w:pPr>
            <w:r>
              <w:rPr>
                <w:rFonts w:ascii="Calibri"/>
                <w:w w:val="100"/>
                <w:sz w:val="22"/>
              </w:rPr>
              <w:t>1</w:t>
            </w:r>
          </w:p>
        </w:tc>
        <w:tc>
          <w:tcPr>
            <w:tcW w:w="986" w:type="dxa"/>
            <w:tcBorders>
              <w:top w:val="nil"/>
              <w:left w:val="nil"/>
              <w:bottom w:val="nil"/>
              <w:right w:val="nil"/>
            </w:tcBorders>
          </w:tcPr>
          <w:p>
            <w:pPr>
              <w:pStyle w:val="TableParagraph"/>
              <w:ind w:right="21"/>
              <w:rPr>
                <w:rFonts w:ascii="Calibri"/>
                <w:sz w:val="22"/>
              </w:rPr>
            </w:pPr>
            <w:r>
              <w:rPr>
                <w:rFonts w:ascii="Calibri"/>
                <w:w w:val="100"/>
                <w:sz w:val="22"/>
              </w:rPr>
              <w:t>1</w:t>
            </w:r>
          </w:p>
        </w:tc>
        <w:tc>
          <w:tcPr>
            <w:tcW w:w="1114" w:type="dxa"/>
            <w:tcBorders>
              <w:top w:val="nil"/>
              <w:left w:val="nil"/>
              <w:bottom w:val="nil"/>
              <w:right w:val="nil"/>
            </w:tcBorders>
          </w:tcPr>
          <w:p>
            <w:pPr>
              <w:pStyle w:val="TableParagraph"/>
              <w:ind w:left="138" w:right="135"/>
              <w:rPr>
                <w:rFonts w:ascii="Calibri"/>
                <w:sz w:val="22"/>
              </w:rPr>
            </w:pPr>
            <w:r>
              <w:rPr>
                <w:rFonts w:ascii="Calibri"/>
                <w:sz w:val="22"/>
              </w:rPr>
              <w:t>36</w:t>
            </w:r>
          </w:p>
        </w:tc>
        <w:tc>
          <w:tcPr>
            <w:tcW w:w="1002" w:type="dxa"/>
            <w:tcBorders>
              <w:top w:val="nil"/>
              <w:left w:val="nil"/>
              <w:bottom w:val="nil"/>
              <w:right w:val="nil"/>
            </w:tcBorders>
          </w:tcPr>
          <w:p>
            <w:pPr>
              <w:pStyle w:val="TableParagraph"/>
              <w:ind w:left="137" w:right="124"/>
              <w:rPr>
                <w:rFonts w:ascii="Calibri"/>
                <w:sz w:val="22"/>
              </w:rPr>
            </w:pPr>
            <w:r>
              <w:rPr>
                <w:rFonts w:ascii="Calibri"/>
                <w:sz w:val="22"/>
              </w:rPr>
              <w:t>27</w:t>
            </w:r>
          </w:p>
        </w:tc>
        <w:tc>
          <w:tcPr>
            <w:tcW w:w="991" w:type="dxa"/>
            <w:tcBorders>
              <w:top w:val="nil"/>
              <w:left w:val="nil"/>
              <w:bottom w:val="nil"/>
              <w:right w:val="nil"/>
            </w:tcBorders>
          </w:tcPr>
          <w:p>
            <w:pPr>
              <w:pStyle w:val="TableParagraph"/>
              <w:ind w:left="4"/>
              <w:rPr>
                <w:rFonts w:ascii="Calibri"/>
                <w:sz w:val="22"/>
              </w:rPr>
            </w:pPr>
            <w:r>
              <w:rPr>
                <w:rFonts w:ascii="Calibri"/>
                <w:w w:val="100"/>
                <w:sz w:val="22"/>
              </w:rPr>
              <w:t>2</w:t>
            </w:r>
          </w:p>
        </w:tc>
        <w:tc>
          <w:tcPr>
            <w:tcW w:w="989" w:type="dxa"/>
            <w:tcBorders>
              <w:top w:val="nil"/>
              <w:left w:val="nil"/>
              <w:bottom w:val="nil"/>
              <w:right w:val="nil"/>
            </w:tcBorders>
          </w:tcPr>
          <w:p>
            <w:pPr>
              <w:pStyle w:val="TableParagraph"/>
              <w:ind w:left="6"/>
              <w:rPr>
                <w:rFonts w:ascii="Calibri"/>
                <w:sz w:val="22"/>
              </w:rPr>
            </w:pPr>
            <w:r>
              <w:rPr>
                <w:rFonts w:ascii="Calibri"/>
                <w:w w:val="100"/>
                <w:sz w:val="22"/>
              </w:rPr>
              <w:t>3</w:t>
            </w:r>
          </w:p>
        </w:tc>
        <w:tc>
          <w:tcPr>
            <w:tcW w:w="1186" w:type="dxa"/>
            <w:tcBorders>
              <w:top w:val="nil"/>
              <w:left w:val="nil"/>
              <w:bottom w:val="nil"/>
              <w:right w:val="nil"/>
            </w:tcBorders>
          </w:tcPr>
          <w:p>
            <w:pPr>
              <w:pStyle w:val="TableParagraph"/>
              <w:ind w:left="125" w:right="116"/>
              <w:rPr>
                <w:rFonts w:ascii="Calibri"/>
                <w:sz w:val="22"/>
              </w:rPr>
            </w:pPr>
            <w:r>
              <w:rPr>
                <w:rFonts w:ascii="Calibri"/>
                <w:sz w:val="22"/>
              </w:rPr>
              <w:t>17</w:t>
            </w:r>
          </w:p>
        </w:tc>
        <w:tc>
          <w:tcPr>
            <w:tcW w:w="1030" w:type="dxa"/>
            <w:tcBorders>
              <w:top w:val="nil"/>
              <w:left w:val="nil"/>
              <w:bottom w:val="nil"/>
              <w:right w:val="single" w:sz="4" w:space="0" w:color="000000"/>
            </w:tcBorders>
          </w:tcPr>
          <w:p>
            <w:pPr>
              <w:pStyle w:val="TableParagraph"/>
              <w:ind w:left="119" w:right="112"/>
              <w:rPr>
                <w:rFonts w:ascii="Calibri"/>
                <w:sz w:val="22"/>
              </w:rPr>
            </w:pPr>
            <w:r>
              <w:rPr>
                <w:rFonts w:ascii="Calibri"/>
                <w:sz w:val="22"/>
              </w:rPr>
              <w:t>86</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56</w:t>
            </w:r>
          </w:p>
        </w:tc>
        <w:tc>
          <w:tcPr>
            <w:tcW w:w="936" w:type="dxa"/>
            <w:tcBorders>
              <w:top w:val="nil"/>
              <w:bottom w:val="nil"/>
              <w:right w:val="nil"/>
            </w:tcBorders>
          </w:tcPr>
          <w:p>
            <w:pPr>
              <w:pStyle w:val="TableParagraph"/>
              <w:ind w:right="20"/>
              <w:rPr>
                <w:rFonts w:ascii="Calibri"/>
                <w:sz w:val="22"/>
              </w:rPr>
            </w:pPr>
            <w:r>
              <w:rPr>
                <w:rFonts w:ascii="Calibri"/>
                <w:w w:val="100"/>
                <w:sz w:val="22"/>
              </w:rPr>
              <w:t>3</w:t>
            </w:r>
          </w:p>
        </w:tc>
        <w:tc>
          <w:tcPr>
            <w:tcW w:w="986" w:type="dxa"/>
            <w:tcBorders>
              <w:top w:val="nil"/>
              <w:left w:val="nil"/>
              <w:bottom w:val="nil"/>
              <w:right w:val="nil"/>
            </w:tcBorders>
          </w:tcPr>
          <w:p>
            <w:pPr>
              <w:pStyle w:val="TableParagraph"/>
              <w:ind w:right="21"/>
              <w:rPr>
                <w:rFonts w:ascii="Calibri"/>
                <w:sz w:val="22"/>
              </w:rPr>
            </w:pPr>
            <w:r>
              <w:rPr>
                <w:rFonts w:ascii="Calibri"/>
                <w:w w:val="100"/>
                <w:sz w:val="22"/>
              </w:rPr>
              <w:t>0</w:t>
            </w:r>
          </w:p>
        </w:tc>
        <w:tc>
          <w:tcPr>
            <w:tcW w:w="1114" w:type="dxa"/>
            <w:tcBorders>
              <w:top w:val="nil"/>
              <w:left w:val="nil"/>
              <w:bottom w:val="nil"/>
              <w:right w:val="nil"/>
            </w:tcBorders>
          </w:tcPr>
          <w:p>
            <w:pPr>
              <w:pStyle w:val="TableParagraph"/>
              <w:ind w:left="4"/>
              <w:rPr>
                <w:rFonts w:ascii="Calibri"/>
                <w:sz w:val="22"/>
              </w:rPr>
            </w:pPr>
            <w:r>
              <w:rPr>
                <w:rFonts w:ascii="Calibri"/>
                <w:w w:val="100"/>
                <w:sz w:val="22"/>
              </w:rPr>
              <w:t>5</w:t>
            </w:r>
          </w:p>
        </w:tc>
        <w:tc>
          <w:tcPr>
            <w:tcW w:w="1002" w:type="dxa"/>
            <w:tcBorders>
              <w:top w:val="nil"/>
              <w:left w:val="nil"/>
              <w:bottom w:val="nil"/>
              <w:right w:val="nil"/>
            </w:tcBorders>
          </w:tcPr>
          <w:p>
            <w:pPr>
              <w:pStyle w:val="TableParagraph"/>
              <w:ind w:left="14"/>
              <w:rPr>
                <w:rFonts w:ascii="Calibri"/>
                <w:sz w:val="22"/>
              </w:rPr>
            </w:pPr>
            <w:r>
              <w:rPr>
                <w:rFonts w:ascii="Calibri"/>
                <w:w w:val="100"/>
                <w:sz w:val="22"/>
              </w:rPr>
              <w:t>1</w:t>
            </w:r>
          </w:p>
        </w:tc>
        <w:tc>
          <w:tcPr>
            <w:tcW w:w="991" w:type="dxa"/>
            <w:tcBorders>
              <w:top w:val="nil"/>
              <w:left w:val="nil"/>
              <w:bottom w:val="nil"/>
              <w:right w:val="nil"/>
            </w:tcBorders>
          </w:tcPr>
          <w:p>
            <w:pPr>
              <w:pStyle w:val="TableParagraph"/>
              <w:ind w:left="4"/>
              <w:rPr>
                <w:rFonts w:ascii="Calibri"/>
                <w:sz w:val="22"/>
              </w:rPr>
            </w:pPr>
            <w:r>
              <w:rPr>
                <w:rFonts w:ascii="Calibri"/>
                <w:w w:val="100"/>
                <w:sz w:val="22"/>
              </w:rPr>
              <w:t>1</w:t>
            </w:r>
          </w:p>
        </w:tc>
        <w:tc>
          <w:tcPr>
            <w:tcW w:w="989" w:type="dxa"/>
            <w:tcBorders>
              <w:top w:val="nil"/>
              <w:left w:val="nil"/>
              <w:bottom w:val="nil"/>
              <w:right w:val="nil"/>
            </w:tcBorders>
          </w:tcPr>
          <w:p>
            <w:pPr>
              <w:pStyle w:val="TableParagraph"/>
              <w:ind w:left="6"/>
              <w:rPr>
                <w:rFonts w:ascii="Calibri"/>
                <w:sz w:val="22"/>
              </w:rPr>
            </w:pPr>
            <w:r>
              <w:rPr>
                <w:rFonts w:ascii="Calibri"/>
                <w:w w:val="100"/>
                <w:sz w:val="22"/>
              </w:rPr>
              <w:t>5</w:t>
            </w:r>
          </w:p>
        </w:tc>
        <w:tc>
          <w:tcPr>
            <w:tcW w:w="1186" w:type="dxa"/>
            <w:tcBorders>
              <w:top w:val="nil"/>
              <w:left w:val="nil"/>
              <w:bottom w:val="nil"/>
              <w:right w:val="nil"/>
            </w:tcBorders>
          </w:tcPr>
          <w:p>
            <w:pPr>
              <w:pStyle w:val="TableParagraph"/>
              <w:ind w:left="125" w:right="116"/>
              <w:rPr>
                <w:rFonts w:ascii="Calibri"/>
                <w:sz w:val="22"/>
              </w:rPr>
            </w:pPr>
            <w:r>
              <w:rPr>
                <w:rFonts w:ascii="Calibri"/>
                <w:sz w:val="22"/>
              </w:rPr>
              <w:t>55</w:t>
            </w:r>
          </w:p>
        </w:tc>
        <w:tc>
          <w:tcPr>
            <w:tcW w:w="1030" w:type="dxa"/>
            <w:tcBorders>
              <w:top w:val="nil"/>
              <w:left w:val="nil"/>
              <w:bottom w:val="nil"/>
              <w:right w:val="single" w:sz="4" w:space="0" w:color="000000"/>
            </w:tcBorders>
          </w:tcPr>
          <w:p>
            <w:pPr>
              <w:pStyle w:val="TableParagraph"/>
              <w:ind w:left="119" w:right="112"/>
              <w:rPr>
                <w:rFonts w:ascii="Calibri"/>
                <w:sz w:val="22"/>
              </w:rPr>
            </w:pPr>
            <w:r>
              <w:rPr>
                <w:rFonts w:ascii="Calibri"/>
                <w:sz w:val="22"/>
              </w:rPr>
              <w:t>67</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57</w:t>
            </w:r>
          </w:p>
        </w:tc>
        <w:tc>
          <w:tcPr>
            <w:tcW w:w="936" w:type="dxa"/>
            <w:tcBorders>
              <w:top w:val="nil"/>
              <w:bottom w:val="nil"/>
              <w:right w:val="nil"/>
            </w:tcBorders>
          </w:tcPr>
          <w:p>
            <w:pPr>
              <w:pStyle w:val="TableParagraph"/>
              <w:ind w:right="20"/>
              <w:rPr>
                <w:rFonts w:ascii="Calibri"/>
                <w:sz w:val="22"/>
              </w:rPr>
            </w:pPr>
            <w:r>
              <w:rPr>
                <w:rFonts w:ascii="Calibri"/>
                <w:w w:val="100"/>
                <w:sz w:val="22"/>
              </w:rPr>
              <w:t>1</w:t>
            </w:r>
          </w:p>
        </w:tc>
        <w:tc>
          <w:tcPr>
            <w:tcW w:w="986" w:type="dxa"/>
            <w:tcBorders>
              <w:top w:val="nil"/>
              <w:left w:val="nil"/>
              <w:bottom w:val="nil"/>
              <w:right w:val="nil"/>
            </w:tcBorders>
          </w:tcPr>
          <w:p>
            <w:pPr>
              <w:pStyle w:val="TableParagraph"/>
              <w:ind w:right="21"/>
              <w:rPr>
                <w:rFonts w:ascii="Calibri"/>
                <w:sz w:val="22"/>
              </w:rPr>
            </w:pPr>
            <w:r>
              <w:rPr>
                <w:rFonts w:ascii="Calibri"/>
                <w:w w:val="100"/>
                <w:sz w:val="22"/>
              </w:rPr>
              <w:t>6</w:t>
            </w:r>
          </w:p>
        </w:tc>
        <w:tc>
          <w:tcPr>
            <w:tcW w:w="1114" w:type="dxa"/>
            <w:tcBorders>
              <w:top w:val="nil"/>
              <w:left w:val="nil"/>
              <w:bottom w:val="nil"/>
              <w:right w:val="nil"/>
            </w:tcBorders>
          </w:tcPr>
          <w:p>
            <w:pPr>
              <w:pStyle w:val="TableParagraph"/>
              <w:ind w:left="4"/>
              <w:rPr>
                <w:rFonts w:ascii="Calibri"/>
                <w:sz w:val="22"/>
              </w:rPr>
            </w:pPr>
            <w:r>
              <w:rPr>
                <w:rFonts w:ascii="Calibri"/>
                <w:w w:val="100"/>
                <w:sz w:val="22"/>
              </w:rPr>
              <w:t>4</w:t>
            </w:r>
          </w:p>
        </w:tc>
        <w:tc>
          <w:tcPr>
            <w:tcW w:w="1002" w:type="dxa"/>
            <w:tcBorders>
              <w:top w:val="nil"/>
              <w:left w:val="nil"/>
              <w:bottom w:val="nil"/>
              <w:right w:val="nil"/>
            </w:tcBorders>
          </w:tcPr>
          <w:p>
            <w:pPr>
              <w:pStyle w:val="TableParagraph"/>
              <w:ind w:left="14"/>
              <w:rPr>
                <w:rFonts w:ascii="Calibri"/>
                <w:sz w:val="22"/>
              </w:rPr>
            </w:pPr>
            <w:r>
              <w:rPr>
                <w:rFonts w:ascii="Calibri"/>
                <w:w w:val="100"/>
                <w:sz w:val="22"/>
              </w:rPr>
              <w:t>2</w:t>
            </w:r>
          </w:p>
        </w:tc>
        <w:tc>
          <w:tcPr>
            <w:tcW w:w="991" w:type="dxa"/>
            <w:tcBorders>
              <w:top w:val="nil"/>
              <w:left w:val="nil"/>
              <w:bottom w:val="nil"/>
              <w:right w:val="nil"/>
            </w:tcBorders>
          </w:tcPr>
          <w:p>
            <w:pPr>
              <w:pStyle w:val="TableParagraph"/>
              <w:ind w:left="127" w:right="120"/>
              <w:rPr>
                <w:rFonts w:ascii="Calibri"/>
                <w:sz w:val="22"/>
              </w:rPr>
            </w:pPr>
            <w:r>
              <w:rPr>
                <w:rFonts w:ascii="Calibri"/>
                <w:sz w:val="22"/>
              </w:rPr>
              <w:t>12</w:t>
            </w:r>
          </w:p>
        </w:tc>
        <w:tc>
          <w:tcPr>
            <w:tcW w:w="989" w:type="dxa"/>
            <w:tcBorders>
              <w:top w:val="nil"/>
              <w:left w:val="nil"/>
              <w:bottom w:val="nil"/>
              <w:right w:val="nil"/>
            </w:tcBorders>
          </w:tcPr>
          <w:p>
            <w:pPr>
              <w:pStyle w:val="TableParagraph"/>
              <w:ind w:left="6"/>
              <w:rPr>
                <w:rFonts w:ascii="Calibri"/>
                <w:sz w:val="22"/>
              </w:rPr>
            </w:pPr>
            <w:r>
              <w:rPr>
                <w:rFonts w:ascii="Calibri"/>
                <w:w w:val="100"/>
                <w:sz w:val="22"/>
              </w:rPr>
              <w:t>0</w:t>
            </w:r>
          </w:p>
        </w:tc>
        <w:tc>
          <w:tcPr>
            <w:tcW w:w="1186" w:type="dxa"/>
            <w:tcBorders>
              <w:top w:val="nil"/>
              <w:left w:val="nil"/>
              <w:bottom w:val="nil"/>
              <w:right w:val="nil"/>
            </w:tcBorders>
          </w:tcPr>
          <w:p>
            <w:pPr>
              <w:pStyle w:val="TableParagraph"/>
              <w:ind w:left="125" w:right="116"/>
              <w:rPr>
                <w:rFonts w:ascii="Calibri"/>
                <w:sz w:val="22"/>
              </w:rPr>
            </w:pPr>
            <w:r>
              <w:rPr>
                <w:rFonts w:ascii="Calibri"/>
                <w:sz w:val="22"/>
              </w:rPr>
              <w:t>18</w:t>
            </w:r>
          </w:p>
        </w:tc>
        <w:tc>
          <w:tcPr>
            <w:tcW w:w="1030" w:type="dxa"/>
            <w:tcBorders>
              <w:top w:val="nil"/>
              <w:left w:val="nil"/>
              <w:bottom w:val="nil"/>
              <w:right w:val="single" w:sz="4" w:space="0" w:color="000000"/>
            </w:tcBorders>
          </w:tcPr>
          <w:p>
            <w:pPr>
              <w:pStyle w:val="TableParagraph"/>
              <w:ind w:left="119" w:right="112"/>
              <w:rPr>
                <w:rFonts w:ascii="Calibri"/>
                <w:sz w:val="22"/>
              </w:rPr>
            </w:pPr>
            <w:r>
              <w:rPr>
                <w:rFonts w:ascii="Calibri"/>
                <w:sz w:val="22"/>
              </w:rPr>
              <w:t>42</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58</w:t>
            </w:r>
          </w:p>
        </w:tc>
        <w:tc>
          <w:tcPr>
            <w:tcW w:w="936" w:type="dxa"/>
            <w:tcBorders>
              <w:top w:val="nil"/>
              <w:bottom w:val="nil"/>
              <w:right w:val="nil"/>
            </w:tcBorders>
          </w:tcPr>
          <w:p>
            <w:pPr>
              <w:pStyle w:val="TableParagraph"/>
              <w:ind w:right="20"/>
              <w:rPr>
                <w:rFonts w:ascii="Calibri"/>
                <w:sz w:val="22"/>
              </w:rPr>
            </w:pPr>
            <w:r>
              <w:rPr>
                <w:rFonts w:ascii="Calibri"/>
                <w:w w:val="100"/>
                <w:sz w:val="22"/>
              </w:rPr>
              <w:t>0</w:t>
            </w:r>
          </w:p>
        </w:tc>
        <w:tc>
          <w:tcPr>
            <w:tcW w:w="986" w:type="dxa"/>
            <w:tcBorders>
              <w:top w:val="nil"/>
              <w:left w:val="nil"/>
              <w:bottom w:val="nil"/>
              <w:right w:val="nil"/>
            </w:tcBorders>
          </w:tcPr>
          <w:p>
            <w:pPr>
              <w:pStyle w:val="TableParagraph"/>
              <w:ind w:right="21"/>
              <w:rPr>
                <w:rFonts w:ascii="Calibri"/>
                <w:sz w:val="22"/>
              </w:rPr>
            </w:pPr>
            <w:r>
              <w:rPr>
                <w:rFonts w:ascii="Calibri"/>
                <w:w w:val="100"/>
                <w:sz w:val="22"/>
              </w:rPr>
              <w:t>3</w:t>
            </w:r>
          </w:p>
        </w:tc>
        <w:tc>
          <w:tcPr>
            <w:tcW w:w="1114" w:type="dxa"/>
            <w:tcBorders>
              <w:top w:val="nil"/>
              <w:left w:val="nil"/>
              <w:bottom w:val="nil"/>
              <w:right w:val="nil"/>
            </w:tcBorders>
          </w:tcPr>
          <w:p>
            <w:pPr>
              <w:pStyle w:val="TableParagraph"/>
              <w:ind w:left="138" w:right="135"/>
              <w:rPr>
                <w:rFonts w:ascii="Calibri"/>
                <w:sz w:val="22"/>
              </w:rPr>
            </w:pPr>
            <w:r>
              <w:rPr>
                <w:rFonts w:ascii="Calibri"/>
                <w:sz w:val="22"/>
              </w:rPr>
              <w:t>18</w:t>
            </w:r>
          </w:p>
        </w:tc>
        <w:tc>
          <w:tcPr>
            <w:tcW w:w="1002" w:type="dxa"/>
            <w:tcBorders>
              <w:top w:val="nil"/>
              <w:left w:val="nil"/>
              <w:bottom w:val="nil"/>
              <w:right w:val="nil"/>
            </w:tcBorders>
          </w:tcPr>
          <w:p>
            <w:pPr>
              <w:pStyle w:val="TableParagraph"/>
              <w:ind w:left="14"/>
              <w:rPr>
                <w:rFonts w:ascii="Calibri"/>
                <w:sz w:val="22"/>
              </w:rPr>
            </w:pPr>
            <w:r>
              <w:rPr>
                <w:rFonts w:ascii="Calibri"/>
                <w:w w:val="100"/>
                <w:sz w:val="22"/>
              </w:rPr>
              <w:t>8</w:t>
            </w:r>
          </w:p>
        </w:tc>
        <w:tc>
          <w:tcPr>
            <w:tcW w:w="991" w:type="dxa"/>
            <w:tcBorders>
              <w:top w:val="nil"/>
              <w:left w:val="nil"/>
              <w:bottom w:val="nil"/>
              <w:right w:val="nil"/>
            </w:tcBorders>
          </w:tcPr>
          <w:p>
            <w:pPr>
              <w:pStyle w:val="TableParagraph"/>
              <w:ind w:left="127" w:right="120"/>
              <w:rPr>
                <w:rFonts w:ascii="Calibri"/>
                <w:sz w:val="22"/>
              </w:rPr>
            </w:pPr>
            <w:r>
              <w:rPr>
                <w:rFonts w:ascii="Calibri"/>
                <w:sz w:val="22"/>
              </w:rPr>
              <w:t>22</w:t>
            </w:r>
          </w:p>
        </w:tc>
        <w:tc>
          <w:tcPr>
            <w:tcW w:w="989" w:type="dxa"/>
            <w:tcBorders>
              <w:top w:val="nil"/>
              <w:left w:val="nil"/>
              <w:bottom w:val="nil"/>
              <w:right w:val="nil"/>
            </w:tcBorders>
          </w:tcPr>
          <w:p>
            <w:pPr>
              <w:pStyle w:val="TableParagraph"/>
              <w:ind w:left="6"/>
              <w:rPr>
                <w:rFonts w:ascii="Calibri"/>
                <w:sz w:val="22"/>
              </w:rPr>
            </w:pPr>
            <w:r>
              <w:rPr>
                <w:rFonts w:ascii="Calibri"/>
                <w:w w:val="100"/>
                <w:sz w:val="22"/>
              </w:rPr>
              <w:t>3</w:t>
            </w:r>
          </w:p>
        </w:tc>
        <w:tc>
          <w:tcPr>
            <w:tcW w:w="1186" w:type="dxa"/>
            <w:tcBorders>
              <w:top w:val="nil"/>
              <w:left w:val="nil"/>
              <w:bottom w:val="nil"/>
              <w:right w:val="nil"/>
            </w:tcBorders>
          </w:tcPr>
          <w:p>
            <w:pPr>
              <w:pStyle w:val="TableParagraph"/>
              <w:ind w:left="6"/>
              <w:rPr>
                <w:rFonts w:ascii="Calibri"/>
                <w:sz w:val="22"/>
              </w:rPr>
            </w:pPr>
            <w:r>
              <w:rPr>
                <w:rFonts w:ascii="Calibri"/>
                <w:w w:val="100"/>
                <w:sz w:val="22"/>
              </w:rPr>
              <w:t>4</w:t>
            </w:r>
          </w:p>
        </w:tc>
        <w:tc>
          <w:tcPr>
            <w:tcW w:w="1030" w:type="dxa"/>
            <w:tcBorders>
              <w:top w:val="nil"/>
              <w:left w:val="nil"/>
              <w:bottom w:val="nil"/>
              <w:right w:val="single" w:sz="4" w:space="0" w:color="000000"/>
            </w:tcBorders>
          </w:tcPr>
          <w:p>
            <w:pPr>
              <w:pStyle w:val="TableParagraph"/>
              <w:ind w:left="119" w:right="112"/>
              <w:rPr>
                <w:rFonts w:ascii="Calibri"/>
                <w:sz w:val="22"/>
              </w:rPr>
            </w:pPr>
            <w:r>
              <w:rPr>
                <w:rFonts w:ascii="Calibri"/>
                <w:sz w:val="22"/>
              </w:rPr>
              <w:t>58</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59</w:t>
            </w:r>
          </w:p>
        </w:tc>
        <w:tc>
          <w:tcPr>
            <w:tcW w:w="936" w:type="dxa"/>
            <w:tcBorders>
              <w:top w:val="nil"/>
              <w:bottom w:val="nil"/>
              <w:right w:val="nil"/>
            </w:tcBorders>
          </w:tcPr>
          <w:p>
            <w:pPr>
              <w:pStyle w:val="TableParagraph"/>
              <w:ind w:right="20"/>
              <w:rPr>
                <w:rFonts w:ascii="Calibri"/>
                <w:sz w:val="22"/>
              </w:rPr>
            </w:pPr>
            <w:r>
              <w:rPr>
                <w:rFonts w:ascii="Calibri"/>
                <w:w w:val="100"/>
                <w:sz w:val="22"/>
              </w:rPr>
              <w:t>0</w:t>
            </w:r>
          </w:p>
        </w:tc>
        <w:tc>
          <w:tcPr>
            <w:tcW w:w="986" w:type="dxa"/>
            <w:tcBorders>
              <w:top w:val="nil"/>
              <w:left w:val="nil"/>
              <w:bottom w:val="nil"/>
              <w:right w:val="nil"/>
            </w:tcBorders>
          </w:tcPr>
          <w:p>
            <w:pPr>
              <w:pStyle w:val="TableParagraph"/>
              <w:ind w:right="21"/>
              <w:rPr>
                <w:rFonts w:ascii="Calibri"/>
                <w:sz w:val="22"/>
              </w:rPr>
            </w:pPr>
            <w:r>
              <w:rPr>
                <w:rFonts w:ascii="Calibri"/>
                <w:w w:val="100"/>
                <w:sz w:val="22"/>
              </w:rPr>
              <w:t>4</w:t>
            </w:r>
          </w:p>
        </w:tc>
        <w:tc>
          <w:tcPr>
            <w:tcW w:w="1114" w:type="dxa"/>
            <w:tcBorders>
              <w:top w:val="nil"/>
              <w:left w:val="nil"/>
              <w:bottom w:val="nil"/>
              <w:right w:val="nil"/>
            </w:tcBorders>
          </w:tcPr>
          <w:p>
            <w:pPr>
              <w:pStyle w:val="TableParagraph"/>
              <w:ind w:left="138" w:right="135"/>
              <w:rPr>
                <w:rFonts w:ascii="Calibri"/>
                <w:sz w:val="22"/>
              </w:rPr>
            </w:pPr>
            <w:r>
              <w:rPr>
                <w:rFonts w:ascii="Calibri"/>
                <w:sz w:val="22"/>
              </w:rPr>
              <w:t>20</w:t>
            </w:r>
          </w:p>
        </w:tc>
        <w:tc>
          <w:tcPr>
            <w:tcW w:w="1002" w:type="dxa"/>
            <w:tcBorders>
              <w:top w:val="nil"/>
              <w:left w:val="nil"/>
              <w:bottom w:val="nil"/>
              <w:right w:val="nil"/>
            </w:tcBorders>
          </w:tcPr>
          <w:p>
            <w:pPr>
              <w:pStyle w:val="TableParagraph"/>
              <w:ind w:left="137" w:right="124"/>
              <w:rPr>
                <w:rFonts w:ascii="Calibri"/>
                <w:sz w:val="22"/>
              </w:rPr>
            </w:pPr>
            <w:r>
              <w:rPr>
                <w:rFonts w:ascii="Calibri"/>
                <w:sz w:val="22"/>
              </w:rPr>
              <w:t>11</w:t>
            </w:r>
          </w:p>
        </w:tc>
        <w:tc>
          <w:tcPr>
            <w:tcW w:w="991" w:type="dxa"/>
            <w:tcBorders>
              <w:top w:val="nil"/>
              <w:left w:val="nil"/>
              <w:bottom w:val="nil"/>
              <w:right w:val="nil"/>
            </w:tcBorders>
          </w:tcPr>
          <w:p>
            <w:pPr>
              <w:pStyle w:val="TableParagraph"/>
              <w:ind w:left="4"/>
              <w:rPr>
                <w:rFonts w:ascii="Calibri"/>
                <w:sz w:val="22"/>
              </w:rPr>
            </w:pPr>
            <w:r>
              <w:rPr>
                <w:rFonts w:ascii="Calibri"/>
                <w:w w:val="100"/>
                <w:sz w:val="22"/>
              </w:rPr>
              <w:t>0</w:t>
            </w:r>
          </w:p>
        </w:tc>
        <w:tc>
          <w:tcPr>
            <w:tcW w:w="989" w:type="dxa"/>
            <w:tcBorders>
              <w:top w:val="nil"/>
              <w:left w:val="nil"/>
              <w:bottom w:val="nil"/>
              <w:right w:val="nil"/>
            </w:tcBorders>
          </w:tcPr>
          <w:p>
            <w:pPr>
              <w:pStyle w:val="TableParagraph"/>
              <w:ind w:left="6"/>
              <w:rPr>
                <w:rFonts w:ascii="Calibri"/>
                <w:sz w:val="22"/>
              </w:rPr>
            </w:pPr>
            <w:r>
              <w:rPr>
                <w:rFonts w:ascii="Calibri"/>
                <w:w w:val="100"/>
                <w:sz w:val="22"/>
              </w:rPr>
              <w:t>0</w:t>
            </w:r>
          </w:p>
        </w:tc>
        <w:tc>
          <w:tcPr>
            <w:tcW w:w="1186" w:type="dxa"/>
            <w:tcBorders>
              <w:top w:val="nil"/>
              <w:left w:val="nil"/>
              <w:bottom w:val="nil"/>
              <w:right w:val="nil"/>
            </w:tcBorders>
          </w:tcPr>
          <w:p>
            <w:pPr>
              <w:pStyle w:val="TableParagraph"/>
              <w:ind w:left="6"/>
              <w:rPr>
                <w:rFonts w:ascii="Calibri"/>
                <w:sz w:val="22"/>
              </w:rPr>
            </w:pPr>
            <w:r>
              <w:rPr>
                <w:rFonts w:ascii="Calibri"/>
                <w:w w:val="100"/>
                <w:sz w:val="22"/>
              </w:rPr>
              <w:t>1</w:t>
            </w:r>
          </w:p>
        </w:tc>
        <w:tc>
          <w:tcPr>
            <w:tcW w:w="1030" w:type="dxa"/>
            <w:tcBorders>
              <w:top w:val="nil"/>
              <w:left w:val="nil"/>
              <w:bottom w:val="nil"/>
              <w:right w:val="single" w:sz="4" w:space="0" w:color="000000"/>
            </w:tcBorders>
          </w:tcPr>
          <w:p>
            <w:pPr>
              <w:pStyle w:val="TableParagraph"/>
              <w:ind w:left="119" w:right="112"/>
              <w:rPr>
                <w:rFonts w:ascii="Calibri"/>
                <w:sz w:val="22"/>
              </w:rPr>
            </w:pPr>
            <w:r>
              <w:rPr>
                <w:rFonts w:ascii="Calibri"/>
                <w:sz w:val="22"/>
              </w:rPr>
              <w:t>36</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60</w:t>
            </w:r>
          </w:p>
        </w:tc>
        <w:tc>
          <w:tcPr>
            <w:tcW w:w="936" w:type="dxa"/>
            <w:tcBorders>
              <w:top w:val="nil"/>
              <w:bottom w:val="nil"/>
              <w:right w:val="nil"/>
            </w:tcBorders>
          </w:tcPr>
          <w:p>
            <w:pPr>
              <w:pStyle w:val="TableParagraph"/>
              <w:ind w:right="20"/>
              <w:rPr>
                <w:rFonts w:ascii="Calibri"/>
                <w:sz w:val="22"/>
              </w:rPr>
            </w:pPr>
            <w:r>
              <w:rPr>
                <w:rFonts w:ascii="Calibri"/>
                <w:w w:val="100"/>
                <w:sz w:val="22"/>
              </w:rPr>
              <w:t>0</w:t>
            </w:r>
          </w:p>
        </w:tc>
        <w:tc>
          <w:tcPr>
            <w:tcW w:w="986" w:type="dxa"/>
            <w:tcBorders>
              <w:top w:val="nil"/>
              <w:left w:val="nil"/>
              <w:bottom w:val="nil"/>
              <w:right w:val="nil"/>
            </w:tcBorders>
          </w:tcPr>
          <w:p>
            <w:pPr>
              <w:pStyle w:val="TableParagraph"/>
              <w:ind w:right="21"/>
              <w:rPr>
                <w:rFonts w:ascii="Calibri"/>
                <w:sz w:val="22"/>
              </w:rPr>
            </w:pPr>
            <w:r>
              <w:rPr>
                <w:rFonts w:ascii="Calibri"/>
                <w:w w:val="100"/>
                <w:sz w:val="22"/>
              </w:rPr>
              <w:t>2</w:t>
            </w:r>
          </w:p>
        </w:tc>
        <w:tc>
          <w:tcPr>
            <w:tcW w:w="1114" w:type="dxa"/>
            <w:tcBorders>
              <w:top w:val="nil"/>
              <w:left w:val="nil"/>
              <w:bottom w:val="nil"/>
              <w:right w:val="nil"/>
            </w:tcBorders>
          </w:tcPr>
          <w:p>
            <w:pPr>
              <w:pStyle w:val="TableParagraph"/>
              <w:ind w:left="138" w:right="135"/>
              <w:rPr>
                <w:rFonts w:ascii="Calibri"/>
                <w:sz w:val="22"/>
              </w:rPr>
            </w:pPr>
            <w:r>
              <w:rPr>
                <w:rFonts w:ascii="Calibri"/>
                <w:sz w:val="22"/>
              </w:rPr>
              <w:t>17</w:t>
            </w:r>
          </w:p>
        </w:tc>
        <w:tc>
          <w:tcPr>
            <w:tcW w:w="1002" w:type="dxa"/>
            <w:tcBorders>
              <w:top w:val="nil"/>
              <w:left w:val="nil"/>
              <w:bottom w:val="nil"/>
              <w:right w:val="nil"/>
            </w:tcBorders>
          </w:tcPr>
          <w:p>
            <w:pPr>
              <w:pStyle w:val="TableParagraph"/>
              <w:ind w:left="137" w:right="124"/>
              <w:rPr>
                <w:rFonts w:ascii="Calibri"/>
                <w:sz w:val="22"/>
              </w:rPr>
            </w:pPr>
            <w:r>
              <w:rPr>
                <w:rFonts w:ascii="Calibri"/>
                <w:sz w:val="22"/>
              </w:rPr>
              <w:t>14</w:t>
            </w:r>
          </w:p>
        </w:tc>
        <w:tc>
          <w:tcPr>
            <w:tcW w:w="991" w:type="dxa"/>
            <w:tcBorders>
              <w:top w:val="nil"/>
              <w:left w:val="nil"/>
              <w:bottom w:val="nil"/>
              <w:right w:val="nil"/>
            </w:tcBorders>
          </w:tcPr>
          <w:p>
            <w:pPr>
              <w:pStyle w:val="TableParagraph"/>
              <w:ind w:left="4"/>
              <w:rPr>
                <w:rFonts w:ascii="Calibri"/>
                <w:sz w:val="22"/>
              </w:rPr>
            </w:pPr>
            <w:r>
              <w:rPr>
                <w:rFonts w:ascii="Calibri"/>
                <w:w w:val="100"/>
                <w:sz w:val="22"/>
              </w:rPr>
              <w:t>3</w:t>
            </w:r>
          </w:p>
        </w:tc>
        <w:tc>
          <w:tcPr>
            <w:tcW w:w="989" w:type="dxa"/>
            <w:tcBorders>
              <w:top w:val="nil"/>
              <w:left w:val="nil"/>
              <w:bottom w:val="nil"/>
              <w:right w:val="nil"/>
            </w:tcBorders>
          </w:tcPr>
          <w:p>
            <w:pPr>
              <w:pStyle w:val="TableParagraph"/>
              <w:ind w:left="6"/>
              <w:rPr>
                <w:rFonts w:ascii="Calibri"/>
                <w:sz w:val="22"/>
              </w:rPr>
            </w:pPr>
            <w:r>
              <w:rPr>
                <w:rFonts w:ascii="Calibri"/>
                <w:w w:val="100"/>
                <w:sz w:val="22"/>
              </w:rPr>
              <w:t>2</w:t>
            </w:r>
          </w:p>
        </w:tc>
        <w:tc>
          <w:tcPr>
            <w:tcW w:w="1186" w:type="dxa"/>
            <w:tcBorders>
              <w:top w:val="nil"/>
              <w:left w:val="nil"/>
              <w:bottom w:val="nil"/>
              <w:right w:val="nil"/>
            </w:tcBorders>
          </w:tcPr>
          <w:p>
            <w:pPr>
              <w:pStyle w:val="TableParagraph"/>
              <w:ind w:left="125" w:right="116"/>
              <w:rPr>
                <w:rFonts w:ascii="Calibri"/>
                <w:sz w:val="22"/>
              </w:rPr>
            </w:pPr>
            <w:r>
              <w:rPr>
                <w:rFonts w:ascii="Calibri"/>
                <w:sz w:val="22"/>
              </w:rPr>
              <w:t>10</w:t>
            </w:r>
          </w:p>
        </w:tc>
        <w:tc>
          <w:tcPr>
            <w:tcW w:w="1030" w:type="dxa"/>
            <w:tcBorders>
              <w:top w:val="nil"/>
              <w:left w:val="nil"/>
              <w:bottom w:val="nil"/>
              <w:right w:val="single" w:sz="4" w:space="0" w:color="000000"/>
            </w:tcBorders>
          </w:tcPr>
          <w:p>
            <w:pPr>
              <w:pStyle w:val="TableParagraph"/>
              <w:ind w:left="119" w:right="112"/>
              <w:rPr>
                <w:rFonts w:ascii="Calibri"/>
                <w:sz w:val="22"/>
              </w:rPr>
            </w:pPr>
            <w:r>
              <w:rPr>
                <w:rFonts w:ascii="Calibri"/>
                <w:sz w:val="22"/>
              </w:rPr>
              <w:t>48</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61</w:t>
            </w:r>
          </w:p>
        </w:tc>
        <w:tc>
          <w:tcPr>
            <w:tcW w:w="936" w:type="dxa"/>
            <w:tcBorders>
              <w:top w:val="nil"/>
              <w:bottom w:val="nil"/>
              <w:right w:val="nil"/>
            </w:tcBorders>
          </w:tcPr>
          <w:p>
            <w:pPr>
              <w:pStyle w:val="TableParagraph"/>
              <w:ind w:right="20"/>
              <w:rPr>
                <w:rFonts w:ascii="Calibri"/>
                <w:sz w:val="22"/>
              </w:rPr>
            </w:pPr>
            <w:r>
              <w:rPr>
                <w:rFonts w:ascii="Calibri"/>
                <w:w w:val="100"/>
                <w:sz w:val="22"/>
              </w:rPr>
              <w:t>0</w:t>
            </w:r>
          </w:p>
        </w:tc>
        <w:tc>
          <w:tcPr>
            <w:tcW w:w="986" w:type="dxa"/>
            <w:tcBorders>
              <w:top w:val="nil"/>
              <w:left w:val="nil"/>
              <w:bottom w:val="nil"/>
              <w:right w:val="nil"/>
            </w:tcBorders>
          </w:tcPr>
          <w:p>
            <w:pPr>
              <w:pStyle w:val="TableParagraph"/>
              <w:ind w:right="21"/>
              <w:rPr>
                <w:rFonts w:ascii="Calibri"/>
                <w:sz w:val="22"/>
              </w:rPr>
            </w:pPr>
            <w:r>
              <w:rPr>
                <w:rFonts w:ascii="Calibri"/>
                <w:w w:val="100"/>
                <w:sz w:val="22"/>
              </w:rPr>
              <w:t>1</w:t>
            </w:r>
          </w:p>
        </w:tc>
        <w:tc>
          <w:tcPr>
            <w:tcW w:w="1114" w:type="dxa"/>
            <w:tcBorders>
              <w:top w:val="nil"/>
              <w:left w:val="nil"/>
              <w:bottom w:val="nil"/>
              <w:right w:val="nil"/>
            </w:tcBorders>
          </w:tcPr>
          <w:p>
            <w:pPr>
              <w:pStyle w:val="TableParagraph"/>
              <w:ind w:left="138" w:right="135"/>
              <w:rPr>
                <w:rFonts w:ascii="Calibri"/>
                <w:sz w:val="22"/>
              </w:rPr>
            </w:pPr>
            <w:r>
              <w:rPr>
                <w:rFonts w:ascii="Calibri"/>
                <w:sz w:val="22"/>
              </w:rPr>
              <w:t>20</w:t>
            </w:r>
          </w:p>
        </w:tc>
        <w:tc>
          <w:tcPr>
            <w:tcW w:w="1002" w:type="dxa"/>
            <w:tcBorders>
              <w:top w:val="nil"/>
              <w:left w:val="nil"/>
              <w:bottom w:val="nil"/>
              <w:right w:val="nil"/>
            </w:tcBorders>
          </w:tcPr>
          <w:p>
            <w:pPr>
              <w:pStyle w:val="TableParagraph"/>
              <w:ind w:left="14"/>
              <w:rPr>
                <w:rFonts w:ascii="Calibri"/>
                <w:sz w:val="22"/>
              </w:rPr>
            </w:pPr>
            <w:r>
              <w:rPr>
                <w:rFonts w:ascii="Calibri"/>
                <w:w w:val="100"/>
                <w:sz w:val="22"/>
              </w:rPr>
              <w:t>5</w:t>
            </w:r>
          </w:p>
        </w:tc>
        <w:tc>
          <w:tcPr>
            <w:tcW w:w="991" w:type="dxa"/>
            <w:tcBorders>
              <w:top w:val="nil"/>
              <w:left w:val="nil"/>
              <w:bottom w:val="nil"/>
              <w:right w:val="nil"/>
            </w:tcBorders>
          </w:tcPr>
          <w:p>
            <w:pPr>
              <w:pStyle w:val="TableParagraph"/>
              <w:ind w:left="4"/>
              <w:rPr>
                <w:rFonts w:ascii="Calibri"/>
                <w:sz w:val="22"/>
              </w:rPr>
            </w:pPr>
            <w:r>
              <w:rPr>
                <w:rFonts w:ascii="Calibri"/>
                <w:w w:val="100"/>
                <w:sz w:val="22"/>
              </w:rPr>
              <w:t>2</w:t>
            </w:r>
          </w:p>
        </w:tc>
        <w:tc>
          <w:tcPr>
            <w:tcW w:w="989" w:type="dxa"/>
            <w:tcBorders>
              <w:top w:val="nil"/>
              <w:left w:val="nil"/>
              <w:bottom w:val="nil"/>
              <w:right w:val="nil"/>
            </w:tcBorders>
          </w:tcPr>
          <w:p>
            <w:pPr>
              <w:pStyle w:val="TableParagraph"/>
              <w:ind w:left="6"/>
              <w:rPr>
                <w:rFonts w:ascii="Calibri"/>
                <w:sz w:val="22"/>
              </w:rPr>
            </w:pPr>
            <w:r>
              <w:rPr>
                <w:rFonts w:ascii="Calibri"/>
                <w:w w:val="100"/>
                <w:sz w:val="22"/>
              </w:rPr>
              <w:t>0</w:t>
            </w:r>
          </w:p>
        </w:tc>
        <w:tc>
          <w:tcPr>
            <w:tcW w:w="1186" w:type="dxa"/>
            <w:tcBorders>
              <w:top w:val="nil"/>
              <w:left w:val="nil"/>
              <w:bottom w:val="nil"/>
              <w:right w:val="nil"/>
            </w:tcBorders>
          </w:tcPr>
          <w:p>
            <w:pPr>
              <w:pStyle w:val="TableParagraph"/>
              <w:ind w:left="6"/>
              <w:rPr>
                <w:rFonts w:ascii="Calibri"/>
                <w:sz w:val="22"/>
              </w:rPr>
            </w:pPr>
            <w:r>
              <w:rPr>
                <w:rFonts w:ascii="Calibri"/>
                <w:w w:val="100"/>
                <w:sz w:val="22"/>
              </w:rPr>
              <w:t>4</w:t>
            </w:r>
          </w:p>
        </w:tc>
        <w:tc>
          <w:tcPr>
            <w:tcW w:w="1030" w:type="dxa"/>
            <w:tcBorders>
              <w:top w:val="nil"/>
              <w:left w:val="nil"/>
              <w:bottom w:val="nil"/>
              <w:right w:val="single" w:sz="4" w:space="0" w:color="000000"/>
            </w:tcBorders>
          </w:tcPr>
          <w:p>
            <w:pPr>
              <w:pStyle w:val="TableParagraph"/>
              <w:ind w:left="119" w:right="112"/>
              <w:rPr>
                <w:rFonts w:ascii="Calibri"/>
                <w:sz w:val="22"/>
              </w:rPr>
            </w:pPr>
            <w:r>
              <w:rPr>
                <w:rFonts w:ascii="Calibri"/>
                <w:sz w:val="22"/>
              </w:rPr>
              <w:t>32</w:t>
            </w:r>
          </w:p>
        </w:tc>
      </w:tr>
      <w:tr>
        <w:trPr>
          <w:trHeight w:val="509" w:hRule="exact"/>
        </w:trPr>
        <w:tc>
          <w:tcPr>
            <w:tcW w:w="1030" w:type="dxa"/>
            <w:tcBorders>
              <w:top w:val="nil"/>
              <w:left w:val="single" w:sz="4" w:space="0" w:color="000000"/>
              <w:bottom w:val="nil"/>
            </w:tcBorders>
          </w:tcPr>
          <w:p>
            <w:pPr>
              <w:pStyle w:val="TableParagraph"/>
              <w:ind w:left="379" w:right="377"/>
              <w:rPr>
                <w:rFonts w:ascii="Calibri"/>
                <w:sz w:val="22"/>
              </w:rPr>
            </w:pPr>
            <w:r>
              <w:rPr>
                <w:rFonts w:ascii="Calibri"/>
                <w:sz w:val="22"/>
              </w:rPr>
              <w:t>62</w:t>
            </w:r>
          </w:p>
        </w:tc>
        <w:tc>
          <w:tcPr>
            <w:tcW w:w="936" w:type="dxa"/>
            <w:tcBorders>
              <w:top w:val="nil"/>
              <w:bottom w:val="nil"/>
              <w:right w:val="nil"/>
            </w:tcBorders>
          </w:tcPr>
          <w:p>
            <w:pPr>
              <w:pStyle w:val="TableParagraph"/>
              <w:ind w:right="20"/>
              <w:rPr>
                <w:rFonts w:ascii="Calibri"/>
                <w:sz w:val="22"/>
              </w:rPr>
            </w:pPr>
            <w:r>
              <w:rPr>
                <w:rFonts w:ascii="Calibri"/>
                <w:w w:val="100"/>
                <w:sz w:val="22"/>
              </w:rPr>
              <w:t>2</w:t>
            </w:r>
          </w:p>
        </w:tc>
        <w:tc>
          <w:tcPr>
            <w:tcW w:w="986" w:type="dxa"/>
            <w:tcBorders>
              <w:top w:val="nil"/>
              <w:left w:val="nil"/>
              <w:bottom w:val="nil"/>
              <w:right w:val="nil"/>
            </w:tcBorders>
          </w:tcPr>
          <w:p>
            <w:pPr>
              <w:pStyle w:val="TableParagraph"/>
              <w:ind w:right="21"/>
              <w:rPr>
                <w:rFonts w:ascii="Calibri"/>
                <w:sz w:val="22"/>
              </w:rPr>
            </w:pPr>
            <w:r>
              <w:rPr>
                <w:rFonts w:ascii="Calibri"/>
                <w:w w:val="100"/>
                <w:sz w:val="22"/>
              </w:rPr>
              <w:t>5</w:t>
            </w:r>
          </w:p>
        </w:tc>
        <w:tc>
          <w:tcPr>
            <w:tcW w:w="1114" w:type="dxa"/>
            <w:tcBorders>
              <w:top w:val="nil"/>
              <w:left w:val="nil"/>
              <w:bottom w:val="nil"/>
              <w:right w:val="nil"/>
            </w:tcBorders>
          </w:tcPr>
          <w:p>
            <w:pPr>
              <w:pStyle w:val="TableParagraph"/>
              <w:ind w:left="138" w:right="135"/>
              <w:rPr>
                <w:rFonts w:ascii="Calibri"/>
                <w:sz w:val="22"/>
              </w:rPr>
            </w:pPr>
            <w:r>
              <w:rPr>
                <w:rFonts w:ascii="Calibri"/>
                <w:sz w:val="22"/>
              </w:rPr>
              <w:t>23</w:t>
            </w:r>
          </w:p>
        </w:tc>
        <w:tc>
          <w:tcPr>
            <w:tcW w:w="1002" w:type="dxa"/>
            <w:tcBorders>
              <w:top w:val="nil"/>
              <w:left w:val="nil"/>
              <w:bottom w:val="nil"/>
              <w:right w:val="nil"/>
            </w:tcBorders>
          </w:tcPr>
          <w:p>
            <w:pPr>
              <w:pStyle w:val="TableParagraph"/>
              <w:ind w:left="137" w:right="124"/>
              <w:rPr>
                <w:rFonts w:ascii="Calibri"/>
                <w:sz w:val="22"/>
              </w:rPr>
            </w:pPr>
            <w:r>
              <w:rPr>
                <w:rFonts w:ascii="Calibri"/>
                <w:sz w:val="22"/>
              </w:rPr>
              <w:t>16</w:t>
            </w:r>
          </w:p>
        </w:tc>
        <w:tc>
          <w:tcPr>
            <w:tcW w:w="991" w:type="dxa"/>
            <w:tcBorders>
              <w:top w:val="nil"/>
              <w:left w:val="nil"/>
              <w:bottom w:val="nil"/>
              <w:right w:val="nil"/>
            </w:tcBorders>
          </w:tcPr>
          <w:p>
            <w:pPr>
              <w:pStyle w:val="TableParagraph"/>
              <w:ind w:left="4"/>
              <w:rPr>
                <w:rFonts w:ascii="Calibri"/>
                <w:sz w:val="22"/>
              </w:rPr>
            </w:pPr>
            <w:r>
              <w:rPr>
                <w:rFonts w:ascii="Calibri"/>
                <w:w w:val="100"/>
                <w:sz w:val="22"/>
              </w:rPr>
              <w:t>3</w:t>
            </w:r>
          </w:p>
        </w:tc>
        <w:tc>
          <w:tcPr>
            <w:tcW w:w="989" w:type="dxa"/>
            <w:tcBorders>
              <w:top w:val="nil"/>
              <w:left w:val="nil"/>
              <w:bottom w:val="nil"/>
              <w:right w:val="nil"/>
            </w:tcBorders>
          </w:tcPr>
          <w:p>
            <w:pPr>
              <w:pStyle w:val="TableParagraph"/>
              <w:ind w:left="6"/>
              <w:rPr>
                <w:rFonts w:ascii="Calibri"/>
                <w:sz w:val="22"/>
              </w:rPr>
            </w:pPr>
            <w:r>
              <w:rPr>
                <w:rFonts w:ascii="Calibri"/>
                <w:w w:val="100"/>
                <w:sz w:val="22"/>
              </w:rPr>
              <w:t>0</w:t>
            </w:r>
          </w:p>
        </w:tc>
        <w:tc>
          <w:tcPr>
            <w:tcW w:w="1186" w:type="dxa"/>
            <w:tcBorders>
              <w:top w:val="nil"/>
              <w:left w:val="nil"/>
              <w:bottom w:val="nil"/>
              <w:right w:val="nil"/>
            </w:tcBorders>
          </w:tcPr>
          <w:p>
            <w:pPr>
              <w:pStyle w:val="TableParagraph"/>
              <w:ind w:left="125" w:right="116"/>
              <w:rPr>
                <w:rFonts w:ascii="Calibri"/>
                <w:sz w:val="22"/>
              </w:rPr>
            </w:pPr>
            <w:r>
              <w:rPr>
                <w:rFonts w:ascii="Calibri"/>
                <w:sz w:val="22"/>
              </w:rPr>
              <w:t>25</w:t>
            </w:r>
          </w:p>
        </w:tc>
        <w:tc>
          <w:tcPr>
            <w:tcW w:w="1030" w:type="dxa"/>
            <w:tcBorders>
              <w:top w:val="nil"/>
              <w:left w:val="nil"/>
              <w:bottom w:val="nil"/>
              <w:right w:val="single" w:sz="4" w:space="0" w:color="000000"/>
            </w:tcBorders>
          </w:tcPr>
          <w:p>
            <w:pPr>
              <w:pStyle w:val="TableParagraph"/>
              <w:ind w:left="119" w:right="112"/>
              <w:rPr>
                <w:rFonts w:ascii="Calibri"/>
                <w:sz w:val="22"/>
              </w:rPr>
            </w:pPr>
            <w:r>
              <w:rPr>
                <w:rFonts w:ascii="Calibri"/>
                <w:sz w:val="22"/>
              </w:rPr>
              <w:t>72</w:t>
            </w:r>
          </w:p>
        </w:tc>
      </w:tr>
      <w:tr>
        <w:trPr>
          <w:trHeight w:val="614" w:hRule="exact"/>
        </w:trPr>
        <w:tc>
          <w:tcPr>
            <w:tcW w:w="1030" w:type="dxa"/>
            <w:tcBorders>
              <w:top w:val="nil"/>
              <w:left w:val="single" w:sz="4" w:space="0" w:color="000000"/>
            </w:tcBorders>
          </w:tcPr>
          <w:p>
            <w:pPr>
              <w:pStyle w:val="TableParagraph"/>
              <w:ind w:left="379" w:right="377"/>
              <w:rPr>
                <w:rFonts w:ascii="Calibri"/>
                <w:sz w:val="22"/>
              </w:rPr>
            </w:pPr>
            <w:r>
              <w:rPr>
                <w:rFonts w:ascii="Calibri"/>
                <w:sz w:val="22"/>
              </w:rPr>
              <w:t>63</w:t>
            </w:r>
          </w:p>
        </w:tc>
        <w:tc>
          <w:tcPr>
            <w:tcW w:w="936" w:type="dxa"/>
            <w:tcBorders>
              <w:top w:val="nil"/>
              <w:right w:val="nil"/>
            </w:tcBorders>
          </w:tcPr>
          <w:p>
            <w:pPr>
              <w:pStyle w:val="TableParagraph"/>
              <w:ind w:right="20"/>
              <w:rPr>
                <w:rFonts w:ascii="Calibri"/>
                <w:sz w:val="22"/>
              </w:rPr>
            </w:pPr>
            <w:r>
              <w:rPr>
                <w:rFonts w:ascii="Calibri"/>
                <w:w w:val="100"/>
                <w:sz w:val="22"/>
              </w:rPr>
              <w:t>0</w:t>
            </w:r>
          </w:p>
        </w:tc>
        <w:tc>
          <w:tcPr>
            <w:tcW w:w="986" w:type="dxa"/>
            <w:tcBorders>
              <w:top w:val="nil"/>
              <w:left w:val="nil"/>
              <w:right w:val="nil"/>
            </w:tcBorders>
          </w:tcPr>
          <w:p>
            <w:pPr>
              <w:pStyle w:val="TableParagraph"/>
              <w:ind w:right="21"/>
              <w:rPr>
                <w:rFonts w:ascii="Calibri"/>
                <w:sz w:val="22"/>
              </w:rPr>
            </w:pPr>
            <w:r>
              <w:rPr>
                <w:rFonts w:ascii="Calibri"/>
                <w:w w:val="100"/>
                <w:sz w:val="22"/>
              </w:rPr>
              <w:t>0</w:t>
            </w:r>
          </w:p>
        </w:tc>
        <w:tc>
          <w:tcPr>
            <w:tcW w:w="1114" w:type="dxa"/>
            <w:tcBorders>
              <w:top w:val="nil"/>
              <w:left w:val="nil"/>
              <w:right w:val="nil"/>
            </w:tcBorders>
          </w:tcPr>
          <w:p>
            <w:pPr>
              <w:pStyle w:val="TableParagraph"/>
              <w:ind w:left="138" w:right="135"/>
              <w:rPr>
                <w:rFonts w:ascii="Calibri"/>
                <w:sz w:val="22"/>
              </w:rPr>
            </w:pPr>
            <w:r>
              <w:rPr>
                <w:rFonts w:ascii="Calibri"/>
                <w:sz w:val="22"/>
              </w:rPr>
              <w:t>33</w:t>
            </w:r>
          </w:p>
        </w:tc>
        <w:tc>
          <w:tcPr>
            <w:tcW w:w="1002" w:type="dxa"/>
            <w:tcBorders>
              <w:top w:val="nil"/>
              <w:left w:val="nil"/>
              <w:right w:val="nil"/>
            </w:tcBorders>
          </w:tcPr>
          <w:p>
            <w:pPr>
              <w:pStyle w:val="TableParagraph"/>
              <w:ind w:left="14"/>
              <w:rPr>
                <w:rFonts w:ascii="Calibri"/>
                <w:sz w:val="22"/>
              </w:rPr>
            </w:pPr>
            <w:r>
              <w:rPr>
                <w:rFonts w:ascii="Calibri"/>
                <w:w w:val="100"/>
                <w:sz w:val="22"/>
              </w:rPr>
              <w:t>8</w:t>
            </w:r>
          </w:p>
        </w:tc>
        <w:tc>
          <w:tcPr>
            <w:tcW w:w="991" w:type="dxa"/>
            <w:tcBorders>
              <w:top w:val="nil"/>
              <w:left w:val="nil"/>
              <w:right w:val="nil"/>
            </w:tcBorders>
          </w:tcPr>
          <w:p>
            <w:pPr>
              <w:pStyle w:val="TableParagraph"/>
              <w:ind w:left="4"/>
              <w:rPr>
                <w:rFonts w:ascii="Calibri"/>
                <w:sz w:val="22"/>
              </w:rPr>
            </w:pPr>
            <w:r>
              <w:rPr>
                <w:rFonts w:ascii="Calibri"/>
                <w:w w:val="100"/>
                <w:sz w:val="22"/>
              </w:rPr>
              <w:t>3</w:t>
            </w:r>
          </w:p>
        </w:tc>
        <w:tc>
          <w:tcPr>
            <w:tcW w:w="989" w:type="dxa"/>
            <w:tcBorders>
              <w:top w:val="nil"/>
              <w:left w:val="nil"/>
              <w:right w:val="nil"/>
            </w:tcBorders>
          </w:tcPr>
          <w:p>
            <w:pPr>
              <w:pStyle w:val="TableParagraph"/>
              <w:ind w:left="6"/>
              <w:rPr>
                <w:rFonts w:ascii="Calibri"/>
                <w:sz w:val="22"/>
              </w:rPr>
            </w:pPr>
            <w:r>
              <w:rPr>
                <w:rFonts w:ascii="Calibri"/>
                <w:w w:val="100"/>
                <w:sz w:val="22"/>
              </w:rPr>
              <w:t>0</w:t>
            </w:r>
          </w:p>
        </w:tc>
        <w:tc>
          <w:tcPr>
            <w:tcW w:w="1186" w:type="dxa"/>
            <w:tcBorders>
              <w:top w:val="nil"/>
              <w:left w:val="nil"/>
              <w:right w:val="nil"/>
            </w:tcBorders>
          </w:tcPr>
          <w:p>
            <w:pPr>
              <w:pStyle w:val="TableParagraph"/>
              <w:ind w:left="6"/>
              <w:rPr>
                <w:rFonts w:ascii="Calibri"/>
                <w:sz w:val="22"/>
              </w:rPr>
            </w:pPr>
            <w:r>
              <w:rPr>
                <w:rFonts w:ascii="Calibri"/>
                <w:w w:val="100"/>
                <w:sz w:val="22"/>
              </w:rPr>
              <w:t>1</w:t>
            </w:r>
          </w:p>
        </w:tc>
        <w:tc>
          <w:tcPr>
            <w:tcW w:w="1030" w:type="dxa"/>
            <w:tcBorders>
              <w:top w:val="nil"/>
              <w:left w:val="nil"/>
              <w:right w:val="single" w:sz="4" w:space="0" w:color="000000"/>
            </w:tcBorders>
          </w:tcPr>
          <w:p>
            <w:pPr>
              <w:pStyle w:val="TableParagraph"/>
              <w:ind w:left="119" w:right="112"/>
              <w:rPr>
                <w:rFonts w:ascii="Calibri"/>
                <w:sz w:val="22"/>
              </w:rPr>
            </w:pPr>
            <w:r>
              <w:rPr>
                <w:rFonts w:ascii="Calibri"/>
                <w:sz w:val="22"/>
              </w:rPr>
              <w:t>45</w:t>
            </w:r>
          </w:p>
        </w:tc>
      </w:tr>
      <w:tr>
        <w:trPr>
          <w:trHeight w:val="388" w:hRule="exact"/>
        </w:trPr>
        <w:tc>
          <w:tcPr>
            <w:tcW w:w="1030" w:type="dxa"/>
            <w:tcBorders>
              <w:left w:val="single" w:sz="4" w:space="0" w:color="000000"/>
              <w:bottom w:val="nil"/>
            </w:tcBorders>
          </w:tcPr>
          <w:p>
            <w:pPr>
              <w:pStyle w:val="TableParagraph"/>
              <w:spacing w:before="1"/>
              <w:ind w:right="284"/>
              <w:jc w:val="right"/>
              <w:rPr>
                <w:rFonts w:ascii="Calibri"/>
                <w:sz w:val="20"/>
              </w:rPr>
            </w:pPr>
            <w:r>
              <w:rPr>
                <w:rFonts w:ascii="Calibri"/>
                <w:sz w:val="20"/>
              </w:rPr>
              <w:t>Suma</w:t>
            </w:r>
          </w:p>
        </w:tc>
        <w:tc>
          <w:tcPr>
            <w:tcW w:w="936" w:type="dxa"/>
            <w:tcBorders>
              <w:bottom w:val="nil"/>
              <w:right w:val="nil"/>
            </w:tcBorders>
          </w:tcPr>
          <w:p>
            <w:pPr>
              <w:pStyle w:val="TableParagraph"/>
              <w:spacing w:before="1"/>
              <w:ind w:left="85" w:right="106"/>
              <w:rPr>
                <w:rFonts w:ascii="Calibri"/>
                <w:sz w:val="20"/>
              </w:rPr>
            </w:pPr>
            <w:r>
              <w:rPr>
                <w:rFonts w:ascii="Calibri"/>
                <w:sz w:val="20"/>
              </w:rPr>
              <w:t>30</w:t>
            </w:r>
          </w:p>
        </w:tc>
        <w:tc>
          <w:tcPr>
            <w:tcW w:w="986" w:type="dxa"/>
            <w:tcBorders>
              <w:left w:val="nil"/>
              <w:bottom w:val="nil"/>
              <w:right w:val="nil"/>
            </w:tcBorders>
          </w:tcPr>
          <w:p>
            <w:pPr>
              <w:pStyle w:val="TableParagraph"/>
              <w:spacing w:before="1"/>
              <w:ind w:left="112" w:right="135"/>
              <w:rPr>
                <w:rFonts w:ascii="Calibri"/>
                <w:sz w:val="20"/>
              </w:rPr>
            </w:pPr>
            <w:r>
              <w:rPr>
                <w:rFonts w:ascii="Calibri"/>
                <w:sz w:val="20"/>
              </w:rPr>
              <w:t>110</w:t>
            </w:r>
          </w:p>
        </w:tc>
        <w:tc>
          <w:tcPr>
            <w:tcW w:w="1114" w:type="dxa"/>
            <w:tcBorders>
              <w:left w:val="nil"/>
              <w:bottom w:val="nil"/>
              <w:right w:val="nil"/>
            </w:tcBorders>
          </w:tcPr>
          <w:p>
            <w:pPr>
              <w:pStyle w:val="TableParagraph"/>
              <w:spacing w:before="1"/>
              <w:ind w:left="138" w:right="138"/>
              <w:rPr>
                <w:rFonts w:ascii="Calibri"/>
                <w:sz w:val="20"/>
              </w:rPr>
            </w:pPr>
            <w:r>
              <w:rPr>
                <w:rFonts w:ascii="Calibri"/>
                <w:sz w:val="20"/>
              </w:rPr>
              <w:t>1,046</w:t>
            </w:r>
          </w:p>
        </w:tc>
        <w:tc>
          <w:tcPr>
            <w:tcW w:w="1002" w:type="dxa"/>
            <w:tcBorders>
              <w:left w:val="nil"/>
              <w:bottom w:val="nil"/>
              <w:right w:val="nil"/>
            </w:tcBorders>
          </w:tcPr>
          <w:p>
            <w:pPr>
              <w:pStyle w:val="TableParagraph"/>
              <w:spacing w:before="1"/>
              <w:ind w:left="135" w:right="127"/>
              <w:rPr>
                <w:rFonts w:ascii="Calibri"/>
                <w:sz w:val="20"/>
              </w:rPr>
            </w:pPr>
            <w:r>
              <w:rPr>
                <w:rFonts w:ascii="Calibri"/>
                <w:sz w:val="20"/>
              </w:rPr>
              <w:t>582</w:t>
            </w:r>
          </w:p>
        </w:tc>
        <w:tc>
          <w:tcPr>
            <w:tcW w:w="991" w:type="dxa"/>
            <w:tcBorders>
              <w:left w:val="nil"/>
              <w:bottom w:val="nil"/>
              <w:right w:val="nil"/>
            </w:tcBorders>
          </w:tcPr>
          <w:p>
            <w:pPr>
              <w:pStyle w:val="TableParagraph"/>
              <w:spacing w:before="1"/>
              <w:ind w:left="127" w:right="125"/>
              <w:rPr>
                <w:rFonts w:ascii="Calibri"/>
                <w:sz w:val="20"/>
              </w:rPr>
            </w:pPr>
            <w:r>
              <w:rPr>
                <w:rFonts w:ascii="Calibri"/>
                <w:sz w:val="20"/>
              </w:rPr>
              <w:t>329</w:t>
            </w:r>
          </w:p>
        </w:tc>
        <w:tc>
          <w:tcPr>
            <w:tcW w:w="989" w:type="dxa"/>
            <w:tcBorders>
              <w:left w:val="nil"/>
              <w:bottom w:val="nil"/>
              <w:right w:val="nil"/>
            </w:tcBorders>
          </w:tcPr>
          <w:p>
            <w:pPr>
              <w:pStyle w:val="TableParagraph"/>
              <w:spacing w:before="1"/>
              <w:ind w:left="127" w:right="122"/>
              <w:rPr>
                <w:rFonts w:ascii="Calibri"/>
                <w:sz w:val="20"/>
              </w:rPr>
            </w:pPr>
            <w:r>
              <w:rPr>
                <w:rFonts w:ascii="Calibri"/>
                <w:sz w:val="20"/>
              </w:rPr>
              <w:t>139</w:t>
            </w:r>
          </w:p>
        </w:tc>
        <w:tc>
          <w:tcPr>
            <w:tcW w:w="1186" w:type="dxa"/>
            <w:tcBorders>
              <w:left w:val="nil"/>
              <w:bottom w:val="nil"/>
              <w:right w:val="nil"/>
            </w:tcBorders>
          </w:tcPr>
          <w:p>
            <w:pPr>
              <w:pStyle w:val="TableParagraph"/>
              <w:spacing w:before="1"/>
              <w:ind w:left="125" w:right="121"/>
              <w:rPr>
                <w:rFonts w:ascii="Calibri"/>
                <w:sz w:val="20"/>
              </w:rPr>
            </w:pPr>
            <w:r>
              <w:rPr>
                <w:rFonts w:ascii="Calibri"/>
                <w:sz w:val="20"/>
              </w:rPr>
              <w:t>788</w:t>
            </w:r>
          </w:p>
        </w:tc>
        <w:tc>
          <w:tcPr>
            <w:tcW w:w="1030" w:type="dxa"/>
            <w:tcBorders>
              <w:left w:val="nil"/>
              <w:bottom w:val="nil"/>
              <w:right w:val="single" w:sz="4" w:space="0" w:color="000000"/>
            </w:tcBorders>
          </w:tcPr>
          <w:p>
            <w:pPr>
              <w:pStyle w:val="TableParagraph"/>
              <w:spacing w:before="1"/>
              <w:ind w:left="117" w:right="117"/>
              <w:rPr>
                <w:rFonts w:ascii="Calibri"/>
                <w:sz w:val="20"/>
              </w:rPr>
            </w:pPr>
            <w:r>
              <w:rPr>
                <w:rFonts w:ascii="Calibri"/>
                <w:sz w:val="20"/>
              </w:rPr>
              <w:t>2,994</w:t>
            </w:r>
          </w:p>
        </w:tc>
      </w:tr>
      <w:tr>
        <w:trPr>
          <w:trHeight w:val="584" w:hRule="exact"/>
        </w:trPr>
        <w:tc>
          <w:tcPr>
            <w:tcW w:w="1030" w:type="dxa"/>
            <w:tcBorders>
              <w:top w:val="nil"/>
              <w:left w:val="single" w:sz="4" w:space="0" w:color="000000"/>
              <w:bottom w:val="single" w:sz="4" w:space="0" w:color="000000"/>
            </w:tcBorders>
          </w:tcPr>
          <w:p>
            <w:pPr>
              <w:pStyle w:val="TableParagraph"/>
              <w:ind w:right="236"/>
              <w:jc w:val="right"/>
              <w:rPr>
                <w:rFonts w:ascii="Calibri" w:hAnsi="Calibri"/>
                <w:sz w:val="20"/>
              </w:rPr>
            </w:pPr>
            <w:r>
              <w:rPr>
                <w:rFonts w:ascii="Calibri" w:hAnsi="Calibri"/>
                <w:sz w:val="20"/>
              </w:rPr>
              <w:t>ME ± DE</w:t>
            </w:r>
          </w:p>
        </w:tc>
        <w:tc>
          <w:tcPr>
            <w:tcW w:w="936" w:type="dxa"/>
            <w:tcBorders>
              <w:top w:val="nil"/>
              <w:bottom w:val="single" w:sz="4" w:space="0" w:color="000000"/>
              <w:right w:val="nil"/>
            </w:tcBorders>
          </w:tcPr>
          <w:p>
            <w:pPr>
              <w:pStyle w:val="TableParagraph"/>
              <w:ind w:left="85" w:right="109"/>
              <w:rPr>
                <w:rFonts w:ascii="Calibri" w:hAnsi="Calibri"/>
                <w:sz w:val="20"/>
              </w:rPr>
            </w:pPr>
            <w:r>
              <w:rPr>
                <w:rFonts w:ascii="Calibri" w:hAnsi="Calibri"/>
                <w:sz w:val="20"/>
              </w:rPr>
              <w:t>0.4 ± 0.7</w:t>
            </w:r>
          </w:p>
        </w:tc>
        <w:tc>
          <w:tcPr>
            <w:tcW w:w="986" w:type="dxa"/>
            <w:tcBorders>
              <w:top w:val="nil"/>
              <w:left w:val="nil"/>
              <w:bottom w:val="single" w:sz="4" w:space="0" w:color="000000"/>
              <w:right w:val="nil"/>
            </w:tcBorders>
          </w:tcPr>
          <w:p>
            <w:pPr>
              <w:pStyle w:val="TableParagraph"/>
              <w:ind w:left="112" w:right="137"/>
              <w:rPr>
                <w:rFonts w:ascii="Calibri" w:hAnsi="Calibri"/>
                <w:sz w:val="20"/>
              </w:rPr>
            </w:pPr>
            <w:r>
              <w:rPr>
                <w:rFonts w:ascii="Calibri" w:hAnsi="Calibri"/>
                <w:sz w:val="20"/>
              </w:rPr>
              <w:t>1.7 ± 1.8</w:t>
            </w:r>
          </w:p>
        </w:tc>
        <w:tc>
          <w:tcPr>
            <w:tcW w:w="1114" w:type="dxa"/>
            <w:tcBorders>
              <w:top w:val="nil"/>
              <w:left w:val="nil"/>
              <w:bottom w:val="single" w:sz="4" w:space="0" w:color="000000"/>
              <w:right w:val="nil"/>
            </w:tcBorders>
          </w:tcPr>
          <w:p>
            <w:pPr>
              <w:pStyle w:val="TableParagraph"/>
              <w:ind w:left="138" w:right="138"/>
              <w:rPr>
                <w:rFonts w:ascii="Calibri" w:hAnsi="Calibri"/>
                <w:sz w:val="20"/>
              </w:rPr>
            </w:pPr>
            <w:r>
              <w:rPr>
                <w:rFonts w:ascii="Calibri" w:hAnsi="Calibri"/>
                <w:sz w:val="20"/>
              </w:rPr>
              <w:t>16.6 ± 9.3</w:t>
            </w:r>
          </w:p>
        </w:tc>
        <w:tc>
          <w:tcPr>
            <w:tcW w:w="1002" w:type="dxa"/>
            <w:tcBorders>
              <w:top w:val="nil"/>
              <w:left w:val="nil"/>
              <w:bottom w:val="single" w:sz="4" w:space="0" w:color="000000"/>
              <w:right w:val="nil"/>
            </w:tcBorders>
          </w:tcPr>
          <w:p>
            <w:pPr>
              <w:pStyle w:val="TableParagraph"/>
              <w:ind w:left="137" w:right="127"/>
              <w:rPr>
                <w:rFonts w:ascii="Calibri" w:hAnsi="Calibri"/>
                <w:sz w:val="20"/>
              </w:rPr>
            </w:pPr>
            <w:r>
              <w:rPr>
                <w:rFonts w:ascii="Calibri" w:hAnsi="Calibri"/>
                <w:sz w:val="20"/>
              </w:rPr>
              <w:t>9.2 ± 6.2</w:t>
            </w:r>
          </w:p>
        </w:tc>
        <w:tc>
          <w:tcPr>
            <w:tcW w:w="991" w:type="dxa"/>
            <w:tcBorders>
              <w:top w:val="nil"/>
              <w:left w:val="nil"/>
              <w:bottom w:val="single" w:sz="4" w:space="0" w:color="000000"/>
              <w:right w:val="nil"/>
            </w:tcBorders>
          </w:tcPr>
          <w:p>
            <w:pPr>
              <w:pStyle w:val="TableParagraph"/>
              <w:ind w:left="127" w:right="127"/>
              <w:rPr>
                <w:rFonts w:ascii="Calibri" w:hAnsi="Calibri"/>
                <w:sz w:val="20"/>
              </w:rPr>
            </w:pPr>
            <w:r>
              <w:rPr>
                <w:rFonts w:ascii="Calibri" w:hAnsi="Calibri"/>
                <w:sz w:val="20"/>
              </w:rPr>
              <w:t>5.2 ± 6.2</w:t>
            </w:r>
          </w:p>
        </w:tc>
        <w:tc>
          <w:tcPr>
            <w:tcW w:w="989" w:type="dxa"/>
            <w:tcBorders>
              <w:top w:val="nil"/>
              <w:left w:val="nil"/>
              <w:bottom w:val="single" w:sz="4" w:space="0" w:color="000000"/>
              <w:right w:val="nil"/>
            </w:tcBorders>
          </w:tcPr>
          <w:p>
            <w:pPr>
              <w:pStyle w:val="TableParagraph"/>
              <w:ind w:left="127" w:right="125"/>
              <w:rPr>
                <w:rFonts w:ascii="Calibri" w:hAnsi="Calibri"/>
                <w:sz w:val="20"/>
              </w:rPr>
            </w:pPr>
            <w:r>
              <w:rPr>
                <w:rFonts w:ascii="Calibri" w:hAnsi="Calibri"/>
                <w:sz w:val="20"/>
              </w:rPr>
              <w:t>2.2 ± 2.6</w:t>
            </w:r>
          </w:p>
        </w:tc>
        <w:tc>
          <w:tcPr>
            <w:tcW w:w="1186" w:type="dxa"/>
            <w:tcBorders>
              <w:top w:val="nil"/>
              <w:left w:val="nil"/>
              <w:bottom w:val="single" w:sz="4" w:space="0" w:color="000000"/>
              <w:right w:val="nil"/>
            </w:tcBorders>
          </w:tcPr>
          <w:p>
            <w:pPr>
              <w:pStyle w:val="TableParagraph"/>
              <w:ind w:left="125" w:right="121"/>
              <w:rPr>
                <w:rFonts w:ascii="Calibri" w:hAnsi="Calibri"/>
                <w:sz w:val="20"/>
              </w:rPr>
            </w:pPr>
            <w:r>
              <w:rPr>
                <w:rFonts w:ascii="Calibri" w:hAnsi="Calibri"/>
                <w:sz w:val="20"/>
              </w:rPr>
              <w:t>12.5 ± 11.9</w:t>
            </w:r>
          </w:p>
        </w:tc>
        <w:tc>
          <w:tcPr>
            <w:tcW w:w="1030" w:type="dxa"/>
            <w:tcBorders>
              <w:top w:val="nil"/>
              <w:left w:val="nil"/>
              <w:bottom w:val="single" w:sz="4" w:space="0" w:color="000000"/>
              <w:right w:val="single" w:sz="4" w:space="0" w:color="000000"/>
            </w:tcBorders>
          </w:tcPr>
          <w:p>
            <w:pPr>
              <w:pStyle w:val="TableParagraph"/>
              <w:ind w:left="119" w:right="117"/>
              <w:rPr>
                <w:rFonts w:ascii="Calibri" w:hAnsi="Calibri"/>
                <w:sz w:val="20"/>
              </w:rPr>
            </w:pPr>
            <w:r>
              <w:rPr>
                <w:rFonts w:ascii="Calibri" w:hAnsi="Calibri"/>
                <w:sz w:val="20"/>
              </w:rPr>
              <w:t>47.6 ± 21</w:t>
            </w:r>
          </w:p>
        </w:tc>
      </w:tr>
    </w:tbl>
    <w:p>
      <w:pPr>
        <w:spacing w:line="219" w:lineRule="exact" w:before="0"/>
        <w:ind w:left="1418" w:right="1703" w:firstLine="0"/>
        <w:jc w:val="left"/>
        <w:rPr>
          <w:rFonts w:ascii="Calibri" w:hAnsi="Calibri"/>
          <w:sz w:val="18"/>
        </w:rPr>
      </w:pPr>
      <w:r>
        <w:rPr>
          <w:rFonts w:ascii="Calibri" w:hAnsi="Calibri"/>
          <w:sz w:val="18"/>
        </w:rPr>
        <w:t>Datos expresados en media y desviación estándar</w:t>
      </w:r>
    </w:p>
    <w:p>
      <w:pPr>
        <w:spacing w:before="1"/>
        <w:ind w:left="1418" w:right="2060" w:firstLine="0"/>
        <w:jc w:val="left"/>
        <w:rPr>
          <w:rFonts w:ascii="Calibri" w:hAnsi="Calibri"/>
          <w:sz w:val="18"/>
        </w:rPr>
      </w:pPr>
      <w:r>
        <w:rPr>
          <w:rFonts w:ascii="Calibri" w:hAnsi="Calibri"/>
          <w:sz w:val="18"/>
        </w:rPr>
        <w:t>Micronúcleos (MN); Binucleada (BN); Núcleo Lobulado (NL); Picnosis (PC); Cromatina Condensada (CC); Cariorrexis (CR); Cariolisis (CL); Total de Alteraciones Nucleares (TAN)</w:t>
      </w:r>
    </w:p>
    <w:p>
      <w:pPr>
        <w:spacing w:after="0"/>
        <w:jc w:val="left"/>
        <w:rPr>
          <w:rFonts w:ascii="Calibri" w:hAnsi="Calibri"/>
          <w:sz w:val="18"/>
        </w:rPr>
        <w:sectPr>
          <w:pgSz w:w="12240" w:h="15840"/>
          <w:pgMar w:header="0" w:footer="534" w:top="1500" w:bottom="780" w:left="0" w:right="0"/>
        </w:sectPr>
      </w:pPr>
    </w:p>
    <w:p>
      <w:pPr>
        <w:pStyle w:val="BodyText"/>
        <w:spacing w:before="8"/>
        <w:rPr>
          <w:rFonts w:ascii="Calibri"/>
          <w:sz w:val="10"/>
        </w:rPr>
      </w:pPr>
    </w:p>
    <w:p>
      <w:pPr>
        <w:pStyle w:val="Heading4"/>
        <w:spacing w:before="70"/>
        <w:ind w:left="1418" w:right="1703"/>
      </w:pPr>
      <w:r>
        <w:rPr/>
        <w:t>Anexo 4. Presentaciones en foros: modalidad cartel</w:t>
      </w:r>
    </w:p>
    <w:p>
      <w:pPr>
        <w:pStyle w:val="BodyText"/>
        <w:rPr>
          <w:b/>
          <w:sz w:val="20"/>
        </w:rPr>
      </w:pPr>
    </w:p>
    <w:p>
      <w:pPr>
        <w:pStyle w:val="BodyText"/>
        <w:rPr>
          <w:b/>
          <w:sz w:val="20"/>
        </w:rPr>
      </w:pPr>
    </w:p>
    <w:p>
      <w:pPr>
        <w:pStyle w:val="BodyText"/>
        <w:rPr>
          <w:b/>
          <w:sz w:val="20"/>
        </w:rPr>
      </w:pPr>
    </w:p>
    <w:p>
      <w:pPr>
        <w:pStyle w:val="BodyText"/>
        <w:spacing w:before="7"/>
        <w:rPr>
          <w:b/>
          <w:sz w:val="10"/>
        </w:rPr>
      </w:pPr>
      <w:r>
        <w:rPr/>
        <w:drawing>
          <wp:anchor distT="0" distB="0" distL="0" distR="0" allowOverlap="1" layoutInCell="1" locked="0" behindDoc="0" simplePos="0" relativeHeight="4312">
            <wp:simplePos x="0" y="0"/>
            <wp:positionH relativeFrom="page">
              <wp:posOffset>1239011</wp:posOffset>
            </wp:positionH>
            <wp:positionV relativeFrom="paragraph">
              <wp:posOffset>102361</wp:posOffset>
            </wp:positionV>
            <wp:extent cx="5021926" cy="6504051"/>
            <wp:effectExtent l="0" t="0" r="0" b="0"/>
            <wp:wrapTopAndBottom/>
            <wp:docPr id="15" name="image269.jpeg" descr=""/>
            <wp:cNvGraphicFramePr>
              <a:graphicFrameLocks noChangeAspect="1"/>
            </wp:cNvGraphicFramePr>
            <a:graphic>
              <a:graphicData uri="http://schemas.openxmlformats.org/drawingml/2006/picture">
                <pic:pic>
                  <pic:nvPicPr>
                    <pic:cNvPr id="16" name="image269.jpeg"/>
                    <pic:cNvPicPr/>
                  </pic:nvPicPr>
                  <pic:blipFill>
                    <a:blip r:embed="rId322" cstate="print"/>
                    <a:stretch>
                      <a:fillRect/>
                    </a:stretch>
                  </pic:blipFill>
                  <pic:spPr>
                    <a:xfrm>
                      <a:off x="0" y="0"/>
                      <a:ext cx="5021926" cy="6504051"/>
                    </a:xfrm>
                    <a:prstGeom prst="rect">
                      <a:avLst/>
                    </a:prstGeom>
                  </pic:spPr>
                </pic:pic>
              </a:graphicData>
            </a:graphic>
          </wp:anchor>
        </w:drawing>
      </w:r>
    </w:p>
    <w:p>
      <w:pPr>
        <w:spacing w:after="0"/>
        <w:rPr>
          <w:sz w:val="10"/>
        </w:rPr>
        <w:sectPr>
          <w:pgSz w:w="12240" w:h="15840"/>
          <w:pgMar w:header="0" w:footer="534" w:top="1500" w:bottom="780" w:left="0" w:right="0"/>
        </w:sectPr>
      </w:pPr>
    </w:p>
    <w:p>
      <w:pPr>
        <w:pStyle w:val="BodyText"/>
        <w:rPr>
          <w:rFonts w:ascii="Times New Roman"/>
          <w:sz w:val="20"/>
        </w:rPr>
      </w:pPr>
    </w:p>
    <w:p>
      <w:pPr>
        <w:pStyle w:val="BodyText"/>
        <w:rPr>
          <w:rFonts w:ascii="Times New Roman"/>
          <w:sz w:val="20"/>
        </w:rPr>
      </w:pPr>
    </w:p>
    <w:p>
      <w:pPr>
        <w:pStyle w:val="BodyText"/>
        <w:spacing w:before="1" w:after="1"/>
        <w:rPr>
          <w:rFonts w:ascii="Times New Roman"/>
          <w:sz w:val="26"/>
        </w:rPr>
      </w:pPr>
    </w:p>
    <w:p>
      <w:pPr>
        <w:pStyle w:val="BodyText"/>
        <w:ind w:left="1533"/>
        <w:rPr>
          <w:rFonts w:ascii="Times New Roman"/>
          <w:sz w:val="20"/>
        </w:rPr>
      </w:pPr>
      <w:r>
        <w:rPr>
          <w:rFonts w:ascii="Times New Roman"/>
          <w:sz w:val="20"/>
        </w:rPr>
        <w:drawing>
          <wp:inline distT="0" distB="0" distL="0" distR="0">
            <wp:extent cx="5631603" cy="7323963"/>
            <wp:effectExtent l="0" t="0" r="0" b="0"/>
            <wp:docPr id="17" name="image270.jpeg" descr=""/>
            <wp:cNvGraphicFramePr>
              <a:graphicFrameLocks noChangeAspect="1"/>
            </wp:cNvGraphicFramePr>
            <a:graphic>
              <a:graphicData uri="http://schemas.openxmlformats.org/drawingml/2006/picture">
                <pic:pic>
                  <pic:nvPicPr>
                    <pic:cNvPr id="18" name="image270.jpeg"/>
                    <pic:cNvPicPr/>
                  </pic:nvPicPr>
                  <pic:blipFill>
                    <a:blip r:embed="rId323" cstate="print"/>
                    <a:stretch>
                      <a:fillRect/>
                    </a:stretch>
                  </pic:blipFill>
                  <pic:spPr>
                    <a:xfrm>
                      <a:off x="0" y="0"/>
                      <a:ext cx="5631603" cy="7323963"/>
                    </a:xfrm>
                    <a:prstGeom prst="rect">
                      <a:avLst/>
                    </a:prstGeom>
                  </pic:spPr>
                </pic:pic>
              </a:graphicData>
            </a:graphic>
          </wp:inline>
        </w:drawing>
      </w:r>
      <w:r>
        <w:rPr>
          <w:rFonts w:ascii="Times New Roman"/>
          <w:sz w:val="20"/>
        </w:rPr>
      </w:r>
    </w:p>
    <w:p>
      <w:pPr>
        <w:spacing w:after="0"/>
        <w:rPr>
          <w:rFonts w:ascii="Times New Roman"/>
          <w:sz w:val="20"/>
        </w:rPr>
        <w:sectPr>
          <w:pgSz w:w="12240" w:h="15840"/>
          <w:pgMar w:header="0" w:footer="534" w:top="1500" w:bottom="720" w:left="0" w:right="0"/>
        </w:sectPr>
      </w:pPr>
    </w:p>
    <w:p>
      <w:pPr>
        <w:pStyle w:val="BodyText"/>
        <w:rPr>
          <w:rFonts w:ascii="Times New Roman"/>
          <w:sz w:val="20"/>
        </w:rPr>
      </w:pPr>
    </w:p>
    <w:p>
      <w:pPr>
        <w:pStyle w:val="BodyText"/>
        <w:spacing w:before="1"/>
        <w:rPr>
          <w:rFonts w:ascii="Times New Roman"/>
          <w:sz w:val="16"/>
        </w:rPr>
      </w:pPr>
    </w:p>
    <w:p>
      <w:pPr>
        <w:pStyle w:val="BodyText"/>
        <w:ind w:left="1029"/>
        <w:rPr>
          <w:rFonts w:ascii="Times New Roman"/>
          <w:sz w:val="20"/>
        </w:rPr>
      </w:pPr>
      <w:r>
        <w:rPr>
          <w:rFonts w:ascii="Times New Roman"/>
          <w:sz w:val="20"/>
        </w:rPr>
        <w:drawing>
          <wp:inline distT="0" distB="0" distL="0" distR="0">
            <wp:extent cx="6205114" cy="7691818"/>
            <wp:effectExtent l="0" t="0" r="0" b="0"/>
            <wp:docPr id="19" name="image271.jpeg" descr=""/>
            <wp:cNvGraphicFramePr>
              <a:graphicFrameLocks noChangeAspect="1"/>
            </wp:cNvGraphicFramePr>
            <a:graphic>
              <a:graphicData uri="http://schemas.openxmlformats.org/drawingml/2006/picture">
                <pic:pic>
                  <pic:nvPicPr>
                    <pic:cNvPr id="20" name="image271.jpeg"/>
                    <pic:cNvPicPr/>
                  </pic:nvPicPr>
                  <pic:blipFill>
                    <a:blip r:embed="rId325" cstate="print"/>
                    <a:stretch>
                      <a:fillRect/>
                    </a:stretch>
                  </pic:blipFill>
                  <pic:spPr>
                    <a:xfrm>
                      <a:off x="0" y="0"/>
                      <a:ext cx="6205114" cy="7691818"/>
                    </a:xfrm>
                    <a:prstGeom prst="rect">
                      <a:avLst/>
                    </a:prstGeom>
                  </pic:spPr>
                </pic:pic>
              </a:graphicData>
            </a:graphic>
          </wp:inline>
        </w:drawing>
      </w:r>
      <w:r>
        <w:rPr>
          <w:rFonts w:ascii="Times New Roman"/>
          <w:sz w:val="20"/>
        </w:rPr>
      </w:r>
    </w:p>
    <w:p>
      <w:pPr>
        <w:spacing w:after="0"/>
        <w:rPr>
          <w:rFonts w:ascii="Times New Roman"/>
          <w:sz w:val="20"/>
        </w:rPr>
        <w:sectPr>
          <w:footerReference w:type="default" r:id="rId324"/>
          <w:pgSz w:w="12240" w:h="15840"/>
          <w:pgMar w:footer="534" w:header="0" w:top="1500" w:bottom="720" w:left="0" w:right="0"/>
          <w:pgNumType w:start="140"/>
        </w:sectPr>
      </w:pPr>
    </w:p>
    <w:p>
      <w:pPr>
        <w:pStyle w:val="BodyText"/>
        <w:spacing w:before="4"/>
        <w:rPr>
          <w:rFonts w:ascii="Times New Roman"/>
          <w:sz w:val="11"/>
        </w:rPr>
      </w:pPr>
    </w:p>
    <w:p>
      <w:pPr>
        <w:pStyle w:val="Heading4"/>
        <w:ind w:left="1418" w:right="1703"/>
      </w:pPr>
      <w:r>
        <w:rPr/>
        <w:t>Anexo 5. Premios</w:t>
      </w:r>
    </w:p>
    <w:p>
      <w:pPr>
        <w:pStyle w:val="BodyText"/>
        <w:rPr>
          <w:b/>
          <w:sz w:val="20"/>
        </w:rPr>
      </w:pPr>
    </w:p>
    <w:p>
      <w:pPr>
        <w:pStyle w:val="BodyText"/>
        <w:spacing w:before="7"/>
        <w:rPr>
          <w:b/>
          <w:sz w:val="26"/>
        </w:rPr>
      </w:pPr>
      <w:r>
        <w:rPr/>
        <w:drawing>
          <wp:anchor distT="0" distB="0" distL="0" distR="0" allowOverlap="1" layoutInCell="1" locked="0" behindDoc="0" simplePos="0" relativeHeight="4336">
            <wp:simplePos x="0" y="0"/>
            <wp:positionH relativeFrom="page">
              <wp:posOffset>1089660</wp:posOffset>
            </wp:positionH>
            <wp:positionV relativeFrom="paragraph">
              <wp:posOffset>219176</wp:posOffset>
            </wp:positionV>
            <wp:extent cx="5353173" cy="6897243"/>
            <wp:effectExtent l="0" t="0" r="0" b="0"/>
            <wp:wrapTopAndBottom/>
            <wp:docPr id="21" name="image272.jpeg" descr=""/>
            <wp:cNvGraphicFramePr>
              <a:graphicFrameLocks noChangeAspect="1"/>
            </wp:cNvGraphicFramePr>
            <a:graphic>
              <a:graphicData uri="http://schemas.openxmlformats.org/drawingml/2006/picture">
                <pic:pic>
                  <pic:nvPicPr>
                    <pic:cNvPr id="22" name="image272.jpeg"/>
                    <pic:cNvPicPr/>
                  </pic:nvPicPr>
                  <pic:blipFill>
                    <a:blip r:embed="rId326" cstate="print"/>
                    <a:stretch>
                      <a:fillRect/>
                    </a:stretch>
                  </pic:blipFill>
                  <pic:spPr>
                    <a:xfrm>
                      <a:off x="0" y="0"/>
                      <a:ext cx="5353173" cy="6897243"/>
                    </a:xfrm>
                    <a:prstGeom prst="rect">
                      <a:avLst/>
                    </a:prstGeom>
                  </pic:spPr>
                </pic:pic>
              </a:graphicData>
            </a:graphic>
          </wp:anchor>
        </w:drawing>
      </w:r>
    </w:p>
    <w:p>
      <w:pPr>
        <w:spacing w:after="0"/>
        <w:rPr>
          <w:sz w:val="26"/>
        </w:rPr>
        <w:sectPr>
          <w:pgSz w:w="12240" w:h="15840"/>
          <w:pgMar w:header="0" w:footer="534" w:top="1500" w:bottom="720" w:left="0" w:right="0"/>
        </w:sectPr>
      </w:pPr>
    </w:p>
    <w:p>
      <w:pPr>
        <w:pStyle w:val="BodyText"/>
        <w:ind w:right="-40"/>
        <w:rPr>
          <w:sz w:val="20"/>
        </w:rPr>
      </w:pPr>
      <w:r>
        <w:rPr>
          <w:sz w:val="20"/>
        </w:rPr>
        <w:drawing>
          <wp:inline distT="0" distB="0" distL="0" distR="0">
            <wp:extent cx="7772400" cy="10058400"/>
            <wp:effectExtent l="0" t="0" r="0" b="0"/>
            <wp:docPr id="23" name="image273.jpeg" descr=""/>
            <wp:cNvGraphicFramePr>
              <a:graphicFrameLocks noChangeAspect="1"/>
            </wp:cNvGraphicFramePr>
            <a:graphic>
              <a:graphicData uri="http://schemas.openxmlformats.org/drawingml/2006/picture">
                <pic:pic>
                  <pic:nvPicPr>
                    <pic:cNvPr id="24" name="image273.jpeg"/>
                    <pic:cNvPicPr/>
                  </pic:nvPicPr>
                  <pic:blipFill>
                    <a:blip r:embed="rId328" cstate="print"/>
                    <a:stretch>
                      <a:fillRect/>
                    </a:stretch>
                  </pic:blipFill>
                  <pic:spPr>
                    <a:xfrm>
                      <a:off x="0" y="0"/>
                      <a:ext cx="7772400" cy="10058400"/>
                    </a:xfrm>
                    <a:prstGeom prst="rect">
                      <a:avLst/>
                    </a:prstGeom>
                  </pic:spPr>
                </pic:pic>
              </a:graphicData>
            </a:graphic>
          </wp:inline>
        </w:drawing>
      </w:r>
      <w:r>
        <w:rPr>
          <w:sz w:val="20"/>
        </w:rPr>
      </w:r>
    </w:p>
    <w:p>
      <w:pPr>
        <w:spacing w:after="0"/>
        <w:rPr>
          <w:sz w:val="20"/>
        </w:rPr>
        <w:sectPr>
          <w:footerReference w:type="default" r:id="rId327"/>
          <w:pgSz w:w="12240" w:h="15840"/>
          <w:pgMar w:footer="0" w:header="0" w:top="0" w:bottom="0" w:left="0" w:right="0"/>
        </w:sectPr>
      </w:pPr>
    </w:p>
    <w:p>
      <w:pPr>
        <w:pStyle w:val="BodyText"/>
        <w:ind w:right="-40"/>
        <w:rPr>
          <w:sz w:val="20"/>
        </w:rPr>
      </w:pPr>
      <w:r>
        <w:rPr>
          <w:sz w:val="20"/>
        </w:rPr>
        <w:drawing>
          <wp:inline distT="0" distB="0" distL="0" distR="0">
            <wp:extent cx="7772400" cy="10058400"/>
            <wp:effectExtent l="0" t="0" r="0" b="0"/>
            <wp:docPr id="25" name="image274.jpeg" descr=""/>
            <wp:cNvGraphicFramePr>
              <a:graphicFrameLocks noChangeAspect="1"/>
            </wp:cNvGraphicFramePr>
            <a:graphic>
              <a:graphicData uri="http://schemas.openxmlformats.org/drawingml/2006/picture">
                <pic:pic>
                  <pic:nvPicPr>
                    <pic:cNvPr id="26" name="image274.jpeg"/>
                    <pic:cNvPicPr/>
                  </pic:nvPicPr>
                  <pic:blipFill>
                    <a:blip r:embed="rId330" cstate="print"/>
                    <a:stretch>
                      <a:fillRect/>
                    </a:stretch>
                  </pic:blipFill>
                  <pic:spPr>
                    <a:xfrm>
                      <a:off x="0" y="0"/>
                      <a:ext cx="7772400" cy="10058400"/>
                    </a:xfrm>
                    <a:prstGeom prst="rect">
                      <a:avLst/>
                    </a:prstGeom>
                  </pic:spPr>
                </pic:pic>
              </a:graphicData>
            </a:graphic>
          </wp:inline>
        </w:drawing>
      </w:r>
      <w:r>
        <w:rPr>
          <w:sz w:val="20"/>
        </w:rPr>
      </w:r>
    </w:p>
    <w:p>
      <w:pPr>
        <w:spacing w:after="0"/>
        <w:rPr>
          <w:sz w:val="20"/>
        </w:rPr>
        <w:sectPr>
          <w:footerReference w:type="default" r:id="rId329"/>
          <w:pgSz w:w="12240" w:h="15840"/>
          <w:pgMar w:footer="0" w:header="0" w:top="0" w:bottom="0" w:left="0" w:right="0"/>
        </w:sectPr>
      </w:pPr>
    </w:p>
    <w:p>
      <w:pPr>
        <w:pStyle w:val="BodyText"/>
        <w:ind w:right="-40"/>
        <w:rPr>
          <w:sz w:val="20"/>
        </w:rPr>
      </w:pPr>
      <w:r>
        <w:rPr>
          <w:sz w:val="20"/>
        </w:rPr>
        <w:drawing>
          <wp:inline distT="0" distB="0" distL="0" distR="0">
            <wp:extent cx="7772400" cy="10058400"/>
            <wp:effectExtent l="0" t="0" r="0" b="0"/>
            <wp:docPr id="27" name="image275.jpeg" descr=""/>
            <wp:cNvGraphicFramePr>
              <a:graphicFrameLocks noChangeAspect="1"/>
            </wp:cNvGraphicFramePr>
            <a:graphic>
              <a:graphicData uri="http://schemas.openxmlformats.org/drawingml/2006/picture">
                <pic:pic>
                  <pic:nvPicPr>
                    <pic:cNvPr id="28" name="image275.jpeg"/>
                    <pic:cNvPicPr/>
                  </pic:nvPicPr>
                  <pic:blipFill>
                    <a:blip r:embed="rId332" cstate="print"/>
                    <a:stretch>
                      <a:fillRect/>
                    </a:stretch>
                  </pic:blipFill>
                  <pic:spPr>
                    <a:xfrm>
                      <a:off x="0" y="0"/>
                      <a:ext cx="7772400" cy="10058400"/>
                    </a:xfrm>
                    <a:prstGeom prst="rect">
                      <a:avLst/>
                    </a:prstGeom>
                  </pic:spPr>
                </pic:pic>
              </a:graphicData>
            </a:graphic>
          </wp:inline>
        </w:drawing>
      </w:r>
      <w:r>
        <w:rPr>
          <w:sz w:val="20"/>
        </w:rPr>
      </w:r>
    </w:p>
    <w:sectPr>
      <w:footerReference w:type="default" r:id="rId331"/>
      <w:pgSz w:w="12240" w:h="15840"/>
      <w:pgMar w:footer="0" w:head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Verdana">
    <w:altName w:val="Verdana"/>
    <w:charset w:val="0"/>
    <w:family w:val="swiss"/>
    <w:pitch w:val="variable"/>
  </w:font>
  <w:font w:name="Courier New">
    <w:altName w:val="Courier New"/>
    <w:charset w:val="0"/>
    <w:family w:val="modern"/>
    <w:pitch w:val="fixed"/>
  </w:font>
  <w:font w:name="Calibri">
    <w:altName w:val="Calibri"/>
    <w:charset w:val="0"/>
    <w:family w:val="swiss"/>
    <w:pitch w:val="variable"/>
  </w:font>
  <w:font w:name="Symbol">
    <w:altName w:val="Symbol"/>
    <w:charset w:val="2"/>
    <w:family w:val="roman"/>
    <w:pitch w:val="variable"/>
  </w:font>
  <w:font w:name="Cambria Math">
    <w:altName w:val="Cambria Math"/>
    <w:charset w:val="0"/>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9928"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50.460022pt;margin-top:751.280029pt;width:9.6pt;height:13.05pt;mso-position-horizontal-relative:page;mso-position-vertical-relative:page;z-index:-3399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8B8B8B"/>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9544"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48.700012pt;margin-top:751.280029pt;width:13.3pt;height:13.05pt;mso-position-horizontal-relative:page;mso-position-vertical-relative:page;z-index:-339520" type="#_x0000_t202" filled="false" stroked="false">
          <v:textbox inset="0,0,0,0">
            <w:txbxContent>
              <w:p>
                <w:pPr>
                  <w:spacing w:line="245" w:lineRule="exact" w:before="0"/>
                  <w:ind w:left="20" w:right="0" w:firstLine="0"/>
                  <w:jc w:val="left"/>
                  <w:rPr>
                    <w:rFonts w:ascii="Calibri"/>
                    <w:sz w:val="22"/>
                  </w:rPr>
                </w:pPr>
                <w:r>
                  <w:rPr>
                    <w:rFonts w:ascii="Calibri"/>
                    <w:color w:val="8B8B8B"/>
                    <w:sz w:val="22"/>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9496"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47.700012pt;margin-top:751.280029pt;width:15.3pt;height:13.05pt;mso-position-horizontal-relative:page;mso-position-vertical-relative:page;z-index:-3394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8B8B8B"/>
                    <w:sz w:val="22"/>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9448"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47.700012pt;margin-top:751.280029pt;width:15.3pt;height:13.05pt;mso-position-horizontal-relative:page;mso-position-vertical-relative:page;z-index:-3394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8B8B8B"/>
                    <w:sz w:val="22"/>
                  </w:rPr>
                  <w:instrText> PAGE </w:instrText>
                </w:r>
                <w:r>
                  <w:rPr/>
                  <w:fldChar w:fldCharType="separate"/>
                </w:r>
                <w:r>
                  <w:rPr/>
                  <w:t>48</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9400"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48.700012pt;margin-top:751.280029pt;width:13.3pt;height:13.05pt;mso-position-horizontal-relative:page;mso-position-vertical-relative:page;z-index:-339376" type="#_x0000_t202" filled="false" stroked="false">
          <v:textbox inset="0,0,0,0">
            <w:txbxContent>
              <w:p>
                <w:pPr>
                  <w:spacing w:line="245" w:lineRule="exact" w:before="0"/>
                  <w:ind w:left="20" w:right="0" w:firstLine="0"/>
                  <w:jc w:val="left"/>
                  <w:rPr>
                    <w:rFonts w:ascii="Calibri"/>
                    <w:sz w:val="22"/>
                  </w:rPr>
                </w:pPr>
                <w:r>
                  <w:rPr>
                    <w:rFonts w:ascii="Calibri"/>
                    <w:color w:val="8B8B8B"/>
                    <w:sz w:val="22"/>
                  </w:rPr>
                  <w:t>50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9352"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47.700012pt;margin-top:751.280029pt;width:15.3pt;height:13.05pt;mso-position-horizontal-relative:page;mso-position-vertical-relative:page;z-index:-3393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8B8B8B"/>
                    <w:sz w:val="22"/>
                  </w:rPr>
                  <w:instrText> PAGE </w:instrText>
                </w:r>
                <w:r>
                  <w:rPr/>
                  <w:fldChar w:fldCharType="separate"/>
                </w:r>
                <w:r>
                  <w:rPr/>
                  <w:t>51</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569.450012pt;width:790.4pt;height:11.5pt;mso-position-horizontal-relative:page;mso-position-vertical-relative:page;z-index:-339304" coordorigin="15,11389" coordsize="15808,230" path="m15823,11619l15010,11619,15010,11389,14198,11389m15,11619l13741,11619,13741,11389,14198,11389e" filled="false" stroked="true" strokeweight=".75pt" strokecolor="#a4a4a4">
          <v:path arrowok="t"/>
          <w10:wrap type="none"/>
        </v:shape>
      </w:pict>
    </w:r>
    <w:r>
      <w:rPr/>
      <w:pict>
        <v:shape style="position:absolute;margin-left:711.26001pt;margin-top:571.280029pt;width:15.3pt;height:13.05pt;mso-position-horizontal-relative:page;mso-position-vertical-relative:page;z-index:-3392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8B8B8B"/>
                    <w:sz w:val="22"/>
                  </w:rPr>
                  <w:instrText> PAGE </w:instrText>
                </w:r>
                <w:r>
                  <w:rPr/>
                  <w:fldChar w:fldCharType="separate"/>
                </w:r>
                <w:r>
                  <w:rPr/>
                  <w:t>55</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569.450012pt;width:790.4pt;height:11.5pt;mso-position-horizontal-relative:page;mso-position-vertical-relative:page;z-index:-339256" coordorigin="15,11389" coordsize="15808,230" path="m15823,11619l15010,11619,15010,11389,14198,11389m15,11619l13741,11619,13741,11389,14198,11389e" filled="false" stroked="true" strokeweight=".75pt" strokecolor="#a4a4a4">
          <v:path arrowok="t"/>
          <w10:wrap type="none"/>
        </v:shape>
      </w:pict>
    </w:r>
    <w:r>
      <w:rPr/>
      <w:pict>
        <v:shape style="position:absolute;margin-left:712.26001pt;margin-top:571.280029pt;width:13.3pt;height:13.05pt;mso-position-horizontal-relative:page;mso-position-vertical-relative:page;z-index:-339232" type="#_x0000_t202" filled="false" stroked="false">
          <v:textbox inset="0,0,0,0">
            <w:txbxContent>
              <w:p>
                <w:pPr>
                  <w:spacing w:line="245" w:lineRule="exact" w:before="0"/>
                  <w:ind w:left="20" w:right="0" w:firstLine="0"/>
                  <w:jc w:val="left"/>
                  <w:rPr>
                    <w:rFonts w:ascii="Calibri"/>
                    <w:sz w:val="22"/>
                  </w:rPr>
                </w:pPr>
                <w:r>
                  <w:rPr>
                    <w:rFonts w:ascii="Calibri"/>
                    <w:color w:val="8B8B8B"/>
                    <w:sz w:val="22"/>
                  </w:rPr>
                  <w:t>60</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9208"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47.700012pt;margin-top:751.280029pt;width:15.3pt;height:13.05pt;mso-position-horizontal-relative:page;mso-position-vertical-relative:page;z-index:-3391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8B8B8B"/>
                    <w:sz w:val="22"/>
                  </w:rPr>
                  <w:instrText> PAGE </w:instrText>
                </w:r>
                <w:r>
                  <w:rPr/>
                  <w:fldChar w:fldCharType="separate"/>
                </w:r>
                <w:r>
                  <w:rPr/>
                  <w:t>61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9160"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48.700012pt;margin-top:751.280029pt;width:13.3pt;height:13.05pt;mso-position-horizontal-relative:page;mso-position-vertical-relative:page;z-index:-339136" type="#_x0000_t202" filled="false" stroked="false">
          <v:textbox inset="0,0,0,0">
            <w:txbxContent>
              <w:p>
                <w:pPr>
                  <w:spacing w:line="245" w:lineRule="exact" w:before="0"/>
                  <w:ind w:left="20" w:right="0" w:firstLine="0"/>
                  <w:jc w:val="left"/>
                  <w:rPr>
                    <w:rFonts w:ascii="Calibri"/>
                    <w:sz w:val="22"/>
                  </w:rPr>
                </w:pPr>
                <w:r>
                  <w:rPr>
                    <w:rFonts w:ascii="Calibri"/>
                    <w:color w:val="8B8B8B"/>
                    <w:sz w:val="22"/>
                  </w:rPr>
                  <w:t>70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9112"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47.700012pt;margin-top:751.280029pt;width:15.3pt;height:13.05pt;mso-position-horizontal-relative:page;mso-position-vertical-relative:page;z-index:-3390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8B8B8B"/>
                    <w:sz w:val="22"/>
                  </w:rPr>
                  <w:instrText> PAGE </w:instrText>
                </w:r>
                <w:r>
                  <w:rPr/>
                  <w:fldChar w:fldCharType="separate"/>
                </w:r>
                <w:r>
                  <w:rPr/>
                  <w:t>71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9064"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48.700012pt;margin-top:751.280029pt;width:13.3pt;height:13.05pt;mso-position-horizontal-relative:page;mso-position-vertical-relative:page;z-index:-339040" type="#_x0000_t202" filled="false" stroked="false">
          <v:textbox inset="0,0,0,0">
            <w:txbxContent>
              <w:p>
                <w:pPr>
                  <w:spacing w:line="245" w:lineRule="exact" w:before="0"/>
                  <w:ind w:left="20" w:right="0" w:firstLine="0"/>
                  <w:jc w:val="left"/>
                  <w:rPr>
                    <w:rFonts w:ascii="Calibri"/>
                    <w:sz w:val="22"/>
                  </w:rPr>
                </w:pPr>
                <w:r>
                  <w:rPr>
                    <w:rFonts w:ascii="Calibri"/>
                    <w:color w:val="8B8B8B"/>
                    <w:sz w:val="22"/>
                  </w:rPr>
                  <w:t>80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9016"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47.700012pt;margin-top:751.280029pt;width:15.3pt;height:13.05pt;mso-position-horizontal-relative:page;mso-position-vertical-relative:page;z-index:-3389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8B8B8B"/>
                    <w:sz w:val="22"/>
                  </w:rPr>
                  <w:instrText> PAGE </w:instrText>
                </w:r>
                <w:r>
                  <w:rPr/>
                  <w:fldChar w:fldCharType="separate"/>
                </w:r>
                <w:r>
                  <w:rPr/>
                  <w:t>81</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8968"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48.700012pt;margin-top:751.280029pt;width:13.3pt;height:13.05pt;mso-position-horizontal-relative:page;mso-position-vertical-relative:page;z-index:-338944" type="#_x0000_t202" filled="false" stroked="false">
          <v:textbox inset="0,0,0,0">
            <w:txbxContent>
              <w:p>
                <w:pPr>
                  <w:spacing w:line="245" w:lineRule="exact" w:before="0"/>
                  <w:ind w:left="20" w:right="0" w:firstLine="0"/>
                  <w:jc w:val="left"/>
                  <w:rPr>
                    <w:rFonts w:ascii="Calibri"/>
                    <w:sz w:val="22"/>
                  </w:rPr>
                </w:pPr>
                <w:r>
                  <w:rPr>
                    <w:rFonts w:ascii="Calibri"/>
                    <w:color w:val="8B8B8B"/>
                    <w:sz w:val="22"/>
                  </w:rPr>
                  <w:t>90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8920"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47.700012pt;margin-top:751.280029pt;width:15.3pt;height:13.05pt;mso-position-horizontal-relative:page;mso-position-vertical-relative:page;z-index:-3388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8B8B8B"/>
                    <w:sz w:val="22"/>
                  </w:rPr>
                  <w:instrText> PAGE </w:instrText>
                </w:r>
                <w:r>
                  <w:rPr/>
                  <w:fldChar w:fldCharType="separate"/>
                </w:r>
                <w:r>
                  <w:rPr/>
                  <w:t>91</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8872"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44.940002pt;margin-top:751.280029pt;width:20.75pt;height:13.05pt;mso-position-horizontal-relative:page;mso-position-vertical-relative:page;z-index:-3388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8B8B8B"/>
                    <w:sz w:val="22"/>
                  </w:rPr>
                  <w:instrText> PAGE </w:instrText>
                </w:r>
                <w:r>
                  <w:rPr/>
                  <w:fldChar w:fldCharType="separate"/>
                </w:r>
                <w:r>
                  <w:rPr/>
                  <w:t>100</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8824"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44.940002pt;margin-top:751.280029pt;width:20.75pt;height:13.05pt;mso-position-horizontal-relative:page;mso-position-vertical-relative:page;z-index:-3388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8B8B8B"/>
                    <w:sz w:val="22"/>
                  </w:rPr>
                  <w:instrText> PAGE </w:instrText>
                </w:r>
                <w:r>
                  <w:rPr/>
                  <w:fldChar w:fldCharType="separate"/>
                </w:r>
                <w:r>
                  <w:rPr/>
                  <w:t>110</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9880"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50.460022pt;margin-top:751.280029pt;width:9.6pt;height:13.05pt;mso-position-horizontal-relative:page;mso-position-vertical-relative:page;z-index:-3398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8B8B8B"/>
                    <w:w w:val="100"/>
                    <w:sz w:val="22"/>
                  </w:rPr>
                  <w:instrText> PAGE </w:instrText>
                </w:r>
                <w:r>
                  <w:rPr/>
                  <w:fldChar w:fldCharType="separate"/>
                </w:r>
                <w:r>
                  <w:rPr/>
                  <w:t>4</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8776"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44.940002pt;margin-top:751.280029pt;width:20.75pt;height:13.05pt;mso-position-horizontal-relative:page;mso-position-vertical-relative:page;z-index:-3387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8B8B8B"/>
                    <w:sz w:val="22"/>
                  </w:rPr>
                  <w:instrText> PAGE </w:instrText>
                </w:r>
                <w:r>
                  <w:rPr/>
                  <w:fldChar w:fldCharType="separate"/>
                </w:r>
                <w:r>
                  <w:rPr/>
                  <w:t>120</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75pt;margin-top:749.450012pt;width:610.4pt;height:11.5pt;mso-position-horizontal-relative:page;mso-position-vertical-relative:page;z-index:-338728"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44.940002pt;margin-top:751.280029pt;width:20.75pt;height:13.05pt;mso-position-horizontal-relative:page;mso-position-vertical-relative:page;z-index:-3387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8B8B8B"/>
                    <w:sz w:val="22"/>
                  </w:rPr>
                  <w:instrText> PAGE </w:instrText>
                </w:r>
                <w:r>
                  <w:rPr/>
                  <w:fldChar w:fldCharType="separate"/>
                </w:r>
                <w:r>
                  <w:rPr/>
                  <w:t>139</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8680"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44.940002pt;margin-top:751.280029pt;width:20.75pt;height:13.05pt;mso-position-horizontal-relative:page;mso-position-vertical-relative:page;z-index:-3386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8B8B8B"/>
                    <w:sz w:val="22"/>
                  </w:rPr>
                  <w:instrText> PAGE </w:instrText>
                </w:r>
                <w:r>
                  <w:rPr/>
                  <w:fldChar w:fldCharType="separate"/>
                </w:r>
                <w:r>
                  <w:rPr/>
                  <w:t>140</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9832"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48.700012pt;margin-top:751.280029pt;width:13.3pt;height:13.05pt;mso-position-horizontal-relative:page;mso-position-vertical-relative:page;z-index:-339808" type="#_x0000_t202" filled="false" stroked="false">
          <v:textbox inset="0,0,0,0">
            <w:txbxContent>
              <w:p>
                <w:pPr>
                  <w:spacing w:line="245" w:lineRule="exact" w:before="0"/>
                  <w:ind w:left="20" w:right="0" w:firstLine="0"/>
                  <w:jc w:val="left"/>
                  <w:rPr>
                    <w:rFonts w:ascii="Calibri"/>
                    <w:sz w:val="22"/>
                  </w:rPr>
                </w:pPr>
                <w:r>
                  <w:rPr>
                    <w:rFonts w:ascii="Calibri"/>
                    <w:color w:val="8B8B8B"/>
                    <w:sz w:val="22"/>
                  </w:rPr>
                  <w:t>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9784"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47.700012pt;margin-top:751.280029pt;width:15.3pt;height:13.05pt;mso-position-horizontal-relative:page;mso-position-vertical-relative:page;z-index:-3397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8B8B8B"/>
                    <w:sz w:val="22"/>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9736"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48.700012pt;margin-top:751.280029pt;width:13.3pt;height:13.05pt;mso-position-horizontal-relative:page;mso-position-vertical-relative:page;z-index:-339712" type="#_x0000_t202" filled="false" stroked="false">
          <v:textbox inset="0,0,0,0">
            <w:txbxContent>
              <w:p>
                <w:pPr>
                  <w:spacing w:line="245" w:lineRule="exact" w:before="0"/>
                  <w:ind w:left="20" w:right="0" w:firstLine="0"/>
                  <w:jc w:val="left"/>
                  <w:rPr>
                    <w:rFonts w:ascii="Calibri"/>
                    <w:sz w:val="22"/>
                  </w:rPr>
                </w:pPr>
                <w:r>
                  <w:rPr>
                    <w:rFonts w:ascii="Calibri"/>
                    <w:color w:val="8B8B8B"/>
                    <w:sz w:val="22"/>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9688"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47.700012pt;margin-top:751.280029pt;width:15.3pt;height:13.05pt;mso-position-horizontal-relative:page;mso-position-vertical-relative:page;z-index:-3396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8B8B8B"/>
                    <w:sz w:val="22"/>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9640"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48.700012pt;margin-top:751.280029pt;width:13.3pt;height:13.05pt;mso-position-horizontal-relative:page;mso-position-vertical-relative:page;z-index:-339616" type="#_x0000_t202" filled="false" stroked="false">
          <v:textbox inset="0,0,0,0">
            <w:txbxContent>
              <w:p>
                <w:pPr>
                  <w:spacing w:line="245" w:lineRule="exact" w:before="0"/>
                  <w:ind w:left="20" w:right="0" w:firstLine="0"/>
                  <w:jc w:val="left"/>
                  <w:rPr>
                    <w:rFonts w:ascii="Calibri"/>
                    <w:sz w:val="22"/>
                  </w:rPr>
                </w:pPr>
                <w:r>
                  <w:rPr>
                    <w:rFonts w:ascii="Calibri"/>
                    <w:color w:val="8B8B8B"/>
                    <w:sz w:val="22"/>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5pt;margin-top:749.450012pt;width:610.4pt;height:11.5pt;mso-position-horizontal-relative:page;mso-position-vertical-relative:page;z-index:-339592" coordorigin="15,14989" coordsize="12208,230" path="m12223,15219l11595,15219,11595,14989,10968,14989m15,15219l10615,15219,10615,14989,10968,14989e" filled="false" stroked="true" strokeweight=".75pt" strokecolor="#a4a4a4">
          <v:path arrowok="t"/>
          <w10:wrap type="none"/>
        </v:shape>
      </w:pict>
    </w:r>
    <w:r>
      <w:rPr/>
      <w:pict>
        <v:shape style="position:absolute;margin-left:547.700012pt;margin-top:751.280029pt;width:15.3pt;height:13.05pt;mso-position-horizontal-relative:page;mso-position-vertical-relative:page;z-index:-3395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color w:val="8B8B8B"/>
                    <w:sz w:val="22"/>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8">
    <w:multiLevelType w:val="hybridMultilevel"/>
    <w:lvl w:ilvl="0">
      <w:start w:val="1"/>
      <w:numFmt w:val="bullet"/>
      <w:lvlText w:val=""/>
      <w:lvlJc w:val="left"/>
      <w:pPr>
        <w:ind w:left="2422" w:hanging="360"/>
      </w:pPr>
      <w:rPr>
        <w:rFonts w:hint="default" w:ascii="Symbol" w:hAnsi="Symbol" w:eastAsia="Symbol" w:cs="Symbol"/>
        <w:w w:val="99"/>
        <w:sz w:val="32"/>
        <w:szCs w:val="32"/>
      </w:rPr>
    </w:lvl>
    <w:lvl w:ilvl="1">
      <w:start w:val="1"/>
      <w:numFmt w:val="bullet"/>
      <w:lvlText w:val="•"/>
      <w:lvlJc w:val="left"/>
      <w:pPr>
        <w:ind w:left="2754" w:hanging="360"/>
      </w:pPr>
      <w:rPr>
        <w:rFonts w:hint="default"/>
      </w:rPr>
    </w:lvl>
    <w:lvl w:ilvl="2">
      <w:start w:val="1"/>
      <w:numFmt w:val="bullet"/>
      <w:lvlText w:val="•"/>
      <w:lvlJc w:val="left"/>
      <w:pPr>
        <w:ind w:left="3089" w:hanging="360"/>
      </w:pPr>
      <w:rPr>
        <w:rFonts w:hint="default"/>
      </w:rPr>
    </w:lvl>
    <w:lvl w:ilvl="3">
      <w:start w:val="1"/>
      <w:numFmt w:val="bullet"/>
      <w:lvlText w:val="•"/>
      <w:lvlJc w:val="left"/>
      <w:pPr>
        <w:ind w:left="3424" w:hanging="360"/>
      </w:pPr>
      <w:rPr>
        <w:rFonts w:hint="default"/>
      </w:rPr>
    </w:lvl>
    <w:lvl w:ilvl="4">
      <w:start w:val="1"/>
      <w:numFmt w:val="bullet"/>
      <w:lvlText w:val="•"/>
      <w:lvlJc w:val="left"/>
      <w:pPr>
        <w:ind w:left="3759" w:hanging="360"/>
      </w:pPr>
      <w:rPr>
        <w:rFonts w:hint="default"/>
      </w:rPr>
    </w:lvl>
    <w:lvl w:ilvl="5">
      <w:start w:val="1"/>
      <w:numFmt w:val="bullet"/>
      <w:lvlText w:val="•"/>
      <w:lvlJc w:val="left"/>
      <w:pPr>
        <w:ind w:left="4094" w:hanging="360"/>
      </w:pPr>
      <w:rPr>
        <w:rFonts w:hint="default"/>
      </w:rPr>
    </w:lvl>
    <w:lvl w:ilvl="6">
      <w:start w:val="1"/>
      <w:numFmt w:val="bullet"/>
      <w:lvlText w:val="•"/>
      <w:lvlJc w:val="left"/>
      <w:pPr>
        <w:ind w:left="4429" w:hanging="360"/>
      </w:pPr>
      <w:rPr>
        <w:rFonts w:hint="default"/>
      </w:rPr>
    </w:lvl>
    <w:lvl w:ilvl="7">
      <w:start w:val="1"/>
      <w:numFmt w:val="bullet"/>
      <w:lvlText w:val="•"/>
      <w:lvlJc w:val="left"/>
      <w:pPr>
        <w:ind w:left="4764" w:hanging="360"/>
      </w:pPr>
      <w:rPr>
        <w:rFonts w:hint="default"/>
      </w:rPr>
    </w:lvl>
    <w:lvl w:ilvl="8">
      <w:start w:val="1"/>
      <w:numFmt w:val="bullet"/>
      <w:lvlText w:val="•"/>
      <w:lvlJc w:val="left"/>
      <w:pPr>
        <w:ind w:left="5099" w:hanging="360"/>
      </w:pPr>
      <w:rPr>
        <w:rFonts w:hint="default"/>
      </w:rPr>
    </w:lvl>
  </w:abstractNum>
  <w:abstractNum w:abstractNumId="27">
    <w:multiLevelType w:val="hybridMultilevel"/>
    <w:lvl w:ilvl="0">
      <w:start w:val="1"/>
      <w:numFmt w:val="bullet"/>
      <w:lvlText w:val=""/>
      <w:lvlJc w:val="left"/>
      <w:pPr>
        <w:ind w:left="1274" w:hanging="176"/>
      </w:pPr>
      <w:rPr>
        <w:rFonts w:hint="default" w:ascii="Symbol" w:hAnsi="Symbol" w:eastAsia="Symbol" w:cs="Symbol"/>
        <w:w w:val="100"/>
        <w:sz w:val="18"/>
        <w:szCs w:val="18"/>
      </w:rPr>
    </w:lvl>
    <w:lvl w:ilvl="1">
      <w:start w:val="1"/>
      <w:numFmt w:val="bullet"/>
      <w:lvlText w:val="•"/>
      <w:lvlJc w:val="left"/>
      <w:pPr>
        <w:ind w:left="2002" w:hanging="176"/>
      </w:pPr>
      <w:rPr>
        <w:rFonts w:hint="default"/>
      </w:rPr>
    </w:lvl>
    <w:lvl w:ilvl="2">
      <w:start w:val="1"/>
      <w:numFmt w:val="bullet"/>
      <w:lvlText w:val="•"/>
      <w:lvlJc w:val="left"/>
      <w:pPr>
        <w:ind w:left="2724" w:hanging="176"/>
      </w:pPr>
      <w:rPr>
        <w:rFonts w:hint="default"/>
      </w:rPr>
    </w:lvl>
    <w:lvl w:ilvl="3">
      <w:start w:val="1"/>
      <w:numFmt w:val="bullet"/>
      <w:lvlText w:val="•"/>
      <w:lvlJc w:val="left"/>
      <w:pPr>
        <w:ind w:left="3447" w:hanging="176"/>
      </w:pPr>
      <w:rPr>
        <w:rFonts w:hint="default"/>
      </w:rPr>
    </w:lvl>
    <w:lvl w:ilvl="4">
      <w:start w:val="1"/>
      <w:numFmt w:val="bullet"/>
      <w:lvlText w:val="•"/>
      <w:lvlJc w:val="left"/>
      <w:pPr>
        <w:ind w:left="4169" w:hanging="176"/>
      </w:pPr>
      <w:rPr>
        <w:rFonts w:hint="default"/>
      </w:rPr>
    </w:lvl>
    <w:lvl w:ilvl="5">
      <w:start w:val="1"/>
      <w:numFmt w:val="bullet"/>
      <w:lvlText w:val="•"/>
      <w:lvlJc w:val="left"/>
      <w:pPr>
        <w:ind w:left="4891" w:hanging="176"/>
      </w:pPr>
      <w:rPr>
        <w:rFonts w:hint="default"/>
      </w:rPr>
    </w:lvl>
    <w:lvl w:ilvl="6">
      <w:start w:val="1"/>
      <w:numFmt w:val="bullet"/>
      <w:lvlText w:val="•"/>
      <w:lvlJc w:val="left"/>
      <w:pPr>
        <w:ind w:left="5614" w:hanging="176"/>
      </w:pPr>
      <w:rPr>
        <w:rFonts w:hint="default"/>
      </w:rPr>
    </w:lvl>
    <w:lvl w:ilvl="7">
      <w:start w:val="1"/>
      <w:numFmt w:val="bullet"/>
      <w:lvlText w:val="•"/>
      <w:lvlJc w:val="left"/>
      <w:pPr>
        <w:ind w:left="6336" w:hanging="176"/>
      </w:pPr>
      <w:rPr>
        <w:rFonts w:hint="default"/>
      </w:rPr>
    </w:lvl>
    <w:lvl w:ilvl="8">
      <w:start w:val="1"/>
      <w:numFmt w:val="bullet"/>
      <w:lvlText w:val="•"/>
      <w:lvlJc w:val="left"/>
      <w:pPr>
        <w:ind w:left="7059" w:hanging="176"/>
      </w:pPr>
      <w:rPr>
        <w:rFonts w:hint="default"/>
      </w:rPr>
    </w:lvl>
  </w:abstractNum>
  <w:abstractNum w:abstractNumId="26">
    <w:multiLevelType w:val="hybridMultilevel"/>
    <w:lvl w:ilvl="0">
      <w:start w:val="1"/>
      <w:numFmt w:val="bullet"/>
      <w:lvlText w:val=""/>
      <w:lvlJc w:val="left"/>
      <w:pPr>
        <w:ind w:left="1274" w:hanging="176"/>
      </w:pPr>
      <w:rPr>
        <w:rFonts w:hint="default" w:ascii="Symbol" w:hAnsi="Symbol" w:eastAsia="Symbol" w:cs="Symbol"/>
        <w:w w:val="100"/>
        <w:sz w:val="18"/>
        <w:szCs w:val="18"/>
      </w:rPr>
    </w:lvl>
    <w:lvl w:ilvl="1">
      <w:start w:val="1"/>
      <w:numFmt w:val="bullet"/>
      <w:lvlText w:val="•"/>
      <w:lvlJc w:val="left"/>
      <w:pPr>
        <w:ind w:left="1390" w:hanging="176"/>
      </w:pPr>
      <w:rPr>
        <w:rFonts w:hint="default"/>
      </w:rPr>
    </w:lvl>
    <w:lvl w:ilvl="2">
      <w:start w:val="1"/>
      <w:numFmt w:val="bullet"/>
      <w:lvlText w:val="•"/>
      <w:lvlJc w:val="left"/>
      <w:pPr>
        <w:ind w:left="1501" w:hanging="176"/>
      </w:pPr>
      <w:rPr>
        <w:rFonts w:hint="default"/>
      </w:rPr>
    </w:lvl>
    <w:lvl w:ilvl="3">
      <w:start w:val="1"/>
      <w:numFmt w:val="bullet"/>
      <w:lvlText w:val="•"/>
      <w:lvlJc w:val="left"/>
      <w:pPr>
        <w:ind w:left="1611" w:hanging="176"/>
      </w:pPr>
      <w:rPr>
        <w:rFonts w:hint="default"/>
      </w:rPr>
    </w:lvl>
    <w:lvl w:ilvl="4">
      <w:start w:val="1"/>
      <w:numFmt w:val="bullet"/>
      <w:lvlText w:val="•"/>
      <w:lvlJc w:val="left"/>
      <w:pPr>
        <w:ind w:left="1722" w:hanging="176"/>
      </w:pPr>
      <w:rPr>
        <w:rFonts w:hint="default"/>
      </w:rPr>
    </w:lvl>
    <w:lvl w:ilvl="5">
      <w:start w:val="1"/>
      <w:numFmt w:val="bullet"/>
      <w:lvlText w:val="•"/>
      <w:lvlJc w:val="left"/>
      <w:pPr>
        <w:ind w:left="1833" w:hanging="176"/>
      </w:pPr>
      <w:rPr>
        <w:rFonts w:hint="default"/>
      </w:rPr>
    </w:lvl>
    <w:lvl w:ilvl="6">
      <w:start w:val="1"/>
      <w:numFmt w:val="bullet"/>
      <w:lvlText w:val="•"/>
      <w:lvlJc w:val="left"/>
      <w:pPr>
        <w:ind w:left="1943" w:hanging="176"/>
      </w:pPr>
      <w:rPr>
        <w:rFonts w:hint="default"/>
      </w:rPr>
    </w:lvl>
    <w:lvl w:ilvl="7">
      <w:start w:val="1"/>
      <w:numFmt w:val="bullet"/>
      <w:lvlText w:val="•"/>
      <w:lvlJc w:val="left"/>
      <w:pPr>
        <w:ind w:left="2054" w:hanging="176"/>
      </w:pPr>
      <w:rPr>
        <w:rFonts w:hint="default"/>
      </w:rPr>
    </w:lvl>
    <w:lvl w:ilvl="8">
      <w:start w:val="1"/>
      <w:numFmt w:val="bullet"/>
      <w:lvlText w:val="•"/>
      <w:lvlJc w:val="left"/>
      <w:pPr>
        <w:ind w:left="2165" w:hanging="176"/>
      </w:pPr>
      <w:rPr>
        <w:rFonts w:hint="default"/>
      </w:rPr>
    </w:lvl>
  </w:abstractNum>
  <w:abstractNum w:abstractNumId="17">
    <w:multiLevelType w:val="hybridMultilevel"/>
    <w:lvl w:ilvl="0">
      <w:start w:val="1"/>
      <w:numFmt w:val="bullet"/>
      <w:lvlText w:val=""/>
      <w:lvlJc w:val="left"/>
      <w:pPr>
        <w:ind w:left="1274" w:hanging="176"/>
      </w:pPr>
      <w:rPr>
        <w:rFonts w:hint="default" w:ascii="Symbol" w:hAnsi="Symbol" w:eastAsia="Symbol" w:cs="Symbol"/>
        <w:w w:val="100"/>
        <w:sz w:val="18"/>
        <w:szCs w:val="18"/>
      </w:rPr>
    </w:lvl>
    <w:lvl w:ilvl="1">
      <w:start w:val="1"/>
      <w:numFmt w:val="bullet"/>
      <w:lvlText w:val="•"/>
      <w:lvlJc w:val="left"/>
      <w:pPr>
        <w:ind w:left="1860" w:hanging="176"/>
      </w:pPr>
      <w:rPr>
        <w:rFonts w:hint="default"/>
      </w:rPr>
    </w:lvl>
    <w:lvl w:ilvl="2">
      <w:start w:val="1"/>
      <w:numFmt w:val="bullet"/>
      <w:lvlText w:val="•"/>
      <w:lvlJc w:val="left"/>
      <w:pPr>
        <w:ind w:left="2440" w:hanging="176"/>
      </w:pPr>
      <w:rPr>
        <w:rFonts w:hint="default"/>
      </w:rPr>
    </w:lvl>
    <w:lvl w:ilvl="3">
      <w:start w:val="1"/>
      <w:numFmt w:val="bullet"/>
      <w:lvlText w:val="•"/>
      <w:lvlJc w:val="left"/>
      <w:pPr>
        <w:ind w:left="3020" w:hanging="176"/>
      </w:pPr>
      <w:rPr>
        <w:rFonts w:hint="default"/>
      </w:rPr>
    </w:lvl>
    <w:lvl w:ilvl="4">
      <w:start w:val="1"/>
      <w:numFmt w:val="bullet"/>
      <w:lvlText w:val="•"/>
      <w:lvlJc w:val="left"/>
      <w:pPr>
        <w:ind w:left="3600" w:hanging="176"/>
      </w:pPr>
      <w:rPr>
        <w:rFonts w:hint="default"/>
      </w:rPr>
    </w:lvl>
    <w:lvl w:ilvl="5">
      <w:start w:val="1"/>
      <w:numFmt w:val="bullet"/>
      <w:lvlText w:val="•"/>
      <w:lvlJc w:val="left"/>
      <w:pPr>
        <w:ind w:left="4180" w:hanging="176"/>
      </w:pPr>
      <w:rPr>
        <w:rFonts w:hint="default"/>
      </w:rPr>
    </w:lvl>
    <w:lvl w:ilvl="6">
      <w:start w:val="1"/>
      <w:numFmt w:val="bullet"/>
      <w:lvlText w:val="•"/>
      <w:lvlJc w:val="left"/>
      <w:pPr>
        <w:ind w:left="4761" w:hanging="176"/>
      </w:pPr>
      <w:rPr>
        <w:rFonts w:hint="default"/>
      </w:rPr>
    </w:lvl>
    <w:lvl w:ilvl="7">
      <w:start w:val="1"/>
      <w:numFmt w:val="bullet"/>
      <w:lvlText w:val="•"/>
      <w:lvlJc w:val="left"/>
      <w:pPr>
        <w:ind w:left="5341" w:hanging="176"/>
      </w:pPr>
      <w:rPr>
        <w:rFonts w:hint="default"/>
      </w:rPr>
    </w:lvl>
    <w:lvl w:ilvl="8">
      <w:start w:val="1"/>
      <w:numFmt w:val="bullet"/>
      <w:lvlText w:val="•"/>
      <w:lvlJc w:val="left"/>
      <w:pPr>
        <w:ind w:left="5921" w:hanging="176"/>
      </w:pPr>
      <w:rPr>
        <w:rFonts w:hint="default"/>
      </w:rPr>
    </w:lvl>
  </w:abstractNum>
  <w:abstractNum w:abstractNumId="14">
    <w:multiLevelType w:val="hybridMultilevel"/>
    <w:lvl w:ilvl="0">
      <w:start w:val="1"/>
      <w:numFmt w:val="bullet"/>
      <w:lvlText w:val=""/>
      <w:lvlJc w:val="left"/>
      <w:pPr>
        <w:ind w:left="1274" w:hanging="176"/>
      </w:pPr>
      <w:rPr>
        <w:rFonts w:hint="default"/>
        <w:w w:val="100"/>
      </w:rPr>
    </w:lvl>
    <w:lvl w:ilvl="1">
      <w:start w:val="1"/>
      <w:numFmt w:val="bullet"/>
      <w:lvlText w:val="•"/>
      <w:lvlJc w:val="left"/>
      <w:pPr>
        <w:ind w:left="2736" w:hanging="176"/>
      </w:pPr>
      <w:rPr>
        <w:rFonts w:hint="default"/>
      </w:rPr>
    </w:lvl>
    <w:lvl w:ilvl="2">
      <w:start w:val="1"/>
      <w:numFmt w:val="bullet"/>
      <w:lvlText w:val="•"/>
      <w:lvlJc w:val="left"/>
      <w:pPr>
        <w:ind w:left="4192" w:hanging="176"/>
      </w:pPr>
      <w:rPr>
        <w:rFonts w:hint="default"/>
      </w:rPr>
    </w:lvl>
    <w:lvl w:ilvl="3">
      <w:start w:val="1"/>
      <w:numFmt w:val="bullet"/>
      <w:lvlText w:val="•"/>
      <w:lvlJc w:val="left"/>
      <w:pPr>
        <w:ind w:left="5648" w:hanging="176"/>
      </w:pPr>
      <w:rPr>
        <w:rFonts w:hint="default"/>
      </w:rPr>
    </w:lvl>
    <w:lvl w:ilvl="4">
      <w:start w:val="1"/>
      <w:numFmt w:val="bullet"/>
      <w:lvlText w:val="•"/>
      <w:lvlJc w:val="left"/>
      <w:pPr>
        <w:ind w:left="7104" w:hanging="176"/>
      </w:pPr>
      <w:rPr>
        <w:rFonts w:hint="default"/>
      </w:rPr>
    </w:lvl>
    <w:lvl w:ilvl="5">
      <w:start w:val="1"/>
      <w:numFmt w:val="bullet"/>
      <w:lvlText w:val="•"/>
      <w:lvlJc w:val="left"/>
      <w:pPr>
        <w:ind w:left="8560" w:hanging="176"/>
      </w:pPr>
      <w:rPr>
        <w:rFonts w:hint="default"/>
      </w:rPr>
    </w:lvl>
    <w:lvl w:ilvl="6">
      <w:start w:val="1"/>
      <w:numFmt w:val="bullet"/>
      <w:lvlText w:val="•"/>
      <w:lvlJc w:val="left"/>
      <w:pPr>
        <w:ind w:left="10016" w:hanging="176"/>
      </w:pPr>
      <w:rPr>
        <w:rFonts w:hint="default"/>
      </w:rPr>
    </w:lvl>
    <w:lvl w:ilvl="7">
      <w:start w:val="1"/>
      <w:numFmt w:val="bullet"/>
      <w:lvlText w:val="•"/>
      <w:lvlJc w:val="left"/>
      <w:pPr>
        <w:ind w:left="11472" w:hanging="176"/>
      </w:pPr>
      <w:rPr>
        <w:rFonts w:hint="default"/>
      </w:rPr>
    </w:lvl>
    <w:lvl w:ilvl="8">
      <w:start w:val="1"/>
      <w:numFmt w:val="bullet"/>
      <w:lvlText w:val="•"/>
      <w:lvlJc w:val="left"/>
      <w:pPr>
        <w:ind w:left="12928" w:hanging="176"/>
      </w:pPr>
      <w:rPr>
        <w:rFonts w:hint="default"/>
      </w:rPr>
    </w:lvl>
  </w:abstractNum>
  <w:abstractNum w:abstractNumId="11">
    <w:multiLevelType w:val="hybridMultilevel"/>
    <w:lvl w:ilvl="0">
      <w:start w:val="1"/>
      <w:numFmt w:val="bullet"/>
      <w:lvlText w:val=""/>
      <w:lvlJc w:val="left"/>
      <w:pPr>
        <w:ind w:left="2858" w:hanging="360"/>
      </w:pPr>
      <w:rPr>
        <w:rFonts w:hint="default" w:ascii="Symbol" w:hAnsi="Symbol" w:eastAsia="Symbol" w:cs="Symbol"/>
        <w:w w:val="100"/>
        <w:sz w:val="24"/>
        <w:szCs w:val="24"/>
      </w:rPr>
    </w:lvl>
    <w:lvl w:ilvl="1">
      <w:start w:val="1"/>
      <w:numFmt w:val="bullet"/>
      <w:lvlText w:val="•"/>
      <w:lvlJc w:val="left"/>
      <w:pPr>
        <w:ind w:left="3798" w:hanging="360"/>
      </w:pPr>
      <w:rPr>
        <w:rFonts w:hint="default"/>
      </w:rPr>
    </w:lvl>
    <w:lvl w:ilvl="2">
      <w:start w:val="1"/>
      <w:numFmt w:val="bullet"/>
      <w:lvlText w:val="•"/>
      <w:lvlJc w:val="left"/>
      <w:pPr>
        <w:ind w:left="4736" w:hanging="360"/>
      </w:pPr>
      <w:rPr>
        <w:rFonts w:hint="default"/>
      </w:rPr>
    </w:lvl>
    <w:lvl w:ilvl="3">
      <w:start w:val="1"/>
      <w:numFmt w:val="bullet"/>
      <w:lvlText w:val="•"/>
      <w:lvlJc w:val="left"/>
      <w:pPr>
        <w:ind w:left="5674" w:hanging="360"/>
      </w:pPr>
      <w:rPr>
        <w:rFonts w:hint="default"/>
      </w:rPr>
    </w:lvl>
    <w:lvl w:ilvl="4">
      <w:start w:val="1"/>
      <w:numFmt w:val="bullet"/>
      <w:lvlText w:val="•"/>
      <w:lvlJc w:val="left"/>
      <w:pPr>
        <w:ind w:left="6612" w:hanging="360"/>
      </w:pPr>
      <w:rPr>
        <w:rFonts w:hint="default"/>
      </w:rPr>
    </w:lvl>
    <w:lvl w:ilvl="5">
      <w:start w:val="1"/>
      <w:numFmt w:val="bullet"/>
      <w:lvlText w:val="•"/>
      <w:lvlJc w:val="left"/>
      <w:pPr>
        <w:ind w:left="7550" w:hanging="360"/>
      </w:pPr>
      <w:rPr>
        <w:rFonts w:hint="default"/>
      </w:rPr>
    </w:lvl>
    <w:lvl w:ilvl="6">
      <w:start w:val="1"/>
      <w:numFmt w:val="bullet"/>
      <w:lvlText w:val="•"/>
      <w:lvlJc w:val="left"/>
      <w:pPr>
        <w:ind w:left="8488" w:hanging="360"/>
      </w:pPr>
      <w:rPr>
        <w:rFonts w:hint="default"/>
      </w:rPr>
    </w:lvl>
    <w:lvl w:ilvl="7">
      <w:start w:val="1"/>
      <w:numFmt w:val="bullet"/>
      <w:lvlText w:val="•"/>
      <w:lvlJc w:val="left"/>
      <w:pPr>
        <w:ind w:left="9426" w:hanging="360"/>
      </w:pPr>
      <w:rPr>
        <w:rFonts w:hint="default"/>
      </w:rPr>
    </w:lvl>
    <w:lvl w:ilvl="8">
      <w:start w:val="1"/>
      <w:numFmt w:val="bullet"/>
      <w:lvlText w:val="•"/>
      <w:lvlJc w:val="left"/>
      <w:pPr>
        <w:ind w:left="10364" w:hanging="360"/>
      </w:pPr>
      <w:rPr>
        <w:rFonts w:hint="default"/>
      </w:rPr>
    </w:lvl>
  </w:abstractNum>
  <w:abstractNum w:abstractNumId="4">
    <w:multiLevelType w:val="hybridMultilevel"/>
    <w:lvl w:ilvl="0">
      <w:start w:val="1"/>
      <w:numFmt w:val="bullet"/>
      <w:lvlText w:val=""/>
      <w:lvlJc w:val="left"/>
      <w:pPr>
        <w:ind w:left="2551" w:hanging="281"/>
      </w:pPr>
      <w:rPr>
        <w:rFonts w:hint="default" w:ascii="Symbol" w:hAnsi="Symbol" w:eastAsia="Symbol" w:cs="Symbol"/>
        <w:w w:val="100"/>
        <w:sz w:val="24"/>
        <w:szCs w:val="24"/>
      </w:rPr>
    </w:lvl>
    <w:lvl w:ilvl="1">
      <w:start w:val="1"/>
      <w:numFmt w:val="bullet"/>
      <w:lvlText w:val="-"/>
      <w:lvlJc w:val="left"/>
      <w:pPr>
        <w:ind w:left="2858" w:hanging="360"/>
      </w:pPr>
      <w:rPr>
        <w:rFonts w:hint="default" w:ascii="Arial" w:hAnsi="Arial" w:eastAsia="Arial" w:cs="Arial"/>
        <w:spacing w:val="-33"/>
        <w:w w:val="99"/>
        <w:sz w:val="24"/>
        <w:szCs w:val="24"/>
      </w:rPr>
    </w:lvl>
    <w:lvl w:ilvl="2">
      <w:start w:val="1"/>
      <w:numFmt w:val="bullet"/>
      <w:lvlText w:val="•"/>
      <w:lvlJc w:val="left"/>
      <w:pPr>
        <w:ind w:left="3902" w:hanging="360"/>
      </w:pPr>
      <w:rPr>
        <w:rFonts w:hint="default"/>
      </w:rPr>
    </w:lvl>
    <w:lvl w:ilvl="3">
      <w:start w:val="1"/>
      <w:numFmt w:val="bullet"/>
      <w:lvlText w:val="•"/>
      <w:lvlJc w:val="left"/>
      <w:pPr>
        <w:ind w:left="4944" w:hanging="360"/>
      </w:pPr>
      <w:rPr>
        <w:rFonts w:hint="default"/>
      </w:rPr>
    </w:lvl>
    <w:lvl w:ilvl="4">
      <w:start w:val="1"/>
      <w:numFmt w:val="bullet"/>
      <w:lvlText w:val="•"/>
      <w:lvlJc w:val="left"/>
      <w:pPr>
        <w:ind w:left="5986" w:hanging="360"/>
      </w:pPr>
      <w:rPr>
        <w:rFonts w:hint="default"/>
      </w:rPr>
    </w:lvl>
    <w:lvl w:ilvl="5">
      <w:start w:val="1"/>
      <w:numFmt w:val="bullet"/>
      <w:lvlText w:val="•"/>
      <w:lvlJc w:val="left"/>
      <w:pPr>
        <w:ind w:left="7028" w:hanging="360"/>
      </w:pPr>
      <w:rPr>
        <w:rFonts w:hint="default"/>
      </w:rPr>
    </w:lvl>
    <w:lvl w:ilvl="6">
      <w:start w:val="1"/>
      <w:numFmt w:val="bullet"/>
      <w:lvlText w:val="•"/>
      <w:lvlJc w:val="left"/>
      <w:pPr>
        <w:ind w:left="8071" w:hanging="360"/>
      </w:pPr>
      <w:rPr>
        <w:rFonts w:hint="default"/>
      </w:rPr>
    </w:lvl>
    <w:lvl w:ilvl="7">
      <w:start w:val="1"/>
      <w:numFmt w:val="bullet"/>
      <w:lvlText w:val="•"/>
      <w:lvlJc w:val="left"/>
      <w:pPr>
        <w:ind w:left="9113" w:hanging="360"/>
      </w:pPr>
      <w:rPr>
        <w:rFonts w:hint="default"/>
      </w:rPr>
    </w:lvl>
    <w:lvl w:ilvl="8">
      <w:start w:val="1"/>
      <w:numFmt w:val="bullet"/>
      <w:lvlText w:val="•"/>
      <w:lvlJc w:val="left"/>
      <w:pPr>
        <w:ind w:left="10155" w:hanging="360"/>
      </w:pPr>
      <w:rPr>
        <w:rFonts w:hint="default"/>
      </w:rPr>
    </w:lvl>
  </w:abstractNum>
  <w:abstractNum w:abstractNumId="35">
    <w:multiLevelType w:val="hybridMultilevel"/>
    <w:lvl w:ilvl="0">
      <w:start w:val="1"/>
      <w:numFmt w:val="bullet"/>
      <w:lvlText w:val=""/>
      <w:lvlJc w:val="left"/>
      <w:pPr>
        <w:ind w:left="2138" w:hanging="360"/>
      </w:pPr>
      <w:rPr>
        <w:rFonts w:hint="default" w:ascii="Symbol" w:hAnsi="Symbol" w:eastAsia="Symbol" w:cs="Symbol"/>
        <w:w w:val="99"/>
        <w:sz w:val="32"/>
        <w:szCs w:val="32"/>
      </w:rPr>
    </w:lvl>
    <w:lvl w:ilvl="1">
      <w:start w:val="1"/>
      <w:numFmt w:val="bullet"/>
      <w:lvlText w:val="•"/>
      <w:lvlJc w:val="left"/>
      <w:pPr>
        <w:ind w:left="3150" w:hanging="360"/>
      </w:pPr>
      <w:rPr>
        <w:rFonts w:hint="default"/>
      </w:rPr>
    </w:lvl>
    <w:lvl w:ilvl="2">
      <w:start w:val="1"/>
      <w:numFmt w:val="bullet"/>
      <w:lvlText w:val="•"/>
      <w:lvlJc w:val="left"/>
      <w:pPr>
        <w:ind w:left="4160" w:hanging="360"/>
      </w:pPr>
      <w:rPr>
        <w:rFonts w:hint="default"/>
      </w:rPr>
    </w:lvl>
    <w:lvl w:ilvl="3">
      <w:start w:val="1"/>
      <w:numFmt w:val="bullet"/>
      <w:lvlText w:val="•"/>
      <w:lvlJc w:val="left"/>
      <w:pPr>
        <w:ind w:left="5170" w:hanging="360"/>
      </w:pPr>
      <w:rPr>
        <w:rFonts w:hint="default"/>
      </w:rPr>
    </w:lvl>
    <w:lvl w:ilvl="4">
      <w:start w:val="1"/>
      <w:numFmt w:val="bullet"/>
      <w:lvlText w:val="•"/>
      <w:lvlJc w:val="left"/>
      <w:pPr>
        <w:ind w:left="6180" w:hanging="360"/>
      </w:pPr>
      <w:rPr>
        <w:rFonts w:hint="default"/>
      </w:rPr>
    </w:lvl>
    <w:lvl w:ilvl="5">
      <w:start w:val="1"/>
      <w:numFmt w:val="bullet"/>
      <w:lvlText w:val="•"/>
      <w:lvlJc w:val="left"/>
      <w:pPr>
        <w:ind w:left="7190" w:hanging="360"/>
      </w:pPr>
      <w:rPr>
        <w:rFonts w:hint="default"/>
      </w:rPr>
    </w:lvl>
    <w:lvl w:ilvl="6">
      <w:start w:val="1"/>
      <w:numFmt w:val="bullet"/>
      <w:lvlText w:val="•"/>
      <w:lvlJc w:val="left"/>
      <w:pPr>
        <w:ind w:left="8200" w:hanging="360"/>
      </w:pPr>
      <w:rPr>
        <w:rFonts w:hint="default"/>
      </w:rPr>
    </w:lvl>
    <w:lvl w:ilvl="7">
      <w:start w:val="1"/>
      <w:numFmt w:val="bullet"/>
      <w:lvlText w:val="•"/>
      <w:lvlJc w:val="left"/>
      <w:pPr>
        <w:ind w:left="9210" w:hanging="360"/>
      </w:pPr>
      <w:rPr>
        <w:rFonts w:hint="default"/>
      </w:rPr>
    </w:lvl>
    <w:lvl w:ilvl="8">
      <w:start w:val="1"/>
      <w:numFmt w:val="bullet"/>
      <w:lvlText w:val="•"/>
      <w:lvlJc w:val="left"/>
      <w:pPr>
        <w:ind w:left="10220" w:hanging="360"/>
      </w:pPr>
      <w:rPr>
        <w:rFonts w:hint="default"/>
      </w:rPr>
    </w:lvl>
  </w:abstractNum>
  <w:abstractNum w:abstractNumId="34">
    <w:multiLevelType w:val="hybridMultilevel"/>
    <w:lvl w:ilvl="0">
      <w:start w:val="1"/>
      <w:numFmt w:val="decimal"/>
      <w:lvlText w:val="%1"/>
      <w:lvlJc w:val="left"/>
      <w:pPr>
        <w:ind w:left="339" w:hanging="191"/>
        <w:jc w:val="left"/>
      </w:pPr>
      <w:rPr>
        <w:rFonts w:hint="default"/>
      </w:rPr>
    </w:lvl>
    <w:lvl w:ilvl="1">
      <w:start w:val="4"/>
      <w:numFmt w:val="decimal"/>
      <w:lvlText w:val="%1.%2"/>
      <w:lvlJc w:val="left"/>
      <w:pPr>
        <w:ind w:left="339" w:hanging="191"/>
        <w:jc w:val="left"/>
      </w:pPr>
      <w:rPr>
        <w:rFonts w:hint="default" w:ascii="Arial" w:hAnsi="Arial" w:eastAsia="Arial" w:cs="Arial"/>
        <w:spacing w:val="-3"/>
        <w:w w:val="103"/>
        <w:sz w:val="13"/>
        <w:szCs w:val="13"/>
      </w:rPr>
    </w:lvl>
    <w:lvl w:ilvl="2">
      <w:start w:val="1"/>
      <w:numFmt w:val="bullet"/>
      <w:lvlText w:val="•"/>
      <w:lvlJc w:val="left"/>
      <w:pPr>
        <w:ind w:left="424" w:hanging="191"/>
      </w:pPr>
      <w:rPr>
        <w:rFonts w:hint="default"/>
      </w:rPr>
    </w:lvl>
    <w:lvl w:ilvl="3">
      <w:start w:val="1"/>
      <w:numFmt w:val="bullet"/>
      <w:lvlText w:val="•"/>
      <w:lvlJc w:val="left"/>
      <w:pPr>
        <w:ind w:left="467" w:hanging="191"/>
      </w:pPr>
      <w:rPr>
        <w:rFonts w:hint="default"/>
      </w:rPr>
    </w:lvl>
    <w:lvl w:ilvl="4">
      <w:start w:val="1"/>
      <w:numFmt w:val="bullet"/>
      <w:lvlText w:val="•"/>
      <w:lvlJc w:val="left"/>
      <w:pPr>
        <w:ind w:left="509" w:hanging="191"/>
      </w:pPr>
      <w:rPr>
        <w:rFonts w:hint="default"/>
      </w:rPr>
    </w:lvl>
    <w:lvl w:ilvl="5">
      <w:start w:val="1"/>
      <w:numFmt w:val="bullet"/>
      <w:lvlText w:val="•"/>
      <w:lvlJc w:val="left"/>
      <w:pPr>
        <w:ind w:left="552" w:hanging="191"/>
      </w:pPr>
      <w:rPr>
        <w:rFonts w:hint="default"/>
      </w:rPr>
    </w:lvl>
    <w:lvl w:ilvl="6">
      <w:start w:val="1"/>
      <w:numFmt w:val="bullet"/>
      <w:lvlText w:val="•"/>
      <w:lvlJc w:val="left"/>
      <w:pPr>
        <w:ind w:left="594" w:hanging="191"/>
      </w:pPr>
      <w:rPr>
        <w:rFonts w:hint="default"/>
      </w:rPr>
    </w:lvl>
    <w:lvl w:ilvl="7">
      <w:start w:val="1"/>
      <w:numFmt w:val="bullet"/>
      <w:lvlText w:val="•"/>
      <w:lvlJc w:val="left"/>
      <w:pPr>
        <w:ind w:left="637" w:hanging="191"/>
      </w:pPr>
      <w:rPr>
        <w:rFonts w:hint="default"/>
      </w:rPr>
    </w:lvl>
    <w:lvl w:ilvl="8">
      <w:start w:val="1"/>
      <w:numFmt w:val="bullet"/>
      <w:lvlText w:val="•"/>
      <w:lvlJc w:val="left"/>
      <w:pPr>
        <w:ind w:left="679" w:hanging="191"/>
      </w:pPr>
      <w:rPr>
        <w:rFonts w:hint="default"/>
      </w:rPr>
    </w:lvl>
  </w:abstractNum>
  <w:abstractNum w:abstractNumId="33">
    <w:multiLevelType w:val="hybridMultilevel"/>
    <w:lvl w:ilvl="0">
      <w:start w:val="13"/>
      <w:numFmt w:val="upperLetter"/>
      <w:lvlText w:val="%1."/>
      <w:lvlJc w:val="left"/>
      <w:pPr>
        <w:ind w:left="1702" w:hanging="358"/>
        <w:jc w:val="left"/>
      </w:pPr>
      <w:rPr>
        <w:rFonts w:hint="default" w:ascii="Arial" w:hAnsi="Arial" w:eastAsia="Arial" w:cs="Arial"/>
        <w:spacing w:val="-1"/>
        <w:w w:val="99"/>
        <w:sz w:val="24"/>
        <w:szCs w:val="24"/>
      </w:rPr>
    </w:lvl>
    <w:lvl w:ilvl="1">
      <w:start w:val="1"/>
      <w:numFmt w:val="decimal"/>
      <w:lvlText w:val="%2."/>
      <w:lvlJc w:val="left"/>
      <w:pPr>
        <w:ind w:left="2138" w:hanging="360"/>
        <w:jc w:val="left"/>
      </w:pPr>
      <w:rPr>
        <w:rFonts w:hint="default" w:ascii="Arial" w:hAnsi="Arial" w:eastAsia="Arial" w:cs="Arial"/>
        <w:b/>
        <w:bCs/>
        <w:w w:val="99"/>
        <w:sz w:val="24"/>
        <w:szCs w:val="24"/>
      </w:rPr>
    </w:lvl>
    <w:lvl w:ilvl="2">
      <w:start w:val="1"/>
      <w:numFmt w:val="bullet"/>
      <w:lvlText w:val="•"/>
      <w:lvlJc w:val="left"/>
      <w:pPr>
        <w:ind w:left="3262" w:hanging="360"/>
      </w:pPr>
      <w:rPr>
        <w:rFonts w:hint="default"/>
      </w:rPr>
    </w:lvl>
    <w:lvl w:ilvl="3">
      <w:start w:val="1"/>
      <w:numFmt w:val="bullet"/>
      <w:lvlText w:val="•"/>
      <w:lvlJc w:val="left"/>
      <w:pPr>
        <w:ind w:left="4384" w:hanging="360"/>
      </w:pPr>
      <w:rPr>
        <w:rFonts w:hint="default"/>
      </w:rPr>
    </w:lvl>
    <w:lvl w:ilvl="4">
      <w:start w:val="1"/>
      <w:numFmt w:val="bullet"/>
      <w:lvlText w:val="•"/>
      <w:lvlJc w:val="left"/>
      <w:pPr>
        <w:ind w:left="5506" w:hanging="360"/>
      </w:pPr>
      <w:rPr>
        <w:rFonts w:hint="default"/>
      </w:rPr>
    </w:lvl>
    <w:lvl w:ilvl="5">
      <w:start w:val="1"/>
      <w:numFmt w:val="bullet"/>
      <w:lvlText w:val="•"/>
      <w:lvlJc w:val="left"/>
      <w:pPr>
        <w:ind w:left="6628" w:hanging="360"/>
      </w:pPr>
      <w:rPr>
        <w:rFonts w:hint="default"/>
      </w:rPr>
    </w:lvl>
    <w:lvl w:ilvl="6">
      <w:start w:val="1"/>
      <w:numFmt w:val="bullet"/>
      <w:lvlText w:val="•"/>
      <w:lvlJc w:val="left"/>
      <w:pPr>
        <w:ind w:left="7751" w:hanging="360"/>
      </w:pPr>
      <w:rPr>
        <w:rFonts w:hint="default"/>
      </w:rPr>
    </w:lvl>
    <w:lvl w:ilvl="7">
      <w:start w:val="1"/>
      <w:numFmt w:val="bullet"/>
      <w:lvlText w:val="•"/>
      <w:lvlJc w:val="left"/>
      <w:pPr>
        <w:ind w:left="8873" w:hanging="360"/>
      </w:pPr>
      <w:rPr>
        <w:rFonts w:hint="default"/>
      </w:rPr>
    </w:lvl>
    <w:lvl w:ilvl="8">
      <w:start w:val="1"/>
      <w:numFmt w:val="bullet"/>
      <w:lvlText w:val="•"/>
      <w:lvlJc w:val="left"/>
      <w:pPr>
        <w:ind w:left="9995" w:hanging="360"/>
      </w:pPr>
      <w:rPr>
        <w:rFonts w:hint="default"/>
      </w:rPr>
    </w:lvl>
  </w:abstractNum>
  <w:abstractNum w:abstractNumId="32">
    <w:multiLevelType w:val="hybridMultilevel"/>
    <w:lvl w:ilvl="0">
      <w:start w:val="1"/>
      <w:numFmt w:val="bullet"/>
      <w:lvlText w:val=""/>
      <w:lvlJc w:val="left"/>
      <w:pPr>
        <w:ind w:left="1702" w:hanging="284"/>
      </w:pPr>
      <w:rPr>
        <w:rFonts w:hint="default" w:ascii="Symbol" w:hAnsi="Symbol" w:eastAsia="Symbol" w:cs="Symbol"/>
        <w:w w:val="100"/>
        <w:sz w:val="24"/>
        <w:szCs w:val="24"/>
      </w:rPr>
    </w:lvl>
    <w:lvl w:ilvl="1">
      <w:start w:val="1"/>
      <w:numFmt w:val="bullet"/>
      <w:lvlText w:val=""/>
      <w:lvlJc w:val="left"/>
      <w:pPr>
        <w:ind w:left="2138" w:hanging="360"/>
      </w:pPr>
      <w:rPr>
        <w:rFonts w:hint="default" w:ascii="Symbol" w:hAnsi="Symbol" w:eastAsia="Symbol" w:cs="Symbol"/>
        <w:w w:val="99"/>
        <w:sz w:val="32"/>
        <w:szCs w:val="32"/>
      </w:rPr>
    </w:lvl>
    <w:lvl w:ilvl="2">
      <w:start w:val="1"/>
      <w:numFmt w:val="bullet"/>
      <w:lvlText w:val="•"/>
      <w:lvlJc w:val="left"/>
      <w:pPr>
        <w:ind w:left="3262" w:hanging="360"/>
      </w:pPr>
      <w:rPr>
        <w:rFonts w:hint="default"/>
      </w:rPr>
    </w:lvl>
    <w:lvl w:ilvl="3">
      <w:start w:val="1"/>
      <w:numFmt w:val="bullet"/>
      <w:lvlText w:val="•"/>
      <w:lvlJc w:val="left"/>
      <w:pPr>
        <w:ind w:left="4384" w:hanging="360"/>
      </w:pPr>
      <w:rPr>
        <w:rFonts w:hint="default"/>
      </w:rPr>
    </w:lvl>
    <w:lvl w:ilvl="4">
      <w:start w:val="1"/>
      <w:numFmt w:val="bullet"/>
      <w:lvlText w:val="•"/>
      <w:lvlJc w:val="left"/>
      <w:pPr>
        <w:ind w:left="5506" w:hanging="360"/>
      </w:pPr>
      <w:rPr>
        <w:rFonts w:hint="default"/>
      </w:rPr>
    </w:lvl>
    <w:lvl w:ilvl="5">
      <w:start w:val="1"/>
      <w:numFmt w:val="bullet"/>
      <w:lvlText w:val="•"/>
      <w:lvlJc w:val="left"/>
      <w:pPr>
        <w:ind w:left="6628" w:hanging="360"/>
      </w:pPr>
      <w:rPr>
        <w:rFonts w:hint="default"/>
      </w:rPr>
    </w:lvl>
    <w:lvl w:ilvl="6">
      <w:start w:val="1"/>
      <w:numFmt w:val="bullet"/>
      <w:lvlText w:val="•"/>
      <w:lvlJc w:val="left"/>
      <w:pPr>
        <w:ind w:left="7751" w:hanging="360"/>
      </w:pPr>
      <w:rPr>
        <w:rFonts w:hint="default"/>
      </w:rPr>
    </w:lvl>
    <w:lvl w:ilvl="7">
      <w:start w:val="1"/>
      <w:numFmt w:val="bullet"/>
      <w:lvlText w:val="•"/>
      <w:lvlJc w:val="left"/>
      <w:pPr>
        <w:ind w:left="8873" w:hanging="360"/>
      </w:pPr>
      <w:rPr>
        <w:rFonts w:hint="default"/>
      </w:rPr>
    </w:lvl>
    <w:lvl w:ilvl="8">
      <w:start w:val="1"/>
      <w:numFmt w:val="bullet"/>
      <w:lvlText w:val="•"/>
      <w:lvlJc w:val="left"/>
      <w:pPr>
        <w:ind w:left="9995" w:hanging="360"/>
      </w:pPr>
      <w:rPr>
        <w:rFonts w:hint="default"/>
      </w:rPr>
    </w:lvl>
  </w:abstractNum>
  <w:abstractNum w:abstractNumId="31">
    <w:multiLevelType w:val="hybridMultilevel"/>
    <w:lvl w:ilvl="0">
      <w:start w:val="3"/>
      <w:numFmt w:val="decimal"/>
      <w:lvlText w:val="(%1)"/>
      <w:lvlJc w:val="left"/>
      <w:pPr>
        <w:ind w:left="1981" w:hanging="215"/>
        <w:jc w:val="left"/>
      </w:pPr>
      <w:rPr>
        <w:rFonts w:hint="default" w:ascii="Arial" w:hAnsi="Arial" w:eastAsia="Arial" w:cs="Arial"/>
        <w:spacing w:val="-1"/>
        <w:w w:val="101"/>
        <w:sz w:val="15"/>
        <w:szCs w:val="15"/>
      </w:rPr>
    </w:lvl>
    <w:lvl w:ilvl="1">
      <w:start w:val="1"/>
      <w:numFmt w:val="bullet"/>
      <w:lvlText w:val=""/>
      <w:lvlJc w:val="left"/>
      <w:pPr>
        <w:ind w:left="2422" w:hanging="293"/>
      </w:pPr>
      <w:rPr>
        <w:rFonts w:hint="default"/>
        <w:w w:val="100"/>
      </w:rPr>
    </w:lvl>
    <w:lvl w:ilvl="2">
      <w:start w:val="1"/>
      <w:numFmt w:val="bullet"/>
      <w:lvlText w:val="•"/>
      <w:lvlJc w:val="left"/>
      <w:pPr>
        <w:ind w:left="3511" w:hanging="293"/>
      </w:pPr>
      <w:rPr>
        <w:rFonts w:hint="default"/>
      </w:rPr>
    </w:lvl>
    <w:lvl w:ilvl="3">
      <w:start w:val="1"/>
      <w:numFmt w:val="bullet"/>
      <w:lvlText w:val="•"/>
      <w:lvlJc w:val="left"/>
      <w:pPr>
        <w:ind w:left="4602" w:hanging="293"/>
      </w:pPr>
      <w:rPr>
        <w:rFonts w:hint="default"/>
      </w:rPr>
    </w:lvl>
    <w:lvl w:ilvl="4">
      <w:start w:val="1"/>
      <w:numFmt w:val="bullet"/>
      <w:lvlText w:val="•"/>
      <w:lvlJc w:val="left"/>
      <w:pPr>
        <w:ind w:left="5693" w:hanging="293"/>
      </w:pPr>
      <w:rPr>
        <w:rFonts w:hint="default"/>
      </w:rPr>
    </w:lvl>
    <w:lvl w:ilvl="5">
      <w:start w:val="1"/>
      <w:numFmt w:val="bullet"/>
      <w:lvlText w:val="•"/>
      <w:lvlJc w:val="left"/>
      <w:pPr>
        <w:ind w:left="6784" w:hanging="293"/>
      </w:pPr>
      <w:rPr>
        <w:rFonts w:hint="default"/>
      </w:rPr>
    </w:lvl>
    <w:lvl w:ilvl="6">
      <w:start w:val="1"/>
      <w:numFmt w:val="bullet"/>
      <w:lvlText w:val="•"/>
      <w:lvlJc w:val="left"/>
      <w:pPr>
        <w:ind w:left="7875" w:hanging="293"/>
      </w:pPr>
      <w:rPr>
        <w:rFonts w:hint="default"/>
      </w:rPr>
    </w:lvl>
    <w:lvl w:ilvl="7">
      <w:start w:val="1"/>
      <w:numFmt w:val="bullet"/>
      <w:lvlText w:val="•"/>
      <w:lvlJc w:val="left"/>
      <w:pPr>
        <w:ind w:left="8966" w:hanging="293"/>
      </w:pPr>
      <w:rPr>
        <w:rFonts w:hint="default"/>
      </w:rPr>
    </w:lvl>
    <w:lvl w:ilvl="8">
      <w:start w:val="1"/>
      <w:numFmt w:val="bullet"/>
      <w:lvlText w:val="•"/>
      <w:lvlJc w:val="left"/>
      <w:pPr>
        <w:ind w:left="10057" w:hanging="293"/>
      </w:pPr>
      <w:rPr>
        <w:rFonts w:hint="default"/>
      </w:rPr>
    </w:lvl>
  </w:abstractNum>
  <w:abstractNum w:abstractNumId="30">
    <w:multiLevelType w:val="hybridMultilevel"/>
    <w:lvl w:ilvl="0">
      <w:start w:val="2"/>
      <w:numFmt w:val="decimal"/>
      <w:lvlText w:val="%1"/>
      <w:lvlJc w:val="left"/>
      <w:pPr>
        <w:ind w:left="1702" w:hanging="537"/>
        <w:jc w:val="right"/>
      </w:pPr>
      <w:rPr>
        <w:rFonts w:hint="default"/>
      </w:rPr>
    </w:lvl>
    <w:lvl w:ilvl="1">
      <w:start w:val="16"/>
      <w:numFmt w:val="decimal"/>
      <w:lvlText w:val="%1.%2"/>
      <w:lvlJc w:val="left"/>
      <w:pPr>
        <w:ind w:left="1702" w:hanging="537"/>
        <w:jc w:val="left"/>
      </w:pPr>
      <w:rPr>
        <w:rFonts w:hint="default" w:ascii="Arial" w:hAnsi="Arial" w:eastAsia="Arial" w:cs="Arial"/>
        <w:w w:val="99"/>
        <w:sz w:val="24"/>
        <w:szCs w:val="24"/>
      </w:rPr>
    </w:lvl>
    <w:lvl w:ilvl="2">
      <w:start w:val="1"/>
      <w:numFmt w:val="bullet"/>
      <w:lvlText w:val=""/>
      <w:lvlJc w:val="left"/>
      <w:pPr>
        <w:ind w:left="2410" w:hanging="281"/>
      </w:pPr>
      <w:rPr>
        <w:rFonts w:hint="default" w:ascii="Symbol" w:hAnsi="Symbol" w:eastAsia="Symbol" w:cs="Symbol"/>
        <w:w w:val="100"/>
        <w:sz w:val="24"/>
        <w:szCs w:val="24"/>
      </w:rPr>
    </w:lvl>
    <w:lvl w:ilvl="3">
      <w:start w:val="1"/>
      <w:numFmt w:val="bullet"/>
      <w:lvlText w:val="•"/>
      <w:lvlJc w:val="left"/>
      <w:pPr>
        <w:ind w:left="4602" w:hanging="281"/>
      </w:pPr>
      <w:rPr>
        <w:rFonts w:hint="default"/>
      </w:rPr>
    </w:lvl>
    <w:lvl w:ilvl="4">
      <w:start w:val="1"/>
      <w:numFmt w:val="bullet"/>
      <w:lvlText w:val="•"/>
      <w:lvlJc w:val="left"/>
      <w:pPr>
        <w:ind w:left="5693" w:hanging="281"/>
      </w:pPr>
      <w:rPr>
        <w:rFonts w:hint="default"/>
      </w:rPr>
    </w:lvl>
    <w:lvl w:ilvl="5">
      <w:start w:val="1"/>
      <w:numFmt w:val="bullet"/>
      <w:lvlText w:val="•"/>
      <w:lvlJc w:val="left"/>
      <w:pPr>
        <w:ind w:left="6784" w:hanging="281"/>
      </w:pPr>
      <w:rPr>
        <w:rFonts w:hint="default"/>
      </w:rPr>
    </w:lvl>
    <w:lvl w:ilvl="6">
      <w:start w:val="1"/>
      <w:numFmt w:val="bullet"/>
      <w:lvlText w:val="•"/>
      <w:lvlJc w:val="left"/>
      <w:pPr>
        <w:ind w:left="7875" w:hanging="281"/>
      </w:pPr>
      <w:rPr>
        <w:rFonts w:hint="default"/>
      </w:rPr>
    </w:lvl>
    <w:lvl w:ilvl="7">
      <w:start w:val="1"/>
      <w:numFmt w:val="bullet"/>
      <w:lvlText w:val="•"/>
      <w:lvlJc w:val="left"/>
      <w:pPr>
        <w:ind w:left="8966" w:hanging="281"/>
      </w:pPr>
      <w:rPr>
        <w:rFonts w:hint="default"/>
      </w:rPr>
    </w:lvl>
    <w:lvl w:ilvl="8">
      <w:start w:val="1"/>
      <w:numFmt w:val="bullet"/>
      <w:lvlText w:val="•"/>
      <w:lvlJc w:val="left"/>
      <w:pPr>
        <w:ind w:left="10057" w:hanging="281"/>
      </w:pPr>
      <w:rPr>
        <w:rFonts w:hint="default"/>
      </w:rPr>
    </w:lvl>
  </w:abstractNum>
  <w:abstractNum w:abstractNumId="29">
    <w:multiLevelType w:val="hybridMultilevel"/>
    <w:lvl w:ilvl="0">
      <w:start w:val="1"/>
      <w:numFmt w:val="bullet"/>
      <w:lvlText w:val=""/>
      <w:lvlJc w:val="left"/>
      <w:pPr>
        <w:ind w:left="1385" w:hanging="360"/>
      </w:pPr>
      <w:rPr>
        <w:rFonts w:hint="default" w:ascii="Symbol" w:hAnsi="Symbol" w:eastAsia="Symbol" w:cs="Symbol"/>
        <w:w w:val="99"/>
        <w:sz w:val="32"/>
        <w:szCs w:val="32"/>
      </w:rPr>
    </w:lvl>
    <w:lvl w:ilvl="1">
      <w:start w:val="1"/>
      <w:numFmt w:val="bullet"/>
      <w:lvlText w:val=""/>
      <w:lvlJc w:val="left"/>
      <w:pPr>
        <w:ind w:left="2422" w:hanging="360"/>
      </w:pPr>
      <w:rPr>
        <w:rFonts w:hint="default" w:ascii="Symbol" w:hAnsi="Symbol" w:eastAsia="Symbol" w:cs="Symbol"/>
        <w:w w:val="100"/>
        <w:sz w:val="24"/>
        <w:szCs w:val="24"/>
      </w:rPr>
    </w:lvl>
    <w:lvl w:ilvl="2">
      <w:start w:val="1"/>
      <w:numFmt w:val="bullet"/>
      <w:lvlText w:val="•"/>
      <w:lvlJc w:val="left"/>
      <w:pPr>
        <w:ind w:left="2865" w:hanging="360"/>
      </w:pPr>
      <w:rPr>
        <w:rFonts w:hint="default"/>
      </w:rPr>
    </w:lvl>
    <w:lvl w:ilvl="3">
      <w:start w:val="1"/>
      <w:numFmt w:val="bullet"/>
      <w:lvlText w:val="•"/>
      <w:lvlJc w:val="left"/>
      <w:pPr>
        <w:ind w:left="3311" w:hanging="360"/>
      </w:pPr>
      <w:rPr>
        <w:rFonts w:hint="default"/>
      </w:rPr>
    </w:lvl>
    <w:lvl w:ilvl="4">
      <w:start w:val="1"/>
      <w:numFmt w:val="bullet"/>
      <w:lvlText w:val="•"/>
      <w:lvlJc w:val="left"/>
      <w:pPr>
        <w:ind w:left="3757" w:hanging="360"/>
      </w:pPr>
      <w:rPr>
        <w:rFonts w:hint="default"/>
      </w:rPr>
    </w:lvl>
    <w:lvl w:ilvl="5">
      <w:start w:val="1"/>
      <w:numFmt w:val="bullet"/>
      <w:lvlText w:val="•"/>
      <w:lvlJc w:val="left"/>
      <w:pPr>
        <w:ind w:left="4202" w:hanging="360"/>
      </w:pPr>
      <w:rPr>
        <w:rFonts w:hint="default"/>
      </w:rPr>
    </w:lvl>
    <w:lvl w:ilvl="6">
      <w:start w:val="1"/>
      <w:numFmt w:val="bullet"/>
      <w:lvlText w:val="•"/>
      <w:lvlJc w:val="left"/>
      <w:pPr>
        <w:ind w:left="4648" w:hanging="360"/>
      </w:pPr>
      <w:rPr>
        <w:rFonts w:hint="default"/>
      </w:rPr>
    </w:lvl>
    <w:lvl w:ilvl="7">
      <w:start w:val="1"/>
      <w:numFmt w:val="bullet"/>
      <w:lvlText w:val="•"/>
      <w:lvlJc w:val="left"/>
      <w:pPr>
        <w:ind w:left="5094" w:hanging="360"/>
      </w:pPr>
      <w:rPr>
        <w:rFonts w:hint="default"/>
      </w:rPr>
    </w:lvl>
    <w:lvl w:ilvl="8">
      <w:start w:val="1"/>
      <w:numFmt w:val="bullet"/>
      <w:lvlText w:val="•"/>
      <w:lvlJc w:val="left"/>
      <w:pPr>
        <w:ind w:left="5539" w:hanging="360"/>
      </w:pPr>
      <w:rPr>
        <w:rFonts w:hint="default"/>
      </w:rPr>
    </w:lvl>
  </w:abstractNum>
  <w:abstractNum w:abstractNumId="25">
    <w:multiLevelType w:val="hybridMultilevel"/>
    <w:lvl w:ilvl="0">
      <w:start w:val="1"/>
      <w:numFmt w:val="bullet"/>
      <w:lvlText w:val=""/>
      <w:lvlJc w:val="left"/>
      <w:pPr>
        <w:ind w:left="283" w:hanging="176"/>
      </w:pPr>
      <w:rPr>
        <w:rFonts w:hint="default" w:ascii="Symbol" w:hAnsi="Symbol" w:eastAsia="Symbol" w:cs="Symbol"/>
        <w:w w:val="100"/>
        <w:sz w:val="18"/>
        <w:szCs w:val="18"/>
      </w:rPr>
    </w:lvl>
    <w:lvl w:ilvl="1">
      <w:start w:val="1"/>
      <w:numFmt w:val="bullet"/>
      <w:lvlText w:val="•"/>
      <w:lvlJc w:val="left"/>
      <w:pPr>
        <w:ind w:left="488" w:hanging="176"/>
      </w:pPr>
      <w:rPr>
        <w:rFonts w:hint="default"/>
      </w:rPr>
    </w:lvl>
    <w:lvl w:ilvl="2">
      <w:start w:val="1"/>
      <w:numFmt w:val="bullet"/>
      <w:lvlText w:val="•"/>
      <w:lvlJc w:val="left"/>
      <w:pPr>
        <w:ind w:left="697" w:hanging="176"/>
      </w:pPr>
      <w:rPr>
        <w:rFonts w:hint="default"/>
      </w:rPr>
    </w:lvl>
    <w:lvl w:ilvl="3">
      <w:start w:val="1"/>
      <w:numFmt w:val="bullet"/>
      <w:lvlText w:val="•"/>
      <w:lvlJc w:val="left"/>
      <w:pPr>
        <w:ind w:left="905" w:hanging="176"/>
      </w:pPr>
      <w:rPr>
        <w:rFonts w:hint="default"/>
      </w:rPr>
    </w:lvl>
    <w:lvl w:ilvl="4">
      <w:start w:val="1"/>
      <w:numFmt w:val="bullet"/>
      <w:lvlText w:val="•"/>
      <w:lvlJc w:val="left"/>
      <w:pPr>
        <w:ind w:left="1114" w:hanging="176"/>
      </w:pPr>
      <w:rPr>
        <w:rFonts w:hint="default"/>
      </w:rPr>
    </w:lvl>
    <w:lvl w:ilvl="5">
      <w:start w:val="1"/>
      <w:numFmt w:val="bullet"/>
      <w:lvlText w:val="•"/>
      <w:lvlJc w:val="left"/>
      <w:pPr>
        <w:ind w:left="1323" w:hanging="176"/>
      </w:pPr>
      <w:rPr>
        <w:rFonts w:hint="default"/>
      </w:rPr>
    </w:lvl>
    <w:lvl w:ilvl="6">
      <w:start w:val="1"/>
      <w:numFmt w:val="bullet"/>
      <w:lvlText w:val="•"/>
      <w:lvlJc w:val="left"/>
      <w:pPr>
        <w:ind w:left="1531" w:hanging="176"/>
      </w:pPr>
      <w:rPr>
        <w:rFonts w:hint="default"/>
      </w:rPr>
    </w:lvl>
    <w:lvl w:ilvl="7">
      <w:start w:val="1"/>
      <w:numFmt w:val="bullet"/>
      <w:lvlText w:val="•"/>
      <w:lvlJc w:val="left"/>
      <w:pPr>
        <w:ind w:left="1740" w:hanging="176"/>
      </w:pPr>
      <w:rPr>
        <w:rFonts w:hint="default"/>
      </w:rPr>
    </w:lvl>
    <w:lvl w:ilvl="8">
      <w:start w:val="1"/>
      <w:numFmt w:val="bullet"/>
      <w:lvlText w:val="•"/>
      <w:lvlJc w:val="left"/>
      <w:pPr>
        <w:ind w:left="1949" w:hanging="176"/>
      </w:pPr>
      <w:rPr>
        <w:rFonts w:hint="default"/>
      </w:rPr>
    </w:lvl>
  </w:abstractNum>
  <w:abstractNum w:abstractNumId="24">
    <w:multiLevelType w:val="hybridMultilevel"/>
    <w:lvl w:ilvl="0">
      <w:start w:val="1"/>
      <w:numFmt w:val="bullet"/>
      <w:lvlText w:val=""/>
      <w:lvlJc w:val="left"/>
      <w:pPr>
        <w:ind w:left="283" w:hanging="176"/>
      </w:pPr>
      <w:rPr>
        <w:rFonts w:hint="default" w:ascii="Symbol" w:hAnsi="Symbol" w:eastAsia="Symbol" w:cs="Symbol"/>
        <w:w w:val="100"/>
        <w:sz w:val="18"/>
        <w:szCs w:val="18"/>
      </w:rPr>
    </w:lvl>
    <w:lvl w:ilvl="1">
      <w:start w:val="1"/>
      <w:numFmt w:val="bullet"/>
      <w:lvlText w:val="•"/>
      <w:lvlJc w:val="left"/>
      <w:pPr>
        <w:ind w:left="488" w:hanging="176"/>
      </w:pPr>
      <w:rPr>
        <w:rFonts w:hint="default"/>
      </w:rPr>
    </w:lvl>
    <w:lvl w:ilvl="2">
      <w:start w:val="1"/>
      <w:numFmt w:val="bullet"/>
      <w:lvlText w:val="•"/>
      <w:lvlJc w:val="left"/>
      <w:pPr>
        <w:ind w:left="697" w:hanging="176"/>
      </w:pPr>
      <w:rPr>
        <w:rFonts w:hint="default"/>
      </w:rPr>
    </w:lvl>
    <w:lvl w:ilvl="3">
      <w:start w:val="1"/>
      <w:numFmt w:val="bullet"/>
      <w:lvlText w:val="•"/>
      <w:lvlJc w:val="left"/>
      <w:pPr>
        <w:ind w:left="905" w:hanging="176"/>
      </w:pPr>
      <w:rPr>
        <w:rFonts w:hint="default"/>
      </w:rPr>
    </w:lvl>
    <w:lvl w:ilvl="4">
      <w:start w:val="1"/>
      <w:numFmt w:val="bullet"/>
      <w:lvlText w:val="•"/>
      <w:lvlJc w:val="left"/>
      <w:pPr>
        <w:ind w:left="1114" w:hanging="176"/>
      </w:pPr>
      <w:rPr>
        <w:rFonts w:hint="default"/>
      </w:rPr>
    </w:lvl>
    <w:lvl w:ilvl="5">
      <w:start w:val="1"/>
      <w:numFmt w:val="bullet"/>
      <w:lvlText w:val="•"/>
      <w:lvlJc w:val="left"/>
      <w:pPr>
        <w:ind w:left="1323" w:hanging="176"/>
      </w:pPr>
      <w:rPr>
        <w:rFonts w:hint="default"/>
      </w:rPr>
    </w:lvl>
    <w:lvl w:ilvl="6">
      <w:start w:val="1"/>
      <w:numFmt w:val="bullet"/>
      <w:lvlText w:val="•"/>
      <w:lvlJc w:val="left"/>
      <w:pPr>
        <w:ind w:left="1531" w:hanging="176"/>
      </w:pPr>
      <w:rPr>
        <w:rFonts w:hint="default"/>
      </w:rPr>
    </w:lvl>
    <w:lvl w:ilvl="7">
      <w:start w:val="1"/>
      <w:numFmt w:val="bullet"/>
      <w:lvlText w:val="•"/>
      <w:lvlJc w:val="left"/>
      <w:pPr>
        <w:ind w:left="1740" w:hanging="176"/>
      </w:pPr>
      <w:rPr>
        <w:rFonts w:hint="default"/>
      </w:rPr>
    </w:lvl>
    <w:lvl w:ilvl="8">
      <w:start w:val="1"/>
      <w:numFmt w:val="bullet"/>
      <w:lvlText w:val="•"/>
      <w:lvlJc w:val="left"/>
      <w:pPr>
        <w:ind w:left="1949" w:hanging="176"/>
      </w:pPr>
      <w:rPr>
        <w:rFonts w:hint="default"/>
      </w:rPr>
    </w:lvl>
  </w:abstractNum>
  <w:abstractNum w:abstractNumId="23">
    <w:multiLevelType w:val="hybridMultilevel"/>
    <w:lvl w:ilvl="0">
      <w:start w:val="1"/>
      <w:numFmt w:val="bullet"/>
      <w:lvlText w:val=""/>
      <w:lvlJc w:val="left"/>
      <w:pPr>
        <w:ind w:left="283" w:hanging="176"/>
      </w:pPr>
      <w:rPr>
        <w:rFonts w:hint="default" w:ascii="Symbol" w:hAnsi="Symbol" w:eastAsia="Symbol" w:cs="Symbol"/>
        <w:w w:val="100"/>
        <w:sz w:val="18"/>
        <w:szCs w:val="18"/>
      </w:rPr>
    </w:lvl>
    <w:lvl w:ilvl="1">
      <w:start w:val="1"/>
      <w:numFmt w:val="bullet"/>
      <w:lvlText w:val="•"/>
      <w:lvlJc w:val="left"/>
      <w:pPr>
        <w:ind w:left="488" w:hanging="176"/>
      </w:pPr>
      <w:rPr>
        <w:rFonts w:hint="default"/>
      </w:rPr>
    </w:lvl>
    <w:lvl w:ilvl="2">
      <w:start w:val="1"/>
      <w:numFmt w:val="bullet"/>
      <w:lvlText w:val="•"/>
      <w:lvlJc w:val="left"/>
      <w:pPr>
        <w:ind w:left="697" w:hanging="176"/>
      </w:pPr>
      <w:rPr>
        <w:rFonts w:hint="default"/>
      </w:rPr>
    </w:lvl>
    <w:lvl w:ilvl="3">
      <w:start w:val="1"/>
      <w:numFmt w:val="bullet"/>
      <w:lvlText w:val="•"/>
      <w:lvlJc w:val="left"/>
      <w:pPr>
        <w:ind w:left="905" w:hanging="176"/>
      </w:pPr>
      <w:rPr>
        <w:rFonts w:hint="default"/>
      </w:rPr>
    </w:lvl>
    <w:lvl w:ilvl="4">
      <w:start w:val="1"/>
      <w:numFmt w:val="bullet"/>
      <w:lvlText w:val="•"/>
      <w:lvlJc w:val="left"/>
      <w:pPr>
        <w:ind w:left="1114" w:hanging="176"/>
      </w:pPr>
      <w:rPr>
        <w:rFonts w:hint="default"/>
      </w:rPr>
    </w:lvl>
    <w:lvl w:ilvl="5">
      <w:start w:val="1"/>
      <w:numFmt w:val="bullet"/>
      <w:lvlText w:val="•"/>
      <w:lvlJc w:val="left"/>
      <w:pPr>
        <w:ind w:left="1323" w:hanging="176"/>
      </w:pPr>
      <w:rPr>
        <w:rFonts w:hint="default"/>
      </w:rPr>
    </w:lvl>
    <w:lvl w:ilvl="6">
      <w:start w:val="1"/>
      <w:numFmt w:val="bullet"/>
      <w:lvlText w:val="•"/>
      <w:lvlJc w:val="left"/>
      <w:pPr>
        <w:ind w:left="1531" w:hanging="176"/>
      </w:pPr>
      <w:rPr>
        <w:rFonts w:hint="default"/>
      </w:rPr>
    </w:lvl>
    <w:lvl w:ilvl="7">
      <w:start w:val="1"/>
      <w:numFmt w:val="bullet"/>
      <w:lvlText w:val="•"/>
      <w:lvlJc w:val="left"/>
      <w:pPr>
        <w:ind w:left="1740" w:hanging="176"/>
      </w:pPr>
      <w:rPr>
        <w:rFonts w:hint="default"/>
      </w:rPr>
    </w:lvl>
    <w:lvl w:ilvl="8">
      <w:start w:val="1"/>
      <w:numFmt w:val="bullet"/>
      <w:lvlText w:val="•"/>
      <w:lvlJc w:val="left"/>
      <w:pPr>
        <w:ind w:left="1949" w:hanging="176"/>
      </w:pPr>
      <w:rPr>
        <w:rFonts w:hint="default"/>
      </w:rPr>
    </w:lvl>
  </w:abstractNum>
  <w:abstractNum w:abstractNumId="22">
    <w:multiLevelType w:val="hybridMultilevel"/>
    <w:lvl w:ilvl="0">
      <w:start w:val="1"/>
      <w:numFmt w:val="bullet"/>
      <w:lvlText w:val=""/>
      <w:lvlJc w:val="left"/>
      <w:pPr>
        <w:ind w:left="283" w:hanging="176"/>
      </w:pPr>
      <w:rPr>
        <w:rFonts w:hint="default" w:ascii="Symbol" w:hAnsi="Symbol" w:eastAsia="Symbol" w:cs="Symbol"/>
        <w:w w:val="100"/>
        <w:sz w:val="18"/>
        <w:szCs w:val="18"/>
      </w:rPr>
    </w:lvl>
    <w:lvl w:ilvl="1">
      <w:start w:val="1"/>
      <w:numFmt w:val="bullet"/>
      <w:lvlText w:val="•"/>
      <w:lvlJc w:val="left"/>
      <w:pPr>
        <w:ind w:left="488" w:hanging="176"/>
      </w:pPr>
      <w:rPr>
        <w:rFonts w:hint="default"/>
      </w:rPr>
    </w:lvl>
    <w:lvl w:ilvl="2">
      <w:start w:val="1"/>
      <w:numFmt w:val="bullet"/>
      <w:lvlText w:val="•"/>
      <w:lvlJc w:val="left"/>
      <w:pPr>
        <w:ind w:left="697" w:hanging="176"/>
      </w:pPr>
      <w:rPr>
        <w:rFonts w:hint="default"/>
      </w:rPr>
    </w:lvl>
    <w:lvl w:ilvl="3">
      <w:start w:val="1"/>
      <w:numFmt w:val="bullet"/>
      <w:lvlText w:val="•"/>
      <w:lvlJc w:val="left"/>
      <w:pPr>
        <w:ind w:left="905" w:hanging="176"/>
      </w:pPr>
      <w:rPr>
        <w:rFonts w:hint="default"/>
      </w:rPr>
    </w:lvl>
    <w:lvl w:ilvl="4">
      <w:start w:val="1"/>
      <w:numFmt w:val="bullet"/>
      <w:lvlText w:val="•"/>
      <w:lvlJc w:val="left"/>
      <w:pPr>
        <w:ind w:left="1114" w:hanging="176"/>
      </w:pPr>
      <w:rPr>
        <w:rFonts w:hint="default"/>
      </w:rPr>
    </w:lvl>
    <w:lvl w:ilvl="5">
      <w:start w:val="1"/>
      <w:numFmt w:val="bullet"/>
      <w:lvlText w:val="•"/>
      <w:lvlJc w:val="left"/>
      <w:pPr>
        <w:ind w:left="1323" w:hanging="176"/>
      </w:pPr>
      <w:rPr>
        <w:rFonts w:hint="default"/>
      </w:rPr>
    </w:lvl>
    <w:lvl w:ilvl="6">
      <w:start w:val="1"/>
      <w:numFmt w:val="bullet"/>
      <w:lvlText w:val="•"/>
      <w:lvlJc w:val="left"/>
      <w:pPr>
        <w:ind w:left="1531" w:hanging="176"/>
      </w:pPr>
      <w:rPr>
        <w:rFonts w:hint="default"/>
      </w:rPr>
    </w:lvl>
    <w:lvl w:ilvl="7">
      <w:start w:val="1"/>
      <w:numFmt w:val="bullet"/>
      <w:lvlText w:val="•"/>
      <w:lvlJc w:val="left"/>
      <w:pPr>
        <w:ind w:left="1740" w:hanging="176"/>
      </w:pPr>
      <w:rPr>
        <w:rFonts w:hint="default"/>
      </w:rPr>
    </w:lvl>
    <w:lvl w:ilvl="8">
      <w:start w:val="1"/>
      <w:numFmt w:val="bullet"/>
      <w:lvlText w:val="•"/>
      <w:lvlJc w:val="left"/>
      <w:pPr>
        <w:ind w:left="1949" w:hanging="176"/>
      </w:pPr>
      <w:rPr>
        <w:rFonts w:hint="default"/>
      </w:rPr>
    </w:lvl>
  </w:abstractNum>
  <w:abstractNum w:abstractNumId="21">
    <w:multiLevelType w:val="hybridMultilevel"/>
    <w:lvl w:ilvl="0">
      <w:start w:val="1"/>
      <w:numFmt w:val="bullet"/>
      <w:lvlText w:val=""/>
      <w:lvlJc w:val="left"/>
      <w:pPr>
        <w:ind w:left="283" w:hanging="176"/>
      </w:pPr>
      <w:rPr>
        <w:rFonts w:hint="default" w:ascii="Symbol" w:hAnsi="Symbol" w:eastAsia="Symbol" w:cs="Symbol"/>
        <w:w w:val="100"/>
        <w:sz w:val="18"/>
        <w:szCs w:val="18"/>
      </w:rPr>
    </w:lvl>
    <w:lvl w:ilvl="1">
      <w:start w:val="1"/>
      <w:numFmt w:val="bullet"/>
      <w:lvlText w:val="•"/>
      <w:lvlJc w:val="left"/>
      <w:pPr>
        <w:ind w:left="488" w:hanging="176"/>
      </w:pPr>
      <w:rPr>
        <w:rFonts w:hint="default"/>
      </w:rPr>
    </w:lvl>
    <w:lvl w:ilvl="2">
      <w:start w:val="1"/>
      <w:numFmt w:val="bullet"/>
      <w:lvlText w:val="•"/>
      <w:lvlJc w:val="left"/>
      <w:pPr>
        <w:ind w:left="697" w:hanging="176"/>
      </w:pPr>
      <w:rPr>
        <w:rFonts w:hint="default"/>
      </w:rPr>
    </w:lvl>
    <w:lvl w:ilvl="3">
      <w:start w:val="1"/>
      <w:numFmt w:val="bullet"/>
      <w:lvlText w:val="•"/>
      <w:lvlJc w:val="left"/>
      <w:pPr>
        <w:ind w:left="905" w:hanging="176"/>
      </w:pPr>
      <w:rPr>
        <w:rFonts w:hint="default"/>
      </w:rPr>
    </w:lvl>
    <w:lvl w:ilvl="4">
      <w:start w:val="1"/>
      <w:numFmt w:val="bullet"/>
      <w:lvlText w:val="•"/>
      <w:lvlJc w:val="left"/>
      <w:pPr>
        <w:ind w:left="1114" w:hanging="176"/>
      </w:pPr>
      <w:rPr>
        <w:rFonts w:hint="default"/>
      </w:rPr>
    </w:lvl>
    <w:lvl w:ilvl="5">
      <w:start w:val="1"/>
      <w:numFmt w:val="bullet"/>
      <w:lvlText w:val="•"/>
      <w:lvlJc w:val="left"/>
      <w:pPr>
        <w:ind w:left="1323" w:hanging="176"/>
      </w:pPr>
      <w:rPr>
        <w:rFonts w:hint="default"/>
      </w:rPr>
    </w:lvl>
    <w:lvl w:ilvl="6">
      <w:start w:val="1"/>
      <w:numFmt w:val="bullet"/>
      <w:lvlText w:val="•"/>
      <w:lvlJc w:val="left"/>
      <w:pPr>
        <w:ind w:left="1531" w:hanging="176"/>
      </w:pPr>
      <w:rPr>
        <w:rFonts w:hint="default"/>
      </w:rPr>
    </w:lvl>
    <w:lvl w:ilvl="7">
      <w:start w:val="1"/>
      <w:numFmt w:val="bullet"/>
      <w:lvlText w:val="•"/>
      <w:lvlJc w:val="left"/>
      <w:pPr>
        <w:ind w:left="1740" w:hanging="176"/>
      </w:pPr>
      <w:rPr>
        <w:rFonts w:hint="default"/>
      </w:rPr>
    </w:lvl>
    <w:lvl w:ilvl="8">
      <w:start w:val="1"/>
      <w:numFmt w:val="bullet"/>
      <w:lvlText w:val="•"/>
      <w:lvlJc w:val="left"/>
      <w:pPr>
        <w:ind w:left="1949" w:hanging="176"/>
      </w:pPr>
      <w:rPr>
        <w:rFonts w:hint="default"/>
      </w:rPr>
    </w:lvl>
  </w:abstractNum>
  <w:abstractNum w:abstractNumId="20">
    <w:multiLevelType w:val="hybridMultilevel"/>
    <w:lvl w:ilvl="0">
      <w:start w:val="1"/>
      <w:numFmt w:val="bullet"/>
      <w:lvlText w:val=""/>
      <w:lvlJc w:val="left"/>
      <w:pPr>
        <w:ind w:left="283" w:hanging="176"/>
      </w:pPr>
      <w:rPr>
        <w:rFonts w:hint="default" w:ascii="Symbol" w:hAnsi="Symbol" w:eastAsia="Symbol" w:cs="Symbol"/>
        <w:w w:val="100"/>
        <w:sz w:val="18"/>
        <w:szCs w:val="18"/>
      </w:rPr>
    </w:lvl>
    <w:lvl w:ilvl="1">
      <w:start w:val="1"/>
      <w:numFmt w:val="bullet"/>
      <w:lvlText w:val="•"/>
      <w:lvlJc w:val="left"/>
      <w:pPr>
        <w:ind w:left="488" w:hanging="176"/>
      </w:pPr>
      <w:rPr>
        <w:rFonts w:hint="default"/>
      </w:rPr>
    </w:lvl>
    <w:lvl w:ilvl="2">
      <w:start w:val="1"/>
      <w:numFmt w:val="bullet"/>
      <w:lvlText w:val="•"/>
      <w:lvlJc w:val="left"/>
      <w:pPr>
        <w:ind w:left="697" w:hanging="176"/>
      </w:pPr>
      <w:rPr>
        <w:rFonts w:hint="default"/>
      </w:rPr>
    </w:lvl>
    <w:lvl w:ilvl="3">
      <w:start w:val="1"/>
      <w:numFmt w:val="bullet"/>
      <w:lvlText w:val="•"/>
      <w:lvlJc w:val="left"/>
      <w:pPr>
        <w:ind w:left="905" w:hanging="176"/>
      </w:pPr>
      <w:rPr>
        <w:rFonts w:hint="default"/>
      </w:rPr>
    </w:lvl>
    <w:lvl w:ilvl="4">
      <w:start w:val="1"/>
      <w:numFmt w:val="bullet"/>
      <w:lvlText w:val="•"/>
      <w:lvlJc w:val="left"/>
      <w:pPr>
        <w:ind w:left="1114" w:hanging="176"/>
      </w:pPr>
      <w:rPr>
        <w:rFonts w:hint="default"/>
      </w:rPr>
    </w:lvl>
    <w:lvl w:ilvl="5">
      <w:start w:val="1"/>
      <w:numFmt w:val="bullet"/>
      <w:lvlText w:val="•"/>
      <w:lvlJc w:val="left"/>
      <w:pPr>
        <w:ind w:left="1323" w:hanging="176"/>
      </w:pPr>
      <w:rPr>
        <w:rFonts w:hint="default"/>
      </w:rPr>
    </w:lvl>
    <w:lvl w:ilvl="6">
      <w:start w:val="1"/>
      <w:numFmt w:val="bullet"/>
      <w:lvlText w:val="•"/>
      <w:lvlJc w:val="left"/>
      <w:pPr>
        <w:ind w:left="1531" w:hanging="176"/>
      </w:pPr>
      <w:rPr>
        <w:rFonts w:hint="default"/>
      </w:rPr>
    </w:lvl>
    <w:lvl w:ilvl="7">
      <w:start w:val="1"/>
      <w:numFmt w:val="bullet"/>
      <w:lvlText w:val="•"/>
      <w:lvlJc w:val="left"/>
      <w:pPr>
        <w:ind w:left="1740" w:hanging="176"/>
      </w:pPr>
      <w:rPr>
        <w:rFonts w:hint="default"/>
      </w:rPr>
    </w:lvl>
    <w:lvl w:ilvl="8">
      <w:start w:val="1"/>
      <w:numFmt w:val="bullet"/>
      <w:lvlText w:val="•"/>
      <w:lvlJc w:val="left"/>
      <w:pPr>
        <w:ind w:left="1949" w:hanging="176"/>
      </w:pPr>
      <w:rPr>
        <w:rFonts w:hint="default"/>
      </w:rPr>
    </w:lvl>
  </w:abstractNum>
  <w:abstractNum w:abstractNumId="19">
    <w:multiLevelType w:val="hybridMultilevel"/>
    <w:lvl w:ilvl="0">
      <w:start w:val="1"/>
      <w:numFmt w:val="bullet"/>
      <w:lvlText w:val=""/>
      <w:lvlJc w:val="left"/>
      <w:pPr>
        <w:ind w:left="283" w:hanging="176"/>
      </w:pPr>
      <w:rPr>
        <w:rFonts w:hint="default" w:ascii="Symbol" w:hAnsi="Symbol" w:eastAsia="Symbol" w:cs="Symbol"/>
        <w:w w:val="100"/>
        <w:sz w:val="18"/>
        <w:szCs w:val="18"/>
      </w:rPr>
    </w:lvl>
    <w:lvl w:ilvl="1">
      <w:start w:val="1"/>
      <w:numFmt w:val="bullet"/>
      <w:lvlText w:val="•"/>
      <w:lvlJc w:val="left"/>
      <w:pPr>
        <w:ind w:left="488" w:hanging="176"/>
      </w:pPr>
      <w:rPr>
        <w:rFonts w:hint="default"/>
      </w:rPr>
    </w:lvl>
    <w:lvl w:ilvl="2">
      <w:start w:val="1"/>
      <w:numFmt w:val="bullet"/>
      <w:lvlText w:val="•"/>
      <w:lvlJc w:val="left"/>
      <w:pPr>
        <w:ind w:left="697" w:hanging="176"/>
      </w:pPr>
      <w:rPr>
        <w:rFonts w:hint="default"/>
      </w:rPr>
    </w:lvl>
    <w:lvl w:ilvl="3">
      <w:start w:val="1"/>
      <w:numFmt w:val="bullet"/>
      <w:lvlText w:val="•"/>
      <w:lvlJc w:val="left"/>
      <w:pPr>
        <w:ind w:left="905" w:hanging="176"/>
      </w:pPr>
      <w:rPr>
        <w:rFonts w:hint="default"/>
      </w:rPr>
    </w:lvl>
    <w:lvl w:ilvl="4">
      <w:start w:val="1"/>
      <w:numFmt w:val="bullet"/>
      <w:lvlText w:val="•"/>
      <w:lvlJc w:val="left"/>
      <w:pPr>
        <w:ind w:left="1114" w:hanging="176"/>
      </w:pPr>
      <w:rPr>
        <w:rFonts w:hint="default"/>
      </w:rPr>
    </w:lvl>
    <w:lvl w:ilvl="5">
      <w:start w:val="1"/>
      <w:numFmt w:val="bullet"/>
      <w:lvlText w:val="•"/>
      <w:lvlJc w:val="left"/>
      <w:pPr>
        <w:ind w:left="1323" w:hanging="176"/>
      </w:pPr>
      <w:rPr>
        <w:rFonts w:hint="default"/>
      </w:rPr>
    </w:lvl>
    <w:lvl w:ilvl="6">
      <w:start w:val="1"/>
      <w:numFmt w:val="bullet"/>
      <w:lvlText w:val="•"/>
      <w:lvlJc w:val="left"/>
      <w:pPr>
        <w:ind w:left="1531" w:hanging="176"/>
      </w:pPr>
      <w:rPr>
        <w:rFonts w:hint="default"/>
      </w:rPr>
    </w:lvl>
    <w:lvl w:ilvl="7">
      <w:start w:val="1"/>
      <w:numFmt w:val="bullet"/>
      <w:lvlText w:val="•"/>
      <w:lvlJc w:val="left"/>
      <w:pPr>
        <w:ind w:left="1740" w:hanging="176"/>
      </w:pPr>
      <w:rPr>
        <w:rFonts w:hint="default"/>
      </w:rPr>
    </w:lvl>
    <w:lvl w:ilvl="8">
      <w:start w:val="1"/>
      <w:numFmt w:val="bullet"/>
      <w:lvlText w:val="•"/>
      <w:lvlJc w:val="left"/>
      <w:pPr>
        <w:ind w:left="1949" w:hanging="176"/>
      </w:pPr>
      <w:rPr>
        <w:rFonts w:hint="default"/>
      </w:rPr>
    </w:lvl>
  </w:abstractNum>
  <w:abstractNum w:abstractNumId="18">
    <w:multiLevelType w:val="hybridMultilevel"/>
    <w:lvl w:ilvl="0">
      <w:start w:val="1"/>
      <w:numFmt w:val="bullet"/>
      <w:lvlText w:val=""/>
      <w:lvlJc w:val="left"/>
      <w:pPr>
        <w:ind w:left="283" w:hanging="176"/>
      </w:pPr>
      <w:rPr>
        <w:rFonts w:hint="default" w:ascii="Symbol" w:hAnsi="Symbol" w:eastAsia="Symbol" w:cs="Symbol"/>
        <w:w w:val="100"/>
        <w:sz w:val="18"/>
        <w:szCs w:val="18"/>
      </w:rPr>
    </w:lvl>
    <w:lvl w:ilvl="1">
      <w:start w:val="1"/>
      <w:numFmt w:val="bullet"/>
      <w:lvlText w:val="•"/>
      <w:lvlJc w:val="left"/>
      <w:pPr>
        <w:ind w:left="488" w:hanging="176"/>
      </w:pPr>
      <w:rPr>
        <w:rFonts w:hint="default"/>
      </w:rPr>
    </w:lvl>
    <w:lvl w:ilvl="2">
      <w:start w:val="1"/>
      <w:numFmt w:val="bullet"/>
      <w:lvlText w:val="•"/>
      <w:lvlJc w:val="left"/>
      <w:pPr>
        <w:ind w:left="697" w:hanging="176"/>
      </w:pPr>
      <w:rPr>
        <w:rFonts w:hint="default"/>
      </w:rPr>
    </w:lvl>
    <w:lvl w:ilvl="3">
      <w:start w:val="1"/>
      <w:numFmt w:val="bullet"/>
      <w:lvlText w:val="•"/>
      <w:lvlJc w:val="left"/>
      <w:pPr>
        <w:ind w:left="905" w:hanging="176"/>
      </w:pPr>
      <w:rPr>
        <w:rFonts w:hint="default"/>
      </w:rPr>
    </w:lvl>
    <w:lvl w:ilvl="4">
      <w:start w:val="1"/>
      <w:numFmt w:val="bullet"/>
      <w:lvlText w:val="•"/>
      <w:lvlJc w:val="left"/>
      <w:pPr>
        <w:ind w:left="1114" w:hanging="176"/>
      </w:pPr>
      <w:rPr>
        <w:rFonts w:hint="default"/>
      </w:rPr>
    </w:lvl>
    <w:lvl w:ilvl="5">
      <w:start w:val="1"/>
      <w:numFmt w:val="bullet"/>
      <w:lvlText w:val="•"/>
      <w:lvlJc w:val="left"/>
      <w:pPr>
        <w:ind w:left="1323" w:hanging="176"/>
      </w:pPr>
      <w:rPr>
        <w:rFonts w:hint="default"/>
      </w:rPr>
    </w:lvl>
    <w:lvl w:ilvl="6">
      <w:start w:val="1"/>
      <w:numFmt w:val="bullet"/>
      <w:lvlText w:val="•"/>
      <w:lvlJc w:val="left"/>
      <w:pPr>
        <w:ind w:left="1531" w:hanging="176"/>
      </w:pPr>
      <w:rPr>
        <w:rFonts w:hint="default"/>
      </w:rPr>
    </w:lvl>
    <w:lvl w:ilvl="7">
      <w:start w:val="1"/>
      <w:numFmt w:val="bullet"/>
      <w:lvlText w:val="•"/>
      <w:lvlJc w:val="left"/>
      <w:pPr>
        <w:ind w:left="1740" w:hanging="176"/>
      </w:pPr>
      <w:rPr>
        <w:rFonts w:hint="default"/>
      </w:rPr>
    </w:lvl>
    <w:lvl w:ilvl="8">
      <w:start w:val="1"/>
      <w:numFmt w:val="bullet"/>
      <w:lvlText w:val="•"/>
      <w:lvlJc w:val="left"/>
      <w:pPr>
        <w:ind w:left="1949" w:hanging="176"/>
      </w:pPr>
      <w:rPr>
        <w:rFonts w:hint="default"/>
      </w:rPr>
    </w:lvl>
  </w:abstractNum>
  <w:abstractNum w:abstractNumId="16">
    <w:multiLevelType w:val="hybridMultilevel"/>
    <w:lvl w:ilvl="0">
      <w:start w:val="1"/>
      <w:numFmt w:val="bullet"/>
      <w:lvlText w:val=""/>
      <w:lvlJc w:val="left"/>
      <w:pPr>
        <w:ind w:left="283" w:hanging="176"/>
      </w:pPr>
      <w:rPr>
        <w:rFonts w:hint="default" w:ascii="Symbol" w:hAnsi="Symbol" w:eastAsia="Symbol" w:cs="Symbol"/>
        <w:w w:val="100"/>
        <w:sz w:val="18"/>
        <w:szCs w:val="18"/>
      </w:rPr>
    </w:lvl>
    <w:lvl w:ilvl="1">
      <w:start w:val="1"/>
      <w:numFmt w:val="bullet"/>
      <w:lvlText w:val="•"/>
      <w:lvlJc w:val="left"/>
      <w:pPr>
        <w:ind w:left="482" w:hanging="176"/>
      </w:pPr>
      <w:rPr>
        <w:rFonts w:hint="default"/>
      </w:rPr>
    </w:lvl>
    <w:lvl w:ilvl="2">
      <w:start w:val="1"/>
      <w:numFmt w:val="bullet"/>
      <w:lvlText w:val="•"/>
      <w:lvlJc w:val="left"/>
      <w:pPr>
        <w:ind w:left="684" w:hanging="176"/>
      </w:pPr>
      <w:rPr>
        <w:rFonts w:hint="default"/>
      </w:rPr>
    </w:lvl>
    <w:lvl w:ilvl="3">
      <w:start w:val="1"/>
      <w:numFmt w:val="bullet"/>
      <w:lvlText w:val="•"/>
      <w:lvlJc w:val="left"/>
      <w:pPr>
        <w:ind w:left="886" w:hanging="176"/>
      </w:pPr>
      <w:rPr>
        <w:rFonts w:hint="default"/>
      </w:rPr>
    </w:lvl>
    <w:lvl w:ilvl="4">
      <w:start w:val="1"/>
      <w:numFmt w:val="bullet"/>
      <w:lvlText w:val="•"/>
      <w:lvlJc w:val="left"/>
      <w:pPr>
        <w:ind w:left="1089" w:hanging="176"/>
      </w:pPr>
      <w:rPr>
        <w:rFonts w:hint="default"/>
      </w:rPr>
    </w:lvl>
    <w:lvl w:ilvl="5">
      <w:start w:val="1"/>
      <w:numFmt w:val="bullet"/>
      <w:lvlText w:val="•"/>
      <w:lvlJc w:val="left"/>
      <w:pPr>
        <w:ind w:left="1291" w:hanging="176"/>
      </w:pPr>
      <w:rPr>
        <w:rFonts w:hint="default"/>
      </w:rPr>
    </w:lvl>
    <w:lvl w:ilvl="6">
      <w:start w:val="1"/>
      <w:numFmt w:val="bullet"/>
      <w:lvlText w:val="•"/>
      <w:lvlJc w:val="left"/>
      <w:pPr>
        <w:ind w:left="1493" w:hanging="176"/>
      </w:pPr>
      <w:rPr>
        <w:rFonts w:hint="default"/>
      </w:rPr>
    </w:lvl>
    <w:lvl w:ilvl="7">
      <w:start w:val="1"/>
      <w:numFmt w:val="bullet"/>
      <w:lvlText w:val="•"/>
      <w:lvlJc w:val="left"/>
      <w:pPr>
        <w:ind w:left="1695" w:hanging="176"/>
      </w:pPr>
      <w:rPr>
        <w:rFonts w:hint="default"/>
      </w:rPr>
    </w:lvl>
    <w:lvl w:ilvl="8">
      <w:start w:val="1"/>
      <w:numFmt w:val="bullet"/>
      <w:lvlText w:val="•"/>
      <w:lvlJc w:val="left"/>
      <w:pPr>
        <w:ind w:left="1898" w:hanging="176"/>
      </w:pPr>
      <w:rPr>
        <w:rFonts w:hint="default"/>
      </w:rPr>
    </w:lvl>
  </w:abstractNum>
  <w:abstractNum w:abstractNumId="15">
    <w:multiLevelType w:val="hybridMultilevel"/>
    <w:lvl w:ilvl="0">
      <w:start w:val="1"/>
      <w:numFmt w:val="bullet"/>
      <w:lvlText w:val=""/>
      <w:lvlJc w:val="left"/>
      <w:pPr>
        <w:ind w:left="283" w:hanging="176"/>
      </w:pPr>
      <w:rPr>
        <w:rFonts w:hint="default" w:ascii="Symbol" w:hAnsi="Symbol" w:eastAsia="Symbol" w:cs="Symbol"/>
        <w:w w:val="100"/>
        <w:sz w:val="18"/>
        <w:szCs w:val="18"/>
      </w:rPr>
    </w:lvl>
    <w:lvl w:ilvl="1">
      <w:start w:val="1"/>
      <w:numFmt w:val="bullet"/>
      <w:lvlText w:val="•"/>
      <w:lvlJc w:val="left"/>
      <w:pPr>
        <w:ind w:left="482" w:hanging="176"/>
      </w:pPr>
      <w:rPr>
        <w:rFonts w:hint="default"/>
      </w:rPr>
    </w:lvl>
    <w:lvl w:ilvl="2">
      <w:start w:val="1"/>
      <w:numFmt w:val="bullet"/>
      <w:lvlText w:val="•"/>
      <w:lvlJc w:val="left"/>
      <w:pPr>
        <w:ind w:left="684" w:hanging="176"/>
      </w:pPr>
      <w:rPr>
        <w:rFonts w:hint="default"/>
      </w:rPr>
    </w:lvl>
    <w:lvl w:ilvl="3">
      <w:start w:val="1"/>
      <w:numFmt w:val="bullet"/>
      <w:lvlText w:val="•"/>
      <w:lvlJc w:val="left"/>
      <w:pPr>
        <w:ind w:left="886" w:hanging="176"/>
      </w:pPr>
      <w:rPr>
        <w:rFonts w:hint="default"/>
      </w:rPr>
    </w:lvl>
    <w:lvl w:ilvl="4">
      <w:start w:val="1"/>
      <w:numFmt w:val="bullet"/>
      <w:lvlText w:val="•"/>
      <w:lvlJc w:val="left"/>
      <w:pPr>
        <w:ind w:left="1089" w:hanging="176"/>
      </w:pPr>
      <w:rPr>
        <w:rFonts w:hint="default"/>
      </w:rPr>
    </w:lvl>
    <w:lvl w:ilvl="5">
      <w:start w:val="1"/>
      <w:numFmt w:val="bullet"/>
      <w:lvlText w:val="•"/>
      <w:lvlJc w:val="left"/>
      <w:pPr>
        <w:ind w:left="1291" w:hanging="176"/>
      </w:pPr>
      <w:rPr>
        <w:rFonts w:hint="default"/>
      </w:rPr>
    </w:lvl>
    <w:lvl w:ilvl="6">
      <w:start w:val="1"/>
      <w:numFmt w:val="bullet"/>
      <w:lvlText w:val="•"/>
      <w:lvlJc w:val="left"/>
      <w:pPr>
        <w:ind w:left="1493" w:hanging="176"/>
      </w:pPr>
      <w:rPr>
        <w:rFonts w:hint="default"/>
      </w:rPr>
    </w:lvl>
    <w:lvl w:ilvl="7">
      <w:start w:val="1"/>
      <w:numFmt w:val="bullet"/>
      <w:lvlText w:val="•"/>
      <w:lvlJc w:val="left"/>
      <w:pPr>
        <w:ind w:left="1695" w:hanging="176"/>
      </w:pPr>
      <w:rPr>
        <w:rFonts w:hint="default"/>
      </w:rPr>
    </w:lvl>
    <w:lvl w:ilvl="8">
      <w:start w:val="1"/>
      <w:numFmt w:val="bullet"/>
      <w:lvlText w:val="•"/>
      <w:lvlJc w:val="left"/>
      <w:pPr>
        <w:ind w:left="1898" w:hanging="176"/>
      </w:pPr>
      <w:rPr>
        <w:rFonts w:hint="default"/>
      </w:rPr>
    </w:lvl>
  </w:abstractNum>
  <w:abstractNum w:abstractNumId="13">
    <w:multiLevelType w:val="hybridMultilevel"/>
    <w:lvl w:ilvl="0">
      <w:start w:val="1"/>
      <w:numFmt w:val="bullet"/>
      <w:lvlText w:val=""/>
      <w:lvlJc w:val="left"/>
      <w:pPr>
        <w:ind w:left="1274" w:hanging="176"/>
      </w:pPr>
      <w:rPr>
        <w:rFonts w:hint="default" w:ascii="Symbol" w:hAnsi="Symbol" w:eastAsia="Symbol" w:cs="Symbol"/>
        <w:w w:val="100"/>
        <w:sz w:val="18"/>
        <w:szCs w:val="18"/>
      </w:rPr>
    </w:lvl>
    <w:lvl w:ilvl="1">
      <w:start w:val="1"/>
      <w:numFmt w:val="bullet"/>
      <w:lvlText w:val="•"/>
      <w:lvlJc w:val="left"/>
      <w:pPr>
        <w:ind w:left="2736" w:hanging="176"/>
      </w:pPr>
      <w:rPr>
        <w:rFonts w:hint="default"/>
      </w:rPr>
    </w:lvl>
    <w:lvl w:ilvl="2">
      <w:start w:val="1"/>
      <w:numFmt w:val="bullet"/>
      <w:lvlText w:val="•"/>
      <w:lvlJc w:val="left"/>
      <w:pPr>
        <w:ind w:left="4192" w:hanging="176"/>
      </w:pPr>
      <w:rPr>
        <w:rFonts w:hint="default"/>
      </w:rPr>
    </w:lvl>
    <w:lvl w:ilvl="3">
      <w:start w:val="1"/>
      <w:numFmt w:val="bullet"/>
      <w:lvlText w:val="•"/>
      <w:lvlJc w:val="left"/>
      <w:pPr>
        <w:ind w:left="5648" w:hanging="176"/>
      </w:pPr>
      <w:rPr>
        <w:rFonts w:hint="default"/>
      </w:rPr>
    </w:lvl>
    <w:lvl w:ilvl="4">
      <w:start w:val="1"/>
      <w:numFmt w:val="bullet"/>
      <w:lvlText w:val="•"/>
      <w:lvlJc w:val="left"/>
      <w:pPr>
        <w:ind w:left="7104" w:hanging="176"/>
      </w:pPr>
      <w:rPr>
        <w:rFonts w:hint="default"/>
      </w:rPr>
    </w:lvl>
    <w:lvl w:ilvl="5">
      <w:start w:val="1"/>
      <w:numFmt w:val="bullet"/>
      <w:lvlText w:val="•"/>
      <w:lvlJc w:val="left"/>
      <w:pPr>
        <w:ind w:left="8560" w:hanging="176"/>
      </w:pPr>
      <w:rPr>
        <w:rFonts w:hint="default"/>
      </w:rPr>
    </w:lvl>
    <w:lvl w:ilvl="6">
      <w:start w:val="1"/>
      <w:numFmt w:val="bullet"/>
      <w:lvlText w:val="•"/>
      <w:lvlJc w:val="left"/>
      <w:pPr>
        <w:ind w:left="10016" w:hanging="176"/>
      </w:pPr>
      <w:rPr>
        <w:rFonts w:hint="default"/>
      </w:rPr>
    </w:lvl>
    <w:lvl w:ilvl="7">
      <w:start w:val="1"/>
      <w:numFmt w:val="bullet"/>
      <w:lvlText w:val="•"/>
      <w:lvlJc w:val="left"/>
      <w:pPr>
        <w:ind w:left="11472" w:hanging="176"/>
      </w:pPr>
      <w:rPr>
        <w:rFonts w:hint="default"/>
      </w:rPr>
    </w:lvl>
    <w:lvl w:ilvl="8">
      <w:start w:val="1"/>
      <w:numFmt w:val="bullet"/>
      <w:lvlText w:val="•"/>
      <w:lvlJc w:val="left"/>
      <w:pPr>
        <w:ind w:left="12928" w:hanging="176"/>
      </w:pPr>
      <w:rPr>
        <w:rFonts w:hint="default"/>
      </w:rPr>
    </w:lvl>
  </w:abstractNum>
  <w:abstractNum w:abstractNumId="12">
    <w:multiLevelType w:val="hybridMultilevel"/>
    <w:lvl w:ilvl="0">
      <w:start w:val="1"/>
      <w:numFmt w:val="bullet"/>
      <w:lvlText w:val=""/>
      <w:lvlJc w:val="left"/>
      <w:pPr>
        <w:ind w:left="2566" w:hanging="360"/>
      </w:pPr>
      <w:rPr>
        <w:rFonts w:hint="default" w:ascii="Symbol" w:hAnsi="Symbol" w:eastAsia="Symbol" w:cs="Symbol"/>
        <w:w w:val="100"/>
        <w:sz w:val="24"/>
        <w:szCs w:val="24"/>
      </w:rPr>
    </w:lvl>
    <w:lvl w:ilvl="1">
      <w:start w:val="1"/>
      <w:numFmt w:val="bullet"/>
      <w:lvlText w:val="•"/>
      <w:lvlJc w:val="left"/>
      <w:pPr>
        <w:ind w:left="3528" w:hanging="360"/>
      </w:pPr>
      <w:rPr>
        <w:rFonts w:hint="default"/>
      </w:rPr>
    </w:lvl>
    <w:lvl w:ilvl="2">
      <w:start w:val="1"/>
      <w:numFmt w:val="bullet"/>
      <w:lvlText w:val="•"/>
      <w:lvlJc w:val="left"/>
      <w:pPr>
        <w:ind w:left="4496" w:hanging="360"/>
      </w:pPr>
      <w:rPr>
        <w:rFonts w:hint="default"/>
      </w:rPr>
    </w:lvl>
    <w:lvl w:ilvl="3">
      <w:start w:val="1"/>
      <w:numFmt w:val="bullet"/>
      <w:lvlText w:val="•"/>
      <w:lvlJc w:val="left"/>
      <w:pPr>
        <w:ind w:left="5464" w:hanging="360"/>
      </w:pPr>
      <w:rPr>
        <w:rFonts w:hint="default"/>
      </w:rPr>
    </w:lvl>
    <w:lvl w:ilvl="4">
      <w:start w:val="1"/>
      <w:numFmt w:val="bullet"/>
      <w:lvlText w:val="•"/>
      <w:lvlJc w:val="left"/>
      <w:pPr>
        <w:ind w:left="6432" w:hanging="360"/>
      </w:pPr>
      <w:rPr>
        <w:rFonts w:hint="default"/>
      </w:rPr>
    </w:lvl>
    <w:lvl w:ilvl="5">
      <w:start w:val="1"/>
      <w:numFmt w:val="bullet"/>
      <w:lvlText w:val="•"/>
      <w:lvlJc w:val="left"/>
      <w:pPr>
        <w:ind w:left="7400" w:hanging="360"/>
      </w:pPr>
      <w:rPr>
        <w:rFonts w:hint="default"/>
      </w:rPr>
    </w:lvl>
    <w:lvl w:ilvl="6">
      <w:start w:val="1"/>
      <w:numFmt w:val="bullet"/>
      <w:lvlText w:val="•"/>
      <w:lvlJc w:val="left"/>
      <w:pPr>
        <w:ind w:left="8368" w:hanging="360"/>
      </w:pPr>
      <w:rPr>
        <w:rFonts w:hint="default"/>
      </w:rPr>
    </w:lvl>
    <w:lvl w:ilvl="7">
      <w:start w:val="1"/>
      <w:numFmt w:val="bullet"/>
      <w:lvlText w:val="•"/>
      <w:lvlJc w:val="left"/>
      <w:pPr>
        <w:ind w:left="9336" w:hanging="360"/>
      </w:pPr>
      <w:rPr>
        <w:rFonts w:hint="default"/>
      </w:rPr>
    </w:lvl>
    <w:lvl w:ilvl="8">
      <w:start w:val="1"/>
      <w:numFmt w:val="bullet"/>
      <w:lvlText w:val="•"/>
      <w:lvlJc w:val="left"/>
      <w:pPr>
        <w:ind w:left="10304" w:hanging="360"/>
      </w:pPr>
      <w:rPr>
        <w:rFonts w:hint="default"/>
      </w:rPr>
    </w:lvl>
  </w:abstractNum>
  <w:abstractNum w:abstractNumId="10">
    <w:multiLevelType w:val="hybridMultilevel"/>
    <w:lvl w:ilvl="0">
      <w:start w:val="1"/>
      <w:numFmt w:val="bullet"/>
      <w:lvlText w:val=""/>
      <w:lvlJc w:val="left"/>
      <w:pPr>
        <w:ind w:left="2062" w:hanging="152"/>
      </w:pPr>
      <w:rPr>
        <w:rFonts w:hint="default" w:ascii="Symbol" w:hAnsi="Symbol" w:eastAsia="Symbol" w:cs="Symbol"/>
        <w:b/>
        <w:bCs/>
        <w:w w:val="99"/>
        <w:sz w:val="24"/>
        <w:szCs w:val="24"/>
      </w:rPr>
    </w:lvl>
    <w:lvl w:ilvl="1">
      <w:start w:val="1"/>
      <w:numFmt w:val="bullet"/>
      <w:lvlText w:val="•"/>
      <w:lvlJc w:val="left"/>
      <w:pPr>
        <w:ind w:left="3078" w:hanging="152"/>
      </w:pPr>
      <w:rPr>
        <w:rFonts w:hint="default"/>
      </w:rPr>
    </w:lvl>
    <w:lvl w:ilvl="2">
      <w:start w:val="1"/>
      <w:numFmt w:val="bullet"/>
      <w:lvlText w:val="•"/>
      <w:lvlJc w:val="left"/>
      <w:pPr>
        <w:ind w:left="4096" w:hanging="152"/>
      </w:pPr>
      <w:rPr>
        <w:rFonts w:hint="default"/>
      </w:rPr>
    </w:lvl>
    <w:lvl w:ilvl="3">
      <w:start w:val="1"/>
      <w:numFmt w:val="bullet"/>
      <w:lvlText w:val="•"/>
      <w:lvlJc w:val="left"/>
      <w:pPr>
        <w:ind w:left="5114" w:hanging="152"/>
      </w:pPr>
      <w:rPr>
        <w:rFonts w:hint="default"/>
      </w:rPr>
    </w:lvl>
    <w:lvl w:ilvl="4">
      <w:start w:val="1"/>
      <w:numFmt w:val="bullet"/>
      <w:lvlText w:val="•"/>
      <w:lvlJc w:val="left"/>
      <w:pPr>
        <w:ind w:left="6132" w:hanging="152"/>
      </w:pPr>
      <w:rPr>
        <w:rFonts w:hint="default"/>
      </w:rPr>
    </w:lvl>
    <w:lvl w:ilvl="5">
      <w:start w:val="1"/>
      <w:numFmt w:val="bullet"/>
      <w:lvlText w:val="•"/>
      <w:lvlJc w:val="left"/>
      <w:pPr>
        <w:ind w:left="7150" w:hanging="152"/>
      </w:pPr>
      <w:rPr>
        <w:rFonts w:hint="default"/>
      </w:rPr>
    </w:lvl>
    <w:lvl w:ilvl="6">
      <w:start w:val="1"/>
      <w:numFmt w:val="bullet"/>
      <w:lvlText w:val="•"/>
      <w:lvlJc w:val="left"/>
      <w:pPr>
        <w:ind w:left="8168" w:hanging="152"/>
      </w:pPr>
      <w:rPr>
        <w:rFonts w:hint="default"/>
      </w:rPr>
    </w:lvl>
    <w:lvl w:ilvl="7">
      <w:start w:val="1"/>
      <w:numFmt w:val="bullet"/>
      <w:lvlText w:val="•"/>
      <w:lvlJc w:val="left"/>
      <w:pPr>
        <w:ind w:left="9186" w:hanging="152"/>
      </w:pPr>
      <w:rPr>
        <w:rFonts w:hint="default"/>
      </w:rPr>
    </w:lvl>
    <w:lvl w:ilvl="8">
      <w:start w:val="1"/>
      <w:numFmt w:val="bullet"/>
      <w:lvlText w:val="•"/>
      <w:lvlJc w:val="left"/>
      <w:pPr>
        <w:ind w:left="10204" w:hanging="152"/>
      </w:pPr>
      <w:rPr>
        <w:rFonts w:hint="default"/>
      </w:rPr>
    </w:lvl>
  </w:abstractNum>
  <w:abstractNum w:abstractNumId="9">
    <w:multiLevelType w:val="hybridMultilevel"/>
    <w:lvl w:ilvl="0">
      <w:start w:val="1"/>
      <w:numFmt w:val="bullet"/>
      <w:lvlText w:val="-"/>
      <w:lvlJc w:val="left"/>
      <w:pPr>
        <w:ind w:left="2138" w:hanging="360"/>
      </w:pPr>
      <w:rPr>
        <w:rFonts w:hint="default" w:ascii="Arial" w:hAnsi="Arial" w:eastAsia="Arial" w:cs="Arial"/>
        <w:spacing w:val="-4"/>
        <w:w w:val="99"/>
        <w:sz w:val="24"/>
        <w:szCs w:val="24"/>
      </w:rPr>
    </w:lvl>
    <w:lvl w:ilvl="1">
      <w:start w:val="1"/>
      <w:numFmt w:val="bullet"/>
      <w:lvlText w:val="•"/>
      <w:lvlJc w:val="left"/>
      <w:pPr>
        <w:ind w:left="3150" w:hanging="360"/>
      </w:pPr>
      <w:rPr>
        <w:rFonts w:hint="default"/>
      </w:rPr>
    </w:lvl>
    <w:lvl w:ilvl="2">
      <w:start w:val="1"/>
      <w:numFmt w:val="bullet"/>
      <w:lvlText w:val="•"/>
      <w:lvlJc w:val="left"/>
      <w:pPr>
        <w:ind w:left="4160" w:hanging="360"/>
      </w:pPr>
      <w:rPr>
        <w:rFonts w:hint="default"/>
      </w:rPr>
    </w:lvl>
    <w:lvl w:ilvl="3">
      <w:start w:val="1"/>
      <w:numFmt w:val="bullet"/>
      <w:lvlText w:val="•"/>
      <w:lvlJc w:val="left"/>
      <w:pPr>
        <w:ind w:left="5170" w:hanging="360"/>
      </w:pPr>
      <w:rPr>
        <w:rFonts w:hint="default"/>
      </w:rPr>
    </w:lvl>
    <w:lvl w:ilvl="4">
      <w:start w:val="1"/>
      <w:numFmt w:val="bullet"/>
      <w:lvlText w:val="•"/>
      <w:lvlJc w:val="left"/>
      <w:pPr>
        <w:ind w:left="6180" w:hanging="360"/>
      </w:pPr>
      <w:rPr>
        <w:rFonts w:hint="default"/>
      </w:rPr>
    </w:lvl>
    <w:lvl w:ilvl="5">
      <w:start w:val="1"/>
      <w:numFmt w:val="bullet"/>
      <w:lvlText w:val="•"/>
      <w:lvlJc w:val="left"/>
      <w:pPr>
        <w:ind w:left="7190" w:hanging="360"/>
      </w:pPr>
      <w:rPr>
        <w:rFonts w:hint="default"/>
      </w:rPr>
    </w:lvl>
    <w:lvl w:ilvl="6">
      <w:start w:val="1"/>
      <w:numFmt w:val="bullet"/>
      <w:lvlText w:val="•"/>
      <w:lvlJc w:val="left"/>
      <w:pPr>
        <w:ind w:left="8200" w:hanging="360"/>
      </w:pPr>
      <w:rPr>
        <w:rFonts w:hint="default"/>
      </w:rPr>
    </w:lvl>
    <w:lvl w:ilvl="7">
      <w:start w:val="1"/>
      <w:numFmt w:val="bullet"/>
      <w:lvlText w:val="•"/>
      <w:lvlJc w:val="left"/>
      <w:pPr>
        <w:ind w:left="9210" w:hanging="360"/>
      </w:pPr>
      <w:rPr>
        <w:rFonts w:hint="default"/>
      </w:rPr>
    </w:lvl>
    <w:lvl w:ilvl="8">
      <w:start w:val="1"/>
      <w:numFmt w:val="bullet"/>
      <w:lvlText w:val="•"/>
      <w:lvlJc w:val="left"/>
      <w:pPr>
        <w:ind w:left="10220" w:hanging="360"/>
      </w:pPr>
      <w:rPr>
        <w:rFonts w:hint="default"/>
      </w:rPr>
    </w:lvl>
  </w:abstractNum>
  <w:abstractNum w:abstractNumId="8">
    <w:multiLevelType w:val="hybridMultilevel"/>
    <w:lvl w:ilvl="0">
      <w:start w:val="1"/>
      <w:numFmt w:val="bullet"/>
      <w:lvlText w:val="-"/>
      <w:lvlJc w:val="left"/>
      <w:pPr>
        <w:ind w:left="2412" w:hanging="286"/>
      </w:pPr>
      <w:rPr>
        <w:rFonts w:hint="default" w:ascii="Arial" w:hAnsi="Arial" w:eastAsia="Arial" w:cs="Arial"/>
        <w:spacing w:val="-27"/>
        <w:w w:val="99"/>
        <w:sz w:val="24"/>
        <w:szCs w:val="24"/>
      </w:rPr>
    </w:lvl>
    <w:lvl w:ilvl="1">
      <w:start w:val="1"/>
      <w:numFmt w:val="bullet"/>
      <w:lvlText w:val="•"/>
      <w:lvlJc w:val="left"/>
      <w:pPr>
        <w:ind w:left="3402" w:hanging="286"/>
      </w:pPr>
      <w:rPr>
        <w:rFonts w:hint="default"/>
      </w:rPr>
    </w:lvl>
    <w:lvl w:ilvl="2">
      <w:start w:val="1"/>
      <w:numFmt w:val="bullet"/>
      <w:lvlText w:val="•"/>
      <w:lvlJc w:val="left"/>
      <w:pPr>
        <w:ind w:left="4384" w:hanging="286"/>
      </w:pPr>
      <w:rPr>
        <w:rFonts w:hint="default"/>
      </w:rPr>
    </w:lvl>
    <w:lvl w:ilvl="3">
      <w:start w:val="1"/>
      <w:numFmt w:val="bullet"/>
      <w:lvlText w:val="•"/>
      <w:lvlJc w:val="left"/>
      <w:pPr>
        <w:ind w:left="5366" w:hanging="286"/>
      </w:pPr>
      <w:rPr>
        <w:rFonts w:hint="default"/>
      </w:rPr>
    </w:lvl>
    <w:lvl w:ilvl="4">
      <w:start w:val="1"/>
      <w:numFmt w:val="bullet"/>
      <w:lvlText w:val="•"/>
      <w:lvlJc w:val="left"/>
      <w:pPr>
        <w:ind w:left="6348" w:hanging="286"/>
      </w:pPr>
      <w:rPr>
        <w:rFonts w:hint="default"/>
      </w:rPr>
    </w:lvl>
    <w:lvl w:ilvl="5">
      <w:start w:val="1"/>
      <w:numFmt w:val="bullet"/>
      <w:lvlText w:val="•"/>
      <w:lvlJc w:val="left"/>
      <w:pPr>
        <w:ind w:left="7330" w:hanging="286"/>
      </w:pPr>
      <w:rPr>
        <w:rFonts w:hint="default"/>
      </w:rPr>
    </w:lvl>
    <w:lvl w:ilvl="6">
      <w:start w:val="1"/>
      <w:numFmt w:val="bullet"/>
      <w:lvlText w:val="•"/>
      <w:lvlJc w:val="left"/>
      <w:pPr>
        <w:ind w:left="8312" w:hanging="286"/>
      </w:pPr>
      <w:rPr>
        <w:rFonts w:hint="default"/>
      </w:rPr>
    </w:lvl>
    <w:lvl w:ilvl="7">
      <w:start w:val="1"/>
      <w:numFmt w:val="bullet"/>
      <w:lvlText w:val="•"/>
      <w:lvlJc w:val="left"/>
      <w:pPr>
        <w:ind w:left="9294" w:hanging="286"/>
      </w:pPr>
      <w:rPr>
        <w:rFonts w:hint="default"/>
      </w:rPr>
    </w:lvl>
    <w:lvl w:ilvl="8">
      <w:start w:val="1"/>
      <w:numFmt w:val="bullet"/>
      <w:lvlText w:val="•"/>
      <w:lvlJc w:val="left"/>
      <w:pPr>
        <w:ind w:left="10276" w:hanging="286"/>
      </w:pPr>
      <w:rPr>
        <w:rFonts w:hint="default"/>
      </w:rPr>
    </w:lvl>
  </w:abstractNum>
  <w:abstractNum w:abstractNumId="7">
    <w:multiLevelType w:val="hybridMultilevel"/>
    <w:lvl w:ilvl="0">
      <w:start w:val="1"/>
      <w:numFmt w:val="bullet"/>
      <w:lvlText w:val=""/>
      <w:lvlJc w:val="left"/>
      <w:pPr>
        <w:ind w:left="2858" w:hanging="360"/>
      </w:pPr>
      <w:rPr>
        <w:rFonts w:hint="default" w:ascii="Symbol" w:hAnsi="Symbol" w:eastAsia="Symbol" w:cs="Symbol"/>
        <w:b/>
        <w:bCs/>
        <w:w w:val="99"/>
        <w:sz w:val="24"/>
        <w:szCs w:val="24"/>
      </w:rPr>
    </w:lvl>
    <w:lvl w:ilvl="1">
      <w:start w:val="1"/>
      <w:numFmt w:val="bullet"/>
      <w:lvlText w:val="•"/>
      <w:lvlJc w:val="left"/>
      <w:pPr>
        <w:ind w:left="3798" w:hanging="360"/>
      </w:pPr>
      <w:rPr>
        <w:rFonts w:hint="default"/>
      </w:rPr>
    </w:lvl>
    <w:lvl w:ilvl="2">
      <w:start w:val="1"/>
      <w:numFmt w:val="bullet"/>
      <w:lvlText w:val="•"/>
      <w:lvlJc w:val="left"/>
      <w:pPr>
        <w:ind w:left="4736" w:hanging="360"/>
      </w:pPr>
      <w:rPr>
        <w:rFonts w:hint="default"/>
      </w:rPr>
    </w:lvl>
    <w:lvl w:ilvl="3">
      <w:start w:val="1"/>
      <w:numFmt w:val="bullet"/>
      <w:lvlText w:val="•"/>
      <w:lvlJc w:val="left"/>
      <w:pPr>
        <w:ind w:left="5674" w:hanging="360"/>
      </w:pPr>
      <w:rPr>
        <w:rFonts w:hint="default"/>
      </w:rPr>
    </w:lvl>
    <w:lvl w:ilvl="4">
      <w:start w:val="1"/>
      <w:numFmt w:val="bullet"/>
      <w:lvlText w:val="•"/>
      <w:lvlJc w:val="left"/>
      <w:pPr>
        <w:ind w:left="6612" w:hanging="360"/>
      </w:pPr>
      <w:rPr>
        <w:rFonts w:hint="default"/>
      </w:rPr>
    </w:lvl>
    <w:lvl w:ilvl="5">
      <w:start w:val="1"/>
      <w:numFmt w:val="bullet"/>
      <w:lvlText w:val="•"/>
      <w:lvlJc w:val="left"/>
      <w:pPr>
        <w:ind w:left="7550" w:hanging="360"/>
      </w:pPr>
      <w:rPr>
        <w:rFonts w:hint="default"/>
      </w:rPr>
    </w:lvl>
    <w:lvl w:ilvl="6">
      <w:start w:val="1"/>
      <w:numFmt w:val="bullet"/>
      <w:lvlText w:val="•"/>
      <w:lvlJc w:val="left"/>
      <w:pPr>
        <w:ind w:left="8488" w:hanging="360"/>
      </w:pPr>
      <w:rPr>
        <w:rFonts w:hint="default"/>
      </w:rPr>
    </w:lvl>
    <w:lvl w:ilvl="7">
      <w:start w:val="1"/>
      <w:numFmt w:val="bullet"/>
      <w:lvlText w:val="•"/>
      <w:lvlJc w:val="left"/>
      <w:pPr>
        <w:ind w:left="9426" w:hanging="360"/>
      </w:pPr>
      <w:rPr>
        <w:rFonts w:hint="default"/>
      </w:rPr>
    </w:lvl>
    <w:lvl w:ilvl="8">
      <w:start w:val="1"/>
      <w:numFmt w:val="bullet"/>
      <w:lvlText w:val="•"/>
      <w:lvlJc w:val="left"/>
      <w:pPr>
        <w:ind w:left="10364" w:hanging="360"/>
      </w:pPr>
      <w:rPr>
        <w:rFonts w:hint="default"/>
      </w:rPr>
    </w:lvl>
  </w:abstractNum>
  <w:abstractNum w:abstractNumId="6">
    <w:multiLevelType w:val="hybridMultilevel"/>
    <w:lvl w:ilvl="0">
      <w:start w:val="1"/>
      <w:numFmt w:val="bullet"/>
      <w:lvlText w:val=""/>
      <w:lvlJc w:val="left"/>
      <w:pPr>
        <w:ind w:left="2138" w:hanging="360"/>
      </w:pPr>
      <w:rPr>
        <w:rFonts w:hint="default" w:ascii="Symbol" w:hAnsi="Symbol" w:eastAsia="Symbol" w:cs="Symbol"/>
        <w:w w:val="100"/>
        <w:sz w:val="24"/>
        <w:szCs w:val="24"/>
      </w:rPr>
    </w:lvl>
    <w:lvl w:ilvl="1">
      <w:start w:val="1"/>
      <w:numFmt w:val="bullet"/>
      <w:lvlText w:val="•"/>
      <w:lvlJc w:val="left"/>
      <w:pPr>
        <w:ind w:left="4200" w:hanging="360"/>
      </w:pPr>
      <w:rPr>
        <w:rFonts w:hint="default"/>
      </w:rPr>
    </w:lvl>
    <w:lvl w:ilvl="2">
      <w:start w:val="1"/>
      <w:numFmt w:val="bullet"/>
      <w:lvlText w:val="•"/>
      <w:lvlJc w:val="left"/>
      <w:pPr>
        <w:ind w:left="5093" w:hanging="360"/>
      </w:pPr>
      <w:rPr>
        <w:rFonts w:hint="default"/>
      </w:rPr>
    </w:lvl>
    <w:lvl w:ilvl="3">
      <w:start w:val="1"/>
      <w:numFmt w:val="bullet"/>
      <w:lvlText w:val="•"/>
      <w:lvlJc w:val="left"/>
      <w:pPr>
        <w:ind w:left="5986" w:hanging="360"/>
      </w:pPr>
      <w:rPr>
        <w:rFonts w:hint="default"/>
      </w:rPr>
    </w:lvl>
    <w:lvl w:ilvl="4">
      <w:start w:val="1"/>
      <w:numFmt w:val="bullet"/>
      <w:lvlText w:val="•"/>
      <w:lvlJc w:val="left"/>
      <w:pPr>
        <w:ind w:left="6880" w:hanging="360"/>
      </w:pPr>
      <w:rPr>
        <w:rFonts w:hint="default"/>
      </w:rPr>
    </w:lvl>
    <w:lvl w:ilvl="5">
      <w:start w:val="1"/>
      <w:numFmt w:val="bullet"/>
      <w:lvlText w:val="•"/>
      <w:lvlJc w:val="left"/>
      <w:pPr>
        <w:ind w:left="7773" w:hanging="360"/>
      </w:pPr>
      <w:rPr>
        <w:rFonts w:hint="default"/>
      </w:rPr>
    </w:lvl>
    <w:lvl w:ilvl="6">
      <w:start w:val="1"/>
      <w:numFmt w:val="bullet"/>
      <w:lvlText w:val="•"/>
      <w:lvlJc w:val="left"/>
      <w:pPr>
        <w:ind w:left="8666" w:hanging="360"/>
      </w:pPr>
      <w:rPr>
        <w:rFonts w:hint="default"/>
      </w:rPr>
    </w:lvl>
    <w:lvl w:ilvl="7">
      <w:start w:val="1"/>
      <w:numFmt w:val="bullet"/>
      <w:lvlText w:val="•"/>
      <w:lvlJc w:val="left"/>
      <w:pPr>
        <w:ind w:left="9560" w:hanging="360"/>
      </w:pPr>
      <w:rPr>
        <w:rFonts w:hint="default"/>
      </w:rPr>
    </w:lvl>
    <w:lvl w:ilvl="8">
      <w:start w:val="1"/>
      <w:numFmt w:val="bullet"/>
      <w:lvlText w:val="•"/>
      <w:lvlJc w:val="left"/>
      <w:pPr>
        <w:ind w:left="10453" w:hanging="360"/>
      </w:pPr>
      <w:rPr>
        <w:rFonts w:hint="default"/>
      </w:rPr>
    </w:lvl>
  </w:abstractNum>
  <w:abstractNum w:abstractNumId="5">
    <w:multiLevelType w:val="hybridMultilevel"/>
    <w:lvl w:ilvl="0">
      <w:start w:val="1"/>
      <w:numFmt w:val="bullet"/>
      <w:lvlText w:val="-"/>
      <w:lvlJc w:val="left"/>
      <w:pPr>
        <w:ind w:left="314" w:hanging="219"/>
      </w:pPr>
      <w:rPr>
        <w:rFonts w:hint="default" w:ascii="Arial" w:hAnsi="Arial" w:eastAsia="Arial" w:cs="Arial"/>
        <w:spacing w:val="-23"/>
        <w:w w:val="99"/>
        <w:sz w:val="18"/>
        <w:szCs w:val="18"/>
      </w:rPr>
    </w:lvl>
    <w:lvl w:ilvl="1">
      <w:start w:val="1"/>
      <w:numFmt w:val="bullet"/>
      <w:lvlText w:val="•"/>
      <w:lvlJc w:val="left"/>
      <w:pPr>
        <w:ind w:left="631" w:hanging="219"/>
      </w:pPr>
      <w:rPr>
        <w:rFonts w:hint="default"/>
      </w:rPr>
    </w:lvl>
    <w:lvl w:ilvl="2">
      <w:start w:val="1"/>
      <w:numFmt w:val="bullet"/>
      <w:lvlText w:val="•"/>
      <w:lvlJc w:val="left"/>
      <w:pPr>
        <w:ind w:left="942" w:hanging="219"/>
      </w:pPr>
      <w:rPr>
        <w:rFonts w:hint="default"/>
      </w:rPr>
    </w:lvl>
    <w:lvl w:ilvl="3">
      <w:start w:val="1"/>
      <w:numFmt w:val="bullet"/>
      <w:lvlText w:val="•"/>
      <w:lvlJc w:val="left"/>
      <w:pPr>
        <w:ind w:left="1253" w:hanging="219"/>
      </w:pPr>
      <w:rPr>
        <w:rFonts w:hint="default"/>
      </w:rPr>
    </w:lvl>
    <w:lvl w:ilvl="4">
      <w:start w:val="1"/>
      <w:numFmt w:val="bullet"/>
      <w:lvlText w:val="•"/>
      <w:lvlJc w:val="left"/>
      <w:pPr>
        <w:ind w:left="1564" w:hanging="219"/>
      </w:pPr>
      <w:rPr>
        <w:rFonts w:hint="default"/>
      </w:rPr>
    </w:lvl>
    <w:lvl w:ilvl="5">
      <w:start w:val="1"/>
      <w:numFmt w:val="bullet"/>
      <w:lvlText w:val="•"/>
      <w:lvlJc w:val="left"/>
      <w:pPr>
        <w:ind w:left="1875" w:hanging="219"/>
      </w:pPr>
      <w:rPr>
        <w:rFonts w:hint="default"/>
      </w:rPr>
    </w:lvl>
    <w:lvl w:ilvl="6">
      <w:start w:val="1"/>
      <w:numFmt w:val="bullet"/>
      <w:lvlText w:val="•"/>
      <w:lvlJc w:val="left"/>
      <w:pPr>
        <w:ind w:left="2186" w:hanging="219"/>
      </w:pPr>
      <w:rPr>
        <w:rFonts w:hint="default"/>
      </w:rPr>
    </w:lvl>
    <w:lvl w:ilvl="7">
      <w:start w:val="1"/>
      <w:numFmt w:val="bullet"/>
      <w:lvlText w:val="•"/>
      <w:lvlJc w:val="left"/>
      <w:pPr>
        <w:ind w:left="2497" w:hanging="219"/>
      </w:pPr>
      <w:rPr>
        <w:rFonts w:hint="default"/>
      </w:rPr>
    </w:lvl>
    <w:lvl w:ilvl="8">
      <w:start w:val="1"/>
      <w:numFmt w:val="bullet"/>
      <w:lvlText w:val="•"/>
      <w:lvlJc w:val="left"/>
      <w:pPr>
        <w:ind w:left="2808" w:hanging="219"/>
      </w:pPr>
      <w:rPr>
        <w:rFonts w:hint="default"/>
      </w:rPr>
    </w:lvl>
  </w:abstractNum>
  <w:abstractNum w:abstractNumId="3">
    <w:multiLevelType w:val="hybridMultilevel"/>
    <w:lvl w:ilvl="0">
      <w:start w:val="1"/>
      <w:numFmt w:val="decimal"/>
      <w:lvlText w:val="%1"/>
      <w:lvlJc w:val="left"/>
      <w:pPr>
        <w:ind w:left="2837" w:hanging="567"/>
        <w:jc w:val="left"/>
      </w:pPr>
      <w:rPr>
        <w:rFonts w:hint="default"/>
      </w:rPr>
    </w:lvl>
    <w:lvl w:ilvl="1">
      <w:start w:val="1"/>
      <w:numFmt w:val="decimal"/>
      <w:lvlText w:val="%1.%2."/>
      <w:lvlJc w:val="left"/>
      <w:pPr>
        <w:ind w:left="2837" w:hanging="567"/>
        <w:jc w:val="left"/>
      </w:pPr>
      <w:rPr>
        <w:rFonts w:hint="default" w:ascii="Arial" w:hAnsi="Arial" w:eastAsia="Arial" w:cs="Arial"/>
        <w:b/>
        <w:bCs/>
        <w:spacing w:val="-3"/>
        <w:w w:val="99"/>
        <w:sz w:val="24"/>
        <w:szCs w:val="24"/>
      </w:rPr>
    </w:lvl>
    <w:lvl w:ilvl="2">
      <w:start w:val="1"/>
      <w:numFmt w:val="bullet"/>
      <w:lvlText w:val="•"/>
      <w:lvlJc w:val="left"/>
      <w:pPr>
        <w:ind w:left="4720" w:hanging="567"/>
      </w:pPr>
      <w:rPr>
        <w:rFonts w:hint="default"/>
      </w:rPr>
    </w:lvl>
    <w:lvl w:ilvl="3">
      <w:start w:val="1"/>
      <w:numFmt w:val="bullet"/>
      <w:lvlText w:val="•"/>
      <w:lvlJc w:val="left"/>
      <w:pPr>
        <w:ind w:left="5660" w:hanging="567"/>
      </w:pPr>
      <w:rPr>
        <w:rFonts w:hint="default"/>
      </w:rPr>
    </w:lvl>
    <w:lvl w:ilvl="4">
      <w:start w:val="1"/>
      <w:numFmt w:val="bullet"/>
      <w:lvlText w:val="•"/>
      <w:lvlJc w:val="left"/>
      <w:pPr>
        <w:ind w:left="6600" w:hanging="567"/>
      </w:pPr>
      <w:rPr>
        <w:rFonts w:hint="default"/>
      </w:rPr>
    </w:lvl>
    <w:lvl w:ilvl="5">
      <w:start w:val="1"/>
      <w:numFmt w:val="bullet"/>
      <w:lvlText w:val="•"/>
      <w:lvlJc w:val="left"/>
      <w:pPr>
        <w:ind w:left="7540" w:hanging="567"/>
      </w:pPr>
      <w:rPr>
        <w:rFonts w:hint="default"/>
      </w:rPr>
    </w:lvl>
    <w:lvl w:ilvl="6">
      <w:start w:val="1"/>
      <w:numFmt w:val="bullet"/>
      <w:lvlText w:val="•"/>
      <w:lvlJc w:val="left"/>
      <w:pPr>
        <w:ind w:left="8480" w:hanging="567"/>
      </w:pPr>
      <w:rPr>
        <w:rFonts w:hint="default"/>
      </w:rPr>
    </w:lvl>
    <w:lvl w:ilvl="7">
      <w:start w:val="1"/>
      <w:numFmt w:val="bullet"/>
      <w:lvlText w:val="•"/>
      <w:lvlJc w:val="left"/>
      <w:pPr>
        <w:ind w:left="9420" w:hanging="567"/>
      </w:pPr>
      <w:rPr>
        <w:rFonts w:hint="default"/>
      </w:rPr>
    </w:lvl>
    <w:lvl w:ilvl="8">
      <w:start w:val="1"/>
      <w:numFmt w:val="bullet"/>
      <w:lvlText w:val="•"/>
      <w:lvlJc w:val="left"/>
      <w:pPr>
        <w:ind w:left="10360" w:hanging="567"/>
      </w:pPr>
      <w:rPr>
        <w:rFonts w:hint="default"/>
      </w:rPr>
    </w:lvl>
  </w:abstractNum>
  <w:abstractNum w:abstractNumId="2">
    <w:multiLevelType w:val="hybridMultilevel"/>
    <w:lvl w:ilvl="0">
      <w:start w:val="11"/>
      <w:numFmt w:val="upperRoman"/>
      <w:lvlText w:val="%1."/>
      <w:lvlJc w:val="left"/>
      <w:pPr>
        <w:ind w:left="685" w:hanging="567"/>
        <w:jc w:val="left"/>
      </w:pPr>
      <w:rPr>
        <w:rFonts w:hint="default" w:ascii="Arial" w:hAnsi="Arial" w:eastAsia="Arial" w:cs="Arial"/>
        <w:b/>
        <w:bCs/>
        <w:spacing w:val="-1"/>
        <w:w w:val="99"/>
        <w:sz w:val="24"/>
        <w:szCs w:val="24"/>
      </w:rPr>
    </w:lvl>
    <w:lvl w:ilvl="1">
      <w:start w:val="1"/>
      <w:numFmt w:val="decimal"/>
      <w:lvlText w:val="%2."/>
      <w:lvlJc w:val="left"/>
      <w:pPr>
        <w:ind w:left="838" w:hanging="360"/>
        <w:jc w:val="left"/>
      </w:pPr>
      <w:rPr>
        <w:rFonts w:hint="default" w:ascii="Arial" w:hAnsi="Arial" w:eastAsia="Arial" w:cs="Arial"/>
        <w:b/>
        <w:bCs/>
        <w:w w:val="99"/>
        <w:sz w:val="24"/>
        <w:szCs w:val="24"/>
      </w:rPr>
    </w:lvl>
    <w:lvl w:ilvl="2">
      <w:start w:val="1"/>
      <w:numFmt w:val="upperRoman"/>
      <w:lvlText w:val="%3."/>
      <w:lvlJc w:val="left"/>
      <w:pPr>
        <w:ind w:left="1418" w:hanging="567"/>
        <w:jc w:val="right"/>
      </w:pPr>
      <w:rPr>
        <w:rFonts w:hint="default" w:ascii="Arial" w:hAnsi="Arial" w:eastAsia="Arial" w:cs="Arial"/>
        <w:b/>
        <w:bCs/>
        <w:spacing w:val="-1"/>
        <w:w w:val="99"/>
        <w:sz w:val="24"/>
        <w:szCs w:val="24"/>
      </w:rPr>
    </w:lvl>
    <w:lvl w:ilvl="3">
      <w:start w:val="1"/>
      <w:numFmt w:val="decimal"/>
      <w:lvlText w:val="%4."/>
      <w:lvlJc w:val="left"/>
      <w:pPr>
        <w:ind w:left="2138" w:hanging="360"/>
        <w:jc w:val="left"/>
      </w:pPr>
      <w:rPr>
        <w:rFonts w:hint="default"/>
        <w:spacing w:val="-21"/>
        <w:w w:val="99"/>
      </w:rPr>
    </w:lvl>
    <w:lvl w:ilvl="4">
      <w:start w:val="1"/>
      <w:numFmt w:val="decimal"/>
      <w:lvlText w:val="%4.%5."/>
      <w:lvlJc w:val="left"/>
      <w:pPr>
        <w:ind w:left="2837" w:hanging="360"/>
        <w:jc w:val="left"/>
      </w:pPr>
      <w:rPr>
        <w:rFonts w:hint="default" w:ascii="Arial" w:hAnsi="Arial" w:eastAsia="Arial" w:cs="Arial"/>
        <w:b/>
        <w:bCs/>
        <w:spacing w:val="-7"/>
        <w:w w:val="99"/>
        <w:sz w:val="24"/>
        <w:szCs w:val="24"/>
      </w:rPr>
    </w:lvl>
    <w:lvl w:ilvl="5">
      <w:start w:val="1"/>
      <w:numFmt w:val="bullet"/>
      <w:lvlText w:val="•"/>
      <w:lvlJc w:val="left"/>
      <w:pPr>
        <w:ind w:left="2840" w:hanging="360"/>
      </w:pPr>
      <w:rPr>
        <w:rFonts w:hint="default"/>
      </w:rPr>
    </w:lvl>
    <w:lvl w:ilvl="6">
      <w:start w:val="1"/>
      <w:numFmt w:val="bullet"/>
      <w:lvlText w:val="•"/>
      <w:lvlJc w:val="left"/>
      <w:pPr>
        <w:ind w:left="2860" w:hanging="360"/>
      </w:pPr>
      <w:rPr>
        <w:rFonts w:hint="default"/>
      </w:rPr>
    </w:lvl>
    <w:lvl w:ilvl="7">
      <w:start w:val="1"/>
      <w:numFmt w:val="bullet"/>
      <w:lvlText w:val="•"/>
      <w:lvlJc w:val="left"/>
      <w:pPr>
        <w:ind w:left="3280" w:hanging="360"/>
      </w:pPr>
      <w:rPr>
        <w:rFonts w:hint="default"/>
      </w:rPr>
    </w:lvl>
    <w:lvl w:ilvl="8">
      <w:start w:val="1"/>
      <w:numFmt w:val="bullet"/>
      <w:lvlText w:val="•"/>
      <w:lvlJc w:val="left"/>
      <w:pPr>
        <w:ind w:left="5400" w:hanging="360"/>
      </w:pPr>
      <w:rPr>
        <w:rFonts w:hint="default"/>
      </w:rPr>
    </w:lvl>
  </w:abstractNum>
  <w:abstractNum w:abstractNumId="1">
    <w:multiLevelType w:val="hybridMultilevel"/>
    <w:lvl w:ilvl="0">
      <w:start w:val="5"/>
      <w:numFmt w:val="upperRoman"/>
      <w:lvlText w:val="%1."/>
      <w:lvlJc w:val="left"/>
      <w:pPr>
        <w:ind w:left="685" w:hanging="567"/>
        <w:jc w:val="left"/>
      </w:pPr>
      <w:rPr>
        <w:rFonts w:hint="default" w:ascii="Arial" w:hAnsi="Arial" w:eastAsia="Arial" w:cs="Arial"/>
        <w:b/>
        <w:bCs/>
        <w:spacing w:val="-2"/>
        <w:w w:val="100"/>
        <w:sz w:val="24"/>
        <w:szCs w:val="24"/>
      </w:rPr>
    </w:lvl>
    <w:lvl w:ilvl="1">
      <w:start w:val="1"/>
      <w:numFmt w:val="decimal"/>
      <w:lvlText w:val="%2."/>
      <w:lvlJc w:val="left"/>
      <w:pPr>
        <w:ind w:left="1251" w:hanging="281"/>
        <w:jc w:val="left"/>
      </w:pPr>
      <w:rPr>
        <w:rFonts w:hint="default" w:ascii="Arial" w:hAnsi="Arial" w:eastAsia="Arial" w:cs="Arial"/>
        <w:b/>
        <w:bCs/>
        <w:w w:val="99"/>
        <w:sz w:val="24"/>
        <w:szCs w:val="24"/>
      </w:rPr>
    </w:lvl>
    <w:lvl w:ilvl="2">
      <w:start w:val="1"/>
      <w:numFmt w:val="bullet"/>
      <w:lvlText w:val="•"/>
      <w:lvlJc w:val="left"/>
      <w:pPr>
        <w:ind w:left="2191" w:hanging="281"/>
      </w:pPr>
      <w:rPr>
        <w:rFonts w:hint="default"/>
      </w:rPr>
    </w:lvl>
    <w:lvl w:ilvl="3">
      <w:start w:val="1"/>
      <w:numFmt w:val="bullet"/>
      <w:lvlText w:val="•"/>
      <w:lvlJc w:val="left"/>
      <w:pPr>
        <w:ind w:left="3122" w:hanging="281"/>
      </w:pPr>
      <w:rPr>
        <w:rFonts w:hint="default"/>
      </w:rPr>
    </w:lvl>
    <w:lvl w:ilvl="4">
      <w:start w:val="1"/>
      <w:numFmt w:val="bullet"/>
      <w:lvlText w:val="•"/>
      <w:lvlJc w:val="left"/>
      <w:pPr>
        <w:ind w:left="4053" w:hanging="281"/>
      </w:pPr>
      <w:rPr>
        <w:rFonts w:hint="default"/>
      </w:rPr>
    </w:lvl>
    <w:lvl w:ilvl="5">
      <w:start w:val="1"/>
      <w:numFmt w:val="bullet"/>
      <w:lvlText w:val="•"/>
      <w:lvlJc w:val="left"/>
      <w:pPr>
        <w:ind w:left="4984" w:hanging="281"/>
      </w:pPr>
      <w:rPr>
        <w:rFonts w:hint="default"/>
      </w:rPr>
    </w:lvl>
    <w:lvl w:ilvl="6">
      <w:start w:val="1"/>
      <w:numFmt w:val="bullet"/>
      <w:lvlText w:val="•"/>
      <w:lvlJc w:val="left"/>
      <w:pPr>
        <w:ind w:left="5915" w:hanging="281"/>
      </w:pPr>
      <w:rPr>
        <w:rFonts w:hint="default"/>
      </w:rPr>
    </w:lvl>
    <w:lvl w:ilvl="7">
      <w:start w:val="1"/>
      <w:numFmt w:val="bullet"/>
      <w:lvlText w:val="•"/>
      <w:lvlJc w:val="left"/>
      <w:pPr>
        <w:ind w:left="6846" w:hanging="281"/>
      </w:pPr>
      <w:rPr>
        <w:rFonts w:hint="default"/>
      </w:rPr>
    </w:lvl>
    <w:lvl w:ilvl="8">
      <w:start w:val="1"/>
      <w:numFmt w:val="bullet"/>
      <w:lvlText w:val="•"/>
      <w:lvlJc w:val="left"/>
      <w:pPr>
        <w:ind w:left="7777" w:hanging="281"/>
      </w:pPr>
      <w:rPr>
        <w:rFonts w:hint="default"/>
      </w:rPr>
    </w:lvl>
  </w:abstractNum>
  <w:abstractNum w:abstractNumId="0">
    <w:multiLevelType w:val="hybridMultilevel"/>
    <w:lvl w:ilvl="0">
      <w:start w:val="1"/>
      <w:numFmt w:val="decimal"/>
      <w:lvlText w:val="%1."/>
      <w:lvlJc w:val="left"/>
      <w:pPr>
        <w:ind w:left="1112" w:hanging="286"/>
        <w:jc w:val="left"/>
      </w:pPr>
      <w:rPr>
        <w:rFonts w:hint="default" w:ascii="Arial" w:hAnsi="Arial" w:eastAsia="Arial" w:cs="Arial"/>
        <w:b/>
        <w:bCs/>
        <w:w w:val="99"/>
        <w:sz w:val="24"/>
        <w:szCs w:val="24"/>
      </w:rPr>
    </w:lvl>
    <w:lvl w:ilvl="1">
      <w:start w:val="1"/>
      <w:numFmt w:val="lowerLetter"/>
      <w:lvlText w:val="%2."/>
      <w:lvlJc w:val="left"/>
      <w:pPr>
        <w:ind w:left="1820" w:hanging="569"/>
        <w:jc w:val="left"/>
      </w:pPr>
      <w:rPr>
        <w:rFonts w:hint="default" w:ascii="Arial" w:hAnsi="Arial" w:eastAsia="Arial" w:cs="Arial"/>
        <w:b/>
        <w:bCs/>
        <w:w w:val="99"/>
        <w:sz w:val="24"/>
        <w:szCs w:val="24"/>
      </w:rPr>
    </w:lvl>
    <w:lvl w:ilvl="2">
      <w:start w:val="1"/>
      <w:numFmt w:val="bullet"/>
      <w:lvlText w:val="•"/>
      <w:lvlJc w:val="left"/>
      <w:pPr>
        <w:ind w:left="2688" w:hanging="569"/>
      </w:pPr>
      <w:rPr>
        <w:rFonts w:hint="default"/>
      </w:rPr>
    </w:lvl>
    <w:lvl w:ilvl="3">
      <w:start w:val="1"/>
      <w:numFmt w:val="bullet"/>
      <w:lvlText w:val="•"/>
      <w:lvlJc w:val="left"/>
      <w:pPr>
        <w:ind w:left="3557" w:hanging="569"/>
      </w:pPr>
      <w:rPr>
        <w:rFonts w:hint="default"/>
      </w:rPr>
    </w:lvl>
    <w:lvl w:ilvl="4">
      <w:start w:val="1"/>
      <w:numFmt w:val="bullet"/>
      <w:lvlText w:val="•"/>
      <w:lvlJc w:val="left"/>
      <w:pPr>
        <w:ind w:left="4426" w:hanging="569"/>
      </w:pPr>
      <w:rPr>
        <w:rFonts w:hint="default"/>
      </w:rPr>
    </w:lvl>
    <w:lvl w:ilvl="5">
      <w:start w:val="1"/>
      <w:numFmt w:val="bullet"/>
      <w:lvlText w:val="•"/>
      <w:lvlJc w:val="left"/>
      <w:pPr>
        <w:ind w:left="5295" w:hanging="569"/>
      </w:pPr>
      <w:rPr>
        <w:rFonts w:hint="default"/>
      </w:rPr>
    </w:lvl>
    <w:lvl w:ilvl="6">
      <w:start w:val="1"/>
      <w:numFmt w:val="bullet"/>
      <w:lvlText w:val="•"/>
      <w:lvlJc w:val="left"/>
      <w:pPr>
        <w:ind w:left="6164" w:hanging="569"/>
      </w:pPr>
      <w:rPr>
        <w:rFonts w:hint="default"/>
      </w:rPr>
    </w:lvl>
    <w:lvl w:ilvl="7">
      <w:start w:val="1"/>
      <w:numFmt w:val="bullet"/>
      <w:lvlText w:val="•"/>
      <w:lvlJc w:val="left"/>
      <w:pPr>
        <w:ind w:left="7033" w:hanging="569"/>
      </w:pPr>
      <w:rPr>
        <w:rFonts w:hint="default"/>
      </w:rPr>
    </w:lvl>
    <w:lvl w:ilvl="8">
      <w:start w:val="1"/>
      <w:numFmt w:val="bullet"/>
      <w:lvlText w:val="•"/>
      <w:lvlJc w:val="left"/>
      <w:pPr>
        <w:ind w:left="7902" w:hanging="569"/>
      </w:pPr>
      <w:rPr>
        <w:rFonts w:hint="default"/>
      </w:rPr>
    </w:lvl>
  </w:abstractNum>
  <w:num w:numId="29">
    <w:abstractNumId w:val="28"/>
  </w:num>
  <w:num w:numId="28">
    <w:abstractNumId w:val="27"/>
  </w:num>
  <w:num w:numId="27">
    <w:abstractNumId w:val="26"/>
  </w:num>
  <w:num w:numId="18">
    <w:abstractNumId w:val="17"/>
  </w:num>
  <w:num w:numId="15">
    <w:abstractNumId w:val="14"/>
  </w:num>
  <w:num w:numId="12">
    <w:abstractNumId w:val="11"/>
  </w:num>
  <w:num w:numId="5">
    <w:abstractNumId w:val="4"/>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7">
    <w:abstractNumId w:val="16"/>
  </w:num>
  <w:num w:numId="16">
    <w:abstractNumId w:val="15"/>
  </w:num>
  <w:num w:numId="14">
    <w:abstractNumId w:val="13"/>
  </w:num>
  <w:num w:numId="13">
    <w:abstractNumId w:val="12"/>
  </w:num>
  <w:num w:numId="11">
    <w:abstractNumId w:val="10"/>
  </w:num>
  <w:num w:numId="10">
    <w:abstractNumId w:val="9"/>
  </w:num>
  <w:num w:numId="9">
    <w:abstractNumId w:val="8"/>
  </w:num>
  <w:num w:numId="8">
    <w:abstractNumId w:val="7"/>
  </w:num>
  <w:num w:numId="7">
    <w:abstractNumId w:val="6"/>
  </w:num>
  <w:num w:numId="6">
    <w:abstractNumId w:val="5"/>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ind w:right="253" w:hanging="254"/>
      <w:outlineLvl w:val="1"/>
    </w:pPr>
    <w:rPr>
      <w:rFonts w:ascii="Calibri" w:hAnsi="Calibri" w:eastAsia="Calibri" w:cs="Calibri"/>
      <w:sz w:val="29"/>
      <w:szCs w:val="29"/>
    </w:rPr>
  </w:style>
  <w:style w:styleId="Heading2" w:type="paragraph">
    <w:name w:val="Heading 2"/>
    <w:basedOn w:val="Normal"/>
    <w:uiPriority w:val="1"/>
    <w:qFormat/>
    <w:pPr>
      <w:ind w:left="2983" w:right="1703"/>
      <w:outlineLvl w:val="2"/>
    </w:pPr>
    <w:rPr>
      <w:rFonts w:ascii="Calibri" w:hAnsi="Calibri" w:eastAsia="Calibri" w:cs="Calibri"/>
      <w:b/>
      <w:bCs/>
      <w:sz w:val="26"/>
      <w:szCs w:val="26"/>
    </w:rPr>
  </w:style>
  <w:style w:styleId="Heading3" w:type="paragraph">
    <w:name w:val="Heading 3"/>
    <w:basedOn w:val="Normal"/>
    <w:uiPriority w:val="1"/>
    <w:qFormat/>
    <w:pPr>
      <w:ind w:left="1890"/>
      <w:outlineLvl w:val="3"/>
    </w:pPr>
    <w:rPr>
      <w:rFonts w:ascii="Calibri" w:hAnsi="Calibri" w:eastAsia="Calibri" w:cs="Calibri"/>
      <w:sz w:val="26"/>
      <w:szCs w:val="26"/>
    </w:rPr>
  </w:style>
  <w:style w:styleId="Heading4" w:type="paragraph">
    <w:name w:val="Heading 4"/>
    <w:basedOn w:val="Normal"/>
    <w:uiPriority w:val="1"/>
    <w:qFormat/>
    <w:pPr>
      <w:spacing w:before="69"/>
      <w:ind w:left="2138"/>
      <w:outlineLvl w:val="4"/>
    </w:pPr>
    <w:rPr>
      <w:rFonts w:ascii="Arial" w:hAnsi="Arial" w:eastAsia="Arial" w:cs="Arial"/>
      <w:b/>
      <w:bCs/>
      <w:sz w:val="24"/>
      <w:szCs w:val="24"/>
    </w:rPr>
  </w:style>
  <w:style w:styleId="ListParagraph" w:type="paragraph">
    <w:name w:val="List Paragraph"/>
    <w:basedOn w:val="Normal"/>
    <w:uiPriority w:val="1"/>
    <w:qFormat/>
    <w:pPr>
      <w:spacing w:before="5"/>
      <w:ind w:left="2138" w:hanging="360"/>
      <w:jc w:val="both"/>
    </w:pPr>
    <w:rPr>
      <w:rFonts w:ascii="Arial" w:hAnsi="Arial" w:eastAsia="Arial" w:cs="Arial"/>
    </w:rPr>
  </w:style>
  <w:style w:styleId="TableParagraph" w:type="paragraph">
    <w:name w:val="Table Paragraph"/>
    <w:basedOn w:val="Normal"/>
    <w:uiPriority w:val="1"/>
    <w:qFormat/>
    <w:pPr>
      <w:spacing w:before="100"/>
      <w:jc w:val="center"/>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image" Target="media/image3.jpeg"/><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image" Target="media/image4.jpeg"/><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image" Target="media/image5.png"/><Relationship Id="rId16" Type="http://schemas.openxmlformats.org/officeDocument/2006/relationships/image" Target="media/image6.jpeg"/><Relationship Id="rId17" Type="http://schemas.openxmlformats.org/officeDocument/2006/relationships/image" Target="media/image7.jpeg"/><Relationship Id="rId18" Type="http://schemas.openxmlformats.org/officeDocument/2006/relationships/image" Target="media/image8.png"/><Relationship Id="rId19" Type="http://schemas.openxmlformats.org/officeDocument/2006/relationships/image" Target="media/image9.jpeg"/><Relationship Id="rId20" Type="http://schemas.openxmlformats.org/officeDocument/2006/relationships/image" Target="media/image10.png"/><Relationship Id="rId21" Type="http://schemas.openxmlformats.org/officeDocument/2006/relationships/image" Target="media/image11.jpeg"/><Relationship Id="rId22" Type="http://schemas.openxmlformats.org/officeDocument/2006/relationships/image" Target="media/image12.jpeg"/><Relationship Id="rId23" Type="http://schemas.openxmlformats.org/officeDocument/2006/relationships/footer" Target="footer7.xml"/><Relationship Id="rId24" Type="http://schemas.openxmlformats.org/officeDocument/2006/relationships/hyperlink" Target="http://www.epa.gov/" TargetMode="External"/><Relationship Id="rId25" Type="http://schemas.openxmlformats.org/officeDocument/2006/relationships/image" Target="media/image13.png"/><Relationship Id="rId26" Type="http://schemas.openxmlformats.org/officeDocument/2006/relationships/image" Target="media/image14.png"/><Relationship Id="rId27" Type="http://schemas.openxmlformats.org/officeDocument/2006/relationships/image" Target="media/image15.png"/><Relationship Id="rId28" Type="http://schemas.openxmlformats.org/officeDocument/2006/relationships/image" Target="media/image16.png"/><Relationship Id="rId29" Type="http://schemas.openxmlformats.org/officeDocument/2006/relationships/image" Target="media/image17.png"/><Relationship Id="rId30" Type="http://schemas.openxmlformats.org/officeDocument/2006/relationships/image" Target="media/image18.png"/><Relationship Id="rId31" Type="http://schemas.openxmlformats.org/officeDocument/2006/relationships/image" Target="media/image19.png"/><Relationship Id="rId32" Type="http://schemas.openxmlformats.org/officeDocument/2006/relationships/image" Target="media/image20.png"/><Relationship Id="rId33" Type="http://schemas.openxmlformats.org/officeDocument/2006/relationships/image" Target="media/image21.png"/><Relationship Id="rId34" Type="http://schemas.openxmlformats.org/officeDocument/2006/relationships/image" Target="media/image22.png"/><Relationship Id="rId35" Type="http://schemas.openxmlformats.org/officeDocument/2006/relationships/image" Target="media/image23.png"/><Relationship Id="rId36" Type="http://schemas.openxmlformats.org/officeDocument/2006/relationships/image" Target="media/image24.png"/><Relationship Id="rId37" Type="http://schemas.openxmlformats.org/officeDocument/2006/relationships/image" Target="media/image25.png"/><Relationship Id="rId38" Type="http://schemas.openxmlformats.org/officeDocument/2006/relationships/image" Target="media/image26.png"/><Relationship Id="rId39" Type="http://schemas.openxmlformats.org/officeDocument/2006/relationships/image" Target="media/image27.png"/><Relationship Id="rId40" Type="http://schemas.openxmlformats.org/officeDocument/2006/relationships/image" Target="media/image28.png"/><Relationship Id="rId41" Type="http://schemas.openxmlformats.org/officeDocument/2006/relationships/image" Target="media/image29.png"/><Relationship Id="rId42" Type="http://schemas.openxmlformats.org/officeDocument/2006/relationships/image" Target="media/image30.png"/><Relationship Id="rId43" Type="http://schemas.openxmlformats.org/officeDocument/2006/relationships/image" Target="media/image31.png"/><Relationship Id="rId44" Type="http://schemas.openxmlformats.org/officeDocument/2006/relationships/image" Target="media/image32.png"/><Relationship Id="rId45" Type="http://schemas.openxmlformats.org/officeDocument/2006/relationships/image" Target="media/image33.png"/><Relationship Id="rId46" Type="http://schemas.openxmlformats.org/officeDocument/2006/relationships/image" Target="media/image34.png"/><Relationship Id="rId47" Type="http://schemas.openxmlformats.org/officeDocument/2006/relationships/image" Target="media/image35.png"/><Relationship Id="rId48" Type="http://schemas.openxmlformats.org/officeDocument/2006/relationships/image" Target="media/image36.png"/><Relationship Id="rId49" Type="http://schemas.openxmlformats.org/officeDocument/2006/relationships/image" Target="media/image37.png"/><Relationship Id="rId50" Type="http://schemas.openxmlformats.org/officeDocument/2006/relationships/image" Target="media/image38.png"/><Relationship Id="rId51" Type="http://schemas.openxmlformats.org/officeDocument/2006/relationships/image" Target="media/image39.png"/><Relationship Id="rId52" Type="http://schemas.openxmlformats.org/officeDocument/2006/relationships/image" Target="media/image40.png"/><Relationship Id="rId53" Type="http://schemas.openxmlformats.org/officeDocument/2006/relationships/image" Target="media/image41.png"/><Relationship Id="rId54" Type="http://schemas.openxmlformats.org/officeDocument/2006/relationships/image" Target="media/image42.png"/><Relationship Id="rId55" Type="http://schemas.openxmlformats.org/officeDocument/2006/relationships/image" Target="media/image43.png"/><Relationship Id="rId56" Type="http://schemas.openxmlformats.org/officeDocument/2006/relationships/image" Target="media/image44.png"/><Relationship Id="rId57" Type="http://schemas.openxmlformats.org/officeDocument/2006/relationships/image" Target="media/image45.png"/><Relationship Id="rId58" Type="http://schemas.openxmlformats.org/officeDocument/2006/relationships/image" Target="media/image46.png"/><Relationship Id="rId59" Type="http://schemas.openxmlformats.org/officeDocument/2006/relationships/image" Target="media/image47.png"/><Relationship Id="rId60" Type="http://schemas.openxmlformats.org/officeDocument/2006/relationships/image" Target="media/image48.png"/><Relationship Id="rId61" Type="http://schemas.openxmlformats.org/officeDocument/2006/relationships/image" Target="media/image49.png"/><Relationship Id="rId62" Type="http://schemas.openxmlformats.org/officeDocument/2006/relationships/image" Target="media/image50.png"/><Relationship Id="rId63" Type="http://schemas.openxmlformats.org/officeDocument/2006/relationships/image" Target="media/image51.png"/><Relationship Id="rId64" Type="http://schemas.openxmlformats.org/officeDocument/2006/relationships/image" Target="media/image52.png"/><Relationship Id="rId65" Type="http://schemas.openxmlformats.org/officeDocument/2006/relationships/image" Target="media/image53.png"/><Relationship Id="rId66" Type="http://schemas.openxmlformats.org/officeDocument/2006/relationships/image" Target="media/image54.png"/><Relationship Id="rId67" Type="http://schemas.openxmlformats.org/officeDocument/2006/relationships/image" Target="media/image55.png"/><Relationship Id="rId68" Type="http://schemas.openxmlformats.org/officeDocument/2006/relationships/image" Target="media/image56.png"/><Relationship Id="rId69" Type="http://schemas.openxmlformats.org/officeDocument/2006/relationships/image" Target="media/image57.png"/><Relationship Id="rId70" Type="http://schemas.openxmlformats.org/officeDocument/2006/relationships/image" Target="media/image58.png"/><Relationship Id="rId71" Type="http://schemas.openxmlformats.org/officeDocument/2006/relationships/image" Target="media/image59.png"/><Relationship Id="rId72" Type="http://schemas.openxmlformats.org/officeDocument/2006/relationships/image" Target="media/image60.png"/><Relationship Id="rId73" Type="http://schemas.openxmlformats.org/officeDocument/2006/relationships/image" Target="media/image61.png"/><Relationship Id="rId74" Type="http://schemas.openxmlformats.org/officeDocument/2006/relationships/image" Target="media/image62.png"/><Relationship Id="rId75" Type="http://schemas.openxmlformats.org/officeDocument/2006/relationships/image" Target="media/image63.png"/><Relationship Id="rId76" Type="http://schemas.openxmlformats.org/officeDocument/2006/relationships/image" Target="media/image64.png"/><Relationship Id="rId77" Type="http://schemas.openxmlformats.org/officeDocument/2006/relationships/footer" Target="footer8.xml"/><Relationship Id="rId78" Type="http://schemas.openxmlformats.org/officeDocument/2006/relationships/footer" Target="footer9.xml"/><Relationship Id="rId79" Type="http://schemas.openxmlformats.org/officeDocument/2006/relationships/image" Target="media/image65.png"/><Relationship Id="rId80" Type="http://schemas.openxmlformats.org/officeDocument/2006/relationships/image" Target="media/image66.png"/><Relationship Id="rId81" Type="http://schemas.openxmlformats.org/officeDocument/2006/relationships/image" Target="media/image67.png"/><Relationship Id="rId82" Type="http://schemas.openxmlformats.org/officeDocument/2006/relationships/image" Target="media/image68.png"/><Relationship Id="rId83" Type="http://schemas.openxmlformats.org/officeDocument/2006/relationships/image" Target="media/image69.png"/><Relationship Id="rId84" Type="http://schemas.openxmlformats.org/officeDocument/2006/relationships/image" Target="media/image70.png"/><Relationship Id="rId85" Type="http://schemas.openxmlformats.org/officeDocument/2006/relationships/image" Target="media/image71.png"/><Relationship Id="rId86" Type="http://schemas.openxmlformats.org/officeDocument/2006/relationships/image" Target="media/image72.png"/><Relationship Id="rId87" Type="http://schemas.openxmlformats.org/officeDocument/2006/relationships/image" Target="media/image73.png"/><Relationship Id="rId88" Type="http://schemas.openxmlformats.org/officeDocument/2006/relationships/image" Target="media/image74.png"/><Relationship Id="rId89" Type="http://schemas.openxmlformats.org/officeDocument/2006/relationships/image" Target="media/image75.png"/><Relationship Id="rId90" Type="http://schemas.openxmlformats.org/officeDocument/2006/relationships/image" Target="media/image76.png"/><Relationship Id="rId91" Type="http://schemas.openxmlformats.org/officeDocument/2006/relationships/image" Target="media/image77.png"/><Relationship Id="rId92" Type="http://schemas.openxmlformats.org/officeDocument/2006/relationships/image" Target="media/image78.png"/><Relationship Id="rId93" Type="http://schemas.openxmlformats.org/officeDocument/2006/relationships/image" Target="media/image79.png"/><Relationship Id="rId94" Type="http://schemas.openxmlformats.org/officeDocument/2006/relationships/image" Target="media/image80.png"/><Relationship Id="rId95" Type="http://schemas.openxmlformats.org/officeDocument/2006/relationships/image" Target="media/image81.png"/><Relationship Id="rId96" Type="http://schemas.openxmlformats.org/officeDocument/2006/relationships/image" Target="media/image82.png"/><Relationship Id="rId97" Type="http://schemas.openxmlformats.org/officeDocument/2006/relationships/image" Target="media/image83.png"/><Relationship Id="rId98" Type="http://schemas.openxmlformats.org/officeDocument/2006/relationships/image" Target="media/image84.png"/><Relationship Id="rId99" Type="http://schemas.openxmlformats.org/officeDocument/2006/relationships/image" Target="media/image85.png"/><Relationship Id="rId100" Type="http://schemas.openxmlformats.org/officeDocument/2006/relationships/image" Target="media/image86.png"/><Relationship Id="rId101" Type="http://schemas.openxmlformats.org/officeDocument/2006/relationships/image" Target="media/image87.png"/><Relationship Id="rId102" Type="http://schemas.openxmlformats.org/officeDocument/2006/relationships/image" Target="media/image88.png"/><Relationship Id="rId103" Type="http://schemas.openxmlformats.org/officeDocument/2006/relationships/image" Target="media/image89.png"/><Relationship Id="rId104" Type="http://schemas.openxmlformats.org/officeDocument/2006/relationships/image" Target="media/image90.png"/><Relationship Id="rId105" Type="http://schemas.openxmlformats.org/officeDocument/2006/relationships/image" Target="media/image91.png"/><Relationship Id="rId106" Type="http://schemas.openxmlformats.org/officeDocument/2006/relationships/image" Target="media/image92.png"/><Relationship Id="rId107" Type="http://schemas.openxmlformats.org/officeDocument/2006/relationships/image" Target="media/image93.png"/><Relationship Id="rId108" Type="http://schemas.openxmlformats.org/officeDocument/2006/relationships/image" Target="media/image94.png"/><Relationship Id="rId109" Type="http://schemas.openxmlformats.org/officeDocument/2006/relationships/image" Target="media/image95.png"/><Relationship Id="rId110" Type="http://schemas.openxmlformats.org/officeDocument/2006/relationships/image" Target="media/image96.png"/><Relationship Id="rId111" Type="http://schemas.openxmlformats.org/officeDocument/2006/relationships/image" Target="media/image97.png"/><Relationship Id="rId112" Type="http://schemas.openxmlformats.org/officeDocument/2006/relationships/image" Target="media/image98.png"/><Relationship Id="rId113" Type="http://schemas.openxmlformats.org/officeDocument/2006/relationships/image" Target="media/image99.png"/><Relationship Id="rId114" Type="http://schemas.openxmlformats.org/officeDocument/2006/relationships/image" Target="media/image100.png"/><Relationship Id="rId115" Type="http://schemas.openxmlformats.org/officeDocument/2006/relationships/image" Target="media/image101.png"/><Relationship Id="rId116" Type="http://schemas.openxmlformats.org/officeDocument/2006/relationships/image" Target="media/image102.png"/><Relationship Id="rId117" Type="http://schemas.openxmlformats.org/officeDocument/2006/relationships/image" Target="media/image103.png"/><Relationship Id="rId118" Type="http://schemas.openxmlformats.org/officeDocument/2006/relationships/image" Target="media/image104.png"/><Relationship Id="rId119" Type="http://schemas.openxmlformats.org/officeDocument/2006/relationships/image" Target="media/image105.png"/><Relationship Id="rId120" Type="http://schemas.openxmlformats.org/officeDocument/2006/relationships/image" Target="media/image106.png"/><Relationship Id="rId121" Type="http://schemas.openxmlformats.org/officeDocument/2006/relationships/image" Target="media/image107.png"/><Relationship Id="rId122" Type="http://schemas.openxmlformats.org/officeDocument/2006/relationships/image" Target="media/image108.png"/><Relationship Id="rId123" Type="http://schemas.openxmlformats.org/officeDocument/2006/relationships/image" Target="media/image109.png"/><Relationship Id="rId124" Type="http://schemas.openxmlformats.org/officeDocument/2006/relationships/image" Target="media/image110.png"/><Relationship Id="rId125" Type="http://schemas.openxmlformats.org/officeDocument/2006/relationships/image" Target="media/image111.png"/><Relationship Id="rId126" Type="http://schemas.openxmlformats.org/officeDocument/2006/relationships/image" Target="media/image112.png"/><Relationship Id="rId127" Type="http://schemas.openxmlformats.org/officeDocument/2006/relationships/image" Target="media/image113.png"/><Relationship Id="rId128" Type="http://schemas.openxmlformats.org/officeDocument/2006/relationships/image" Target="media/image114.png"/><Relationship Id="rId129" Type="http://schemas.openxmlformats.org/officeDocument/2006/relationships/image" Target="media/image115.png"/><Relationship Id="rId130" Type="http://schemas.openxmlformats.org/officeDocument/2006/relationships/image" Target="media/image116.png"/><Relationship Id="rId131" Type="http://schemas.openxmlformats.org/officeDocument/2006/relationships/image" Target="media/image117.png"/><Relationship Id="rId132" Type="http://schemas.openxmlformats.org/officeDocument/2006/relationships/image" Target="media/image118.png"/><Relationship Id="rId133" Type="http://schemas.openxmlformats.org/officeDocument/2006/relationships/image" Target="media/image119.png"/><Relationship Id="rId134" Type="http://schemas.openxmlformats.org/officeDocument/2006/relationships/image" Target="media/image120.png"/><Relationship Id="rId135" Type="http://schemas.openxmlformats.org/officeDocument/2006/relationships/image" Target="media/image121.png"/><Relationship Id="rId136" Type="http://schemas.openxmlformats.org/officeDocument/2006/relationships/image" Target="media/image122.png"/><Relationship Id="rId137" Type="http://schemas.openxmlformats.org/officeDocument/2006/relationships/image" Target="media/image123.png"/><Relationship Id="rId138" Type="http://schemas.openxmlformats.org/officeDocument/2006/relationships/image" Target="media/image124.png"/><Relationship Id="rId139" Type="http://schemas.openxmlformats.org/officeDocument/2006/relationships/image" Target="media/image125.png"/><Relationship Id="rId140" Type="http://schemas.openxmlformats.org/officeDocument/2006/relationships/image" Target="media/image126.png"/><Relationship Id="rId141" Type="http://schemas.openxmlformats.org/officeDocument/2006/relationships/image" Target="media/image127.png"/><Relationship Id="rId142" Type="http://schemas.openxmlformats.org/officeDocument/2006/relationships/image" Target="media/image128.png"/><Relationship Id="rId143" Type="http://schemas.openxmlformats.org/officeDocument/2006/relationships/image" Target="media/image129.png"/><Relationship Id="rId144" Type="http://schemas.openxmlformats.org/officeDocument/2006/relationships/image" Target="media/image130.png"/><Relationship Id="rId145" Type="http://schemas.openxmlformats.org/officeDocument/2006/relationships/image" Target="media/image131.png"/><Relationship Id="rId146" Type="http://schemas.openxmlformats.org/officeDocument/2006/relationships/image" Target="media/image132.png"/><Relationship Id="rId147" Type="http://schemas.openxmlformats.org/officeDocument/2006/relationships/image" Target="media/image133.png"/><Relationship Id="rId148" Type="http://schemas.openxmlformats.org/officeDocument/2006/relationships/image" Target="media/image134.png"/><Relationship Id="rId149" Type="http://schemas.openxmlformats.org/officeDocument/2006/relationships/image" Target="media/image135.png"/><Relationship Id="rId150" Type="http://schemas.openxmlformats.org/officeDocument/2006/relationships/image" Target="media/image136.png"/><Relationship Id="rId151" Type="http://schemas.openxmlformats.org/officeDocument/2006/relationships/image" Target="media/image137.png"/><Relationship Id="rId152" Type="http://schemas.openxmlformats.org/officeDocument/2006/relationships/image" Target="media/image138.png"/><Relationship Id="rId153" Type="http://schemas.openxmlformats.org/officeDocument/2006/relationships/image" Target="media/image139.png"/><Relationship Id="rId154" Type="http://schemas.openxmlformats.org/officeDocument/2006/relationships/image" Target="media/image140.png"/><Relationship Id="rId155" Type="http://schemas.openxmlformats.org/officeDocument/2006/relationships/image" Target="media/image141.png"/><Relationship Id="rId156" Type="http://schemas.openxmlformats.org/officeDocument/2006/relationships/image" Target="media/image142.png"/><Relationship Id="rId157" Type="http://schemas.openxmlformats.org/officeDocument/2006/relationships/image" Target="media/image143.png"/><Relationship Id="rId158" Type="http://schemas.openxmlformats.org/officeDocument/2006/relationships/image" Target="media/image144.png"/><Relationship Id="rId159" Type="http://schemas.openxmlformats.org/officeDocument/2006/relationships/image" Target="media/image145.png"/><Relationship Id="rId160" Type="http://schemas.openxmlformats.org/officeDocument/2006/relationships/image" Target="media/image146.png"/><Relationship Id="rId161" Type="http://schemas.openxmlformats.org/officeDocument/2006/relationships/image" Target="media/image147.png"/><Relationship Id="rId162" Type="http://schemas.openxmlformats.org/officeDocument/2006/relationships/image" Target="media/image148.png"/><Relationship Id="rId163" Type="http://schemas.openxmlformats.org/officeDocument/2006/relationships/footer" Target="footer10.xml"/><Relationship Id="rId164" Type="http://schemas.openxmlformats.org/officeDocument/2006/relationships/footer" Target="footer11.xml"/><Relationship Id="rId165" Type="http://schemas.openxmlformats.org/officeDocument/2006/relationships/image" Target="media/image149.png"/><Relationship Id="rId166" Type="http://schemas.openxmlformats.org/officeDocument/2006/relationships/image" Target="media/image150.png"/><Relationship Id="rId167" Type="http://schemas.openxmlformats.org/officeDocument/2006/relationships/image" Target="media/image151.png"/><Relationship Id="rId168" Type="http://schemas.openxmlformats.org/officeDocument/2006/relationships/image" Target="media/image152.png"/><Relationship Id="rId169" Type="http://schemas.openxmlformats.org/officeDocument/2006/relationships/image" Target="media/image153.png"/><Relationship Id="rId170" Type="http://schemas.openxmlformats.org/officeDocument/2006/relationships/image" Target="media/image154.png"/><Relationship Id="rId171" Type="http://schemas.openxmlformats.org/officeDocument/2006/relationships/image" Target="media/image155.png"/><Relationship Id="rId172" Type="http://schemas.openxmlformats.org/officeDocument/2006/relationships/image" Target="media/image156.png"/><Relationship Id="rId173" Type="http://schemas.openxmlformats.org/officeDocument/2006/relationships/image" Target="media/image157.png"/><Relationship Id="rId174" Type="http://schemas.openxmlformats.org/officeDocument/2006/relationships/image" Target="media/image158.png"/><Relationship Id="rId175" Type="http://schemas.openxmlformats.org/officeDocument/2006/relationships/image" Target="media/image159.png"/><Relationship Id="rId176" Type="http://schemas.openxmlformats.org/officeDocument/2006/relationships/image" Target="media/image160.png"/><Relationship Id="rId177" Type="http://schemas.openxmlformats.org/officeDocument/2006/relationships/image" Target="media/image161.png"/><Relationship Id="rId178" Type="http://schemas.openxmlformats.org/officeDocument/2006/relationships/image" Target="media/image162.png"/><Relationship Id="rId179" Type="http://schemas.openxmlformats.org/officeDocument/2006/relationships/image" Target="media/image163.png"/><Relationship Id="rId180" Type="http://schemas.openxmlformats.org/officeDocument/2006/relationships/image" Target="media/image164.png"/><Relationship Id="rId181" Type="http://schemas.openxmlformats.org/officeDocument/2006/relationships/image" Target="media/image165.jpeg"/><Relationship Id="rId182" Type="http://schemas.openxmlformats.org/officeDocument/2006/relationships/image" Target="media/image166.png"/><Relationship Id="rId183" Type="http://schemas.openxmlformats.org/officeDocument/2006/relationships/image" Target="media/image167.png"/><Relationship Id="rId184" Type="http://schemas.openxmlformats.org/officeDocument/2006/relationships/image" Target="media/image168.png"/><Relationship Id="rId185" Type="http://schemas.openxmlformats.org/officeDocument/2006/relationships/image" Target="media/image169.png"/><Relationship Id="rId186" Type="http://schemas.openxmlformats.org/officeDocument/2006/relationships/image" Target="media/image170.png"/><Relationship Id="rId187" Type="http://schemas.openxmlformats.org/officeDocument/2006/relationships/image" Target="media/image171.png"/><Relationship Id="rId188" Type="http://schemas.openxmlformats.org/officeDocument/2006/relationships/image" Target="media/image172.png"/><Relationship Id="rId189" Type="http://schemas.openxmlformats.org/officeDocument/2006/relationships/image" Target="media/image173.png"/><Relationship Id="rId190" Type="http://schemas.openxmlformats.org/officeDocument/2006/relationships/image" Target="media/image174.png"/><Relationship Id="rId191" Type="http://schemas.openxmlformats.org/officeDocument/2006/relationships/image" Target="media/image175.png"/><Relationship Id="rId192" Type="http://schemas.openxmlformats.org/officeDocument/2006/relationships/image" Target="media/image176.png"/><Relationship Id="rId193" Type="http://schemas.openxmlformats.org/officeDocument/2006/relationships/image" Target="media/image177.png"/><Relationship Id="rId194" Type="http://schemas.openxmlformats.org/officeDocument/2006/relationships/image" Target="media/image178.png"/><Relationship Id="rId195" Type="http://schemas.openxmlformats.org/officeDocument/2006/relationships/image" Target="media/image179.png"/><Relationship Id="rId196" Type="http://schemas.openxmlformats.org/officeDocument/2006/relationships/image" Target="media/image180.png"/><Relationship Id="rId197" Type="http://schemas.openxmlformats.org/officeDocument/2006/relationships/image" Target="media/image181.png"/><Relationship Id="rId198" Type="http://schemas.openxmlformats.org/officeDocument/2006/relationships/image" Target="media/image182.png"/><Relationship Id="rId199" Type="http://schemas.openxmlformats.org/officeDocument/2006/relationships/image" Target="media/image183.png"/><Relationship Id="rId200" Type="http://schemas.openxmlformats.org/officeDocument/2006/relationships/image" Target="media/image184.png"/><Relationship Id="rId201" Type="http://schemas.openxmlformats.org/officeDocument/2006/relationships/image" Target="media/image185.png"/><Relationship Id="rId202" Type="http://schemas.openxmlformats.org/officeDocument/2006/relationships/image" Target="media/image186.png"/><Relationship Id="rId203" Type="http://schemas.openxmlformats.org/officeDocument/2006/relationships/image" Target="media/image187.png"/><Relationship Id="rId204" Type="http://schemas.openxmlformats.org/officeDocument/2006/relationships/image" Target="media/image188.png"/><Relationship Id="rId205" Type="http://schemas.openxmlformats.org/officeDocument/2006/relationships/image" Target="media/image189.png"/><Relationship Id="rId206" Type="http://schemas.openxmlformats.org/officeDocument/2006/relationships/image" Target="media/image190.png"/><Relationship Id="rId207" Type="http://schemas.openxmlformats.org/officeDocument/2006/relationships/image" Target="media/image191.png"/><Relationship Id="rId208" Type="http://schemas.openxmlformats.org/officeDocument/2006/relationships/image" Target="media/image192.png"/><Relationship Id="rId209" Type="http://schemas.openxmlformats.org/officeDocument/2006/relationships/image" Target="media/image193.png"/><Relationship Id="rId210" Type="http://schemas.openxmlformats.org/officeDocument/2006/relationships/image" Target="media/image194.png"/><Relationship Id="rId211" Type="http://schemas.openxmlformats.org/officeDocument/2006/relationships/image" Target="media/image195.png"/><Relationship Id="rId212" Type="http://schemas.openxmlformats.org/officeDocument/2006/relationships/image" Target="media/image196.png"/><Relationship Id="rId213" Type="http://schemas.openxmlformats.org/officeDocument/2006/relationships/image" Target="media/image197.png"/><Relationship Id="rId214" Type="http://schemas.openxmlformats.org/officeDocument/2006/relationships/image" Target="media/image198.png"/><Relationship Id="rId215" Type="http://schemas.openxmlformats.org/officeDocument/2006/relationships/image" Target="media/image199.png"/><Relationship Id="rId216" Type="http://schemas.openxmlformats.org/officeDocument/2006/relationships/image" Target="media/image200.png"/><Relationship Id="rId217" Type="http://schemas.openxmlformats.org/officeDocument/2006/relationships/image" Target="media/image201.png"/><Relationship Id="rId218" Type="http://schemas.openxmlformats.org/officeDocument/2006/relationships/image" Target="media/image202.png"/><Relationship Id="rId219" Type="http://schemas.openxmlformats.org/officeDocument/2006/relationships/image" Target="media/image203.png"/><Relationship Id="rId220" Type="http://schemas.openxmlformats.org/officeDocument/2006/relationships/image" Target="media/image204.jpeg"/><Relationship Id="rId221" Type="http://schemas.openxmlformats.org/officeDocument/2006/relationships/image" Target="media/image205.png"/><Relationship Id="rId222" Type="http://schemas.openxmlformats.org/officeDocument/2006/relationships/image" Target="media/image206.png"/><Relationship Id="rId223" Type="http://schemas.openxmlformats.org/officeDocument/2006/relationships/image" Target="media/image207.png"/><Relationship Id="rId224" Type="http://schemas.openxmlformats.org/officeDocument/2006/relationships/image" Target="media/image208.jpeg"/><Relationship Id="rId225" Type="http://schemas.openxmlformats.org/officeDocument/2006/relationships/image" Target="media/image209.png"/><Relationship Id="rId226" Type="http://schemas.openxmlformats.org/officeDocument/2006/relationships/image" Target="media/image210.jpeg"/><Relationship Id="rId227" Type="http://schemas.openxmlformats.org/officeDocument/2006/relationships/image" Target="media/image211.png"/><Relationship Id="rId228" Type="http://schemas.openxmlformats.org/officeDocument/2006/relationships/image" Target="media/image212.jpeg"/><Relationship Id="rId229" Type="http://schemas.openxmlformats.org/officeDocument/2006/relationships/image" Target="media/image213.png"/><Relationship Id="rId230" Type="http://schemas.openxmlformats.org/officeDocument/2006/relationships/image" Target="media/image214.jpeg"/><Relationship Id="rId231" Type="http://schemas.openxmlformats.org/officeDocument/2006/relationships/footer" Target="footer12.xml"/><Relationship Id="rId232" Type="http://schemas.openxmlformats.org/officeDocument/2006/relationships/image" Target="media/image215.jpeg"/><Relationship Id="rId233" Type="http://schemas.openxmlformats.org/officeDocument/2006/relationships/footer" Target="footer13.xml"/><Relationship Id="rId234" Type="http://schemas.openxmlformats.org/officeDocument/2006/relationships/footer" Target="footer14.xml"/><Relationship Id="rId235" Type="http://schemas.openxmlformats.org/officeDocument/2006/relationships/footer" Target="footer15.xml"/><Relationship Id="rId236" Type="http://schemas.openxmlformats.org/officeDocument/2006/relationships/footer" Target="footer16.xml"/><Relationship Id="rId237" Type="http://schemas.openxmlformats.org/officeDocument/2006/relationships/image" Target="media/image216.jpeg"/><Relationship Id="rId238" Type="http://schemas.openxmlformats.org/officeDocument/2006/relationships/footer" Target="footer17.xml"/><Relationship Id="rId239" Type="http://schemas.openxmlformats.org/officeDocument/2006/relationships/footer" Target="footer18.xml"/><Relationship Id="rId240" Type="http://schemas.openxmlformats.org/officeDocument/2006/relationships/footer" Target="footer19.xml"/><Relationship Id="rId241" Type="http://schemas.openxmlformats.org/officeDocument/2006/relationships/hyperlink" Target="http://www.midepositodental.com/p2400047/Cubrebocas-Ambiderm-Econoply-Blanca/product_info.html" TargetMode="External"/><Relationship Id="rId242" Type="http://schemas.openxmlformats.org/officeDocument/2006/relationships/image" Target="media/image217.png"/><Relationship Id="rId243" Type="http://schemas.openxmlformats.org/officeDocument/2006/relationships/image" Target="media/image218.png"/><Relationship Id="rId244" Type="http://schemas.openxmlformats.org/officeDocument/2006/relationships/image" Target="media/image219.jpeg"/><Relationship Id="rId245" Type="http://schemas.openxmlformats.org/officeDocument/2006/relationships/image" Target="media/image220.png"/><Relationship Id="rId246" Type="http://schemas.openxmlformats.org/officeDocument/2006/relationships/image" Target="media/image221.png"/><Relationship Id="rId247" Type="http://schemas.openxmlformats.org/officeDocument/2006/relationships/image" Target="media/image222.png"/><Relationship Id="rId248" Type="http://schemas.openxmlformats.org/officeDocument/2006/relationships/image" Target="media/image223.png"/><Relationship Id="rId249" Type="http://schemas.openxmlformats.org/officeDocument/2006/relationships/image" Target="media/image224.png"/><Relationship Id="rId250" Type="http://schemas.openxmlformats.org/officeDocument/2006/relationships/image" Target="media/image225.jpeg"/><Relationship Id="rId251" Type="http://schemas.openxmlformats.org/officeDocument/2006/relationships/image" Target="media/image226.png"/><Relationship Id="rId252" Type="http://schemas.openxmlformats.org/officeDocument/2006/relationships/image" Target="media/image227.jpeg"/><Relationship Id="rId253" Type="http://schemas.openxmlformats.org/officeDocument/2006/relationships/image" Target="media/image228.png"/><Relationship Id="rId254" Type="http://schemas.openxmlformats.org/officeDocument/2006/relationships/image" Target="media/image229.jpeg"/><Relationship Id="rId255" Type="http://schemas.openxmlformats.org/officeDocument/2006/relationships/image" Target="media/image230.png"/><Relationship Id="rId256" Type="http://schemas.openxmlformats.org/officeDocument/2006/relationships/image" Target="media/image231.jpeg"/><Relationship Id="rId257" Type="http://schemas.openxmlformats.org/officeDocument/2006/relationships/image" Target="media/image232.png"/><Relationship Id="rId258" Type="http://schemas.openxmlformats.org/officeDocument/2006/relationships/image" Target="media/image233.png"/><Relationship Id="rId259" Type="http://schemas.openxmlformats.org/officeDocument/2006/relationships/image" Target="media/image234.png"/><Relationship Id="rId260" Type="http://schemas.openxmlformats.org/officeDocument/2006/relationships/image" Target="media/image235.jpeg"/><Relationship Id="rId261" Type="http://schemas.openxmlformats.org/officeDocument/2006/relationships/image" Target="media/image236.png"/><Relationship Id="rId262" Type="http://schemas.openxmlformats.org/officeDocument/2006/relationships/image" Target="media/image237.jpeg"/><Relationship Id="rId263" Type="http://schemas.openxmlformats.org/officeDocument/2006/relationships/image" Target="media/image238.png"/><Relationship Id="rId264" Type="http://schemas.openxmlformats.org/officeDocument/2006/relationships/image" Target="media/image239.png"/><Relationship Id="rId265" Type="http://schemas.openxmlformats.org/officeDocument/2006/relationships/image" Target="media/image240.jpeg"/><Relationship Id="rId266" Type="http://schemas.openxmlformats.org/officeDocument/2006/relationships/image" Target="media/image241.png"/><Relationship Id="rId267" Type="http://schemas.openxmlformats.org/officeDocument/2006/relationships/image" Target="media/image242.jpeg"/><Relationship Id="rId268" Type="http://schemas.openxmlformats.org/officeDocument/2006/relationships/image" Target="media/image243.png"/><Relationship Id="rId269" Type="http://schemas.openxmlformats.org/officeDocument/2006/relationships/image" Target="media/image244.png"/><Relationship Id="rId270" Type="http://schemas.openxmlformats.org/officeDocument/2006/relationships/image" Target="media/image245.png"/><Relationship Id="rId271" Type="http://schemas.openxmlformats.org/officeDocument/2006/relationships/image" Target="media/image246.png"/><Relationship Id="rId272" Type="http://schemas.openxmlformats.org/officeDocument/2006/relationships/image" Target="media/image247.png"/><Relationship Id="rId273" Type="http://schemas.openxmlformats.org/officeDocument/2006/relationships/image" Target="media/image248.jpeg"/><Relationship Id="rId274" Type="http://schemas.openxmlformats.org/officeDocument/2006/relationships/image" Target="media/image249.png"/><Relationship Id="rId275" Type="http://schemas.openxmlformats.org/officeDocument/2006/relationships/image" Target="media/image250.jpeg"/><Relationship Id="rId276" Type="http://schemas.openxmlformats.org/officeDocument/2006/relationships/image" Target="media/image251.png"/><Relationship Id="rId277" Type="http://schemas.openxmlformats.org/officeDocument/2006/relationships/image" Target="media/image252.png"/><Relationship Id="rId278" Type="http://schemas.openxmlformats.org/officeDocument/2006/relationships/image" Target="media/image253.png"/><Relationship Id="rId279" Type="http://schemas.openxmlformats.org/officeDocument/2006/relationships/footer" Target="footer20.xml"/><Relationship Id="rId280" Type="http://schemas.openxmlformats.org/officeDocument/2006/relationships/image" Target="media/image254.jpeg"/><Relationship Id="rId281" Type="http://schemas.openxmlformats.org/officeDocument/2006/relationships/image" Target="media/image255.jpeg"/><Relationship Id="rId282" Type="http://schemas.openxmlformats.org/officeDocument/2006/relationships/footer" Target="footer21.xml"/><Relationship Id="rId283" Type="http://schemas.openxmlformats.org/officeDocument/2006/relationships/footer" Target="footer22.xml"/><Relationship Id="rId284" Type="http://schemas.openxmlformats.org/officeDocument/2006/relationships/hyperlink" Target="https://es.wikipedia.org/wiki/INEGI" TargetMode="External"/><Relationship Id="rId285" Type="http://schemas.openxmlformats.org/officeDocument/2006/relationships/footer" Target="footer23.xml"/><Relationship Id="rId286" Type="http://schemas.openxmlformats.org/officeDocument/2006/relationships/footer" Target="footer24.xml"/><Relationship Id="rId287" Type="http://schemas.openxmlformats.org/officeDocument/2006/relationships/hyperlink" Target="http://www.inegi.org.mx/sistemas/mexicocifras/datos-geograficos/15/15113.pdf" TargetMode="External"/><Relationship Id="rId288" Type="http://schemas.openxmlformats.org/officeDocument/2006/relationships/footer" Target="footer25.xml"/><Relationship Id="rId289" Type="http://schemas.openxmlformats.org/officeDocument/2006/relationships/hyperlink" Target="http://www.sciencedirect.com/science/article/pii/S1383571812000022" TargetMode="External"/><Relationship Id="rId290" Type="http://schemas.openxmlformats.org/officeDocument/2006/relationships/footer" Target="footer26.xml"/><Relationship Id="rId291" Type="http://schemas.openxmlformats.org/officeDocument/2006/relationships/hyperlink" Target="http://www.epa.gov/pesticides/about/types.htm.%2030/05/2014" TargetMode="External"/><Relationship Id="rId292" Type="http://schemas.openxmlformats.org/officeDocument/2006/relationships/hyperlink" Target="http://www.sciencedirect.com/science/article/pii/S1383571814001387" TargetMode="External"/><Relationship Id="rId293" Type="http://schemas.openxmlformats.org/officeDocument/2006/relationships/footer" Target="footer27.xml"/><Relationship Id="rId294" Type="http://schemas.openxmlformats.org/officeDocument/2006/relationships/image" Target="media/image256.jpeg"/><Relationship Id="rId295" Type="http://schemas.openxmlformats.org/officeDocument/2006/relationships/image" Target="media/image257.jpeg"/><Relationship Id="rId296" Type="http://schemas.openxmlformats.org/officeDocument/2006/relationships/image" Target="media/image258.png"/><Relationship Id="rId297" Type="http://schemas.openxmlformats.org/officeDocument/2006/relationships/image" Target="media/image259.jpeg"/><Relationship Id="rId298" Type="http://schemas.openxmlformats.org/officeDocument/2006/relationships/image" Target="media/image260.jpeg"/><Relationship Id="rId299" Type="http://schemas.openxmlformats.org/officeDocument/2006/relationships/image" Target="media/image261.jpeg"/><Relationship Id="rId300" Type="http://schemas.openxmlformats.org/officeDocument/2006/relationships/image" Target="media/image262.png"/><Relationship Id="rId301" Type="http://schemas.openxmlformats.org/officeDocument/2006/relationships/image" Target="media/image263.jpeg"/><Relationship Id="rId302" Type="http://schemas.openxmlformats.org/officeDocument/2006/relationships/image" Target="media/image264.jpeg"/><Relationship Id="rId303" Type="http://schemas.openxmlformats.org/officeDocument/2006/relationships/image" Target="media/image265.jpeg"/><Relationship Id="rId304" Type="http://schemas.openxmlformats.org/officeDocument/2006/relationships/footer" Target="footer28.xml"/><Relationship Id="rId305" Type="http://schemas.openxmlformats.org/officeDocument/2006/relationships/image" Target="media/image266.jpeg"/><Relationship Id="rId306" Type="http://schemas.openxmlformats.org/officeDocument/2006/relationships/footer" Target="footer29.xml"/><Relationship Id="rId307" Type="http://schemas.openxmlformats.org/officeDocument/2006/relationships/footer" Target="footer30.xml"/><Relationship Id="rId308" Type="http://schemas.openxmlformats.org/officeDocument/2006/relationships/image" Target="media/image267.jpeg"/><Relationship Id="rId309" Type="http://schemas.openxmlformats.org/officeDocument/2006/relationships/footer" Target="footer31.xml"/><Relationship Id="rId310" Type="http://schemas.openxmlformats.org/officeDocument/2006/relationships/hyperlink" Target="http://www.intechopen.com/books/pesticides-in-themodernworldtrends-" TargetMode="External"/><Relationship Id="rId311" Type="http://schemas.openxmlformats.org/officeDocument/2006/relationships/hyperlink" Target="mailto:rap-al@terra.cl" TargetMode="External"/><Relationship Id="rId312" Type="http://schemas.openxmlformats.org/officeDocument/2006/relationships/hyperlink" Target="http://pediatrics.aappublications.org/content/130/6/e1757.full.html" TargetMode="External"/><Relationship Id="rId313" Type="http://schemas.openxmlformats.org/officeDocument/2006/relationships/hyperlink" Target="http://www/" TargetMode="External"/><Relationship Id="rId314" Type="http://schemas.openxmlformats.org/officeDocument/2006/relationships/hyperlink" Target="https://edomex.quadratin.com.mx/Encabezan-municipios-floristas-lista-de-ninos-con-problemas-oncologicos/" TargetMode="External"/><Relationship Id="rId315" Type="http://schemas.openxmlformats.org/officeDocument/2006/relationships/hyperlink" Target="http://www.redalyc.org/BusquedaAutorPorNombre.oa?q=%22Susana%20Der%20Parsehian%22" TargetMode="External"/><Relationship Id="rId316" Type="http://schemas.openxmlformats.org/officeDocument/2006/relationships/hyperlink" Target="http://www.odc.gov.co/Portals/1/Docs/pesig/PS06012013-biomonitorizacion-riesgo-genotoxic-agricultores-cinco-regione-colombianas-glifosato.pdf" TargetMode="External"/><Relationship Id="rId317" Type="http://schemas.openxmlformats.org/officeDocument/2006/relationships/hyperlink" Target="https://es.scribd.com/doc/73793708/biomarcadores-en-Toxicologia-Humana" TargetMode="External"/><Relationship Id="rId318" Type="http://schemas.openxmlformats.org/officeDocument/2006/relationships/hyperlink" Target="http://www.wma.net/es/30publications/10policies/b3/" TargetMode="External"/><Relationship Id="rId319" Type="http://schemas.openxmlformats.org/officeDocument/2006/relationships/footer" Target="footer32.xml"/><Relationship Id="rId320" Type="http://schemas.openxmlformats.org/officeDocument/2006/relationships/image" Target="media/image268.jpeg"/><Relationship Id="rId321" Type="http://schemas.openxmlformats.org/officeDocument/2006/relationships/footer" Target="footer33.xml"/><Relationship Id="rId322" Type="http://schemas.openxmlformats.org/officeDocument/2006/relationships/image" Target="media/image269.jpeg"/><Relationship Id="rId323" Type="http://schemas.openxmlformats.org/officeDocument/2006/relationships/image" Target="media/image270.jpeg"/><Relationship Id="rId324" Type="http://schemas.openxmlformats.org/officeDocument/2006/relationships/footer" Target="footer34.xml"/><Relationship Id="rId325" Type="http://schemas.openxmlformats.org/officeDocument/2006/relationships/image" Target="media/image271.jpeg"/><Relationship Id="rId326" Type="http://schemas.openxmlformats.org/officeDocument/2006/relationships/image" Target="media/image272.jpeg"/><Relationship Id="rId327" Type="http://schemas.openxmlformats.org/officeDocument/2006/relationships/footer" Target="footer35.xml"/><Relationship Id="rId328" Type="http://schemas.openxmlformats.org/officeDocument/2006/relationships/image" Target="media/image273.jpeg"/><Relationship Id="rId329" Type="http://schemas.openxmlformats.org/officeDocument/2006/relationships/footer" Target="footer36.xml"/><Relationship Id="rId330" Type="http://schemas.openxmlformats.org/officeDocument/2006/relationships/image" Target="media/image274.jpeg"/><Relationship Id="rId331" Type="http://schemas.openxmlformats.org/officeDocument/2006/relationships/footer" Target="footer37.xml"/><Relationship Id="rId332" Type="http://schemas.openxmlformats.org/officeDocument/2006/relationships/image" Target="media/image275.jpeg"/><Relationship Id="rId33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2017-05-25T23:05:05Z</dcterms:created>
  <dcterms:modified xsi:type="dcterms:W3CDTF">2017-05-25T23:05:05Z</dcterms:modified>
</cp:coreProperties>
</file>