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rFonts w:ascii="Times New Roman"/>
          <w:sz w:val="6"/>
        </w:rPr>
      </w:pPr>
    </w:p>
    <w:p>
      <w:pPr>
        <w:pStyle w:val="BodyText"/>
        <w:ind w:left="119"/>
        <w:rPr>
          <w:rFonts w:ascii="Times New Roman"/>
          <w:sz w:val="20"/>
        </w:rPr>
      </w:pPr>
      <w:r>
        <w:rPr>
          <w:rFonts w:ascii="Times New Roman"/>
          <w:sz w:val="20"/>
        </w:rPr>
        <w:pict>
          <v:group style="width:487.45pt;height:85.85pt;mso-position-horizontal-relative:char;mso-position-vertical-relative:line" coordorigin="0,0" coordsize="9749,1717">
            <v:shape style="position:absolute;left:0;top:0;width:2074;height:1651" type="#_x0000_t75" stroked="false">
              <v:imagedata r:id="rId5" o:title=""/>
            </v:shape>
            <v:line style="position:absolute" from="1989,1572" to="9719,1572" stroked="true" strokeweight="3pt" strokecolor="#000000"/>
            <v:line style="position:absolute" from="2178,1694" to="9530,1694" stroked="true" strokeweight="2.25pt" strokecolor="#000000"/>
            <v:shapetype id="_x0000_t202" o:spt="202" coordsize="21600,21600" path="m,l,21600r21600,l21600,xe">
              <v:stroke joinstyle="miter"/>
              <v:path gradientshapeok="t" o:connecttype="rect"/>
            </v:shapetype>
            <v:shape style="position:absolute;left:0;top:0;width:9749;height:1717" type="#_x0000_t202" filled="false" stroked="false">
              <v:textbox inset="0,0,0,0">
                <w:txbxContent>
                  <w:p>
                    <w:pPr>
                      <w:spacing w:line="240" w:lineRule="auto" w:before="10"/>
                      <w:rPr>
                        <w:rFonts w:ascii="Times New Roman"/>
                        <w:sz w:val="34"/>
                      </w:rPr>
                    </w:pPr>
                  </w:p>
                  <w:p>
                    <w:pPr>
                      <w:spacing w:line="360" w:lineRule="auto" w:before="0"/>
                      <w:ind w:left="2822" w:right="233" w:hanging="514"/>
                      <w:jc w:val="left"/>
                      <w:rPr>
                        <w:b/>
                        <w:sz w:val="28"/>
                      </w:rPr>
                    </w:pPr>
                    <w:r>
                      <w:rPr>
                        <w:b/>
                        <w:sz w:val="28"/>
                      </w:rPr>
                      <w:t>UNIVERSIDAD AUTÓNOMA DEL ESTADO DE MÉXICO FACULTAD DE ENFERMERÍA Y OBSTETRICIA</w:t>
                    </w:r>
                  </w:p>
                </w:txbxContent>
              </v:textbox>
              <w10:wrap type="none"/>
            </v:shape>
          </v:group>
        </w:pict>
      </w:r>
      <w:r>
        <w:rPr>
          <w:rFonts w:ascii="Times New Roman"/>
          <w:sz w:val="20"/>
        </w:rPr>
      </w:r>
    </w:p>
    <w:p>
      <w:pPr>
        <w:pStyle w:val="BodyText"/>
        <w:spacing w:before="2"/>
        <w:rPr>
          <w:rFonts w:ascii="Times New Roman"/>
          <w:sz w:val="4"/>
        </w:rPr>
      </w:pPr>
    </w:p>
    <w:p>
      <w:pPr>
        <w:pStyle w:val="BodyText"/>
        <w:spacing w:line="20" w:lineRule="exact"/>
        <w:ind w:left="2477"/>
        <w:rPr>
          <w:rFonts w:ascii="Times New Roman"/>
          <w:sz w:val="2"/>
        </w:rPr>
      </w:pPr>
      <w:r>
        <w:rPr>
          <w:rFonts w:ascii="Times New Roman"/>
          <w:sz w:val="2"/>
        </w:rPr>
        <w:pict>
          <v:group style="width:349.55pt;height:.75pt;mso-position-horizontal-relative:char;mso-position-vertical-relative:line" coordorigin="0,0" coordsize="6991,15">
            <v:line style="position:absolute" from="8,8" to="6983,8" stroked="true" strokeweight=".7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spacing w:before="204"/>
        <w:ind w:left="2419" w:right="406" w:firstLine="0"/>
        <w:jc w:val="center"/>
        <w:rPr>
          <w:b/>
          <w:sz w:val="32"/>
        </w:rPr>
      </w:pPr>
      <w:r>
        <w:rPr/>
        <w:pict>
          <v:line style="position:absolute;mso-position-horizontal-relative:page;mso-position-vertical-relative:paragraph;z-index:1120" from="102.25pt,-18.422209pt" to="102.25pt,419.927791pt" stroked="true" strokeweight="3pt" strokecolor="#000000">
            <w10:wrap type="none"/>
          </v:line>
        </w:pict>
      </w:r>
      <w:r>
        <w:rPr/>
        <w:pict>
          <v:line style="position:absolute;mso-position-horizontal-relative:page;mso-position-vertical-relative:paragraph;z-index:1144" from="121.099998pt,-6.222209pt" to="121.099998pt,432.127791pt" stroked="true" strokeweight="1.5pt" strokecolor="#000000">
            <w10:wrap type="none"/>
          </v:line>
        </w:pict>
      </w:r>
      <w:r>
        <w:rPr/>
        <w:pict>
          <v:line style="position:absolute;mso-position-horizontal-relative:page;mso-position-vertical-relative:paragraph;z-index:1168" from="83.400002pt,-9.322209pt" to="83.400002pt,429.027791pt" stroked="true" strokeweight="1.5pt" strokecolor="#000000">
            <w10:wrap type="none"/>
          </v:line>
        </w:pict>
      </w:r>
      <w:r>
        <w:rPr>
          <w:b/>
          <w:sz w:val="32"/>
        </w:rPr>
        <w:t>TRABAJO TERMINAL</w:t>
      </w:r>
    </w:p>
    <w:p>
      <w:pPr>
        <w:pStyle w:val="BodyText"/>
        <w:rPr>
          <w:b/>
          <w:sz w:val="32"/>
        </w:rPr>
      </w:pPr>
    </w:p>
    <w:p>
      <w:pPr>
        <w:pStyle w:val="BodyText"/>
        <w:rPr>
          <w:b/>
          <w:sz w:val="28"/>
        </w:rPr>
      </w:pPr>
    </w:p>
    <w:p>
      <w:pPr>
        <w:pStyle w:val="Heading4"/>
        <w:ind w:left="2142"/>
      </w:pPr>
      <w:r>
        <w:rPr/>
        <w:t>EVENTOS ADVERSOS RELACIONADOS A TERAPIA DE INFUSIÓN INTRAVENOSA EN LA PACIENTE OBSTÉTRICA EN UN HOSPITAL DE TERCER NIVEL DE TOLUCA</w:t>
      </w:r>
    </w:p>
    <w:p>
      <w:pPr>
        <w:pStyle w:val="BodyText"/>
        <w:rPr>
          <w:b/>
          <w:sz w:val="28"/>
        </w:rPr>
      </w:pPr>
    </w:p>
    <w:p>
      <w:pPr>
        <w:pStyle w:val="BodyText"/>
        <w:spacing w:before="8"/>
        <w:rPr>
          <w:b/>
          <w:sz w:val="35"/>
        </w:rPr>
      </w:pPr>
    </w:p>
    <w:p>
      <w:pPr>
        <w:pStyle w:val="BodyText"/>
        <w:ind w:left="2423" w:right="399"/>
        <w:jc w:val="center"/>
      </w:pPr>
      <w:r>
        <w:rPr/>
        <w:t>QUE PARA OBTENER EL GRADO DE:</w:t>
      </w:r>
    </w:p>
    <w:p>
      <w:pPr>
        <w:pStyle w:val="BodyText"/>
      </w:pPr>
    </w:p>
    <w:p>
      <w:pPr>
        <w:pStyle w:val="Heading6"/>
        <w:spacing w:line="360" w:lineRule="auto" w:before="141"/>
        <w:ind w:left="3460" w:right="1429" w:firstLine="640"/>
        <w:jc w:val="left"/>
      </w:pPr>
      <w:r>
        <w:rPr/>
        <w:t>MAESTRA EN ENFERMERÍA CON OPCIÓN TERMINAL EN TERAPIA INTENSIVA</w:t>
      </w:r>
    </w:p>
    <w:p>
      <w:pPr>
        <w:pStyle w:val="BodyText"/>
        <w:rPr>
          <w:b/>
        </w:rPr>
      </w:pPr>
    </w:p>
    <w:p>
      <w:pPr>
        <w:pStyle w:val="BodyText"/>
        <w:spacing w:before="142"/>
        <w:ind w:left="2423" w:right="399"/>
        <w:jc w:val="center"/>
      </w:pPr>
      <w:r>
        <w:rPr/>
        <w:t>P R E S E N T A:</w:t>
      </w:r>
    </w:p>
    <w:p>
      <w:pPr>
        <w:pStyle w:val="Heading6"/>
        <w:spacing w:before="139"/>
        <w:ind w:left="2423" w:right="405"/>
        <w:jc w:val="center"/>
      </w:pPr>
      <w:r>
        <w:rPr/>
        <w:t>LIC. EN ENF. VICTORIA CASTILLO LÓPEZ</w:t>
      </w:r>
    </w:p>
    <w:p>
      <w:pPr>
        <w:pStyle w:val="BodyText"/>
        <w:rPr>
          <w:b/>
        </w:rPr>
      </w:pPr>
    </w:p>
    <w:p>
      <w:pPr>
        <w:pStyle w:val="BodyText"/>
        <w:rPr>
          <w:b/>
        </w:rPr>
      </w:pPr>
    </w:p>
    <w:p>
      <w:pPr>
        <w:pStyle w:val="BodyText"/>
        <w:spacing w:before="10"/>
        <w:rPr>
          <w:b/>
          <w:sz w:val="35"/>
        </w:rPr>
      </w:pPr>
    </w:p>
    <w:p>
      <w:pPr>
        <w:spacing w:before="0"/>
        <w:ind w:left="2422" w:right="406" w:firstLine="0"/>
        <w:jc w:val="center"/>
        <w:rPr>
          <w:b/>
          <w:sz w:val="24"/>
        </w:rPr>
      </w:pPr>
      <w:r>
        <w:rPr>
          <w:b/>
          <w:sz w:val="24"/>
        </w:rPr>
        <w:t>DRA. EN ED.  VIANEY MÉNDEZ SALAZAR</w:t>
      </w:r>
    </w:p>
    <w:p>
      <w:pPr>
        <w:pStyle w:val="BodyText"/>
        <w:spacing w:before="139"/>
        <w:ind w:left="2423" w:right="400"/>
        <w:jc w:val="center"/>
      </w:pPr>
      <w:r>
        <w:rPr/>
        <w:t>DIRECTORA</w:t>
      </w:r>
    </w:p>
    <w:p>
      <w:pPr>
        <w:pStyle w:val="BodyText"/>
      </w:pPr>
    </w:p>
    <w:p>
      <w:pPr>
        <w:pStyle w:val="BodyText"/>
      </w:pPr>
    </w:p>
    <w:p>
      <w:pPr>
        <w:pStyle w:val="Heading6"/>
        <w:ind w:left="2423" w:right="400"/>
        <w:jc w:val="center"/>
      </w:pPr>
      <w:r>
        <w:rPr/>
        <w:t>DRA. EN E. P. MIRIAM GÓMEZ ORTEGA</w:t>
      </w:r>
    </w:p>
    <w:p>
      <w:pPr>
        <w:spacing w:before="137"/>
        <w:ind w:left="2423" w:right="406" w:firstLine="0"/>
        <w:jc w:val="center"/>
        <w:rPr>
          <w:b/>
          <w:sz w:val="24"/>
        </w:rPr>
      </w:pPr>
      <w:r>
        <w:rPr>
          <w:b/>
          <w:sz w:val="24"/>
        </w:rPr>
        <w:t>M. EN TANAT. MARÍA DE LOS ÁNGELES CARPIO RODRÍGUEZ</w:t>
      </w:r>
    </w:p>
    <w:p>
      <w:pPr>
        <w:pStyle w:val="BodyText"/>
        <w:spacing w:before="139"/>
        <w:ind w:left="2423" w:right="403"/>
        <w:jc w:val="center"/>
      </w:pPr>
      <w:r>
        <w:rPr/>
        <w:drawing>
          <wp:anchor distT="0" distB="0" distL="0" distR="0" allowOverlap="1" layoutInCell="1" locked="0" behindDoc="0" simplePos="0" relativeHeight="1096">
            <wp:simplePos x="0" y="0"/>
            <wp:positionH relativeFrom="page">
              <wp:posOffset>731519</wp:posOffset>
            </wp:positionH>
            <wp:positionV relativeFrom="paragraph">
              <wp:posOffset>315034</wp:posOffset>
            </wp:positionV>
            <wp:extent cx="1176020" cy="949325"/>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1176020" cy="949325"/>
                    </a:xfrm>
                    <a:prstGeom prst="rect">
                      <a:avLst/>
                    </a:prstGeom>
                  </pic:spPr>
                </pic:pic>
              </a:graphicData>
            </a:graphic>
          </wp:anchor>
        </w:drawing>
      </w:r>
      <w:r>
        <w:rPr/>
        <w:t>REVISORAS</w:t>
      </w:r>
    </w:p>
    <w:p>
      <w:pPr>
        <w:pStyle w:val="BodyText"/>
      </w:pPr>
    </w:p>
    <w:p>
      <w:pPr>
        <w:pStyle w:val="BodyText"/>
      </w:pPr>
    </w:p>
    <w:p>
      <w:pPr>
        <w:pStyle w:val="BodyText"/>
      </w:pPr>
    </w:p>
    <w:p>
      <w:pPr>
        <w:pStyle w:val="BodyText"/>
      </w:pPr>
    </w:p>
    <w:p>
      <w:pPr>
        <w:pStyle w:val="BodyText"/>
      </w:pPr>
    </w:p>
    <w:p>
      <w:pPr>
        <w:pStyle w:val="BodyText"/>
        <w:ind w:left="2423" w:right="403"/>
        <w:jc w:val="center"/>
      </w:pPr>
      <w:r>
        <w:rPr/>
        <w:t>TOLUCA, MÉXICO, JUNIO DE 2014</w:t>
      </w:r>
    </w:p>
    <w:p>
      <w:pPr>
        <w:spacing w:after="0"/>
        <w:jc w:val="center"/>
        <w:sectPr>
          <w:type w:val="continuous"/>
          <w:pgSz w:w="12250" w:h="15850"/>
          <w:pgMar w:top="1500" w:bottom="280" w:left="880" w:right="1340"/>
        </w:sectPr>
      </w:pPr>
    </w:p>
    <w:p>
      <w:pPr>
        <w:pStyle w:val="BodyText"/>
        <w:rPr>
          <w:rFonts w:ascii="Times New Roman"/>
          <w:sz w:val="20"/>
        </w:rPr>
      </w:pPr>
    </w:p>
    <w:p>
      <w:pPr>
        <w:pStyle w:val="BodyText"/>
        <w:spacing w:before="10" w:after="1"/>
        <w:rPr>
          <w:rFonts w:ascii="Times New Roman"/>
          <w:sz w:val="21"/>
        </w:rPr>
      </w:pPr>
    </w:p>
    <w:p>
      <w:pPr>
        <w:pStyle w:val="BodyText"/>
        <w:ind w:left="526"/>
        <w:rPr>
          <w:rFonts w:ascii="Times New Roman"/>
          <w:sz w:val="20"/>
        </w:rPr>
      </w:pPr>
      <w:r>
        <w:rPr>
          <w:rFonts w:ascii="Times New Roman"/>
          <w:sz w:val="20"/>
        </w:rPr>
        <w:drawing>
          <wp:inline distT="0" distB="0" distL="0" distR="0">
            <wp:extent cx="5207861" cy="7086600"/>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5207861" cy="7086600"/>
                    </a:xfrm>
                    <a:prstGeom prst="rect">
                      <a:avLst/>
                    </a:prstGeom>
                  </pic:spPr>
                </pic:pic>
              </a:graphicData>
            </a:graphic>
          </wp:inline>
        </w:drawing>
      </w:r>
      <w:r>
        <w:rPr>
          <w:rFonts w:ascii="Times New Roman"/>
          <w:sz w:val="20"/>
        </w:rPr>
      </w:r>
    </w:p>
    <w:p>
      <w:pPr>
        <w:spacing w:after="0"/>
        <w:rPr>
          <w:rFonts w:ascii="Times New Roman"/>
          <w:sz w:val="20"/>
        </w:rPr>
        <w:sectPr>
          <w:pgSz w:w="12250" w:h="15850"/>
          <w:pgMar w:top="1500" w:bottom="280" w:left="1720" w:right="1560"/>
        </w:sectPr>
      </w:pPr>
    </w:p>
    <w:p>
      <w:pPr>
        <w:pStyle w:val="BodyText"/>
        <w:rPr>
          <w:rFonts w:ascii="Times New Roman"/>
          <w:sz w:val="20"/>
        </w:rPr>
      </w:pPr>
    </w:p>
    <w:p>
      <w:pPr>
        <w:pStyle w:val="BodyText"/>
        <w:spacing w:before="10" w:after="1"/>
        <w:rPr>
          <w:rFonts w:ascii="Times New Roman"/>
          <w:sz w:val="21"/>
        </w:rPr>
      </w:pPr>
    </w:p>
    <w:p>
      <w:pPr>
        <w:pStyle w:val="BodyText"/>
        <w:ind w:left="526"/>
        <w:rPr>
          <w:rFonts w:ascii="Times New Roman"/>
          <w:sz w:val="20"/>
        </w:rPr>
      </w:pPr>
      <w:r>
        <w:rPr>
          <w:rFonts w:ascii="Times New Roman"/>
          <w:sz w:val="20"/>
        </w:rPr>
        <w:drawing>
          <wp:inline distT="0" distB="0" distL="0" distR="0">
            <wp:extent cx="5260863" cy="6783705"/>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8" cstate="print"/>
                    <a:stretch>
                      <a:fillRect/>
                    </a:stretch>
                  </pic:blipFill>
                  <pic:spPr>
                    <a:xfrm>
                      <a:off x="0" y="0"/>
                      <a:ext cx="5260863" cy="6783705"/>
                    </a:xfrm>
                    <a:prstGeom prst="rect">
                      <a:avLst/>
                    </a:prstGeom>
                  </pic:spPr>
                </pic:pic>
              </a:graphicData>
            </a:graphic>
          </wp:inline>
        </w:drawing>
      </w:r>
      <w:r>
        <w:rPr>
          <w:rFonts w:ascii="Times New Roman"/>
          <w:sz w:val="20"/>
        </w:rPr>
      </w:r>
    </w:p>
    <w:p>
      <w:pPr>
        <w:spacing w:after="0"/>
        <w:rPr>
          <w:rFonts w:ascii="Times New Roman"/>
          <w:sz w:val="20"/>
        </w:rPr>
        <w:sectPr>
          <w:pgSz w:w="12250" w:h="15850"/>
          <w:pgMar w:top="1500" w:bottom="280" w:left="1720" w:right="1560"/>
        </w:sectPr>
      </w:pPr>
    </w:p>
    <w:p>
      <w:pPr>
        <w:pStyle w:val="BodyText"/>
        <w:rPr>
          <w:rFonts w:ascii="Times New Roman"/>
          <w:sz w:val="20"/>
        </w:rPr>
      </w:pPr>
    </w:p>
    <w:p>
      <w:pPr>
        <w:pStyle w:val="BodyText"/>
        <w:spacing w:before="10" w:after="1"/>
        <w:rPr>
          <w:rFonts w:ascii="Times New Roman"/>
          <w:sz w:val="21"/>
        </w:rPr>
      </w:pPr>
    </w:p>
    <w:p>
      <w:pPr>
        <w:pStyle w:val="BodyText"/>
        <w:ind w:left="264"/>
        <w:rPr>
          <w:rFonts w:ascii="Times New Roman"/>
          <w:sz w:val="20"/>
        </w:rPr>
      </w:pPr>
      <w:r>
        <w:rPr>
          <w:rFonts w:ascii="Times New Roman"/>
          <w:sz w:val="20"/>
        </w:rPr>
        <w:drawing>
          <wp:inline distT="0" distB="0" distL="0" distR="0">
            <wp:extent cx="6067624" cy="7553325"/>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9" cstate="print"/>
                    <a:stretch>
                      <a:fillRect/>
                    </a:stretch>
                  </pic:blipFill>
                  <pic:spPr>
                    <a:xfrm>
                      <a:off x="0" y="0"/>
                      <a:ext cx="6067624" cy="7553325"/>
                    </a:xfrm>
                    <a:prstGeom prst="rect">
                      <a:avLst/>
                    </a:prstGeom>
                  </pic:spPr>
                </pic:pic>
              </a:graphicData>
            </a:graphic>
          </wp:inline>
        </w:drawing>
      </w:r>
      <w:r>
        <w:rPr>
          <w:rFonts w:ascii="Times New Roman"/>
          <w:sz w:val="20"/>
        </w:rPr>
      </w:r>
    </w:p>
    <w:p>
      <w:pPr>
        <w:spacing w:after="0"/>
        <w:rPr>
          <w:rFonts w:ascii="Times New Roman"/>
          <w:sz w:val="20"/>
        </w:rPr>
        <w:sectPr>
          <w:pgSz w:w="12250" w:h="15850"/>
          <w:pgMar w:top="1500" w:bottom="280" w:left="1720" w:right="580"/>
        </w:sectPr>
      </w:pPr>
    </w:p>
    <w:p>
      <w:pPr>
        <w:pStyle w:val="BodyText"/>
        <w:rPr>
          <w:rFonts w:ascii="Times New Roman"/>
          <w:sz w:val="20"/>
        </w:rPr>
      </w:pPr>
    </w:p>
    <w:p>
      <w:pPr>
        <w:pStyle w:val="BodyText"/>
        <w:spacing w:before="9"/>
        <w:rPr>
          <w:rFonts w:ascii="Times New Roman"/>
          <w:sz w:val="15"/>
        </w:rPr>
      </w:pPr>
    </w:p>
    <w:p>
      <w:pPr>
        <w:pStyle w:val="Heading6"/>
        <w:spacing w:before="69"/>
        <w:ind w:left="148"/>
        <w:jc w:val="center"/>
      </w:pPr>
      <w:r>
        <w:rPr/>
        <w:t>ÍNDICE</w:t>
      </w:r>
    </w:p>
    <w:p>
      <w:pPr>
        <w:pStyle w:val="BodyText"/>
        <w:rPr>
          <w:b/>
        </w:rPr>
      </w:pPr>
    </w:p>
    <w:p>
      <w:pPr>
        <w:pStyle w:val="BodyText"/>
        <w:rPr>
          <w:b/>
          <w:sz w:val="21"/>
        </w:rPr>
      </w:pPr>
    </w:p>
    <w:p>
      <w:pPr>
        <w:spacing w:before="0"/>
        <w:ind w:left="0" w:right="113" w:firstLine="0"/>
        <w:jc w:val="right"/>
        <w:rPr>
          <w:sz w:val="22"/>
        </w:rPr>
      </w:pPr>
      <w:r>
        <w:rPr>
          <w:sz w:val="22"/>
        </w:rPr>
        <w:t>Pág.</w:t>
      </w:r>
    </w:p>
    <w:sdt>
      <w:sdtPr>
        <w:docPartObj>
          <w:docPartGallery w:val="Table of Contents"/>
          <w:docPartUnique/>
        </w:docPartObj>
      </w:sdtPr>
      <w:sdtEndPr/>
      <w:sdtContent>
        <w:p>
          <w:pPr>
            <w:pStyle w:val="TOC1"/>
            <w:tabs>
              <w:tab w:pos="8886" w:val="right" w:leader="dot"/>
            </w:tabs>
            <w:spacing w:before="126"/>
            <w:ind w:left="97"/>
          </w:pPr>
          <w:hyperlink w:history="true" w:anchor="_TOC_250018">
            <w:r>
              <w:rPr/>
              <w:t>INTRODUCCIÓN</w:t>
              <w:tab/>
              <w:t>7</w:t>
            </w:r>
          </w:hyperlink>
        </w:p>
        <w:p>
          <w:pPr>
            <w:pStyle w:val="TOC1"/>
            <w:tabs>
              <w:tab w:pos="8893" w:val="right" w:leader="dot"/>
            </w:tabs>
          </w:pPr>
          <w:hyperlink w:history="true" w:anchor="_TOC_250017">
            <w:r>
              <w:rPr/>
              <w:t>PLANTEAMIENTO</w:t>
            </w:r>
            <w:r>
              <w:rPr>
                <w:spacing w:val="-3"/>
              </w:rPr>
              <w:t> </w:t>
            </w:r>
            <w:r>
              <w:rPr/>
              <w:t>DEL</w:t>
            </w:r>
            <w:r>
              <w:rPr>
                <w:spacing w:val="-1"/>
              </w:rPr>
              <w:t> </w:t>
            </w:r>
            <w:r>
              <w:rPr/>
              <w:t>PROBLEMA</w:t>
              <w:tab/>
              <w:t>10</w:t>
            </w:r>
          </w:hyperlink>
        </w:p>
        <w:p>
          <w:pPr>
            <w:pStyle w:val="TOC2"/>
            <w:tabs>
              <w:tab w:pos="8889" w:val="right" w:leader="dot"/>
            </w:tabs>
            <w:spacing w:before="139"/>
            <w:rPr>
              <w:b w:val="0"/>
              <w:i w:val="0"/>
              <w:sz w:val="22"/>
            </w:rPr>
          </w:pPr>
          <w:hyperlink w:history="true" w:anchor="_TOC_250016">
            <w:r>
              <w:rPr>
                <w:b w:val="0"/>
                <w:i w:val="0"/>
                <w:sz w:val="24"/>
              </w:rPr>
              <w:t>OBJETIVOS</w:t>
            </w:r>
            <w:r>
              <w:rPr>
                <w:b w:val="0"/>
                <w:i w:val="0"/>
                <w:sz w:val="22"/>
              </w:rPr>
              <w:tab/>
              <w:t>14</w:t>
            </w:r>
          </w:hyperlink>
        </w:p>
        <w:p>
          <w:pPr>
            <w:pStyle w:val="TOC2"/>
            <w:tabs>
              <w:tab w:pos="8889" w:val="right" w:leader="dot"/>
            </w:tabs>
            <w:rPr>
              <w:b w:val="0"/>
              <w:i w:val="0"/>
              <w:sz w:val="22"/>
            </w:rPr>
          </w:pPr>
          <w:r>
            <w:rPr>
              <w:b w:val="0"/>
              <w:i w:val="0"/>
              <w:sz w:val="24"/>
            </w:rPr>
            <w:t>METODOLOGÍA</w:t>
          </w:r>
          <w:r>
            <w:rPr>
              <w:b w:val="0"/>
              <w:i w:val="0"/>
              <w:sz w:val="22"/>
            </w:rPr>
            <w:tab/>
            <w:t>15</w:t>
          </w:r>
        </w:p>
        <w:p>
          <w:pPr>
            <w:pStyle w:val="TOC3"/>
          </w:pPr>
          <w:hyperlink w:history="true" w:anchor="_TOC_250015">
            <w:r>
              <w:rPr>
                <w:rFonts w:ascii="Wingdings" w:hAnsi="Wingdings"/>
                <w:b w:val="0"/>
              </w:rPr>
              <w:t></w:t>
            </w:r>
            <w:r>
              <w:rPr>
                <w:rFonts w:ascii="Times New Roman" w:hAnsi="Times New Roman"/>
                <w:b w:val="0"/>
              </w:rPr>
              <w:t>  </w:t>
            </w:r>
            <w:r>
              <w:rPr/>
              <w:t>ESTADO DEL ARTE</w:t>
            </w:r>
          </w:hyperlink>
        </w:p>
        <w:p>
          <w:pPr>
            <w:pStyle w:val="TOC4"/>
          </w:pPr>
          <w:hyperlink w:history="true" w:anchor="_TOC_250014">
            <w:r>
              <w:rPr/>
              <w:t>EVENTO ADVERSO</w:t>
            </w:r>
          </w:hyperlink>
        </w:p>
        <w:p>
          <w:pPr>
            <w:pStyle w:val="TOC1"/>
            <w:tabs>
              <w:tab w:pos="8893" w:val="right" w:leader="dot"/>
            </w:tabs>
          </w:pPr>
          <w:r>
            <w:rPr/>
            <w:t>Concepto de eventos</w:t>
          </w:r>
          <w:r>
            <w:rPr>
              <w:spacing w:val="-3"/>
            </w:rPr>
            <w:t> </w:t>
          </w:r>
          <w:r>
            <w:rPr/>
            <w:t>adversos</w:t>
            <w:tab/>
            <w:t>19</w:t>
          </w:r>
        </w:p>
        <w:p>
          <w:pPr>
            <w:pStyle w:val="TOC1"/>
            <w:tabs>
              <w:tab w:pos="8893" w:val="right" w:leader="dot"/>
            </w:tabs>
            <w:spacing w:before="139"/>
          </w:pPr>
          <w:r>
            <w:rPr/>
            <w:t>Tipos de</w:t>
          </w:r>
          <w:r>
            <w:rPr>
              <w:spacing w:val="-6"/>
            </w:rPr>
            <w:t> </w:t>
          </w:r>
          <w:r>
            <w:rPr/>
            <w:t>eventos</w:t>
          </w:r>
          <w:r>
            <w:rPr>
              <w:spacing w:val="-3"/>
            </w:rPr>
            <w:t> </w:t>
          </w:r>
          <w:r>
            <w:rPr/>
            <w:t>adversos</w:t>
            <w:tab/>
            <w:t>20</w:t>
          </w:r>
        </w:p>
        <w:p>
          <w:pPr>
            <w:pStyle w:val="TOC1"/>
            <w:tabs>
              <w:tab w:pos="8893" w:val="right" w:leader="dot"/>
            </w:tabs>
          </w:pPr>
          <w:hyperlink w:history="true" w:anchor="_TOC_250013">
            <w:r>
              <w:rPr/>
              <w:t>Causas de la aparición de</w:t>
            </w:r>
            <w:r>
              <w:rPr>
                <w:spacing w:val="-6"/>
              </w:rPr>
              <w:t> </w:t>
            </w:r>
            <w:r>
              <w:rPr/>
              <w:t>eventos</w:t>
            </w:r>
            <w:r>
              <w:rPr>
                <w:spacing w:val="-3"/>
              </w:rPr>
              <w:t> </w:t>
            </w:r>
            <w:r>
              <w:rPr/>
              <w:t>adversos</w:t>
              <w:tab/>
              <w:t>22</w:t>
            </w:r>
          </w:hyperlink>
        </w:p>
        <w:p>
          <w:pPr>
            <w:pStyle w:val="TOC1"/>
            <w:tabs>
              <w:tab w:pos="8893" w:val="right" w:leader="dot"/>
            </w:tabs>
            <w:spacing w:before="139"/>
          </w:pPr>
          <w:hyperlink w:history="true" w:anchor="_TOC_250012">
            <w:r>
              <w:rPr/>
              <w:t>Clasificación de</w:t>
            </w:r>
            <w:r>
              <w:rPr>
                <w:spacing w:val="-1"/>
              </w:rPr>
              <w:t> </w:t>
            </w:r>
            <w:r>
              <w:rPr/>
              <w:t>eventos</w:t>
            </w:r>
            <w:r>
              <w:rPr>
                <w:spacing w:val="-1"/>
              </w:rPr>
              <w:t> </w:t>
            </w:r>
            <w:r>
              <w:rPr/>
              <w:t>adversos</w:t>
              <w:tab/>
              <w:t>23</w:t>
            </w:r>
          </w:hyperlink>
        </w:p>
        <w:p>
          <w:pPr>
            <w:pStyle w:val="TOC1"/>
            <w:tabs>
              <w:tab w:pos="8893" w:val="right" w:leader="dot"/>
            </w:tabs>
          </w:pPr>
          <w:r>
            <w:rPr/>
            <w:t>Terapia de infusión intravenosa Norma Oficial</w:t>
          </w:r>
          <w:r>
            <w:rPr>
              <w:spacing w:val="-4"/>
            </w:rPr>
            <w:t> </w:t>
          </w:r>
          <w:r>
            <w:rPr/>
            <w:t>Mexicana</w:t>
          </w:r>
          <w:r>
            <w:rPr>
              <w:spacing w:val="-1"/>
            </w:rPr>
            <w:t> </w:t>
          </w:r>
          <w:r>
            <w:rPr/>
            <w:t>NOM-022</w:t>
            <w:tab/>
            <w:t>24</w:t>
          </w:r>
        </w:p>
        <w:p>
          <w:pPr>
            <w:pStyle w:val="TOC1"/>
            <w:tabs>
              <w:tab w:pos="8893" w:val="right" w:leader="dot"/>
            </w:tabs>
            <w:spacing w:before="139"/>
          </w:pPr>
          <w:r>
            <w:rPr/>
            <w:t>Paciente obstétrica Norma Oficial</w:t>
          </w:r>
          <w:r>
            <w:rPr>
              <w:spacing w:val="-1"/>
            </w:rPr>
            <w:t> </w:t>
          </w:r>
          <w:r>
            <w:rPr/>
            <w:t>Mexicana</w:t>
          </w:r>
          <w:r>
            <w:rPr>
              <w:spacing w:val="-5"/>
            </w:rPr>
            <w:t> </w:t>
          </w:r>
          <w:r>
            <w:rPr/>
            <w:t>NOM-007</w:t>
            <w:tab/>
            <w:t>26</w:t>
          </w:r>
        </w:p>
        <w:p>
          <w:pPr>
            <w:pStyle w:val="TOC1"/>
            <w:tabs>
              <w:tab w:pos="8893" w:val="right" w:leader="dot"/>
            </w:tabs>
          </w:pPr>
          <w:hyperlink w:history="true" w:anchor="_TOC_250011">
            <w:r>
              <w:rPr/>
              <w:t>Indicadores de la calidad de los servicios</w:t>
            </w:r>
            <w:r>
              <w:rPr>
                <w:spacing w:val="-7"/>
              </w:rPr>
              <w:t> </w:t>
            </w:r>
            <w:r>
              <w:rPr/>
              <w:t>de</w:t>
            </w:r>
            <w:r>
              <w:rPr>
                <w:spacing w:val="-3"/>
              </w:rPr>
              <w:t> </w:t>
            </w:r>
            <w:r>
              <w:rPr/>
              <w:t>enfermería</w:t>
              <w:tab/>
              <w:t>29</w:t>
            </w:r>
          </w:hyperlink>
        </w:p>
        <w:p>
          <w:pPr>
            <w:pStyle w:val="TOC1"/>
            <w:tabs>
              <w:tab w:pos="8893" w:val="right" w:leader="dot"/>
            </w:tabs>
            <w:spacing w:before="139"/>
          </w:pPr>
          <w:hyperlink w:history="true" w:anchor="_TOC_250010">
            <w:r>
              <w:rPr/>
              <w:t>Un</w:t>
            </w:r>
            <w:r>
              <w:rPr>
                <w:spacing w:val="-1"/>
              </w:rPr>
              <w:t> </w:t>
            </w:r>
            <w:r>
              <w:rPr/>
              <w:t>cuidado</w:t>
            </w:r>
            <w:r>
              <w:rPr>
                <w:spacing w:val="-1"/>
              </w:rPr>
              <w:t> </w:t>
            </w:r>
            <w:r>
              <w:rPr/>
              <w:t>seguro</w:t>
              <w:tab/>
              <w:t>30</w:t>
            </w:r>
          </w:hyperlink>
        </w:p>
        <w:p>
          <w:pPr>
            <w:pStyle w:val="TOC1"/>
            <w:tabs>
              <w:tab w:pos="8893" w:val="right" w:leader="dot"/>
            </w:tabs>
          </w:pPr>
          <w:hyperlink w:history="true" w:anchor="_TOC_250009">
            <w:r>
              <w:rPr/>
              <w:t>Catéteres</w:t>
            </w:r>
            <w:r>
              <w:rPr>
                <w:spacing w:val="-3"/>
              </w:rPr>
              <w:t> </w:t>
            </w:r>
            <w:r>
              <w:rPr/>
              <w:t>médicos</w:t>
              <w:tab/>
              <w:t>31</w:t>
            </w:r>
          </w:hyperlink>
        </w:p>
        <w:p>
          <w:pPr>
            <w:pStyle w:val="TOC1"/>
            <w:tabs>
              <w:tab w:pos="8893" w:val="right" w:leader="dot"/>
            </w:tabs>
            <w:spacing w:before="139"/>
          </w:pPr>
          <w:hyperlink w:history="true" w:anchor="_TOC_250008">
            <w:r>
              <w:rPr/>
              <w:t>Catéter</w:t>
            </w:r>
            <w:r>
              <w:rPr>
                <w:spacing w:val="-3"/>
              </w:rPr>
              <w:t> </w:t>
            </w:r>
            <w:r>
              <w:rPr/>
              <w:t>periférico</w:t>
              <w:tab/>
              <w:t>32</w:t>
            </w:r>
          </w:hyperlink>
        </w:p>
        <w:p>
          <w:pPr>
            <w:pStyle w:val="TOC1"/>
            <w:tabs>
              <w:tab w:pos="8893" w:val="right" w:leader="dot"/>
            </w:tabs>
          </w:pPr>
          <w:hyperlink w:history="true" w:anchor="_TOC_250007">
            <w:r>
              <w:rPr/>
              <w:t>Catéter</w:t>
            </w:r>
            <w:r>
              <w:rPr>
                <w:spacing w:val="-1"/>
              </w:rPr>
              <w:t> </w:t>
            </w:r>
            <w:r>
              <w:rPr/>
              <w:t>central</w:t>
              <w:tab/>
              <w:t>33</w:t>
            </w:r>
          </w:hyperlink>
        </w:p>
        <w:p>
          <w:pPr>
            <w:pStyle w:val="TOC1"/>
            <w:tabs>
              <w:tab w:pos="8893" w:val="right" w:leader="dot"/>
            </w:tabs>
            <w:spacing w:before="139"/>
          </w:pPr>
          <w:hyperlink w:history="true" w:anchor="_TOC_250006">
            <w:r>
              <w:rPr/>
              <w:t>Línea</w:t>
            </w:r>
            <w:r>
              <w:rPr>
                <w:spacing w:val="-1"/>
              </w:rPr>
              <w:t> </w:t>
            </w:r>
            <w:r>
              <w:rPr/>
              <w:t>arterial</w:t>
              <w:tab/>
              <w:t>35</w:t>
            </w:r>
          </w:hyperlink>
        </w:p>
        <w:p>
          <w:pPr>
            <w:pStyle w:val="TOC1"/>
            <w:tabs>
              <w:tab w:pos="8893" w:val="right" w:leader="dot"/>
            </w:tabs>
            <w:spacing w:before="550"/>
          </w:pPr>
          <w:hyperlink w:history="true" w:anchor="_TOC_250005">
            <w:r>
              <w:rPr/>
              <w:t>ANÁLISIS Y DESCRIPCIÓN</w:t>
            </w:r>
            <w:r>
              <w:rPr>
                <w:spacing w:val="-3"/>
              </w:rPr>
              <w:t> </w:t>
            </w:r>
            <w:r>
              <w:rPr/>
              <w:t>DE</w:t>
            </w:r>
            <w:r>
              <w:rPr>
                <w:spacing w:val="-1"/>
              </w:rPr>
              <w:t> </w:t>
            </w:r>
            <w:r>
              <w:rPr/>
              <w:t>RESULTADOS</w:t>
              <w:tab/>
              <w:t>36</w:t>
            </w:r>
          </w:hyperlink>
        </w:p>
        <w:p>
          <w:pPr>
            <w:pStyle w:val="TOC1"/>
            <w:tabs>
              <w:tab w:pos="8893" w:val="right" w:leader="dot"/>
            </w:tabs>
            <w:spacing w:before="139"/>
          </w:pPr>
          <w:hyperlink w:history="true" w:anchor="_TOC_250004">
            <w:r>
              <w:rPr/>
              <w:t>DISCUSIÓN</w:t>
              <w:tab/>
              <w:t>46</w:t>
            </w:r>
          </w:hyperlink>
        </w:p>
        <w:p>
          <w:pPr>
            <w:pStyle w:val="TOC1"/>
            <w:tabs>
              <w:tab w:pos="8893" w:val="right" w:leader="dot"/>
            </w:tabs>
          </w:pPr>
          <w:hyperlink w:history="true" w:anchor="_TOC_250003">
            <w:r>
              <w:rPr/>
              <w:t>CONCLUSIONES</w:t>
              <w:tab/>
              <w:t>52</w:t>
            </w:r>
          </w:hyperlink>
        </w:p>
        <w:p>
          <w:pPr>
            <w:pStyle w:val="TOC1"/>
            <w:tabs>
              <w:tab w:pos="8893" w:val="right" w:leader="dot"/>
            </w:tabs>
            <w:spacing w:before="139"/>
          </w:pPr>
          <w:hyperlink w:history="true" w:anchor="_TOC_250002">
            <w:r>
              <w:rPr/>
              <w:t>SUGERENCIAS</w:t>
            </w:r>
            <w:r>
              <w:rPr>
                <w:spacing w:val="-1"/>
              </w:rPr>
              <w:t> </w:t>
            </w:r>
            <w:r>
              <w:rPr/>
              <w:t>O</w:t>
            </w:r>
            <w:r>
              <w:rPr>
                <w:spacing w:val="-3"/>
              </w:rPr>
              <w:t> </w:t>
            </w:r>
            <w:r>
              <w:rPr/>
              <w:t>PROPUESTAS</w:t>
              <w:tab/>
              <w:t>55</w:t>
            </w:r>
          </w:hyperlink>
        </w:p>
        <w:p>
          <w:pPr>
            <w:pStyle w:val="TOC1"/>
            <w:tabs>
              <w:tab w:pos="8893" w:val="right" w:leader="dot"/>
            </w:tabs>
          </w:pPr>
          <w:hyperlink w:history="true" w:anchor="_TOC_250001">
            <w:r>
              <w:rPr/>
              <w:t>REFERENCIAS</w:t>
              <w:tab/>
              <w:t>56</w:t>
            </w:r>
          </w:hyperlink>
        </w:p>
        <w:p>
          <w:pPr>
            <w:pStyle w:val="TOC1"/>
            <w:tabs>
              <w:tab w:pos="8893" w:val="right" w:leader="dot"/>
            </w:tabs>
            <w:spacing w:before="139"/>
          </w:pPr>
          <w:hyperlink w:history="true" w:anchor="_TOC_250000">
            <w:r>
              <w:rPr/>
              <w:t>ANEXOS</w:t>
              <w:tab/>
              <w:t>62</w:t>
            </w:r>
          </w:hyperlink>
        </w:p>
      </w:sdtContent>
    </w:sdt>
    <w:p>
      <w:pPr>
        <w:spacing w:after="0"/>
        <w:sectPr>
          <w:pgSz w:w="12250" w:h="15850"/>
          <w:pgMar w:top="1500" w:bottom="280" w:left="1720" w:right="1300"/>
        </w:sectPr>
      </w:pPr>
    </w:p>
    <w:p>
      <w:pPr>
        <w:pStyle w:val="BodyText"/>
      </w:pPr>
    </w:p>
    <w:p>
      <w:pPr>
        <w:pStyle w:val="Heading7"/>
        <w:spacing w:before="205"/>
        <w:jc w:val="center"/>
        <w:rPr>
          <w:rFonts w:ascii="Arial"/>
          <w:i/>
        </w:rPr>
      </w:pPr>
      <w:r>
        <w:rPr>
          <w:rFonts w:ascii="Arial"/>
          <w:i/>
        </w:rPr>
        <w:t>Dedicatorias</w:t>
      </w:r>
    </w:p>
    <w:p>
      <w:pPr>
        <w:pStyle w:val="BodyText"/>
        <w:rPr>
          <w:b/>
          <w:i/>
        </w:rPr>
      </w:pPr>
    </w:p>
    <w:p>
      <w:pPr>
        <w:pStyle w:val="BodyText"/>
        <w:rPr>
          <w:b/>
          <w:i/>
        </w:rPr>
      </w:pPr>
    </w:p>
    <w:p>
      <w:pPr>
        <w:pStyle w:val="BodyText"/>
        <w:rPr>
          <w:b/>
          <w:i/>
        </w:rPr>
      </w:pPr>
    </w:p>
    <w:p>
      <w:pPr>
        <w:spacing w:before="139"/>
        <w:ind w:left="146" w:right="0" w:firstLine="0"/>
        <w:jc w:val="center"/>
        <w:rPr>
          <w:b/>
          <w:i/>
          <w:sz w:val="24"/>
        </w:rPr>
      </w:pPr>
      <w:r>
        <w:rPr>
          <w:b/>
          <w:i/>
          <w:sz w:val="24"/>
        </w:rPr>
        <w:t>A DIOS:</w:t>
      </w:r>
    </w:p>
    <w:p>
      <w:pPr>
        <w:pStyle w:val="BodyText"/>
        <w:spacing w:line="360" w:lineRule="auto" w:before="137"/>
        <w:ind w:left="299" w:right="153"/>
        <w:jc w:val="center"/>
      </w:pPr>
      <w:r>
        <w:rPr/>
        <w:t>Por haber permitido hacer mi sueño realidad, por ser tan bueno conmigo, por sus infinitas bendiciones, pero sobre todo por darme salud y una familia maravillosa, mis padres y hermanos que tanto quiero.</w:t>
      </w:r>
    </w:p>
    <w:p>
      <w:pPr>
        <w:pStyle w:val="BodyText"/>
      </w:pPr>
    </w:p>
    <w:p>
      <w:pPr>
        <w:pStyle w:val="BodyText"/>
      </w:pPr>
    </w:p>
    <w:p>
      <w:pPr>
        <w:pStyle w:val="BodyText"/>
        <w:spacing w:before="3"/>
      </w:pPr>
    </w:p>
    <w:p>
      <w:pPr>
        <w:pStyle w:val="Heading7"/>
        <w:ind w:left="149"/>
        <w:jc w:val="center"/>
        <w:rPr>
          <w:rFonts w:ascii="Arial"/>
          <w:i/>
        </w:rPr>
      </w:pPr>
      <w:r>
        <w:rPr>
          <w:rFonts w:ascii="Arial"/>
          <w:i/>
        </w:rPr>
        <w:t>A MI ESPOSO:</w:t>
      </w:r>
    </w:p>
    <w:p>
      <w:pPr>
        <w:pStyle w:val="BodyText"/>
        <w:spacing w:line="360" w:lineRule="auto" w:before="139"/>
        <w:ind w:left="301" w:right="153"/>
        <w:jc w:val="center"/>
      </w:pPr>
      <w:r>
        <w:rPr/>
        <w:t>Por tu apoyo incondicional, por cuidar a nuestra hijita mientras yo estaba en clase, por agotar todas tus prestaciones en tus trabajos, para poder estar con nosotras, por aguantar hasta el final, a pesar de muchos descuidos en nuestra relación.</w:t>
      </w:r>
    </w:p>
    <w:p>
      <w:pPr>
        <w:spacing w:before="0"/>
        <w:ind w:left="147" w:right="0" w:firstLine="0"/>
        <w:jc w:val="center"/>
        <w:rPr>
          <w:i/>
          <w:sz w:val="24"/>
        </w:rPr>
      </w:pPr>
      <w:r>
        <w:rPr>
          <w:i/>
          <w:sz w:val="24"/>
        </w:rPr>
        <w:t>¡TE AMO ESPOSO GON y que Dios te bendiga siempre!</w:t>
      </w:r>
    </w:p>
    <w:p>
      <w:pPr>
        <w:pStyle w:val="BodyText"/>
        <w:rPr>
          <w:i/>
        </w:rPr>
      </w:pPr>
    </w:p>
    <w:p>
      <w:pPr>
        <w:pStyle w:val="BodyText"/>
        <w:rPr>
          <w:i/>
        </w:rPr>
      </w:pPr>
    </w:p>
    <w:p>
      <w:pPr>
        <w:pStyle w:val="BodyText"/>
        <w:rPr>
          <w:i/>
        </w:rPr>
      </w:pPr>
    </w:p>
    <w:p>
      <w:pPr>
        <w:pStyle w:val="Heading7"/>
        <w:spacing w:before="142"/>
        <w:ind w:left="150"/>
        <w:jc w:val="center"/>
        <w:rPr>
          <w:rFonts w:ascii="Arial"/>
          <w:i/>
        </w:rPr>
      </w:pPr>
      <w:r>
        <w:rPr>
          <w:rFonts w:ascii="Arial"/>
          <w:i/>
        </w:rPr>
        <w:t>A MI HIJITA VALE:</w:t>
      </w:r>
    </w:p>
    <w:p>
      <w:pPr>
        <w:pStyle w:val="BodyText"/>
        <w:spacing w:line="360" w:lineRule="auto" w:before="137"/>
        <w:ind w:left="265" w:right="381"/>
        <w:jc w:val="both"/>
      </w:pPr>
      <w:r>
        <w:rPr/>
        <w:t>Porque TE AMO y deseo que siempre estés muy orgullosa de tus papás, porque queremos lo mejor para nuestra familia, por eso buscamos día a día ser mejores personas tanto académica, laboral, emocional y espiritualmente,</w:t>
      </w:r>
    </w:p>
    <w:p>
      <w:pPr>
        <w:spacing w:before="2"/>
        <w:ind w:left="4756" w:right="0" w:firstLine="0"/>
        <w:jc w:val="left"/>
        <w:rPr>
          <w:i/>
          <w:sz w:val="24"/>
        </w:rPr>
      </w:pPr>
      <w:r>
        <w:rPr>
          <w:i/>
          <w:sz w:val="24"/>
        </w:rPr>
        <w:t>¡Gracias, muchas gracias mi niña bonita!</w:t>
      </w:r>
    </w:p>
    <w:p>
      <w:pPr>
        <w:spacing w:after="0"/>
        <w:jc w:val="left"/>
        <w:rPr>
          <w:sz w:val="24"/>
        </w:rPr>
        <w:sectPr>
          <w:pgSz w:w="12250" w:h="15850"/>
          <w:pgMar w:top="1500" w:bottom="280" w:left="1720" w:right="1300"/>
        </w:sectPr>
      </w:pPr>
    </w:p>
    <w:p>
      <w:pPr>
        <w:pStyle w:val="BodyText"/>
        <w:spacing w:line="20" w:lineRule="exact"/>
        <w:ind w:left="231"/>
        <w:rPr>
          <w:sz w:val="2"/>
        </w:rPr>
      </w:pPr>
      <w:r>
        <w:rPr>
          <w:sz w:val="2"/>
        </w:rPr>
        <w:pict>
          <v:group style="width:445.35pt;height:.5pt;mso-position-horizontal-relative:char;mso-position-vertical-relative:line" coordorigin="0,0" coordsize="8907,10">
            <v:line style="position:absolute" from="5,5" to="8901,5" stroked="true" strokeweight=".48pt" strokecolor="#000000"/>
          </v:group>
        </w:pict>
      </w:r>
      <w:r>
        <w:rPr>
          <w:sz w:val="2"/>
        </w:rPr>
      </w:r>
    </w:p>
    <w:p>
      <w:pPr>
        <w:pStyle w:val="BodyText"/>
        <w:rPr>
          <w:i/>
          <w:sz w:val="20"/>
        </w:rPr>
      </w:pPr>
    </w:p>
    <w:p>
      <w:pPr>
        <w:pStyle w:val="BodyText"/>
        <w:rPr>
          <w:i/>
          <w:sz w:val="20"/>
        </w:rPr>
      </w:pPr>
    </w:p>
    <w:p>
      <w:pPr>
        <w:pStyle w:val="BodyText"/>
        <w:spacing w:before="7"/>
        <w:rPr>
          <w:i/>
          <w:sz w:val="26"/>
        </w:rPr>
      </w:pPr>
    </w:p>
    <w:p>
      <w:pPr>
        <w:pStyle w:val="Heading6"/>
        <w:spacing w:before="69"/>
        <w:ind w:left="456" w:right="430"/>
        <w:jc w:val="center"/>
      </w:pPr>
      <w:bookmarkStart w:name="_TOC_250018" w:id="1"/>
      <w:bookmarkEnd w:id="1"/>
      <w:r>
        <w:rPr/>
        <w:t>INTRODUCCIÓN</w:t>
      </w:r>
    </w:p>
    <w:p>
      <w:pPr>
        <w:pStyle w:val="BodyText"/>
        <w:rPr>
          <w:b/>
        </w:rPr>
      </w:pPr>
    </w:p>
    <w:p>
      <w:pPr>
        <w:pStyle w:val="BodyText"/>
        <w:rPr>
          <w:b/>
        </w:rPr>
      </w:pPr>
    </w:p>
    <w:p>
      <w:pPr>
        <w:pStyle w:val="BodyText"/>
        <w:spacing w:line="360" w:lineRule="auto"/>
        <w:ind w:left="265" w:right="233"/>
        <w:jc w:val="both"/>
        <w:rPr>
          <w:sz w:val="16"/>
        </w:rPr>
      </w:pPr>
      <w:r>
        <w:rPr/>
        <w:t>El sistema nacional de salud en los últimos años, particularmente en las escuelas universitarias de enfermería y en algunas instituciones de salud tanto públicas como privadas, ha insistido de manera importante en destacar los cuidados de enfermería como el eje principal de brindar servicios de calidad, la cual tiene un valor importante en la atención a la salud,</w:t>
      </w:r>
      <w:r>
        <w:rPr>
          <w:position w:val="8"/>
          <w:sz w:val="16"/>
        </w:rPr>
        <w:t>1 </w:t>
      </w:r>
      <w:r>
        <w:rPr/>
        <w:t>por ello enfermería como miembro de este equipo debe desarrollar una cultura de calidad. Donde los cuidados proporcionados al paciente no causen ningún daño o pongan en riesgo su vida, porque esta como parte esencial del hombre, es un bien común que interesa defender a toda la sociedad, por lo cual tiene una dimensión jurídica.</w:t>
      </w:r>
      <w:r>
        <w:rPr>
          <w:position w:val="8"/>
          <w:sz w:val="16"/>
        </w:rPr>
        <w:t>2</w:t>
      </w:r>
    </w:p>
    <w:p>
      <w:pPr>
        <w:pStyle w:val="BodyText"/>
        <w:rPr>
          <w:sz w:val="36"/>
        </w:rPr>
      </w:pPr>
    </w:p>
    <w:p>
      <w:pPr>
        <w:pStyle w:val="BodyText"/>
        <w:spacing w:line="360" w:lineRule="auto"/>
        <w:ind w:left="265" w:right="234"/>
        <w:jc w:val="both"/>
      </w:pPr>
      <w:r>
        <w:rPr/>
        <w:t>En este sentido, las intervenciones para el cuidado de la salud del ser humano, en los ámbitos hospitalarios y ambulatorios, están implicando riesgos a partir de la conjugación compleja de procesos, tecnologías e interacciones humanas, que si bien contribuyen en acciones beneficiosas, también incluyen un abanico de posibilidades de práctica insegura para la ocurrencia de eventos adversos.</w:t>
      </w:r>
    </w:p>
    <w:p>
      <w:pPr>
        <w:pStyle w:val="BodyText"/>
      </w:pPr>
    </w:p>
    <w:p>
      <w:pPr>
        <w:pStyle w:val="BodyText"/>
        <w:spacing w:line="360" w:lineRule="auto" w:before="142"/>
        <w:ind w:left="265" w:right="234"/>
        <w:jc w:val="both"/>
      </w:pPr>
      <w:r>
        <w:rPr/>
        <w:t>Por tal motivo la seguridad del paciente se considera un indicador importante en calidad de la atención, un evento adverso es una situación inesperada, lesiva para el paciente y son frecuentes en la práctica médica, entre un 4 y un 17% de los pacientes. También 1.7 errores por paciente por día que ingresan en un hospital sufrirán un accidente imprevisto e inesperado,</w:t>
      </w:r>
      <w:r>
        <w:rPr>
          <w:position w:val="8"/>
          <w:sz w:val="16"/>
        </w:rPr>
        <w:t>3 </w:t>
      </w:r>
      <w:r>
        <w:rPr/>
        <w:t>derivado de la atención sanitaria y no de su enfermedad de base, que tendrá consecuencias en su salud y en sus posibilidades de recuperación, en algunos casos, estos errores le provocarán la muerte.</w:t>
      </w:r>
    </w:p>
    <w:p>
      <w:pPr>
        <w:pStyle w:val="BodyText"/>
        <w:rPr>
          <w:sz w:val="20"/>
        </w:rPr>
      </w:pPr>
    </w:p>
    <w:p>
      <w:pPr>
        <w:pStyle w:val="BodyText"/>
        <w:spacing w:before="5"/>
        <w:rPr>
          <w:sz w:val="16"/>
        </w:rPr>
      </w:pPr>
      <w:r>
        <w:rPr/>
        <w:pict>
          <v:line style="position:absolute;mso-position-horizontal-relative:page;mso-position-vertical-relative:paragraph;z-index:1216;mso-wrap-distance-left:0;mso-wrap-distance-right:0" from="99.264pt,11.774896pt" to="243.284pt,11.774896pt" stroked="true" strokeweight=".71997pt" strokecolor="#000000">
            <w10:wrap type="topAndBottom"/>
          </v:line>
        </w:pict>
      </w:r>
    </w:p>
    <w:p>
      <w:pPr>
        <w:spacing w:before="66"/>
        <w:ind w:left="265" w:right="284" w:firstLine="0"/>
        <w:jc w:val="left"/>
        <w:rPr>
          <w:sz w:val="16"/>
        </w:rPr>
      </w:pPr>
      <w:r>
        <w:rPr>
          <w:position w:val="6"/>
          <w:sz w:val="10"/>
        </w:rPr>
        <w:t>1 </w:t>
      </w:r>
      <w:r>
        <w:rPr>
          <w:sz w:val="16"/>
        </w:rPr>
        <w:t>Ortega V. Suarez V. Manual de evaluación de la calidad de los servicios de enfermería (Estrategias para su aplicación) 2</w:t>
      </w:r>
      <w:r>
        <w:rPr>
          <w:position w:val="6"/>
          <w:sz w:val="10"/>
        </w:rPr>
        <w:t>a </w:t>
      </w:r>
      <w:r>
        <w:rPr>
          <w:sz w:val="16"/>
        </w:rPr>
        <w:t>edición. México. Editorial Médica panamericana. 2009. 249 Pp.</w:t>
      </w:r>
    </w:p>
    <w:p>
      <w:pPr>
        <w:spacing w:line="182" w:lineRule="exact" w:before="5"/>
        <w:ind w:left="265" w:right="284" w:firstLine="0"/>
        <w:jc w:val="left"/>
        <w:rPr>
          <w:sz w:val="16"/>
        </w:rPr>
      </w:pPr>
      <w:r>
        <w:rPr>
          <w:position w:val="6"/>
          <w:sz w:val="10"/>
        </w:rPr>
        <w:t>2 </w:t>
      </w:r>
      <w:r>
        <w:rPr>
          <w:sz w:val="16"/>
        </w:rPr>
        <w:t>Malagón L. Galán M. Pontón L. Garantía de calidad en salud. 2</w:t>
      </w:r>
      <w:r>
        <w:rPr>
          <w:position w:val="6"/>
          <w:sz w:val="10"/>
        </w:rPr>
        <w:t>a  </w:t>
      </w:r>
      <w:r>
        <w:rPr>
          <w:sz w:val="16"/>
        </w:rPr>
        <w:t>edición. Bogotá. Editorial Médica panamericana. 2006.  129</w:t>
      </w:r>
      <w:r>
        <w:rPr>
          <w:spacing w:val="-1"/>
          <w:sz w:val="16"/>
        </w:rPr>
        <w:t> </w:t>
      </w:r>
      <w:r>
        <w:rPr>
          <w:sz w:val="16"/>
        </w:rPr>
        <w:t>Pp.</w:t>
      </w:r>
    </w:p>
    <w:p>
      <w:pPr>
        <w:spacing w:line="240" w:lineRule="auto" w:before="0"/>
        <w:ind w:left="265" w:right="284" w:firstLine="0"/>
        <w:jc w:val="left"/>
        <w:rPr>
          <w:sz w:val="16"/>
        </w:rPr>
      </w:pPr>
      <w:r>
        <w:rPr>
          <w:position w:val="6"/>
          <w:sz w:val="10"/>
        </w:rPr>
        <w:t>3 </w:t>
      </w:r>
      <w:r>
        <w:rPr>
          <w:sz w:val="16"/>
        </w:rPr>
        <w:t>Donoso A. Fuentes I. (2004) Eventos adversos en UCI, Revista pediátrica v.75 n.3 Santiago Chile. 233-239 Pp.  [consultado</w:t>
      </w:r>
      <w:r>
        <w:rPr>
          <w:spacing w:val="-8"/>
          <w:sz w:val="16"/>
        </w:rPr>
        <w:t> </w:t>
      </w:r>
      <w:r>
        <w:rPr>
          <w:sz w:val="16"/>
        </w:rPr>
        <w:t>enero</w:t>
      </w:r>
      <w:r>
        <w:rPr>
          <w:spacing w:val="-10"/>
          <w:sz w:val="16"/>
        </w:rPr>
        <w:t> </w:t>
      </w:r>
      <w:r>
        <w:rPr>
          <w:sz w:val="16"/>
        </w:rPr>
        <w:t>marzo</w:t>
      </w:r>
      <w:r>
        <w:rPr>
          <w:spacing w:val="-8"/>
          <w:sz w:val="16"/>
        </w:rPr>
        <w:t> </w:t>
      </w:r>
      <w:r>
        <w:rPr>
          <w:sz w:val="16"/>
        </w:rPr>
        <w:t>2012]</w:t>
      </w:r>
      <w:r>
        <w:rPr>
          <w:spacing w:val="-8"/>
          <w:sz w:val="16"/>
        </w:rPr>
        <w:t> </w:t>
      </w:r>
      <w:r>
        <w:rPr>
          <w:sz w:val="16"/>
        </w:rPr>
        <w:t>disponible</w:t>
      </w:r>
      <w:r>
        <w:rPr>
          <w:spacing w:val="-8"/>
          <w:sz w:val="16"/>
        </w:rPr>
        <w:t> </w:t>
      </w:r>
      <w:r>
        <w:rPr>
          <w:sz w:val="16"/>
        </w:rPr>
        <w:t>en</w:t>
      </w:r>
      <w:r>
        <w:rPr>
          <w:spacing w:val="-8"/>
          <w:sz w:val="16"/>
        </w:rPr>
        <w:t> </w:t>
      </w:r>
      <w:hyperlink r:id="rId12">
        <w:r>
          <w:rPr>
            <w:sz w:val="16"/>
          </w:rPr>
          <w:t>http://www.scielo.cl/scielo.php?script=sci_arttext&amp;pid=S0370</w:t>
        </w:r>
      </w:hyperlink>
    </w:p>
    <w:p>
      <w:pPr>
        <w:spacing w:after="0" w:line="240" w:lineRule="auto"/>
        <w:jc w:val="left"/>
        <w:rPr>
          <w:sz w:val="16"/>
        </w:rPr>
        <w:sectPr>
          <w:headerReference w:type="default" r:id="rId10"/>
          <w:footerReference w:type="default" r:id="rId11"/>
          <w:pgSz w:w="12240" w:h="15840"/>
          <w:pgMar w:header="739" w:footer="928" w:top="1120" w:bottom="1120" w:left="1720" w:right="1180"/>
          <w:pgNumType w:start="7"/>
        </w:sectPr>
      </w:pPr>
    </w:p>
    <w:p>
      <w:pPr>
        <w:pStyle w:val="BodyText"/>
        <w:rPr>
          <w:sz w:val="20"/>
        </w:rPr>
      </w:pPr>
      <w:r>
        <w:rPr/>
        <w:pict>
          <v:line style="position:absolute;mso-position-horizontal-relative:page;mso-position-vertical-relative:page;z-index:1264"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El evento adverso es definido como “lesión no intencional que resulta en incapacidad temporal o permanente y/o prolongación del tiempo de permanencia o muerte como consecuencia del cuidado prestado”. El aumento de la frecuencia de eventos adversos en pacientes ha generado debates en el ámbito internacional, juntamente por la búsqueda de calidad en atención a la salud.</w:t>
      </w:r>
    </w:p>
    <w:p>
      <w:pPr>
        <w:pStyle w:val="BodyText"/>
      </w:pPr>
    </w:p>
    <w:p>
      <w:pPr>
        <w:pStyle w:val="BodyText"/>
        <w:spacing w:line="357" w:lineRule="auto" w:before="142"/>
        <w:ind w:left="265" w:right="242"/>
        <w:jc w:val="both"/>
        <w:rPr>
          <w:sz w:val="14"/>
        </w:rPr>
      </w:pPr>
      <w:r>
        <w:rPr/>
        <w:t>Los eventos adversos, al igual que afectan la condición de salud de los enfermos, implican repercusiones financieras debido a la alta proporción de los costos de salud de las instituciones, por el incremento de las estancias intrahospitalarias.</w:t>
      </w:r>
      <w:r>
        <w:rPr>
          <w:position w:val="8"/>
          <w:sz w:val="16"/>
        </w:rPr>
        <w:t>4</w:t>
      </w:r>
      <w:r>
        <w:rPr>
          <w:position w:val="8"/>
          <w:sz w:val="14"/>
        </w:rPr>
        <w:t>.</w:t>
      </w:r>
    </w:p>
    <w:p>
      <w:pPr>
        <w:pStyle w:val="BodyText"/>
        <w:spacing w:before="2"/>
        <w:rPr>
          <w:sz w:val="36"/>
        </w:rPr>
      </w:pPr>
    </w:p>
    <w:p>
      <w:pPr>
        <w:pStyle w:val="BodyText"/>
        <w:spacing w:line="360" w:lineRule="auto" w:before="1"/>
        <w:ind w:left="265" w:right="241"/>
        <w:jc w:val="both"/>
      </w:pPr>
      <w:r>
        <w:rPr/>
        <w:t>La OMS calcula que, en los países desarrollados, uno de cada diez pacientes  sufre algún tipo de daño durante su estancia en el hospital. El daño puede ser consecuencia de distintos errores o efectos; sin embargo, se estima que en los países en desarrollo la probabilidad de que los pacientes sufran algún daño en los hospitales, es mayor que en los países</w:t>
      </w:r>
      <w:r>
        <w:rPr>
          <w:spacing w:val="-16"/>
        </w:rPr>
        <w:t> </w:t>
      </w:r>
      <w:r>
        <w:rPr/>
        <w:t>desarrollados.</w:t>
      </w:r>
    </w:p>
    <w:p>
      <w:pPr>
        <w:pStyle w:val="BodyText"/>
      </w:pPr>
    </w:p>
    <w:p>
      <w:pPr>
        <w:pStyle w:val="BodyText"/>
        <w:spacing w:line="360" w:lineRule="auto" w:before="142"/>
        <w:ind w:left="265" w:right="231"/>
        <w:jc w:val="both"/>
      </w:pPr>
      <w:r>
        <w:rPr/>
        <w:t>En la actualidad son muchas las pacientes obstétricas y las situaciones susceptibles de necesitar un acceso vascular desde que ingresa al servicio de urgencias, (área de choque, código rojo, código verde) hasta su egreso, independientemente de su edad gestacional y diagnóstico, en estancias cortos o prolongados, por situaciones patológicas o quirúrgicas. Que pueden derivar consecuencias importantes por medio de la terapia de infusión, ocasionando fallas en la prescripción, preparación y administración de medicamentos, lo que puede tener consecuencias graves tanto en la madre como en el feto, y representa un problema de importancia clínica-epidemiológica debido a que  condicionan mayores tasas de morbilidad y mortalidad, lo cual se suma al incremento en los días de hospitalización y de gasto económico.</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240;mso-wrap-distance-left:0;mso-wrap-distance-right:0" from="99.264pt,16.351877pt" to="243.284pt,16.351877pt" stroked="true" strokeweight=".71997pt" strokecolor="#000000">
            <w10:wrap type="topAndBottom"/>
          </v:line>
        </w:pict>
      </w:r>
    </w:p>
    <w:p>
      <w:pPr>
        <w:spacing w:before="66"/>
        <w:ind w:left="265" w:right="284" w:firstLine="0"/>
        <w:jc w:val="left"/>
        <w:rPr>
          <w:sz w:val="16"/>
        </w:rPr>
      </w:pPr>
      <w:r>
        <w:rPr>
          <w:position w:val="6"/>
          <w:sz w:val="10"/>
        </w:rPr>
        <w:t>4 </w:t>
      </w:r>
      <w:r>
        <w:rPr>
          <w:sz w:val="16"/>
        </w:rPr>
        <w:t>Villareal C. (2007) Seguridad de los pacientes. Un compromiso de todos para un cuidado de calidad. Colombia 115 Pp [consultado enero 2012] disponible en </w:t>
      </w:r>
      <w:hyperlink r:id="rId13">
        <w:r>
          <w:rPr>
            <w:sz w:val="16"/>
          </w:rPr>
          <w:t>http://rcientificas.uninorte.edu.co/index.php/salud/article/view/4057/2492.</w:t>
        </w:r>
      </w:hyperlink>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312" from="97.823997pt,56.16pt" to="542.643997pt,56.16pt" stroked="true" strokeweight=".48pt" strokecolor="#000000">
            <w10:wrap type="none"/>
          </v:line>
        </w:pict>
      </w:r>
    </w:p>
    <w:p>
      <w:pPr>
        <w:pStyle w:val="BodyText"/>
        <w:rPr>
          <w:sz w:val="20"/>
        </w:rPr>
      </w:pPr>
    </w:p>
    <w:p>
      <w:pPr>
        <w:pStyle w:val="BodyText"/>
        <w:spacing w:line="360" w:lineRule="auto" w:before="204"/>
        <w:ind w:left="265" w:right="229"/>
        <w:jc w:val="both"/>
      </w:pPr>
      <w:r>
        <w:rPr/>
        <w:t>Sin embargo, el uso de estos dispositivos intravenosos son necesarios e indispensables en la práctica hospitalaria para la administración de líquidos, medicamentos, nutrientes, componentes sanguíneos, así como para monitorizar estado hemodinámico. Debido a la alta frecuencia con que el personal médico y  de enfermería manipulan estos dispositivos, existen riesgos de complicaciones  que pueden ser de tipo local o</w:t>
      </w:r>
      <w:r>
        <w:rPr>
          <w:spacing w:val="-16"/>
        </w:rPr>
        <w:t> </w:t>
      </w:r>
      <w:r>
        <w:rPr/>
        <w:t>sistémico.</w:t>
      </w:r>
    </w:p>
    <w:p>
      <w:pPr>
        <w:pStyle w:val="BodyText"/>
      </w:pPr>
    </w:p>
    <w:p>
      <w:pPr>
        <w:pStyle w:val="BodyText"/>
        <w:spacing w:line="360" w:lineRule="auto" w:before="140"/>
        <w:ind w:left="265" w:right="232"/>
        <w:jc w:val="both"/>
      </w:pPr>
      <w:r>
        <w:rPr/>
        <w:t>En el manual de evaluación de calidad del servicio de enfermería se menciona que este procedimiento requiere la aplicación de una técnica de interacción directa con el paciente, que hace necesaria la integración del conocimiento científico,  habilidad y destreza, de tal manera que si no se realiza con precisión, pone en riesgo la integridad del</w:t>
      </w:r>
      <w:r>
        <w:rPr>
          <w:spacing w:val="-13"/>
        </w:rPr>
        <w:t> </w:t>
      </w:r>
      <w:r>
        <w:rPr/>
        <w:t>paciente.</w:t>
      </w:r>
    </w:p>
    <w:p>
      <w:pPr>
        <w:pStyle w:val="BodyText"/>
      </w:pPr>
    </w:p>
    <w:p>
      <w:pPr>
        <w:pStyle w:val="BodyText"/>
        <w:spacing w:line="360" w:lineRule="auto" w:before="142"/>
        <w:ind w:left="265" w:right="232"/>
        <w:jc w:val="both"/>
        <w:rPr>
          <w:sz w:val="16"/>
        </w:rPr>
      </w:pPr>
      <w:r>
        <w:rPr/>
        <w:t>Por lo tanto, el personal de enfermería asume la responsabilidad de la terapia de infusión intravenosa y pretende evitar situaciones que aumenten la morbimortalidad de los pacientes y a la vez contribuir para que enfermería preste servicios en los que el cuidado sea más racional, continuo, organizado, veraz y de calidad. Que tenga impacto en la salud de las personas, en los costos institucionales y en el ejercicio</w:t>
      </w:r>
      <w:r>
        <w:rPr>
          <w:spacing w:val="-12"/>
        </w:rPr>
        <w:t> </w:t>
      </w:r>
      <w:r>
        <w:rPr/>
        <w:t>profesional.</w:t>
      </w:r>
      <w:r>
        <w:rPr>
          <w:position w:val="8"/>
          <w:sz w:val="16"/>
        </w:rPr>
        <w:t>5</w:t>
      </w:r>
    </w:p>
    <w:p>
      <w:pPr>
        <w:pStyle w:val="BodyText"/>
        <w:rPr>
          <w:sz w:val="36"/>
        </w:rPr>
      </w:pPr>
    </w:p>
    <w:p>
      <w:pPr>
        <w:pStyle w:val="BodyText"/>
        <w:spacing w:line="360" w:lineRule="auto"/>
        <w:ind w:left="265" w:right="233"/>
        <w:jc w:val="both"/>
      </w:pPr>
      <w:r>
        <w:rPr/>
        <w:t>El objetivo del presente estudio, fue analizar los eventos adversos relacionados a terapia de infusión intravenosa en la paciente obstétrica, en un hospital de tercer nivel de Toluca. Los datos se obtuvieron mediante la bitácora de eventos adversos de enfermería que se encuentra a cargo del departamento de calidad, durante el año 2012. Para la evaluación de la atención de enfermería durante el cuidado y que permita mediante la revisión de la bitácora de eventos adversos un registro  y/o análisis detallado y certero sobre los eventos adversos que se presentaron, determinar</w:t>
      </w:r>
      <w:r>
        <w:rPr>
          <w:spacing w:val="36"/>
        </w:rPr>
        <w:t> </w:t>
      </w:r>
      <w:r>
        <w:rPr/>
        <w:t>el</w:t>
      </w:r>
      <w:r>
        <w:rPr>
          <w:spacing w:val="34"/>
        </w:rPr>
        <w:t> </w:t>
      </w:r>
      <w:r>
        <w:rPr/>
        <w:t>tipo</w:t>
      </w:r>
      <w:r>
        <w:rPr>
          <w:spacing w:val="35"/>
        </w:rPr>
        <w:t> </w:t>
      </w:r>
      <w:r>
        <w:rPr/>
        <w:t>de</w:t>
      </w:r>
      <w:r>
        <w:rPr>
          <w:spacing w:val="35"/>
        </w:rPr>
        <w:t> </w:t>
      </w:r>
      <w:r>
        <w:rPr/>
        <w:t>daño</w:t>
      </w:r>
      <w:r>
        <w:rPr>
          <w:spacing w:val="37"/>
        </w:rPr>
        <w:t> </w:t>
      </w:r>
      <w:r>
        <w:rPr/>
        <w:t>que</w:t>
      </w:r>
      <w:r>
        <w:rPr>
          <w:spacing w:val="37"/>
        </w:rPr>
        <w:t> </w:t>
      </w:r>
      <w:r>
        <w:rPr>
          <w:spacing w:val="2"/>
        </w:rPr>
        <w:t>se</w:t>
      </w:r>
      <w:r>
        <w:rPr>
          <w:spacing w:val="35"/>
        </w:rPr>
        <w:t> </w:t>
      </w:r>
      <w:r>
        <w:rPr/>
        <w:t>produjo,</w:t>
      </w:r>
      <w:r>
        <w:rPr>
          <w:spacing w:val="35"/>
        </w:rPr>
        <w:t> </w:t>
      </w:r>
      <w:r>
        <w:rPr/>
        <w:t>lo</w:t>
      </w:r>
      <w:r>
        <w:rPr>
          <w:spacing w:val="37"/>
        </w:rPr>
        <w:t> </w:t>
      </w:r>
      <w:r>
        <w:rPr/>
        <w:t>cual</w:t>
      </w:r>
      <w:r>
        <w:rPr>
          <w:spacing w:val="36"/>
        </w:rPr>
        <w:t> </w:t>
      </w:r>
      <w:r>
        <w:rPr/>
        <w:t>va</w:t>
      </w:r>
      <w:r>
        <w:rPr>
          <w:spacing w:val="37"/>
        </w:rPr>
        <w:t> </w:t>
      </w:r>
      <w:r>
        <w:rPr/>
        <w:t>a</w:t>
      </w:r>
      <w:r>
        <w:rPr>
          <w:spacing w:val="37"/>
        </w:rPr>
        <w:t> </w:t>
      </w:r>
      <w:r>
        <w:rPr/>
        <w:t>permitir</w:t>
      </w:r>
      <w:r>
        <w:rPr>
          <w:spacing w:val="33"/>
        </w:rPr>
        <w:t> </w:t>
      </w:r>
      <w:r>
        <w:rPr/>
        <w:t>el</w:t>
      </w:r>
      <w:r>
        <w:rPr>
          <w:spacing w:val="36"/>
        </w:rPr>
        <w:t> </w:t>
      </w:r>
      <w:r>
        <w:rPr/>
        <w:t>análisis</w:t>
      </w:r>
      <w:r>
        <w:rPr>
          <w:spacing w:val="36"/>
        </w:rPr>
        <w:t> </w:t>
      </w:r>
      <w:r>
        <w:rPr/>
        <w:t>y</w:t>
      </w:r>
      <w:r>
        <w:rPr>
          <w:spacing w:val="34"/>
        </w:rPr>
        <w:t> </w:t>
      </w:r>
      <w:r>
        <w:rPr/>
        <w:t>la</w:t>
      </w:r>
    </w:p>
    <w:p>
      <w:pPr>
        <w:pStyle w:val="BodyText"/>
        <w:spacing w:before="5"/>
        <w:rPr>
          <w:sz w:val="28"/>
        </w:rPr>
      </w:pPr>
      <w:r>
        <w:rPr/>
        <w:pict>
          <v:line style="position:absolute;mso-position-horizontal-relative:page;mso-position-vertical-relative:paragraph;z-index:1288;mso-wrap-distance-left:0;mso-wrap-distance-right:0" from="99.264pt,18.709925pt" to="243.284pt,18.709925pt" stroked="true" strokeweight=".71997pt" strokecolor="#000000">
            <w10:wrap type="topAndBottom"/>
          </v:line>
        </w:pict>
      </w:r>
    </w:p>
    <w:p>
      <w:pPr>
        <w:spacing w:before="66"/>
        <w:ind w:left="265" w:right="235" w:firstLine="0"/>
        <w:jc w:val="left"/>
        <w:rPr>
          <w:sz w:val="16"/>
        </w:rPr>
      </w:pPr>
      <w:r>
        <w:rPr>
          <w:position w:val="6"/>
          <w:sz w:val="10"/>
        </w:rPr>
        <w:t>5 </w:t>
      </w:r>
      <w:r>
        <w:rPr>
          <w:sz w:val="16"/>
        </w:rPr>
        <w:t>Hernández M. Cuidar de la Salud con Calidad Revista de enfermería del Instituto Mexicano del Seguro Social. México. 121-122 Pp Revista en internet [consultada 09 de noviembre de 2012], disponible en </w:t>
      </w:r>
      <w:hyperlink r:id="rId14">
        <w:r>
          <w:rPr>
            <w:sz w:val="16"/>
          </w:rPr>
          <w:t>http://www.medigraphic.com</w:t>
        </w:r>
      </w:hyperlink>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336" from="97.823997pt,56.16pt" to="542.643997pt,56.16pt" stroked="true" strokeweight=".48pt" strokecolor="#000000">
            <w10:wrap type="none"/>
          </v:line>
        </w:pict>
      </w:r>
    </w:p>
    <w:p>
      <w:pPr>
        <w:pStyle w:val="BodyText"/>
        <w:rPr>
          <w:sz w:val="20"/>
        </w:rPr>
      </w:pPr>
    </w:p>
    <w:p>
      <w:pPr>
        <w:pStyle w:val="BodyText"/>
        <w:spacing w:line="360" w:lineRule="auto" w:before="204"/>
        <w:ind w:left="265" w:right="233"/>
        <w:jc w:val="both"/>
      </w:pPr>
      <w:r>
        <w:rPr/>
        <w:t>gestión con el fin de disminuir las incidencias y prevalencia, sin la intención de ser punitivos o realizar señalamientos de ninguna índole hacia el personal de enfermería.</w:t>
      </w:r>
    </w:p>
    <w:p>
      <w:pPr>
        <w:pStyle w:val="BodyText"/>
      </w:pPr>
    </w:p>
    <w:p>
      <w:pPr>
        <w:pStyle w:val="BodyText"/>
        <w:spacing w:line="360" w:lineRule="auto" w:before="142"/>
        <w:ind w:left="265" w:right="232"/>
        <w:jc w:val="both"/>
      </w:pPr>
      <w:r>
        <w:rPr/>
        <w:t>El trabajo está conformado de: un planteamiento del problema, objetivos, estado del arte, cuadros de resultados, los cuales se procesaron en el programa SPSS, versión 20 y Microsoft Excel 2012, integrando los resultados, análisis, discusión, conclusiones y propuestas.</w:t>
      </w:r>
    </w:p>
    <w:p>
      <w:pPr>
        <w:spacing w:after="0" w:line="360" w:lineRule="auto"/>
        <w:jc w:val="both"/>
        <w:sectPr>
          <w:footerReference w:type="default" r:id="rId15"/>
          <w:pgSz w:w="12240" w:h="15840"/>
          <w:pgMar w:footer="928" w:header="739" w:top="1300" w:bottom="1120" w:left="1720" w:right="1180"/>
        </w:sectPr>
      </w:pPr>
    </w:p>
    <w:p>
      <w:pPr>
        <w:pStyle w:val="BodyText"/>
        <w:rPr>
          <w:sz w:val="20"/>
        </w:rPr>
      </w:pPr>
      <w:r>
        <w:rPr/>
        <w:pict>
          <v:line style="position:absolute;mso-position-horizontal-relative:page;mso-position-vertical-relative:page;z-index:1384" from="97.823997pt,56.16pt" to="542.643997pt,56.16pt" stroked="true" strokeweight=".48pt" strokecolor="#000000">
            <w10:wrap type="none"/>
          </v:line>
        </w:pict>
      </w:r>
    </w:p>
    <w:p>
      <w:pPr>
        <w:pStyle w:val="BodyText"/>
        <w:rPr>
          <w:sz w:val="20"/>
        </w:rPr>
      </w:pPr>
    </w:p>
    <w:p>
      <w:pPr>
        <w:pStyle w:val="Heading6"/>
        <w:spacing w:before="204"/>
        <w:ind w:left="2656" w:right="284"/>
        <w:jc w:val="left"/>
      </w:pPr>
      <w:bookmarkStart w:name="_TOC_250017" w:id="2"/>
      <w:bookmarkEnd w:id="2"/>
      <w:r>
        <w:rPr/>
        <w:t>PLANTEAMIENTO DEL PROBLEMA</w:t>
      </w:r>
    </w:p>
    <w:p>
      <w:pPr>
        <w:pStyle w:val="BodyText"/>
        <w:rPr>
          <w:b/>
        </w:rPr>
      </w:pPr>
    </w:p>
    <w:p>
      <w:pPr>
        <w:pStyle w:val="BodyText"/>
        <w:rPr>
          <w:b/>
          <w:sz w:val="21"/>
        </w:rPr>
      </w:pPr>
    </w:p>
    <w:p>
      <w:pPr>
        <w:pStyle w:val="BodyText"/>
        <w:spacing w:line="360" w:lineRule="auto" w:before="1"/>
        <w:ind w:left="265" w:right="230"/>
        <w:jc w:val="both"/>
        <w:rPr>
          <w:sz w:val="16"/>
        </w:rPr>
      </w:pPr>
      <w:r>
        <w:rPr/>
        <w:t>A nivel federal, dentro del Plan Nacional de Salud, en el periodo 2001-2006, y mediante los programas de la Secretaría de Salud, surge la Cruzada Nacional por la Calidad de los Servicios de Salud (CNCNN), donde se plantea como una estrategia institucional para elevar la calidad, a través de sus líneas de acción y consolidar niveles aceptables en las instituciones, por medio de indicadores que evalúan la atención médica y de enfermería.</w:t>
      </w:r>
      <w:r>
        <w:rPr>
          <w:position w:val="8"/>
          <w:sz w:val="16"/>
        </w:rPr>
        <w:t>6</w:t>
      </w:r>
    </w:p>
    <w:p>
      <w:pPr>
        <w:pStyle w:val="BodyText"/>
        <w:rPr>
          <w:sz w:val="36"/>
        </w:rPr>
      </w:pPr>
    </w:p>
    <w:p>
      <w:pPr>
        <w:pStyle w:val="BodyText"/>
        <w:spacing w:line="360" w:lineRule="auto"/>
        <w:ind w:left="265" w:right="232"/>
        <w:jc w:val="both"/>
      </w:pPr>
      <w:r>
        <w:rPr/>
        <w:t>En las instituciones hospitalarias se realizan evaluaciones de carácter interno y externo, que permitan detectar oportunidades de mejora de manera interna, a través de la evaluación de indicadores, encuestas de opinión para el personal de la unidad y la funcionalidad de los comités institucionales, constituidos por personal multidisciplinario que participa de manera voluntaria en la identificación de necesidades y propuestas de soluciones a las deficiencias detectadas, tal como los eventos adversos, los cuales se presentan de manera frecuente con altos índices de morbi-mortalidad, incrementando los costos de la atención debido a la prolongación de los tiempos de</w:t>
      </w:r>
      <w:r>
        <w:rPr>
          <w:spacing w:val="-17"/>
        </w:rPr>
        <w:t> </w:t>
      </w:r>
      <w:r>
        <w:rPr/>
        <w:t>hospitalización.</w:t>
      </w:r>
    </w:p>
    <w:p>
      <w:pPr>
        <w:pStyle w:val="BodyText"/>
      </w:pPr>
    </w:p>
    <w:p>
      <w:pPr>
        <w:pStyle w:val="BodyText"/>
        <w:spacing w:line="360" w:lineRule="auto" w:before="142"/>
        <w:ind w:left="265" w:right="235"/>
        <w:jc w:val="both"/>
      </w:pPr>
      <w:r>
        <w:rPr/>
        <w:t>En la Séptima Reunión Anual del Foro Europeo de las Asociaciones de Enfermería y la Organización Mundial de la Salud, se enfatizaron puntos importantes en relación a la seguridad de los pacientes, en estos puntos se reconoció que la seguridad del paciente conlleva a un análisis y comprensión de los eventos adversos, y una estimación real del problema. Esto implica generar una cultura donde las enfermeras puedan informar sobre problemas y errores, con el fin de que en sus centros interinstitucionales puedan adoptar políticas y procedimientos, con</w:t>
      </w:r>
      <w:r>
        <w:rPr>
          <w:spacing w:val="58"/>
        </w:rPr>
        <w:t> </w:t>
      </w:r>
      <w:r>
        <w:rPr/>
        <w:t>el</w:t>
      </w:r>
      <w:r>
        <w:rPr>
          <w:spacing w:val="57"/>
        </w:rPr>
        <w:t> </w:t>
      </w:r>
      <w:r>
        <w:rPr/>
        <w:t>propósito</w:t>
      </w:r>
      <w:r>
        <w:rPr>
          <w:spacing w:val="58"/>
        </w:rPr>
        <w:t> </w:t>
      </w:r>
      <w:r>
        <w:rPr/>
        <w:t>de</w:t>
      </w:r>
      <w:r>
        <w:rPr>
          <w:spacing w:val="58"/>
        </w:rPr>
        <w:t> </w:t>
      </w:r>
      <w:r>
        <w:rPr/>
        <w:t>reducir</w:t>
      </w:r>
      <w:r>
        <w:rPr>
          <w:spacing w:val="56"/>
        </w:rPr>
        <w:t> </w:t>
      </w:r>
      <w:r>
        <w:rPr/>
        <w:t>la</w:t>
      </w:r>
      <w:r>
        <w:rPr>
          <w:spacing w:val="58"/>
        </w:rPr>
        <w:t> </w:t>
      </w:r>
      <w:r>
        <w:rPr/>
        <w:t>incidencia</w:t>
      </w:r>
      <w:r>
        <w:rPr>
          <w:spacing w:val="58"/>
        </w:rPr>
        <w:t> </w:t>
      </w:r>
      <w:r>
        <w:rPr/>
        <w:t>de</w:t>
      </w:r>
      <w:r>
        <w:rPr>
          <w:spacing w:val="58"/>
        </w:rPr>
        <w:t> </w:t>
      </w:r>
      <w:r>
        <w:rPr/>
        <w:t>riesgos</w:t>
      </w:r>
      <w:r>
        <w:rPr>
          <w:spacing w:val="57"/>
        </w:rPr>
        <w:t> </w:t>
      </w:r>
      <w:r>
        <w:rPr/>
        <w:t>y</w:t>
      </w:r>
      <w:r>
        <w:rPr>
          <w:spacing w:val="55"/>
        </w:rPr>
        <w:t> </w:t>
      </w:r>
      <w:r>
        <w:rPr/>
        <w:t>sus</w:t>
      </w:r>
      <w:r>
        <w:rPr>
          <w:spacing w:val="57"/>
        </w:rPr>
        <w:t> </w:t>
      </w:r>
      <w:r>
        <w:rPr/>
        <w:t>consecuencias,</w:t>
      </w:r>
      <w:r>
        <w:rPr>
          <w:spacing w:val="58"/>
        </w:rPr>
        <w:t> </w:t>
      </w:r>
      <w:r>
        <w:rPr/>
        <w:t>sin</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1360;mso-wrap-distance-left:0;mso-wrap-distance-right:0" from="99.264pt,18.151880pt" to="243.284pt,18.151880pt" stroked="true" strokeweight=".71997pt" strokecolor="#000000">
            <w10:wrap type="topAndBottom"/>
          </v:line>
        </w:pict>
      </w:r>
    </w:p>
    <w:p>
      <w:pPr>
        <w:spacing w:before="66"/>
        <w:ind w:left="265" w:right="284" w:firstLine="0"/>
        <w:jc w:val="left"/>
        <w:rPr>
          <w:sz w:val="16"/>
        </w:rPr>
      </w:pPr>
      <w:r>
        <w:rPr>
          <w:position w:val="6"/>
          <w:sz w:val="10"/>
        </w:rPr>
        <w:t>6 </w:t>
      </w:r>
      <w:r>
        <w:rPr>
          <w:sz w:val="16"/>
        </w:rPr>
        <w:t>Plan Nacional de Salud 2001-2006, Programa de Acción: Cruzada Nacional por la Calidad de los Servicios de Salud. 74 Pp. [consultada 22 de octubre de 2012] disponible en: </w:t>
      </w:r>
      <w:hyperlink r:id="rId17">
        <w:r>
          <w:rPr>
            <w:sz w:val="16"/>
          </w:rPr>
          <w:t>http://www.salud.gob.mx</w:t>
        </w:r>
      </w:hyperlink>
    </w:p>
    <w:p>
      <w:pPr>
        <w:spacing w:after="0"/>
        <w:jc w:val="left"/>
        <w:rPr>
          <w:sz w:val="16"/>
        </w:rPr>
        <w:sectPr>
          <w:footerReference w:type="default" r:id="rId16"/>
          <w:pgSz w:w="12240" w:h="15840"/>
          <w:pgMar w:footer="928" w:header="739" w:top="1300" w:bottom="1120" w:left="1720" w:right="1180"/>
          <w:pgNumType w:start="11"/>
        </w:sectPr>
      </w:pPr>
    </w:p>
    <w:p>
      <w:pPr>
        <w:pStyle w:val="BodyText"/>
        <w:rPr>
          <w:sz w:val="20"/>
        </w:rPr>
      </w:pPr>
      <w:r>
        <w:rPr/>
        <w:pict>
          <v:line style="position:absolute;mso-position-horizontal-relative:page;mso-position-vertical-relative:page;z-index:1408"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ninguna intensión de evidenciar o ser punitivos en quien lo hizo, sino más bien por qué ocurrió y qué factores lo condicionaron.</w:t>
      </w:r>
    </w:p>
    <w:p>
      <w:pPr>
        <w:pStyle w:val="BodyText"/>
      </w:pPr>
    </w:p>
    <w:p>
      <w:pPr>
        <w:pStyle w:val="BodyText"/>
        <w:spacing w:line="360" w:lineRule="auto" w:before="142"/>
        <w:ind w:left="265" w:right="232"/>
        <w:jc w:val="both"/>
      </w:pPr>
      <w:r>
        <w:rPr/>
        <w:t>Los eventos adversos, al igual que afectan la condición de salud de los enfermos, implican repercusiones financieras debido a la alta proporción de los costos de salud de las instituciones, por el incremento de las estancias intrahospitalarias. Como consecuencia de lo anterior, es válido pensar en la seguridad de los pacientes, entendida como la “reducción y mitigación de actos inseguros dentro  del sistema de salud”. Tal seguridad es un principio fundamental en el cuidado del individuo y un elemento crítico en los procesos de gestión de calidad. Las proporciones alcanzadas de actos inseguros, han exhortado al poder decisorio a establecer políticas en relación con la prevención, medición y evaluación de los errores en la práctica de</w:t>
      </w:r>
      <w:r>
        <w:rPr>
          <w:spacing w:val="-10"/>
        </w:rPr>
        <w:t> </w:t>
      </w:r>
      <w:r>
        <w:rPr/>
        <w:t>salud.</w:t>
      </w:r>
    </w:p>
    <w:p>
      <w:pPr>
        <w:pStyle w:val="BodyText"/>
      </w:pPr>
    </w:p>
    <w:p>
      <w:pPr>
        <w:pStyle w:val="BodyText"/>
        <w:spacing w:line="360" w:lineRule="auto" w:before="142"/>
        <w:ind w:left="265" w:right="242"/>
        <w:jc w:val="both"/>
      </w:pPr>
      <w:r>
        <w:rPr/>
        <w:t>Las enfermeras(os) están implicadas(os) en la provisión de un ambiente seguro, en el cual los pacientes puedan ser atendidos sin sufrir daños y en el que perciban una sensación de</w:t>
      </w:r>
      <w:r>
        <w:rPr>
          <w:spacing w:val="-14"/>
        </w:rPr>
        <w:t> </w:t>
      </w:r>
      <w:r>
        <w:rPr/>
        <w:t>seguridad.</w:t>
      </w:r>
    </w:p>
    <w:p>
      <w:pPr>
        <w:pStyle w:val="BodyText"/>
      </w:pPr>
    </w:p>
    <w:p>
      <w:pPr>
        <w:pStyle w:val="BodyText"/>
        <w:spacing w:line="360" w:lineRule="auto" w:before="142"/>
        <w:ind w:left="265" w:right="233"/>
        <w:jc w:val="both"/>
      </w:pPr>
      <w:r>
        <w:rPr/>
        <w:t>La Organización Mundial de la Salud (OMS), instituyó en 2004 la Alianza Mundial de la Seguridad del Paciente, con el objetivo de difundir el conocimiento y las soluciones encontradas, realizar campañas internacionales para garantizar la seguridad del paciente en todo el mundo, con lo que se espera que el tema sea de primordial interés en todas las instituciones de salud que busquen estandarizar practicas seguras con mínimos errores.</w:t>
      </w:r>
    </w:p>
    <w:p>
      <w:pPr>
        <w:pStyle w:val="BodyText"/>
      </w:pPr>
    </w:p>
    <w:p>
      <w:pPr>
        <w:pStyle w:val="BodyText"/>
        <w:spacing w:line="360" w:lineRule="auto" w:before="142"/>
        <w:ind w:left="265" w:right="235"/>
        <w:jc w:val="both"/>
      </w:pPr>
      <w:r>
        <w:rPr/>
        <w:t>La seguridad de los pacientes se constituye en una prioridad en la gestión de calidad del cuidado que se brinda. De ahí la importancia de reflexionar sobre la magnitud que tiene el problema de eventos adversos, para prevenir su ocurrencia y progresar en acciones que garanticen una práctica segura, se trata de un compromiso  que  debe  ser  de  todas  las  instituciones  formadoras  de  </w:t>
      </w:r>
      <w:r>
        <w:rPr>
          <w:spacing w:val="35"/>
        </w:rPr>
        <w:t> </w:t>
      </w:r>
      <w:r>
        <w:rPr/>
        <w:t>talentos</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432" from="97.823997pt,56.16pt" to="542.643997pt,56.16pt" stroked="true" strokeweight=".48pt" strokecolor="#000000">
            <w10:wrap type="none"/>
          </v:line>
        </w:pict>
      </w:r>
    </w:p>
    <w:p>
      <w:pPr>
        <w:pStyle w:val="BodyText"/>
        <w:rPr>
          <w:sz w:val="20"/>
        </w:rPr>
      </w:pPr>
    </w:p>
    <w:p>
      <w:pPr>
        <w:pStyle w:val="BodyText"/>
        <w:spacing w:line="360" w:lineRule="auto" w:before="204"/>
        <w:ind w:left="265" w:right="243"/>
        <w:jc w:val="both"/>
      </w:pPr>
      <w:r>
        <w:rPr/>
        <w:t>humanos, profesionales, prestadoras de servicios de salud para un cuidado  seguro y de</w:t>
      </w:r>
      <w:r>
        <w:rPr>
          <w:spacing w:val="-6"/>
        </w:rPr>
        <w:t> </w:t>
      </w:r>
      <w:r>
        <w:rPr/>
        <w:t>calidad</w:t>
      </w:r>
    </w:p>
    <w:p>
      <w:pPr>
        <w:pStyle w:val="BodyText"/>
      </w:pPr>
    </w:p>
    <w:p>
      <w:pPr>
        <w:pStyle w:val="BodyText"/>
        <w:spacing w:line="360" w:lineRule="auto" w:before="142"/>
        <w:ind w:left="265" w:right="235"/>
        <w:jc w:val="both"/>
      </w:pPr>
      <w:r>
        <w:rPr/>
        <w:t>No obstante, hoy se puede decir que hace falta documentar más las evidencias científicas sobre la proporción que tales eventos adversos han alcanzado, por el sub-registro de la información que se presenta debido a la resistencia del personal sanitario para notificar dichos errores, por miedo a que se interprete como negligencia en el cuidado y sea la base para posteriores demandas a causa de la mala práctica en salud.</w:t>
      </w:r>
    </w:p>
    <w:p>
      <w:pPr>
        <w:pStyle w:val="BodyText"/>
      </w:pPr>
    </w:p>
    <w:p>
      <w:pPr>
        <w:pStyle w:val="BodyText"/>
        <w:spacing w:line="360" w:lineRule="auto" w:before="142"/>
        <w:ind w:left="265" w:right="235"/>
        <w:jc w:val="both"/>
      </w:pPr>
      <w:r>
        <w:rPr/>
        <w:t>Los eventos adversos tienen gran impacto en la salud de las personas, costos institucionales y en el ejercicio profesional. Es de gran interés para la especialidad, ya que potencialmente puede afectar a la madre y al feto. Por todo ello y por la frecuente presencia de eventos adversos relacionados a la terapia de infusión en las pacientes obstétricas en un hospital de tercer nivel de Toluca, se plantea la siguiente interrogante:</w:t>
      </w:r>
    </w:p>
    <w:p>
      <w:pPr>
        <w:pStyle w:val="BodyText"/>
      </w:pPr>
    </w:p>
    <w:p>
      <w:pPr>
        <w:pStyle w:val="BodyText"/>
      </w:pPr>
    </w:p>
    <w:p>
      <w:pPr>
        <w:pStyle w:val="BodyText"/>
        <w:spacing w:before="5"/>
      </w:pPr>
    </w:p>
    <w:p>
      <w:pPr>
        <w:pStyle w:val="Heading6"/>
        <w:spacing w:line="360" w:lineRule="auto"/>
        <w:ind w:left="709" w:right="681" w:hanging="2"/>
        <w:jc w:val="center"/>
      </w:pPr>
      <w:r>
        <w:rPr/>
        <w:t>¿Cuáles son los eventos adversos relacionados a terapia de infusión intravenosa en la paciente obstétrica en un hospital de tercer nivel de Toluca?</w:t>
      </w:r>
    </w:p>
    <w:p>
      <w:pPr>
        <w:spacing w:after="0" w:line="360" w:lineRule="auto"/>
        <w:jc w:val="center"/>
        <w:sectPr>
          <w:pgSz w:w="12240" w:h="15840"/>
          <w:pgMar w:header="739" w:footer="928" w:top="1300" w:bottom="1120" w:left="1720" w:right="1180"/>
        </w:sectPr>
      </w:pPr>
    </w:p>
    <w:p>
      <w:pPr>
        <w:pStyle w:val="BodyText"/>
        <w:rPr>
          <w:b/>
          <w:sz w:val="20"/>
        </w:rPr>
      </w:pPr>
      <w:r>
        <w:rPr/>
        <w:pict>
          <v:line style="position:absolute;mso-position-horizontal-relative:page;mso-position-vertical-relative:page;z-index:1456" from="97.823997pt,56.16pt" to="542.643997pt,56.16pt" stroked="true" strokeweight=".48pt" strokecolor="#000000">
            <w10:wrap type="none"/>
          </v:line>
        </w:pict>
      </w:r>
    </w:p>
    <w:p>
      <w:pPr>
        <w:pStyle w:val="BodyText"/>
        <w:rPr>
          <w:b/>
          <w:sz w:val="20"/>
        </w:rPr>
      </w:pPr>
    </w:p>
    <w:p>
      <w:pPr>
        <w:pStyle w:val="Heading6"/>
        <w:spacing w:before="204"/>
        <w:ind w:left="459" w:right="430"/>
        <w:jc w:val="center"/>
      </w:pPr>
      <w:bookmarkStart w:name="_TOC_250016" w:id="3"/>
      <w:bookmarkEnd w:id="3"/>
      <w:r>
        <w:rPr/>
        <w:t>OBJETIVOS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0"/>
        <w:ind w:left="265" w:right="284" w:firstLine="0"/>
        <w:jc w:val="left"/>
        <w:rPr>
          <w:b/>
          <w:sz w:val="24"/>
        </w:rPr>
      </w:pPr>
      <w:r>
        <w:rPr>
          <w:b/>
          <w:sz w:val="24"/>
        </w:rPr>
        <w:t>GENERAL:</w:t>
      </w:r>
    </w:p>
    <w:p>
      <w:pPr>
        <w:pStyle w:val="BodyText"/>
        <w:rPr>
          <w:b/>
        </w:rPr>
      </w:pPr>
    </w:p>
    <w:p>
      <w:pPr>
        <w:pStyle w:val="BodyText"/>
        <w:rPr>
          <w:b/>
        </w:rPr>
      </w:pPr>
    </w:p>
    <w:p>
      <w:pPr>
        <w:pStyle w:val="ListParagraph"/>
        <w:numPr>
          <w:ilvl w:val="0"/>
          <w:numId w:val="1"/>
        </w:numPr>
        <w:tabs>
          <w:tab w:pos="626" w:val="left" w:leader="none"/>
        </w:tabs>
        <w:spacing w:line="360" w:lineRule="auto" w:before="0" w:after="0"/>
        <w:ind w:left="625" w:right="232" w:hanging="360"/>
        <w:jc w:val="both"/>
        <w:rPr>
          <w:sz w:val="24"/>
        </w:rPr>
      </w:pPr>
      <w:r>
        <w:rPr>
          <w:sz w:val="24"/>
        </w:rPr>
        <w:t>Analizar los eventos adversos que se presentaron en el año 2012 relacionados a terapia de infusión intravenosa en pacientes obstétricas en un hospital de tercer nivel de</w:t>
      </w:r>
      <w:r>
        <w:rPr>
          <w:spacing w:val="-4"/>
          <w:sz w:val="24"/>
        </w:rPr>
        <w:t> </w:t>
      </w:r>
      <w:r>
        <w:rPr>
          <w:sz w:val="24"/>
        </w:rPr>
        <w:t>Toluca.</w:t>
      </w:r>
    </w:p>
    <w:p>
      <w:pPr>
        <w:pStyle w:val="BodyText"/>
      </w:pPr>
    </w:p>
    <w:p>
      <w:pPr>
        <w:pStyle w:val="BodyText"/>
      </w:pPr>
    </w:p>
    <w:p>
      <w:pPr>
        <w:pStyle w:val="BodyText"/>
      </w:pPr>
    </w:p>
    <w:p>
      <w:pPr>
        <w:pStyle w:val="BodyText"/>
      </w:pPr>
    </w:p>
    <w:p>
      <w:pPr>
        <w:pStyle w:val="Heading6"/>
        <w:spacing w:before="142"/>
        <w:ind w:right="284"/>
        <w:jc w:val="left"/>
      </w:pPr>
      <w:r>
        <w:rPr/>
        <w:t>ESPECÍFICOS:</w:t>
      </w:r>
    </w:p>
    <w:p>
      <w:pPr>
        <w:pStyle w:val="BodyText"/>
        <w:rPr>
          <w:b/>
        </w:rPr>
      </w:pPr>
    </w:p>
    <w:p>
      <w:pPr>
        <w:pStyle w:val="BodyText"/>
        <w:rPr>
          <w:b/>
        </w:rPr>
      </w:pPr>
    </w:p>
    <w:p>
      <w:pPr>
        <w:pStyle w:val="BodyText"/>
        <w:spacing w:before="10"/>
        <w:rPr>
          <w:b/>
          <w:sz w:val="20"/>
        </w:rPr>
      </w:pPr>
    </w:p>
    <w:p>
      <w:pPr>
        <w:pStyle w:val="ListParagraph"/>
        <w:numPr>
          <w:ilvl w:val="0"/>
          <w:numId w:val="1"/>
        </w:numPr>
        <w:tabs>
          <w:tab w:pos="623" w:val="left" w:leader="none"/>
        </w:tabs>
        <w:spacing w:line="360" w:lineRule="auto" w:before="0" w:after="0"/>
        <w:ind w:left="622" w:right="236" w:hanging="357"/>
        <w:jc w:val="both"/>
        <w:rPr>
          <w:sz w:val="24"/>
        </w:rPr>
      </w:pPr>
      <w:r>
        <w:rPr>
          <w:sz w:val="24"/>
        </w:rPr>
        <w:t>Determinar el porcentaje de eventos adversos que se presentaron durante la atención de enfermería en un hospital de tercer nivel en la ciudad de</w:t>
      </w:r>
      <w:r>
        <w:rPr>
          <w:spacing w:val="-22"/>
          <w:sz w:val="24"/>
        </w:rPr>
        <w:t> </w:t>
      </w:r>
      <w:r>
        <w:rPr>
          <w:sz w:val="24"/>
        </w:rPr>
        <w:t>Toluca.</w:t>
      </w:r>
    </w:p>
    <w:p>
      <w:pPr>
        <w:pStyle w:val="BodyText"/>
        <w:spacing w:before="3"/>
        <w:rPr>
          <w:sz w:val="21"/>
        </w:rPr>
      </w:pPr>
    </w:p>
    <w:p>
      <w:pPr>
        <w:pStyle w:val="ListParagraph"/>
        <w:numPr>
          <w:ilvl w:val="0"/>
          <w:numId w:val="1"/>
        </w:numPr>
        <w:tabs>
          <w:tab w:pos="626" w:val="left" w:leader="none"/>
        </w:tabs>
        <w:spacing w:line="360" w:lineRule="auto" w:before="0" w:after="0"/>
        <w:ind w:left="625" w:right="240" w:hanging="360"/>
        <w:jc w:val="both"/>
        <w:rPr>
          <w:sz w:val="24"/>
        </w:rPr>
      </w:pPr>
      <w:r>
        <w:rPr>
          <w:sz w:val="24"/>
        </w:rPr>
        <w:t>Clasificar los tipos de eventos adversos relacionados a terapia de infusión en un hospital de tercer nivel de Toluca en</w:t>
      </w:r>
      <w:r>
        <w:rPr>
          <w:spacing w:val="-11"/>
          <w:sz w:val="24"/>
        </w:rPr>
        <w:t> </w:t>
      </w:r>
      <w:r>
        <w:rPr>
          <w:sz w:val="24"/>
        </w:rPr>
        <w:t>2012.</w:t>
      </w:r>
    </w:p>
    <w:p>
      <w:pPr>
        <w:pStyle w:val="BodyText"/>
        <w:spacing w:before="3"/>
        <w:rPr>
          <w:sz w:val="21"/>
        </w:rPr>
      </w:pPr>
    </w:p>
    <w:p>
      <w:pPr>
        <w:pStyle w:val="ListParagraph"/>
        <w:numPr>
          <w:ilvl w:val="0"/>
          <w:numId w:val="1"/>
        </w:numPr>
        <w:tabs>
          <w:tab w:pos="626" w:val="left" w:leader="none"/>
        </w:tabs>
        <w:spacing w:line="240" w:lineRule="auto" w:before="0" w:after="0"/>
        <w:ind w:left="625" w:right="0" w:hanging="360"/>
        <w:jc w:val="left"/>
        <w:rPr>
          <w:sz w:val="24"/>
        </w:rPr>
      </w:pPr>
      <w:r>
        <w:rPr>
          <w:sz w:val="24"/>
        </w:rPr>
        <w:t>Señalar el turno en que ocurrieron dichos eventos</w:t>
      </w:r>
      <w:r>
        <w:rPr>
          <w:spacing w:val="-16"/>
          <w:sz w:val="24"/>
        </w:rPr>
        <w:t> </w:t>
      </w:r>
      <w:r>
        <w:rPr>
          <w:sz w:val="24"/>
        </w:rPr>
        <w:t>adversos.</w:t>
      </w:r>
    </w:p>
    <w:p>
      <w:pPr>
        <w:pStyle w:val="BodyText"/>
        <w:spacing w:before="8"/>
        <w:rPr>
          <w:sz w:val="32"/>
        </w:rPr>
      </w:pPr>
    </w:p>
    <w:p>
      <w:pPr>
        <w:pStyle w:val="ListParagraph"/>
        <w:numPr>
          <w:ilvl w:val="0"/>
          <w:numId w:val="1"/>
        </w:numPr>
        <w:tabs>
          <w:tab w:pos="623" w:val="left" w:leader="none"/>
        </w:tabs>
        <w:spacing w:line="360" w:lineRule="auto" w:before="1" w:after="0"/>
        <w:ind w:left="622" w:right="243" w:hanging="357"/>
        <w:jc w:val="both"/>
        <w:rPr>
          <w:sz w:val="24"/>
        </w:rPr>
      </w:pPr>
      <w:r>
        <w:rPr>
          <w:sz w:val="24"/>
        </w:rPr>
        <w:t>Señalar las medidas de prevención para disminuir la incidencia de eventos adversos.</w:t>
      </w:r>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504" from="97.823997pt,56.16pt" to="542.643997pt,56.16pt" stroked="true" strokeweight=".48pt" strokecolor="#000000">
            <w10:wrap type="none"/>
          </v:line>
        </w:pict>
      </w:r>
    </w:p>
    <w:p>
      <w:pPr>
        <w:pStyle w:val="BodyText"/>
        <w:rPr>
          <w:sz w:val="20"/>
        </w:rPr>
      </w:pPr>
    </w:p>
    <w:p>
      <w:pPr>
        <w:pStyle w:val="Heading6"/>
        <w:spacing w:before="204"/>
        <w:ind w:left="4156" w:right="284"/>
        <w:jc w:val="left"/>
      </w:pPr>
      <w:r>
        <w:rPr/>
        <w:t>MÉTODO</w:t>
      </w:r>
    </w:p>
    <w:p>
      <w:pPr>
        <w:pStyle w:val="BodyText"/>
        <w:rPr>
          <w:b/>
        </w:rPr>
      </w:pPr>
    </w:p>
    <w:p>
      <w:pPr>
        <w:pStyle w:val="BodyText"/>
        <w:rPr>
          <w:b/>
        </w:rPr>
      </w:pPr>
    </w:p>
    <w:p>
      <w:pPr>
        <w:pStyle w:val="BodyText"/>
        <w:rPr>
          <w:b/>
        </w:rPr>
      </w:pPr>
    </w:p>
    <w:p>
      <w:pPr>
        <w:spacing w:before="139"/>
        <w:ind w:left="265" w:right="0" w:firstLine="0"/>
        <w:jc w:val="both"/>
        <w:rPr>
          <w:b/>
          <w:sz w:val="24"/>
        </w:rPr>
      </w:pPr>
      <w:r>
        <w:rPr>
          <w:b/>
          <w:sz w:val="24"/>
        </w:rPr>
        <w:t>DESCRIPTIVO</w:t>
      </w:r>
    </w:p>
    <w:p>
      <w:pPr>
        <w:pStyle w:val="BodyText"/>
        <w:spacing w:line="360" w:lineRule="auto" w:before="137"/>
        <w:ind w:left="265" w:right="232"/>
        <w:jc w:val="both"/>
      </w:pPr>
      <w:r>
        <w:rPr/>
        <w:t>Es una investigación de tipo descriptivo, dado que se recabó información sobre eventos adversos relacionados a terapia de infusión intravenosa, en la paciente obstétrica en un hospital de tercer nivel de Toluca, con la finalidad de disminuir los mismos y que ello permita el análisis y la gestión.</w:t>
      </w:r>
    </w:p>
    <w:p>
      <w:pPr>
        <w:pStyle w:val="BodyText"/>
      </w:pPr>
    </w:p>
    <w:p>
      <w:pPr>
        <w:pStyle w:val="Heading6"/>
        <w:spacing w:before="142"/>
      </w:pPr>
      <w:r>
        <w:rPr/>
        <w:t>RETROSPECTIVO</w:t>
      </w:r>
    </w:p>
    <w:p>
      <w:pPr>
        <w:pStyle w:val="BodyText"/>
        <w:spacing w:line="360" w:lineRule="auto" w:before="139"/>
        <w:ind w:left="265" w:right="236"/>
        <w:jc w:val="both"/>
      </w:pPr>
      <w:r>
        <w:rPr/>
        <w:t>Porque se obtuvieron datos de la bitácora de eventos adversos de enfermería sobre las pacientes que estuvieron hospitalizadas en el año 2012.</w:t>
      </w:r>
    </w:p>
    <w:p>
      <w:pPr>
        <w:pStyle w:val="BodyText"/>
      </w:pPr>
    </w:p>
    <w:p>
      <w:pPr>
        <w:pStyle w:val="Heading6"/>
        <w:spacing w:before="142"/>
      </w:pPr>
      <w:r>
        <w:rPr/>
        <w:t>CUANTITATIVO</w:t>
      </w:r>
    </w:p>
    <w:p>
      <w:pPr>
        <w:pStyle w:val="BodyText"/>
        <w:spacing w:line="357" w:lineRule="auto" w:before="139"/>
        <w:ind w:left="265" w:right="237"/>
        <w:jc w:val="both"/>
        <w:rPr>
          <w:sz w:val="16"/>
        </w:rPr>
      </w:pPr>
      <w:r>
        <w:rPr/>
        <w:t>Se realizó la presente investigación con enfoque cuantitativo, ya que las variables del estudio se midieron, representaron y procesaron con el uso del programa estadístico SPSS versión 20 y Microsoft Excel 2012, los resultados figuran en cuadros, resaltando la conclusión obtenida.</w:t>
      </w:r>
      <w:r>
        <w:rPr>
          <w:position w:val="8"/>
          <w:sz w:val="16"/>
        </w:rPr>
        <w:t>7</w:t>
      </w:r>
    </w:p>
    <w:p>
      <w:pPr>
        <w:pStyle w:val="BodyText"/>
        <w:spacing w:before="2"/>
        <w:rPr>
          <w:sz w:val="36"/>
        </w:rPr>
      </w:pPr>
    </w:p>
    <w:p>
      <w:pPr>
        <w:pStyle w:val="Heading6"/>
        <w:spacing w:before="1"/>
      </w:pPr>
      <w:r>
        <w:rPr/>
        <w:t>UNIVERSO Y MUESTRA</w:t>
      </w:r>
    </w:p>
    <w:p>
      <w:pPr>
        <w:pStyle w:val="BodyText"/>
        <w:rPr>
          <w:b/>
        </w:rPr>
      </w:pPr>
    </w:p>
    <w:p>
      <w:pPr>
        <w:pStyle w:val="BodyText"/>
        <w:rPr>
          <w:b/>
        </w:rPr>
      </w:pPr>
    </w:p>
    <w:p>
      <w:pPr>
        <w:pStyle w:val="BodyText"/>
        <w:spacing w:line="360" w:lineRule="auto"/>
        <w:ind w:left="265" w:right="232"/>
        <w:jc w:val="both"/>
      </w:pPr>
      <w:r>
        <w:rPr/>
        <w:t>El universo corresponde a la bitácora de registros de eventos adversos de pacientes que se encontraron internadas en un hospital de tercer nivel y que presentaron algún tipo de evento adverso durante su estancia hospitalaria, relacionada a la terapia de infusión intravenosa en el año 2012.</w:t>
      </w:r>
    </w:p>
    <w:p>
      <w:pPr>
        <w:pStyle w:val="BodyText"/>
      </w:pPr>
    </w:p>
    <w:p>
      <w:pPr>
        <w:pStyle w:val="BodyText"/>
        <w:spacing w:line="360" w:lineRule="auto" w:before="142"/>
        <w:ind w:left="265" w:right="242"/>
        <w:jc w:val="both"/>
      </w:pPr>
      <w:r>
        <w:rPr/>
        <w:t>La muestra es no probabilística por conveniencia, en la que participan las pacientes  obstétricas  que  presentaron  algún  evento  adverso  relacionado  a  la</w:t>
      </w:r>
    </w:p>
    <w:p>
      <w:pPr>
        <w:pStyle w:val="BodyText"/>
        <w:spacing w:before="5"/>
        <w:rPr>
          <w:sz w:val="28"/>
        </w:rPr>
      </w:pPr>
      <w:r>
        <w:rPr/>
        <w:pict>
          <v:line style="position:absolute;mso-position-horizontal-relative:page;mso-position-vertical-relative:paragraph;z-index:1480;mso-wrap-distance-left:0;mso-wrap-distance-right:0" from="99.264pt,18.709925pt" to="243.284pt,18.709925pt" stroked="true" strokeweight=".71997pt" strokecolor="#000000">
            <w10:wrap type="topAndBottom"/>
          </v:line>
        </w:pict>
      </w:r>
    </w:p>
    <w:p>
      <w:pPr>
        <w:spacing w:before="66"/>
        <w:ind w:left="265" w:right="284" w:firstLine="0"/>
        <w:jc w:val="left"/>
        <w:rPr>
          <w:sz w:val="16"/>
        </w:rPr>
      </w:pPr>
      <w:r>
        <w:rPr>
          <w:position w:val="6"/>
          <w:sz w:val="10"/>
        </w:rPr>
        <w:t>7 </w:t>
      </w:r>
      <w:r>
        <w:rPr>
          <w:sz w:val="16"/>
        </w:rPr>
        <w:t>Metodología de la Investigación, Roberto Hernández Sampieri, Carlos Fernández Collado, Pilar Baptista Lucio, Segunda Edición,  103 Pp.  Editorial McGraw-Hill, año 2000, México D.F.</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528" from="97.823997pt,56.16pt" to="542.643997pt,56.16pt" stroked="true" strokeweight=".48pt" strokecolor="#000000">
            <w10:wrap type="none"/>
          </v:line>
        </w:pict>
      </w:r>
    </w:p>
    <w:p>
      <w:pPr>
        <w:pStyle w:val="BodyText"/>
        <w:rPr>
          <w:sz w:val="20"/>
        </w:rPr>
      </w:pPr>
    </w:p>
    <w:p>
      <w:pPr>
        <w:pStyle w:val="BodyText"/>
        <w:spacing w:line="360" w:lineRule="auto" w:before="204"/>
        <w:ind w:left="265" w:right="284"/>
      </w:pPr>
      <w:r>
        <w:rPr/>
        <w:t>terapia de infusión intravenosa. Para ello se señalan los criterios de inclusión y exclusión.</w:t>
      </w:r>
    </w:p>
    <w:p>
      <w:pPr>
        <w:pStyle w:val="BodyText"/>
      </w:pPr>
    </w:p>
    <w:p>
      <w:pPr>
        <w:spacing w:before="142"/>
        <w:ind w:left="265" w:right="0" w:firstLine="0"/>
        <w:jc w:val="both"/>
        <w:rPr>
          <w:b/>
          <w:sz w:val="19"/>
        </w:rPr>
      </w:pPr>
      <w:r>
        <w:rPr>
          <w:b/>
          <w:sz w:val="24"/>
        </w:rPr>
        <w:t>C</w:t>
      </w:r>
      <w:r>
        <w:rPr>
          <w:b/>
          <w:sz w:val="19"/>
        </w:rPr>
        <w:t>RITERIOS DE INCLUSIÓN</w:t>
      </w:r>
    </w:p>
    <w:p>
      <w:pPr>
        <w:pStyle w:val="BodyText"/>
        <w:spacing w:before="9"/>
        <w:rPr>
          <w:b/>
          <w:sz w:val="32"/>
        </w:rPr>
      </w:pPr>
    </w:p>
    <w:p>
      <w:pPr>
        <w:pStyle w:val="ListParagraph"/>
        <w:numPr>
          <w:ilvl w:val="1"/>
          <w:numId w:val="1"/>
        </w:numPr>
        <w:tabs>
          <w:tab w:pos="986" w:val="left" w:leader="none"/>
        </w:tabs>
        <w:spacing w:line="355" w:lineRule="auto" w:before="0" w:after="0"/>
        <w:ind w:left="985" w:right="236" w:hanging="360"/>
        <w:jc w:val="both"/>
        <w:rPr>
          <w:sz w:val="24"/>
        </w:rPr>
      </w:pPr>
      <w:r>
        <w:rPr>
          <w:sz w:val="24"/>
        </w:rPr>
        <w:t>Bitácora de registro de eventos adversos de pacientes obstétricas que hayan estado hospitalizadas y que presentaron algún evento adverso relacionado a la terapia de infusión intravenosa en el año</w:t>
      </w:r>
      <w:r>
        <w:rPr>
          <w:spacing w:val="-20"/>
          <w:sz w:val="24"/>
        </w:rPr>
        <w:t> </w:t>
      </w:r>
      <w:r>
        <w:rPr>
          <w:sz w:val="24"/>
        </w:rPr>
        <w:t>2012.</w:t>
      </w:r>
    </w:p>
    <w:p>
      <w:pPr>
        <w:pStyle w:val="ListParagraph"/>
        <w:numPr>
          <w:ilvl w:val="1"/>
          <w:numId w:val="1"/>
        </w:numPr>
        <w:tabs>
          <w:tab w:pos="1053" w:val="left" w:leader="none"/>
        </w:tabs>
        <w:spacing w:line="350" w:lineRule="auto" w:before="9" w:after="0"/>
        <w:ind w:left="985" w:right="233" w:hanging="360"/>
        <w:jc w:val="both"/>
        <w:rPr>
          <w:sz w:val="24"/>
        </w:rPr>
      </w:pPr>
      <w:r>
        <w:rPr>
          <w:sz w:val="24"/>
        </w:rPr>
        <w:t>Bitácora de eventos adversos con registro de pacientes ginecobstetricias sin rango de edad que las excluya, al igual que el tiempo de</w:t>
      </w:r>
      <w:r>
        <w:rPr>
          <w:spacing w:val="-19"/>
          <w:sz w:val="24"/>
        </w:rPr>
        <w:t> </w:t>
      </w:r>
      <w:r>
        <w:rPr>
          <w:sz w:val="24"/>
        </w:rPr>
        <w:t>estancia.</w:t>
      </w:r>
    </w:p>
    <w:p>
      <w:pPr>
        <w:pStyle w:val="BodyText"/>
      </w:pPr>
    </w:p>
    <w:p>
      <w:pPr>
        <w:spacing w:before="152"/>
        <w:ind w:left="265" w:right="0" w:firstLine="0"/>
        <w:jc w:val="both"/>
        <w:rPr>
          <w:b/>
          <w:sz w:val="19"/>
        </w:rPr>
      </w:pPr>
      <w:r>
        <w:rPr>
          <w:b/>
          <w:sz w:val="24"/>
        </w:rPr>
        <w:t>C</w:t>
      </w:r>
      <w:r>
        <w:rPr>
          <w:b/>
          <w:sz w:val="19"/>
        </w:rPr>
        <w:t>RITERIOS DE EXCLUSIÓN</w:t>
      </w:r>
    </w:p>
    <w:p>
      <w:pPr>
        <w:pStyle w:val="BodyText"/>
        <w:rPr>
          <w:b/>
          <w:sz w:val="33"/>
        </w:rPr>
      </w:pPr>
    </w:p>
    <w:p>
      <w:pPr>
        <w:pStyle w:val="ListParagraph"/>
        <w:numPr>
          <w:ilvl w:val="1"/>
          <w:numId w:val="1"/>
        </w:numPr>
        <w:tabs>
          <w:tab w:pos="977" w:val="left" w:leader="none"/>
          <w:tab w:pos="978" w:val="left" w:leader="none"/>
        </w:tabs>
        <w:spacing w:line="240" w:lineRule="auto" w:before="0" w:after="0"/>
        <w:ind w:left="978" w:right="0" w:hanging="356"/>
        <w:jc w:val="left"/>
        <w:rPr>
          <w:sz w:val="24"/>
        </w:rPr>
      </w:pPr>
      <w:r>
        <w:rPr>
          <w:sz w:val="24"/>
        </w:rPr>
        <w:t>Eventos adversos que no se hayan notificado por extravió de la</w:t>
      </w:r>
      <w:r>
        <w:rPr>
          <w:spacing w:val="-22"/>
          <w:sz w:val="24"/>
        </w:rPr>
        <w:t> </w:t>
      </w:r>
      <w:r>
        <w:rPr>
          <w:sz w:val="24"/>
        </w:rPr>
        <w:t>bitácora.</w:t>
      </w:r>
    </w:p>
    <w:p>
      <w:pPr>
        <w:pStyle w:val="BodyText"/>
        <w:spacing w:before="7"/>
        <w:rPr>
          <w:sz w:val="32"/>
        </w:rPr>
      </w:pPr>
    </w:p>
    <w:p>
      <w:pPr>
        <w:pStyle w:val="ListParagraph"/>
        <w:numPr>
          <w:ilvl w:val="1"/>
          <w:numId w:val="1"/>
        </w:numPr>
        <w:tabs>
          <w:tab w:pos="978" w:val="left" w:leader="none"/>
        </w:tabs>
        <w:spacing w:line="350" w:lineRule="auto" w:before="0" w:after="0"/>
        <w:ind w:left="978" w:right="236" w:hanging="356"/>
        <w:jc w:val="both"/>
        <w:rPr>
          <w:sz w:val="24"/>
        </w:rPr>
      </w:pPr>
      <w:r>
        <w:rPr>
          <w:sz w:val="24"/>
        </w:rPr>
        <w:t>Eventos adversos que no tengan relación con la terapia de infusión intravenosa.</w:t>
      </w:r>
    </w:p>
    <w:p>
      <w:pPr>
        <w:pStyle w:val="BodyText"/>
        <w:spacing w:before="3"/>
        <w:rPr>
          <w:sz w:val="22"/>
        </w:rPr>
      </w:pPr>
    </w:p>
    <w:p>
      <w:pPr>
        <w:pStyle w:val="ListParagraph"/>
        <w:numPr>
          <w:ilvl w:val="1"/>
          <w:numId w:val="1"/>
        </w:numPr>
        <w:tabs>
          <w:tab w:pos="978" w:val="left" w:leader="none"/>
        </w:tabs>
        <w:spacing w:line="350" w:lineRule="auto" w:before="1" w:after="0"/>
        <w:ind w:left="978" w:right="242" w:hanging="356"/>
        <w:jc w:val="both"/>
        <w:rPr>
          <w:sz w:val="24"/>
        </w:rPr>
      </w:pPr>
      <w:r>
        <w:rPr>
          <w:sz w:val="24"/>
        </w:rPr>
        <w:t>Eventos adversos que tengan incorrecto llenado y/o incompleto en la bitácora.</w:t>
      </w:r>
    </w:p>
    <w:p>
      <w:pPr>
        <w:pStyle w:val="BodyText"/>
      </w:pPr>
    </w:p>
    <w:p>
      <w:pPr>
        <w:pStyle w:val="Heading6"/>
        <w:spacing w:before="152"/>
      </w:pPr>
      <w:r>
        <w:rPr/>
        <w:t>PROCEDIMIENTO</w:t>
      </w:r>
    </w:p>
    <w:p>
      <w:pPr>
        <w:pStyle w:val="BodyText"/>
        <w:rPr>
          <w:b/>
        </w:rPr>
      </w:pPr>
    </w:p>
    <w:p>
      <w:pPr>
        <w:pStyle w:val="BodyText"/>
        <w:rPr>
          <w:b/>
        </w:rPr>
      </w:pPr>
    </w:p>
    <w:p>
      <w:pPr>
        <w:spacing w:before="0"/>
        <w:ind w:left="265" w:right="0" w:firstLine="0"/>
        <w:jc w:val="both"/>
        <w:rPr>
          <w:b/>
          <w:sz w:val="24"/>
        </w:rPr>
      </w:pPr>
      <w:r>
        <w:rPr>
          <w:b/>
          <w:sz w:val="24"/>
        </w:rPr>
        <w:t>Fase I</w:t>
      </w:r>
    </w:p>
    <w:p>
      <w:pPr>
        <w:pStyle w:val="BodyText"/>
        <w:spacing w:line="360" w:lineRule="auto" w:before="137"/>
        <w:ind w:left="265" w:right="234"/>
        <w:jc w:val="both"/>
      </w:pPr>
      <w:r>
        <w:rPr>
          <w:b/>
        </w:rPr>
        <w:t>T</w:t>
      </w:r>
      <w:r>
        <w:rPr>
          <w:b/>
          <w:sz w:val="19"/>
        </w:rPr>
        <w:t>EÓRICA</w:t>
      </w:r>
      <w:r>
        <w:rPr>
          <w:b/>
        </w:rPr>
        <w:t>: </w:t>
      </w:r>
      <w:r>
        <w:rPr/>
        <w:t>Se realizó revisión bibliográfica tanto en fuentes impresas como electrónicas de libros, tesis, artículos y revistas de la Biblioteca de la Facultad de Enfermería y Obstetricia, Facultad de Medicina de la Universidad Autónoma del Estado de México y Biblioteca Central de la Universidad Nacional Autónoma de México, con la finalidad de recopilar información relevante y actualizada referente  a eventos adversos en el área de la salud y calidad en</w:t>
      </w:r>
      <w:r>
        <w:rPr>
          <w:spacing w:val="-22"/>
        </w:rPr>
        <w:t> </w:t>
      </w:r>
      <w:r>
        <w:rPr/>
        <w:t>enfermería.</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552" from="97.823997pt,56.16pt" to="542.643997pt,56.16pt" stroked="true" strokeweight=".48pt" strokecolor="#000000">
            <w10:wrap type="none"/>
          </v:line>
        </w:pict>
      </w:r>
    </w:p>
    <w:p>
      <w:pPr>
        <w:pStyle w:val="BodyText"/>
        <w:rPr>
          <w:sz w:val="20"/>
        </w:rPr>
      </w:pPr>
    </w:p>
    <w:p>
      <w:pPr>
        <w:pStyle w:val="Heading6"/>
        <w:spacing w:before="204"/>
      </w:pPr>
      <w:r>
        <w:rPr/>
        <w:t>Fase II</w:t>
      </w:r>
    </w:p>
    <w:p>
      <w:pPr>
        <w:pStyle w:val="BodyText"/>
        <w:spacing w:line="360" w:lineRule="auto" w:before="139"/>
        <w:ind w:left="265" w:right="232"/>
        <w:jc w:val="both"/>
      </w:pPr>
      <w:r>
        <w:rPr>
          <w:b/>
        </w:rPr>
        <w:t>E</w:t>
      </w:r>
      <w:r>
        <w:rPr>
          <w:b/>
          <w:sz w:val="19"/>
        </w:rPr>
        <w:t>MPÍRICA O DE CAMPO</w:t>
      </w:r>
      <w:r>
        <w:rPr>
          <w:b/>
        </w:rPr>
        <w:t>: </w:t>
      </w:r>
      <w:r>
        <w:rPr/>
        <w:t>Se elaboró un instrumento, tomando en cuenta los objetivos planteados en el trabajo para la obtención específica de datos, mediante la bitácora de eventos adversos de enfermería de las pacientes obstétricas que ingresaron a un hospital de tercer nivel de</w:t>
      </w:r>
      <w:r>
        <w:rPr>
          <w:spacing w:val="-10"/>
        </w:rPr>
        <w:t> </w:t>
      </w:r>
      <w:r>
        <w:rPr/>
        <w:t>Toluca.</w:t>
      </w:r>
    </w:p>
    <w:p>
      <w:pPr>
        <w:pStyle w:val="BodyText"/>
      </w:pPr>
    </w:p>
    <w:p>
      <w:pPr>
        <w:pStyle w:val="BodyText"/>
        <w:spacing w:line="360" w:lineRule="auto" w:before="142"/>
        <w:ind w:left="265" w:right="233"/>
        <w:jc w:val="both"/>
      </w:pPr>
      <w:r>
        <w:rPr/>
        <w:t>El instrumento de análisis para la obtención de datos obtenidos de la bitácora de eventos adversos de enfermería fue una cédula de captación de datos, donde los aspectos a valorar fueron los siguientes:</w:t>
      </w:r>
    </w:p>
    <w:p>
      <w:pPr>
        <w:pStyle w:val="BodyText"/>
        <w:spacing w:before="1"/>
        <w:rPr>
          <w:sz w:val="21"/>
        </w:rPr>
      </w:pPr>
    </w:p>
    <w:p>
      <w:pPr>
        <w:pStyle w:val="BodyText"/>
        <w:ind w:left="265"/>
        <w:jc w:val="both"/>
      </w:pPr>
      <w:r>
        <w:rPr/>
        <w:t>1.- Análisis de eventos adversos.</w:t>
      </w:r>
    </w:p>
    <w:p>
      <w:pPr>
        <w:pStyle w:val="BodyText"/>
        <w:spacing w:line="360" w:lineRule="auto" w:before="139"/>
        <w:ind w:left="265" w:right="242"/>
        <w:jc w:val="both"/>
      </w:pPr>
      <w:r>
        <w:rPr/>
        <w:t>2.- Determinar el porcentaje de los eventos adversos relacionados a terapia de infusión en el año 2012.</w:t>
      </w:r>
    </w:p>
    <w:p>
      <w:pPr>
        <w:pStyle w:val="BodyText"/>
        <w:spacing w:line="360" w:lineRule="auto" w:before="5"/>
        <w:ind w:left="265" w:right="242"/>
        <w:jc w:val="both"/>
      </w:pPr>
      <w:r>
        <w:rPr/>
        <w:t>3.- Clasificar los tipos de eventos adversos relacionados a terapia de infusión intravenosa.</w:t>
      </w:r>
    </w:p>
    <w:p>
      <w:pPr>
        <w:pStyle w:val="BodyText"/>
        <w:spacing w:before="5"/>
        <w:ind w:left="265"/>
        <w:jc w:val="both"/>
      </w:pPr>
      <w:r>
        <w:rPr/>
        <w:t>4.- Señalar el turno en que ocurrieron dichos eventos adversos.</w:t>
      </w:r>
    </w:p>
    <w:p>
      <w:pPr>
        <w:pStyle w:val="BodyText"/>
        <w:spacing w:line="360" w:lineRule="auto" w:before="137"/>
        <w:ind w:left="265" w:right="231"/>
        <w:jc w:val="both"/>
      </w:pPr>
      <w:r>
        <w:rPr/>
        <w:t>5.- Señalar las medidas de prevención para disminuir la incidencia de eventos adversos.</w:t>
      </w:r>
    </w:p>
    <w:p>
      <w:pPr>
        <w:pStyle w:val="BodyText"/>
      </w:pPr>
    </w:p>
    <w:p>
      <w:pPr>
        <w:pStyle w:val="Heading6"/>
        <w:spacing w:before="142"/>
      </w:pPr>
      <w:r>
        <w:rPr/>
        <w:t>Fase III</w:t>
      </w:r>
    </w:p>
    <w:p>
      <w:pPr>
        <w:pStyle w:val="BodyText"/>
        <w:spacing w:line="360" w:lineRule="auto" w:before="137"/>
        <w:ind w:left="265" w:right="232"/>
        <w:jc w:val="both"/>
      </w:pPr>
      <w:r>
        <w:rPr>
          <w:b/>
        </w:rPr>
        <w:t>A</w:t>
      </w:r>
      <w:r>
        <w:rPr>
          <w:b/>
          <w:sz w:val="19"/>
        </w:rPr>
        <w:t>NALÍTICA</w:t>
      </w:r>
      <w:r>
        <w:rPr>
          <w:b/>
        </w:rPr>
        <w:t>: </w:t>
      </w:r>
      <w:r>
        <w:rPr/>
        <w:t>Para el análisis correspondiente se elaboró una base de datos en el programa Excel versión 2012, obteniendo las prevalencias y porcentajes de los eventos adversos relacionados con terapia de infusión intravenosos. Para la presentación de los resultados obtenidos se diseñaron cuadros resaltando los datos más representativos.</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576" from="97.823997pt,56.16pt" to="542.643997pt,56.16pt" stroked="true" strokeweight=".48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tabs>
          <w:tab w:pos="4623" w:val="left" w:leader="none"/>
        </w:tabs>
        <w:spacing w:line="360" w:lineRule="auto" w:before="160"/>
        <w:ind w:left="2183" w:right="2154" w:firstLine="499"/>
      </w:pPr>
      <w:bookmarkStart w:name="_TOC_250015" w:id="4"/>
      <w:r>
        <w:rPr/>
        <w:t>E S T A D O D E L</w:t>
        <w:tab/>
        <w:t>A R T</w:t>
      </w:r>
      <w:r>
        <w:rPr>
          <w:spacing w:val="-1"/>
        </w:rPr>
        <w:t> </w:t>
      </w:r>
      <w:bookmarkEnd w:id="4"/>
      <w:r>
        <w:rPr/>
        <w:t>E</w:t>
      </w:r>
    </w:p>
    <w:p>
      <w:pPr>
        <w:spacing w:after="0" w:line="360" w:lineRule="auto"/>
        <w:sectPr>
          <w:pgSz w:w="12240" w:h="15840"/>
          <w:pgMar w:header="739" w:footer="928" w:top="1300" w:bottom="1120" w:left="1720" w:right="1180"/>
        </w:sectPr>
      </w:pPr>
    </w:p>
    <w:p>
      <w:pPr>
        <w:pStyle w:val="BodyText"/>
        <w:rPr>
          <w:b/>
          <w:sz w:val="20"/>
        </w:rPr>
      </w:pPr>
      <w:r>
        <w:rPr/>
        <w:pict>
          <v:line style="position:absolute;mso-position-horizontal-relative:page;mso-position-vertical-relative:page;z-index:1600" from="97.823997pt,56.16pt" to="542.643997pt,56.16pt" stroked="true" strokeweight=".48pt" strokecolor="#000000">
            <w10:wrap type="none"/>
          </v:line>
        </w:pict>
      </w:r>
    </w:p>
    <w:p>
      <w:pPr>
        <w:pStyle w:val="BodyText"/>
        <w:rPr>
          <w:b/>
          <w:sz w:val="20"/>
        </w:rPr>
      </w:pPr>
    </w:p>
    <w:p>
      <w:pPr>
        <w:pStyle w:val="Heading4"/>
        <w:spacing w:before="202"/>
        <w:ind w:right="430" w:firstLine="0"/>
      </w:pPr>
      <w:bookmarkStart w:name="_TOC_250014" w:id="5"/>
      <w:bookmarkEnd w:id="5"/>
      <w:r>
        <w:rPr/>
        <w:t>EVENTO ADVERSO</w:t>
      </w:r>
    </w:p>
    <w:p>
      <w:pPr>
        <w:pStyle w:val="BodyText"/>
        <w:rPr>
          <w:b/>
          <w:sz w:val="28"/>
        </w:rPr>
      </w:pPr>
    </w:p>
    <w:p>
      <w:pPr>
        <w:pStyle w:val="BodyText"/>
        <w:spacing w:before="2"/>
        <w:rPr>
          <w:b/>
          <w:sz w:val="22"/>
        </w:rPr>
      </w:pPr>
    </w:p>
    <w:p>
      <w:pPr>
        <w:pStyle w:val="BodyText"/>
        <w:spacing w:line="360" w:lineRule="auto"/>
        <w:ind w:left="265" w:right="232"/>
        <w:jc w:val="both"/>
      </w:pPr>
      <w:r>
        <w:rPr/>
        <w:t>Aquí, cobra importancia reconocer que para explicar el tema de eventos adversos, son dos los criterios utilizados: el humano y el del sistema. El primero de ellos, originado por los actos inseguros y la violación de los procedimientos que el personal del equipo de salud comete debido a cansancio, estrés, falta de motivación, de atención, sobrecarga y/o insatisfacción laboral y negligencia. Estos aspectos, que afectan la seguridad de los pacientes, tienen una connotación importante a la hora de velar por el cuidado que se brinda. El ser cuidado observa este comportamiento como una deshumanización del equipo de salud frente a la situación que vive.</w:t>
      </w:r>
    </w:p>
    <w:p>
      <w:pPr>
        <w:pStyle w:val="BodyText"/>
      </w:pPr>
    </w:p>
    <w:p>
      <w:pPr>
        <w:pStyle w:val="BodyText"/>
        <w:spacing w:line="360" w:lineRule="auto" w:before="142"/>
        <w:ind w:left="265" w:right="234"/>
        <w:jc w:val="both"/>
      </w:pPr>
      <w:r>
        <w:rPr/>
        <w:t>El segundo criterio, el del sistema, explica la susceptibilidad que tiene el ser humano de cometer errores, a pesar de estar en la organización de más alta calidad, y, por tanto, lo importante es generar mecanismos de defensa para prevenir errores. Al presentarse el error, lo fundamental es centrarse en la búsqueda de la explicación del cómo y por qué fallaron esos mecanismos de defensa y no en buscar culpables.</w:t>
      </w:r>
    </w:p>
    <w:p>
      <w:pPr>
        <w:pStyle w:val="BodyText"/>
      </w:pPr>
    </w:p>
    <w:p>
      <w:pPr>
        <w:pStyle w:val="BodyText"/>
        <w:spacing w:line="360" w:lineRule="auto" w:before="142"/>
        <w:ind w:left="265" w:right="231"/>
        <w:jc w:val="both"/>
      </w:pPr>
      <w:r>
        <w:rPr/>
        <w:t>Para comprender mejor los conceptos que describen un evento adverso, es importante reconocer que éstos ocurren con mucha frecuencia, que son derivados no sólo de fallas humanas, sino de los sistemas, y el primer elemento que constituye un evento adverso es el </w:t>
      </w:r>
      <w:r>
        <w:rPr>
          <w:b/>
        </w:rPr>
        <w:t>daño al paciente</w:t>
      </w:r>
      <w:r>
        <w:rPr/>
        <w:t>, ya que no hay evento adverso sin daño, y si éste es evidente como en el caso de la muerte de una persona o de una incapacidad permanente mayor (daño cerebral, pérdida de un órgano o de una función corporal), o también el daño no permanente, es decir un daño o lesión temporal, o la ausencia de secuelas. Este reconocimiento y entendimiento es sumamente importante para la prevención y corrección de los</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648" from="97.823997pt,56.16pt" to="542.643997pt,56.16pt" stroked="true" strokeweight=".48pt" strokecolor="#000000">
            <w10:wrap type="none"/>
          </v:line>
        </w:pict>
      </w:r>
    </w:p>
    <w:p>
      <w:pPr>
        <w:pStyle w:val="BodyText"/>
        <w:rPr>
          <w:sz w:val="20"/>
        </w:rPr>
      </w:pPr>
    </w:p>
    <w:p>
      <w:pPr>
        <w:pStyle w:val="BodyText"/>
        <w:spacing w:line="357" w:lineRule="auto" w:before="204"/>
        <w:ind w:left="265" w:right="236"/>
        <w:jc w:val="both"/>
        <w:rPr>
          <w:sz w:val="16"/>
        </w:rPr>
      </w:pPr>
      <w:r>
        <w:rPr/>
        <w:t>mismos, ya que estos eventos son multifactoriales y la mayoría de ellos son previsibles.</w:t>
      </w:r>
      <w:r>
        <w:rPr>
          <w:position w:val="8"/>
          <w:sz w:val="16"/>
        </w:rPr>
        <w:t>8</w:t>
      </w:r>
    </w:p>
    <w:p>
      <w:pPr>
        <w:pStyle w:val="BodyText"/>
        <w:spacing w:before="2"/>
        <w:rPr>
          <w:sz w:val="36"/>
        </w:rPr>
      </w:pPr>
    </w:p>
    <w:p>
      <w:pPr>
        <w:pStyle w:val="BodyText"/>
        <w:spacing w:line="360" w:lineRule="auto" w:before="1"/>
        <w:ind w:left="265" w:right="231"/>
        <w:jc w:val="both"/>
      </w:pPr>
      <w:r>
        <w:rPr/>
        <w:t>Un Evento Adverso se define como un daño o lesión causados durante el tratamiento de una enfermedad en pacientes hospitalizados, el cual es inducido  por los profesionales de la salud y que no obedece a la propia enfermedad o estadios subyacentes. Un error en el cuidado puede convertirse en un evento adverso serio, donde se amenaza la vida del usuario y que requiere de hospitalización prolongada como resultado de una complicación, incapacidad o invalidez persistente e inclusive contempla una posible defunción como consecuencia del suceso. Si bien los errores humanos pueden en ocasiones dar origen a fallas graves, existen generalmente factores sistémicos más profundos, que de haberse tratado oportunamente, se hubieran evitado. Ya que la mayoría de las veces lo que determina y provoca los eventos adversos son los  factores propios de la organización como: la rutina del servicio, su cultura, el planteamiento de la gestión de la calidad y de la prevención de riesgos, así como la capacidad de sus miembros de aprender de los</w:t>
      </w:r>
      <w:r>
        <w:rPr>
          <w:spacing w:val="-15"/>
        </w:rPr>
        <w:t> </w:t>
      </w:r>
      <w:r>
        <w:rPr/>
        <w:t>errores.</w:t>
      </w:r>
    </w:p>
    <w:p>
      <w:pPr>
        <w:pStyle w:val="BodyText"/>
      </w:pPr>
    </w:p>
    <w:p>
      <w:pPr>
        <w:pStyle w:val="BodyText"/>
        <w:spacing w:line="360" w:lineRule="auto" w:before="139"/>
        <w:ind w:left="265" w:right="234"/>
        <w:jc w:val="both"/>
      </w:pPr>
      <w:r>
        <w:rPr/>
        <w:t>O también, </w:t>
      </w:r>
      <w:r>
        <w:rPr>
          <w:i/>
        </w:rPr>
        <w:t>evento adverso </w:t>
      </w:r>
      <w:r>
        <w:rPr/>
        <w:t>es aquel incidente que pudo disminuir o disminuyó el margen de seguridad para el paciente. Su causa se define como un error humano a causa de disfunción de equipamiento, infraestructura o errores en el manejo durante el cuidado, lo cual puede provocar en los pacientes morbilidad y mortalidad.</w:t>
      </w:r>
    </w:p>
    <w:p>
      <w:pPr>
        <w:pStyle w:val="BodyText"/>
      </w:pPr>
    </w:p>
    <w:p>
      <w:pPr>
        <w:pStyle w:val="BodyText"/>
        <w:spacing w:line="360" w:lineRule="auto" w:before="142"/>
        <w:ind w:left="265" w:right="236"/>
        <w:jc w:val="both"/>
      </w:pPr>
      <w:r>
        <w:rPr/>
        <w:t>En la Séptima Reunión Anual del Foro Europeo de las Asociaciones de Enfermería y la Organización Mundial de la Salud, se enfatizaron puntos importantes en relación a la seguridad de los pacientes, en estos puntos se reconoció que la seguridad  del  paciente  conlleva  a  un  análisis  y  comprensión  de  los  Eventos</w:t>
      </w:r>
    </w:p>
    <w:p>
      <w:pPr>
        <w:pStyle w:val="BodyText"/>
        <w:spacing w:before="5"/>
        <w:rPr>
          <w:sz w:val="12"/>
        </w:rPr>
      </w:pPr>
      <w:r>
        <w:rPr/>
        <w:pict>
          <v:line style="position:absolute;mso-position-horizontal-relative:page;mso-position-vertical-relative:paragraph;z-index:1624;mso-wrap-distance-left:0;mso-wrap-distance-right:0" from="99.264pt,9.473895pt" to="243.284pt,9.473895pt" stroked="true" strokeweight=".72003pt" strokecolor="#000000">
            <w10:wrap type="topAndBottom"/>
          </v:line>
        </w:pict>
      </w:r>
    </w:p>
    <w:p>
      <w:pPr>
        <w:spacing w:before="66"/>
        <w:ind w:left="265" w:right="284" w:firstLine="0"/>
        <w:jc w:val="left"/>
        <w:rPr>
          <w:sz w:val="16"/>
        </w:rPr>
      </w:pPr>
      <w:r>
        <w:rPr>
          <w:position w:val="6"/>
          <w:sz w:val="10"/>
        </w:rPr>
        <w:t>8 </w:t>
      </w:r>
      <w:r>
        <w:rPr>
          <w:sz w:val="16"/>
        </w:rPr>
        <w:t>Seguridad del paciente: conceptos y análisis de eventos adversos, Sergio Luengas Amaya, MD. Asesor </w:t>
      </w:r>
      <w:r>
        <w:rPr>
          <w:i/>
          <w:sz w:val="16"/>
        </w:rPr>
        <w:t>senior</w:t>
      </w:r>
      <w:r>
        <w:rPr>
          <w:sz w:val="16"/>
        </w:rPr>
        <w:t>, Centro de Gestión Hospitalaria, vía salud. 6 Pp. | número 48 | Julio de 2009 [consultado 10 de febrero de 2013] disponible en: </w:t>
      </w:r>
      <w:hyperlink r:id="rId19">
        <w:r>
          <w:rPr>
            <w:sz w:val="16"/>
          </w:rPr>
          <w:t>http://www.cgh.org.co/imagenes/calidad1.pdf</w:t>
        </w:r>
      </w:hyperlink>
    </w:p>
    <w:p>
      <w:pPr>
        <w:spacing w:after="0"/>
        <w:jc w:val="left"/>
        <w:rPr>
          <w:sz w:val="16"/>
        </w:rPr>
        <w:sectPr>
          <w:footerReference w:type="default" r:id="rId18"/>
          <w:pgSz w:w="12240" w:h="15840"/>
          <w:pgMar w:footer="928" w:header="739" w:top="1300" w:bottom="1120" w:left="1720" w:right="1180"/>
        </w:sectPr>
      </w:pPr>
    </w:p>
    <w:p>
      <w:pPr>
        <w:pStyle w:val="BodyText"/>
        <w:rPr>
          <w:sz w:val="20"/>
        </w:rPr>
      </w:pPr>
      <w:r>
        <w:rPr/>
        <w:pict>
          <v:line style="position:absolute;mso-position-horizontal-relative:page;mso-position-vertical-relative:page;z-index:1696"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rPr>
          <w:sz w:val="16"/>
        </w:rPr>
      </w:pPr>
      <w:r>
        <w:rPr/>
        <w:t>Adversos y una estimación real del problema. Esto implica generar una cultura donde las enfermeras puedan informar sobre problemas y errores, con el fin de que en sus centros interinstitucionales puedan adoptar políticas y procedimientos con el propósito de reducir la incidencia de riesgos y sus consecuencias, sin ninguna intensión de evidenciar o ser punitivos en quién lo hizo, sino más bien por qué ocurrió y qué factores lo</w:t>
      </w:r>
      <w:r>
        <w:rPr>
          <w:spacing w:val="-15"/>
        </w:rPr>
        <w:t> </w:t>
      </w:r>
      <w:r>
        <w:rPr/>
        <w:t>condicionaron.</w:t>
      </w:r>
      <w:r>
        <w:rPr>
          <w:position w:val="8"/>
          <w:sz w:val="16"/>
        </w:rPr>
        <w:t>9</w:t>
      </w:r>
    </w:p>
    <w:p>
      <w:pPr>
        <w:pStyle w:val="BodyText"/>
        <w:spacing w:before="9"/>
        <w:rPr>
          <w:sz w:val="35"/>
        </w:rPr>
      </w:pPr>
    </w:p>
    <w:p>
      <w:pPr>
        <w:pStyle w:val="BodyText"/>
        <w:spacing w:line="360" w:lineRule="auto" w:before="1"/>
        <w:ind w:left="265" w:right="242"/>
        <w:jc w:val="both"/>
      </w:pPr>
      <w:r>
        <w:rPr>
          <w:b/>
        </w:rPr>
        <w:t>Evento adverso: </w:t>
      </w:r>
      <w:r>
        <w:rPr/>
        <w:t>Es la lesión o daño no intencional que se le produce a un paciente mientras se le atiende. Los eventos adversos pueden ser prevenibles y no</w:t>
      </w:r>
      <w:r>
        <w:rPr>
          <w:spacing w:val="-6"/>
        </w:rPr>
        <w:t> </w:t>
      </w:r>
      <w:r>
        <w:rPr/>
        <w:t>prevenibles.</w:t>
      </w:r>
    </w:p>
    <w:p>
      <w:pPr>
        <w:pStyle w:val="BodyText"/>
      </w:pPr>
    </w:p>
    <w:p>
      <w:pPr>
        <w:pStyle w:val="BodyText"/>
        <w:spacing w:line="360" w:lineRule="auto" w:before="142"/>
        <w:ind w:left="265" w:right="236"/>
        <w:jc w:val="both"/>
      </w:pPr>
      <w:r>
        <w:rPr>
          <w:b/>
        </w:rPr>
        <w:t>Evento adverso prevenible: </w:t>
      </w:r>
      <w:r>
        <w:rPr/>
        <w:t>Aquella lesión o daño que se habría evitado mediante el cumplimiento de los estándares del cuidado asistencial, disponibles en un momento determinado.</w:t>
      </w:r>
    </w:p>
    <w:p>
      <w:pPr>
        <w:pStyle w:val="BodyText"/>
      </w:pPr>
    </w:p>
    <w:p>
      <w:pPr>
        <w:spacing w:line="360" w:lineRule="auto" w:before="142"/>
        <w:ind w:left="265" w:right="240" w:firstLine="0"/>
        <w:jc w:val="both"/>
        <w:rPr>
          <w:sz w:val="24"/>
        </w:rPr>
      </w:pPr>
      <w:r>
        <w:rPr>
          <w:b/>
          <w:sz w:val="24"/>
        </w:rPr>
        <w:t>Evento adverso no prevenible: </w:t>
      </w:r>
      <w:r>
        <w:rPr>
          <w:sz w:val="24"/>
        </w:rPr>
        <w:t>Aquella lesión o daño que se presenta a pesar del cumplimiento de los estándares del cuidado</w:t>
      </w:r>
      <w:r>
        <w:rPr>
          <w:spacing w:val="-14"/>
          <w:sz w:val="24"/>
        </w:rPr>
        <w:t> </w:t>
      </w:r>
      <w:r>
        <w:rPr>
          <w:sz w:val="24"/>
        </w:rPr>
        <w:t>asistencial.</w:t>
      </w:r>
    </w:p>
    <w:p>
      <w:pPr>
        <w:pStyle w:val="BodyText"/>
      </w:pPr>
    </w:p>
    <w:p>
      <w:pPr>
        <w:pStyle w:val="BodyText"/>
        <w:spacing w:line="360" w:lineRule="auto" w:before="142"/>
        <w:ind w:left="265" w:right="237"/>
        <w:jc w:val="both"/>
      </w:pPr>
      <w:r>
        <w:rPr>
          <w:b/>
        </w:rPr>
        <w:t>Evento centinela: </w:t>
      </w:r>
      <w:r>
        <w:rPr/>
        <w:t>Es un tipo de evento adverso en donde está presente una muerte o un daño físico o psicológico </w:t>
      </w:r>
      <w:r>
        <w:rPr>
          <w:sz w:val="19"/>
        </w:rPr>
        <w:t>SEVERO </w:t>
      </w:r>
      <w:r>
        <w:rPr/>
        <w:t>de carácter permanente, que no estaba presente anteriormente y que requiere tratamiento o un cambio  permanente de estilo de</w:t>
      </w:r>
      <w:r>
        <w:rPr>
          <w:spacing w:val="-10"/>
        </w:rPr>
        <w:t> </w:t>
      </w:r>
      <w:r>
        <w:rPr/>
        <w:t>vida.</w:t>
      </w:r>
    </w:p>
    <w:p>
      <w:pPr>
        <w:pStyle w:val="BodyText"/>
        <w:spacing w:before="3"/>
        <w:rPr>
          <w:sz w:val="30"/>
        </w:rPr>
      </w:pPr>
    </w:p>
    <w:p>
      <w:pPr>
        <w:pStyle w:val="BodyText"/>
        <w:spacing w:line="360" w:lineRule="auto"/>
        <w:ind w:left="265" w:right="237"/>
        <w:jc w:val="both"/>
      </w:pPr>
      <w:r>
        <w:rPr>
          <w:b/>
        </w:rPr>
        <w:t>Cuasi falla </w:t>
      </w:r>
      <w:r>
        <w:rPr/>
        <w:t>(también mencionada como casi falla): Se utiliza para nombrar aquel evento o situación que pudo haber resultado en un evento adverso, pero que no lo hizo debido al azar, la suerte o por una intervención oportuna. La importancia de identificar y analizar las cuasi fallas, es que permiten identificar dónde están las</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672;mso-wrap-distance-left:0;mso-wrap-distance-right:0" from="99.264pt,10.595843pt" to="243.284pt,10.595843pt" stroked="true" strokeweight=".72003pt" strokecolor="#000000">
            <w10:wrap type="topAndBottom"/>
          </v:line>
        </w:pict>
      </w:r>
    </w:p>
    <w:p>
      <w:pPr>
        <w:spacing w:before="66"/>
        <w:ind w:left="265" w:right="803" w:firstLine="0"/>
        <w:jc w:val="left"/>
        <w:rPr>
          <w:sz w:val="16"/>
        </w:rPr>
      </w:pPr>
      <w:r>
        <w:rPr>
          <w:position w:val="6"/>
          <w:sz w:val="10"/>
        </w:rPr>
        <w:t>9 </w:t>
      </w:r>
      <w:r>
        <w:rPr>
          <w:sz w:val="16"/>
        </w:rPr>
        <w:t>Hernández A. Mendoza E. (2006) Eventos adversos en el cuidado de enfermería. Revista mexicana de enfermería. Instituto Nacional de Cardiología Ignacio Chávez. 71 Pp. [consultado el 5 de noviembre de 2012] disponible en: http/</w:t>
      </w:r>
      <w:hyperlink r:id="rId21">
        <w:r>
          <w:rPr>
            <w:sz w:val="16"/>
          </w:rPr>
          <w:t>www.mediagraphic.com/pdfs/enfe/en-2006/en062g.pdf</w:t>
        </w:r>
      </w:hyperlink>
    </w:p>
    <w:p>
      <w:pPr>
        <w:spacing w:after="0"/>
        <w:jc w:val="left"/>
        <w:rPr>
          <w:sz w:val="16"/>
        </w:rPr>
        <w:sectPr>
          <w:footerReference w:type="default" r:id="rId20"/>
          <w:pgSz w:w="12240" w:h="15840"/>
          <w:pgMar w:footer="928" w:header="739" w:top="1300" w:bottom="1120" w:left="1720" w:right="1180"/>
          <w:pgNumType w:start="21"/>
        </w:sectPr>
      </w:pPr>
    </w:p>
    <w:p>
      <w:pPr>
        <w:pStyle w:val="BodyText"/>
        <w:rPr>
          <w:sz w:val="20"/>
        </w:rPr>
      </w:pPr>
      <w:r>
        <w:rPr/>
        <w:pict>
          <v:line style="position:absolute;mso-position-horizontal-relative:page;mso-position-vertical-relative:page;z-index:1744" from="97.823997pt,56.16pt" to="542.643997pt,56.16pt" stroked="true" strokeweight=".48pt" strokecolor="#000000">
            <w10:wrap type="none"/>
          </v:line>
        </w:pict>
      </w:r>
    </w:p>
    <w:p>
      <w:pPr>
        <w:pStyle w:val="BodyText"/>
        <w:rPr>
          <w:sz w:val="20"/>
        </w:rPr>
      </w:pPr>
    </w:p>
    <w:p>
      <w:pPr>
        <w:pStyle w:val="BodyText"/>
        <w:spacing w:line="360" w:lineRule="auto" w:before="204"/>
        <w:ind w:left="265" w:right="243"/>
        <w:jc w:val="both"/>
      </w:pPr>
      <w:r>
        <w:rPr/>
        <w:t>fallas en el sistema de atención (el error) y también sus fortalezas (la intercepción qué evitó el evento adverso).</w:t>
      </w:r>
    </w:p>
    <w:p>
      <w:pPr>
        <w:pStyle w:val="BodyText"/>
      </w:pPr>
    </w:p>
    <w:p>
      <w:pPr>
        <w:pStyle w:val="BodyText"/>
        <w:spacing w:line="360" w:lineRule="auto" w:before="142"/>
        <w:ind w:left="265" w:right="234"/>
        <w:jc w:val="both"/>
      </w:pPr>
      <w:r>
        <w:rPr>
          <w:b/>
        </w:rPr>
        <w:t>Falla activa: </w:t>
      </w:r>
      <w:r>
        <w:rPr/>
        <w:t>Errores resultantes de las decisiones y/o acciones de las personas que participan en el proceso.</w:t>
      </w:r>
    </w:p>
    <w:p>
      <w:pPr>
        <w:pStyle w:val="BodyText"/>
      </w:pPr>
    </w:p>
    <w:p>
      <w:pPr>
        <w:pStyle w:val="BodyText"/>
        <w:spacing w:line="360" w:lineRule="auto" w:before="142"/>
        <w:ind w:left="265" w:right="244"/>
        <w:jc w:val="both"/>
      </w:pPr>
      <w:r>
        <w:rPr>
          <w:b/>
        </w:rPr>
        <w:t>Incidente: </w:t>
      </w:r>
      <w:r>
        <w:rPr/>
        <w:t>Es un evento que sucede en la atención clínica de un paciente y que  no le genera daño, pero que en su ocurrencia se incorporan fallas en los procesos de</w:t>
      </w:r>
      <w:r>
        <w:rPr>
          <w:spacing w:val="-3"/>
        </w:rPr>
        <w:t> </w:t>
      </w:r>
      <w:r>
        <w:rPr/>
        <w:t>atención.</w:t>
      </w:r>
    </w:p>
    <w:p>
      <w:pPr>
        <w:pStyle w:val="BodyText"/>
        <w:spacing w:before="10"/>
        <w:rPr>
          <w:sz w:val="35"/>
        </w:rPr>
      </w:pPr>
    </w:p>
    <w:p>
      <w:pPr>
        <w:pStyle w:val="BodyText"/>
        <w:ind w:left="265"/>
        <w:jc w:val="both"/>
        <w:rPr>
          <w:sz w:val="16"/>
        </w:rPr>
      </w:pPr>
      <w:r>
        <w:rPr>
          <w:b/>
        </w:rPr>
        <w:t>Riesgo: </w:t>
      </w:r>
      <w:r>
        <w:rPr/>
        <w:t>Es la probabilidad que un incidente o evento adverso ocurra.</w:t>
      </w:r>
      <w:r>
        <w:rPr>
          <w:position w:val="8"/>
          <w:sz w:val="16"/>
        </w:rPr>
        <w:t>10</w:t>
      </w:r>
    </w:p>
    <w:p>
      <w:pPr>
        <w:pStyle w:val="BodyText"/>
        <w:rPr>
          <w:sz w:val="26"/>
        </w:rPr>
      </w:pPr>
    </w:p>
    <w:p>
      <w:pPr>
        <w:pStyle w:val="BodyText"/>
        <w:rPr>
          <w:sz w:val="22"/>
        </w:rPr>
      </w:pPr>
    </w:p>
    <w:p>
      <w:pPr>
        <w:pStyle w:val="BodyText"/>
        <w:spacing w:line="360" w:lineRule="auto"/>
        <w:ind w:left="265" w:right="234"/>
        <w:jc w:val="both"/>
      </w:pPr>
      <w:r>
        <w:rPr>
          <w:b/>
        </w:rPr>
        <w:t>Seguridad del paciente: </w:t>
      </w:r>
      <w:r>
        <w:rPr/>
        <w:t>Ausencia de accidentes, lesiones o complicaciones evitables, producidos como consecuencia de la atención a la salud recibida, es consecuencia de la interacción y el equilibrio permanente de múltiples actuaciones del sistema sanitario y de sus profesionales.</w:t>
      </w:r>
    </w:p>
    <w:p>
      <w:pPr>
        <w:pStyle w:val="BodyText"/>
      </w:pPr>
    </w:p>
    <w:p>
      <w:pPr>
        <w:pStyle w:val="BodyText"/>
      </w:pPr>
    </w:p>
    <w:p>
      <w:pPr>
        <w:pStyle w:val="BodyText"/>
        <w:spacing w:before="5"/>
      </w:pPr>
    </w:p>
    <w:p>
      <w:pPr>
        <w:pStyle w:val="Heading6"/>
      </w:pPr>
      <w:bookmarkStart w:name="_TOC_250013" w:id="6"/>
      <w:bookmarkEnd w:id="6"/>
      <w:r>
        <w:rPr/>
        <w:t>CAUSAS DE LA APARICIÓN DE EVENTOS ADVERSOS</w:t>
      </w:r>
    </w:p>
    <w:p>
      <w:pPr>
        <w:pStyle w:val="BodyText"/>
        <w:rPr>
          <w:b/>
        </w:rPr>
      </w:pPr>
    </w:p>
    <w:p>
      <w:pPr>
        <w:pStyle w:val="BodyText"/>
        <w:rPr>
          <w:b/>
        </w:rPr>
      </w:pPr>
    </w:p>
    <w:p>
      <w:pPr>
        <w:pStyle w:val="BodyText"/>
        <w:spacing w:line="360" w:lineRule="auto"/>
        <w:ind w:left="265" w:right="234"/>
        <w:jc w:val="both"/>
      </w:pPr>
      <w:r>
        <w:rPr/>
        <w:t>Los eventos adversos, al igual que afectan la condición de salud de los enfermos, implican repercusiones financieras debido a la alta proporción de los costos de salud de las instituciones, por el incremento de las estancias intrahospitalarias. Como consecuencia de lo anterior, es válido pensar en la seguridad de los pacientes, entendida como la “reducción y mitigación de actos inseguros dentro  del sistema de salud”. Tal seguridad es un principio fundamental en el cuidado del individuo y un elemento crítico en los procesos de gestión de calidad. Las proporciones</w:t>
      </w:r>
      <w:r>
        <w:rPr>
          <w:spacing w:val="28"/>
        </w:rPr>
        <w:t> </w:t>
      </w:r>
      <w:r>
        <w:rPr/>
        <w:t>alcanzadas</w:t>
      </w:r>
      <w:r>
        <w:rPr>
          <w:spacing w:val="28"/>
        </w:rPr>
        <w:t> </w:t>
      </w:r>
      <w:r>
        <w:rPr/>
        <w:t>de</w:t>
      </w:r>
      <w:r>
        <w:rPr>
          <w:spacing w:val="29"/>
        </w:rPr>
        <w:t> </w:t>
      </w:r>
      <w:r>
        <w:rPr/>
        <w:t>actos</w:t>
      </w:r>
      <w:r>
        <w:rPr>
          <w:spacing w:val="28"/>
        </w:rPr>
        <w:t> </w:t>
      </w:r>
      <w:r>
        <w:rPr/>
        <w:t>inseguros</w:t>
      </w:r>
      <w:r>
        <w:rPr>
          <w:spacing w:val="26"/>
        </w:rPr>
        <w:t> </w:t>
      </w:r>
      <w:r>
        <w:rPr/>
        <w:t>han</w:t>
      </w:r>
      <w:r>
        <w:rPr>
          <w:spacing w:val="29"/>
        </w:rPr>
        <w:t> </w:t>
      </w:r>
      <w:r>
        <w:rPr/>
        <w:t>exhortado</w:t>
      </w:r>
      <w:r>
        <w:rPr>
          <w:spacing w:val="29"/>
        </w:rPr>
        <w:t> </w:t>
      </w:r>
      <w:r>
        <w:rPr/>
        <w:t>al</w:t>
      </w:r>
      <w:r>
        <w:rPr>
          <w:spacing w:val="28"/>
        </w:rPr>
        <w:t> </w:t>
      </w:r>
      <w:r>
        <w:rPr/>
        <w:t>poder</w:t>
      </w:r>
      <w:r>
        <w:rPr>
          <w:spacing w:val="27"/>
        </w:rPr>
        <w:t> </w:t>
      </w:r>
      <w:r>
        <w:rPr/>
        <w:t>decisorio</w:t>
      </w:r>
      <w:r>
        <w:rPr>
          <w:spacing w:val="29"/>
        </w:rPr>
        <w:t> </w:t>
      </w:r>
      <w:r>
        <w:rPr/>
        <w:t>a</w:t>
      </w:r>
    </w:p>
    <w:p>
      <w:pPr>
        <w:pStyle w:val="BodyText"/>
        <w:spacing w:before="5"/>
        <w:rPr>
          <w:sz w:val="28"/>
        </w:rPr>
      </w:pPr>
      <w:r>
        <w:rPr/>
        <w:pict>
          <v:line style="position:absolute;mso-position-horizontal-relative:page;mso-position-vertical-relative:paragraph;z-index:1720;mso-wrap-distance-left:0;mso-wrap-distance-right:0" from="99.264pt,18.709925pt" to="243.284pt,18.709925pt" stroked="true" strokeweight=".71997pt" strokecolor="#000000">
            <w10:wrap type="topAndBottom"/>
          </v:line>
        </w:pict>
      </w:r>
    </w:p>
    <w:p>
      <w:pPr>
        <w:spacing w:before="66"/>
        <w:ind w:left="265" w:right="284" w:firstLine="0"/>
        <w:jc w:val="left"/>
        <w:rPr>
          <w:sz w:val="16"/>
        </w:rPr>
      </w:pPr>
      <w:r>
        <w:rPr>
          <w:position w:val="6"/>
          <w:sz w:val="10"/>
        </w:rPr>
        <w:t>10 </w:t>
      </w:r>
      <w:r>
        <w:rPr>
          <w:sz w:val="16"/>
        </w:rPr>
        <w:t>Luengas A. Seguridad del paciente: Concepto y análisis de eventos adversos. Centro de gestión hospitalaria, vía salud. número 48. 2009. 10 Pp.</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768" from="97.823997pt,56.16pt" to="542.643997pt,56.16pt" stroked="true" strokeweight=".48pt" strokecolor="#000000">
            <w10:wrap type="none"/>
          </v:line>
        </w:pict>
      </w:r>
    </w:p>
    <w:p>
      <w:pPr>
        <w:pStyle w:val="BodyText"/>
        <w:rPr>
          <w:sz w:val="20"/>
        </w:rPr>
      </w:pPr>
    </w:p>
    <w:p>
      <w:pPr>
        <w:pStyle w:val="BodyText"/>
        <w:spacing w:line="360" w:lineRule="auto" w:before="204"/>
        <w:ind w:left="265" w:right="236"/>
        <w:jc w:val="both"/>
      </w:pPr>
      <w:r>
        <w:rPr/>
        <w:t>establecer políticas en relación con la prevención, medición y evaluación de los errores en la práctica de salud. Las enfermeras(os) estamos directamente implicadas(os) en la provisión de un ambiente seguro, en el cual las personas puedan desenvolverse sin sufrir daños y en el que perciban una sensación de seguridad. No debemos olvidar que el paciente hospitalizado experimenta una dualidad en tanto que el hospital se convierte en el control de la situación de salud que le aqueja, pero la separación familiar y el cumplimiento de normas que rigen a las instituciones de salud le representan sentimientos de inseguridad.</w:t>
      </w:r>
    </w:p>
    <w:p>
      <w:pPr>
        <w:pStyle w:val="BodyText"/>
      </w:pPr>
    </w:p>
    <w:p>
      <w:pPr>
        <w:pStyle w:val="BodyText"/>
      </w:pPr>
    </w:p>
    <w:p>
      <w:pPr>
        <w:pStyle w:val="BodyText"/>
        <w:spacing w:before="5"/>
      </w:pPr>
    </w:p>
    <w:p>
      <w:pPr>
        <w:pStyle w:val="Heading6"/>
      </w:pPr>
      <w:bookmarkStart w:name="_TOC_250012" w:id="7"/>
      <w:bookmarkEnd w:id="7"/>
      <w:r>
        <w:rPr/>
        <w:t>CLASIFICACIÓN DE EVENTOS ADVERSOS</w:t>
      </w:r>
    </w:p>
    <w:p>
      <w:pPr>
        <w:pStyle w:val="BodyText"/>
        <w:rPr>
          <w:b/>
        </w:rPr>
      </w:pPr>
    </w:p>
    <w:p>
      <w:pPr>
        <w:pStyle w:val="BodyText"/>
        <w:spacing w:before="6"/>
        <w:rPr>
          <w:b/>
          <w:sz w:val="22"/>
        </w:rPr>
      </w:pPr>
    </w:p>
    <w:p>
      <w:pPr>
        <w:spacing w:before="0"/>
        <w:ind w:left="265" w:right="0" w:firstLine="0"/>
        <w:jc w:val="both"/>
        <w:rPr>
          <w:sz w:val="23"/>
        </w:rPr>
      </w:pPr>
      <w:r>
        <w:rPr>
          <w:sz w:val="23"/>
        </w:rPr>
        <w:t>Al respecto, Gómez y Espinosa dicen:</w:t>
      </w:r>
    </w:p>
    <w:p>
      <w:pPr>
        <w:pStyle w:val="BodyText"/>
        <w:rPr>
          <w:sz w:val="22"/>
        </w:rPr>
      </w:pPr>
    </w:p>
    <w:p>
      <w:pPr>
        <w:pStyle w:val="BodyText"/>
        <w:spacing w:before="10"/>
        <w:rPr>
          <w:sz w:val="23"/>
        </w:rPr>
      </w:pPr>
    </w:p>
    <w:p>
      <w:pPr>
        <w:pStyle w:val="BodyText"/>
        <w:spacing w:line="360" w:lineRule="auto"/>
        <w:ind w:left="265" w:right="241"/>
        <w:jc w:val="both"/>
      </w:pPr>
      <w:r>
        <w:rPr/>
        <w:t>Existen múltiples formas de clasificar el evento adverso, una de las más útiles respecto a la definición de la responsabilidad ética, penal, civil y administrativa, es aquella que lo divide en evento adverso prevenible y no prevenible.</w:t>
      </w:r>
    </w:p>
    <w:p>
      <w:pPr>
        <w:pStyle w:val="BodyText"/>
      </w:pPr>
    </w:p>
    <w:p>
      <w:pPr>
        <w:pStyle w:val="BodyText"/>
        <w:spacing w:line="360" w:lineRule="auto" w:before="142"/>
        <w:ind w:left="265" w:right="244"/>
        <w:jc w:val="both"/>
      </w:pPr>
      <w:r>
        <w:rPr/>
        <w:t>El evento adverso no prevenible es la complicación que no puede ser prevenida, dado el estado actual del conocimiento.</w:t>
      </w:r>
    </w:p>
    <w:p>
      <w:pPr>
        <w:pStyle w:val="BodyText"/>
      </w:pPr>
    </w:p>
    <w:p>
      <w:pPr>
        <w:pStyle w:val="BodyText"/>
        <w:spacing w:line="360" w:lineRule="auto" w:before="142"/>
        <w:ind w:left="265" w:right="238"/>
        <w:jc w:val="both"/>
      </w:pPr>
      <w:r>
        <w:rPr/>
        <w:t>El evento adverso prevenible es el mal resultado de la atención que puede ser prevenido con el estado del conocimiento. Se emplean otras denominaciones, como accidente (evento que implica daño a un sistema definido e interrumpe el proceso o los resultados futuros del sistema), complicación (evento adverso relacionado con el procedimiento de carácter inevitable), errores latentes (errores en el diseño, la organización, el entrenamiento y mantenimiento que llevan al operador a problemas cuyos efectos permanecen dormidos en el sistema por largos periodos de tiempo) e incidente (situación que podría haber generado un</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816" from="97.823997pt,56.16pt" to="542.643997pt,56.16pt" stroked="true" strokeweight=".48pt" strokecolor="#000000">
            <w10:wrap type="none"/>
          </v:line>
        </w:pict>
      </w:r>
    </w:p>
    <w:p>
      <w:pPr>
        <w:pStyle w:val="BodyText"/>
        <w:rPr>
          <w:sz w:val="20"/>
        </w:rPr>
      </w:pPr>
    </w:p>
    <w:p>
      <w:pPr>
        <w:pStyle w:val="BodyText"/>
        <w:spacing w:line="360" w:lineRule="auto" w:before="204"/>
        <w:ind w:left="265" w:right="233"/>
        <w:jc w:val="both"/>
      </w:pPr>
      <w:r>
        <w:rPr/>
        <w:t>mal resultado que no se produjo por azar o por una intervención oportuna). Toda acción humana sobrelleva un margen de error.</w:t>
      </w:r>
    </w:p>
    <w:p>
      <w:pPr>
        <w:pStyle w:val="BodyText"/>
        <w:spacing w:before="7"/>
        <w:rPr>
          <w:sz w:val="34"/>
        </w:rPr>
      </w:pPr>
    </w:p>
    <w:p>
      <w:pPr>
        <w:pStyle w:val="BodyText"/>
        <w:spacing w:line="360" w:lineRule="auto"/>
        <w:ind w:left="265" w:right="232"/>
        <w:jc w:val="both"/>
        <w:rPr>
          <w:sz w:val="16"/>
        </w:rPr>
      </w:pPr>
      <w:r>
        <w:rPr/>
        <w:t>Las situaciones, condiciones y circunstancias que propician la aparición de un evento adverso, entendido éste como todo aquel “acto no intencional que da por resultado la disminución del margen de seguridad para el paciente producto del cuidado diario”.</w:t>
      </w:r>
      <w:r>
        <w:rPr>
          <w:position w:val="8"/>
          <w:sz w:val="16"/>
        </w:rPr>
        <w:t>11</w:t>
      </w:r>
    </w:p>
    <w:p>
      <w:pPr>
        <w:pStyle w:val="BodyText"/>
        <w:rPr>
          <w:sz w:val="26"/>
        </w:rPr>
      </w:pPr>
    </w:p>
    <w:p>
      <w:pPr>
        <w:pStyle w:val="BodyText"/>
        <w:rPr>
          <w:sz w:val="26"/>
        </w:rPr>
      </w:pPr>
    </w:p>
    <w:p>
      <w:pPr>
        <w:pStyle w:val="Heading6"/>
        <w:spacing w:line="360" w:lineRule="auto" w:before="213"/>
        <w:ind w:left="462" w:right="430"/>
        <w:jc w:val="center"/>
        <w:rPr>
          <w:b w:val="0"/>
        </w:rPr>
      </w:pPr>
      <w:r>
        <w:rPr/>
        <w:t>TERAPIA DE INFUSIÓN INTRAVENOSA Norma Oficial Mexicana NOM-022- SSA3-2012, Que instituye las condiciones para la administración de la terapia de infusión en los Estados Unidos Mexicanos</w:t>
      </w:r>
      <w:r>
        <w:rPr>
          <w:b w:val="0"/>
        </w:rPr>
        <w:t>.</w:t>
      </w:r>
    </w:p>
    <w:p>
      <w:pPr>
        <w:pStyle w:val="BodyText"/>
      </w:pPr>
    </w:p>
    <w:p>
      <w:pPr>
        <w:pStyle w:val="BodyText"/>
        <w:spacing w:line="360" w:lineRule="auto" w:before="142"/>
        <w:ind w:left="265" w:right="241"/>
        <w:jc w:val="both"/>
      </w:pPr>
      <w:r>
        <w:rPr/>
        <w:t>La terapia de infusión intravenosa es un procedimiento con propósitos  profilácticos, diagnósticos o terapéuticos que consiste en la inserción de un catéter en la luz de una vena, a través del cual se infunden al cuerpo humano líquidos, medicamentos, sangre o sus</w:t>
      </w:r>
      <w:r>
        <w:rPr>
          <w:spacing w:val="-10"/>
        </w:rPr>
        <w:t> </w:t>
      </w:r>
      <w:r>
        <w:rPr/>
        <w:t>componentes.</w:t>
      </w:r>
    </w:p>
    <w:p>
      <w:pPr>
        <w:pStyle w:val="BodyText"/>
      </w:pPr>
    </w:p>
    <w:p>
      <w:pPr>
        <w:pStyle w:val="BodyText"/>
        <w:spacing w:line="360" w:lineRule="auto" w:before="142"/>
        <w:ind w:left="265" w:right="232"/>
        <w:jc w:val="both"/>
      </w:pPr>
      <w:r>
        <w:rPr/>
        <w:t>Representa un importante apoyo durante el proceso asistencial de los pacientes, independientemente de la complejidad del problema de salud. Diferentes publicaciones y otros documentos, revelan que en México entre el 80 y el 95% de los pacientes hospitalizados reciben tratamiento por vía intravenosa y que en los Estados Unidos de Norteamérica se colocan anualmente más de 5 millones de catéteres venosos centrales y más de 200 millones de catéteres venosos periféricos.</w:t>
      </w:r>
    </w:p>
    <w:p>
      <w:pPr>
        <w:pStyle w:val="BodyText"/>
      </w:pPr>
    </w:p>
    <w:p>
      <w:pPr>
        <w:pStyle w:val="BodyText"/>
        <w:spacing w:line="360" w:lineRule="auto" w:before="142"/>
        <w:ind w:left="265" w:right="241"/>
        <w:jc w:val="both"/>
      </w:pPr>
      <w:r>
        <w:rPr/>
        <w:t>Históricamente la terapia de infusión intravenosa ha contribuido, de manera importante, en el desarrollo de mejores tratamientos para la atención a la salud.</w:t>
      </w:r>
    </w:p>
    <w:p>
      <w:pPr>
        <w:pStyle w:val="BodyText"/>
        <w:spacing w:before="4"/>
        <w:rPr>
          <w:sz w:val="15"/>
        </w:rPr>
      </w:pPr>
      <w:r>
        <w:rPr/>
        <w:pict>
          <v:line style="position:absolute;mso-position-horizontal-relative:page;mso-position-vertical-relative:paragraph;z-index:1792;mso-wrap-distance-left:0;mso-wrap-distance-right:0" from="99.264pt,11.153888pt" to="243.284pt,11.153888pt" stroked="true" strokeweight=".72003pt" strokecolor="#000000">
            <w10:wrap type="topAndBottom"/>
          </v:line>
        </w:pict>
      </w:r>
    </w:p>
    <w:p>
      <w:pPr>
        <w:spacing w:before="66"/>
        <w:ind w:left="265" w:right="284" w:firstLine="0"/>
        <w:jc w:val="left"/>
        <w:rPr>
          <w:sz w:val="16"/>
        </w:rPr>
      </w:pPr>
      <w:r>
        <w:rPr>
          <w:position w:val="6"/>
          <w:sz w:val="10"/>
        </w:rPr>
        <w:t>11 </w:t>
      </w:r>
      <w:r>
        <w:rPr>
          <w:sz w:val="16"/>
        </w:rPr>
        <w:t>Gómez, Isabel, Espinoza, Ángela Aquichán. Dilemas éticos frente a la seguridad del paciente Cuidad es pensar, volumen 6 del 2006 59 Pp. [consultado del 18 de enero de 2013] disponible en: </w:t>
      </w:r>
      <w:hyperlink r:id="rId22">
        <w:r>
          <w:rPr>
            <w:spacing w:val="-1"/>
            <w:sz w:val="16"/>
          </w:rPr>
          <w:t>http://www.google.com.mx/#rlz=1W1SUNC_es&amp;q=dilemas+eticos+frente+a+la+seguridad+del+paciente.+cuidar+es+pensar</w:t>
        </w:r>
      </w:hyperlink>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864" from="97.823997pt,56.16pt" to="542.643997pt,56.16pt" stroked="true" strokeweight=".48pt" strokecolor="#000000">
            <w10:wrap type="none"/>
          </v:line>
        </w:pict>
      </w:r>
    </w:p>
    <w:p>
      <w:pPr>
        <w:pStyle w:val="BodyText"/>
        <w:rPr>
          <w:sz w:val="20"/>
        </w:rPr>
      </w:pPr>
    </w:p>
    <w:p>
      <w:pPr>
        <w:pStyle w:val="BodyText"/>
        <w:spacing w:line="360" w:lineRule="auto" w:before="204"/>
        <w:ind w:left="265" w:right="243"/>
        <w:jc w:val="both"/>
      </w:pPr>
      <w:r>
        <w:rPr/>
        <w:t>Sin embargo, este procedimiento también ofrece serios riesgos para los pacientes, para el personal y para las instituciones prestadoras de servicios de salud, en virtud de que se ve incrementada la estancia hospitalaria (días camas) y el gasto por las complicaciones adyacentes.</w:t>
      </w:r>
    </w:p>
    <w:p>
      <w:pPr>
        <w:pStyle w:val="BodyText"/>
      </w:pPr>
    </w:p>
    <w:p>
      <w:pPr>
        <w:pStyle w:val="BodyText"/>
        <w:spacing w:line="357" w:lineRule="auto" w:before="142"/>
        <w:ind w:left="265" w:right="241"/>
        <w:jc w:val="both"/>
        <w:rPr>
          <w:sz w:val="16"/>
        </w:rPr>
      </w:pPr>
      <w:r>
        <w:rPr/>
        <w:t>La literatura mundial ha descrito ampliamente complicaciones infecciosas y otros problemas como extravasación, infiltración y oclusión, como una amenaza a la integridad del paciente ya que cuando éstas se agravan, se asocian a una morbilidad considerable y a un mayor riesgo de muerte.</w:t>
      </w:r>
      <w:r>
        <w:rPr>
          <w:position w:val="8"/>
          <w:sz w:val="16"/>
        </w:rPr>
        <w:t>12</w:t>
      </w:r>
    </w:p>
    <w:p>
      <w:pPr>
        <w:pStyle w:val="BodyText"/>
        <w:spacing w:before="2"/>
        <w:rPr>
          <w:sz w:val="36"/>
        </w:rPr>
      </w:pPr>
    </w:p>
    <w:p>
      <w:pPr>
        <w:pStyle w:val="BodyText"/>
        <w:spacing w:line="360" w:lineRule="auto" w:before="1"/>
        <w:ind w:left="265" w:right="236"/>
        <w:jc w:val="both"/>
      </w:pPr>
      <w:r>
        <w:rPr/>
        <w:t>A este respecto, en el país se han desarrollado una serie de iniciativas que ponen de manifiesto el interés por mejorar la seguridad de la atención que se ofrece a los pacientes entre ellos la CPE, incorporó en 2002 a nivel nacional el indicador de "Vigilancia y Control de Venoclisis Instaladas" en el Sistema INDICAS, mismo que las instituciones de salud públicas, privadas y sociales, miden y utilizan para mejorar esta práctica. En el año 2004, la CONAMED en colaboración con CPE emitió un documento llamado: "Recomendaciones Específicas para Enfermería sobre el Proceso de Terapia Intravenosa". Adicionalmente, en diferentes organizaciones se imparten diplomados con reconocimiento universitario sobre el tema de la terapia de infusión intravenosa.</w:t>
      </w:r>
    </w:p>
    <w:p>
      <w:pPr>
        <w:pStyle w:val="BodyText"/>
      </w:pPr>
    </w:p>
    <w:p>
      <w:pPr>
        <w:pStyle w:val="BodyText"/>
        <w:spacing w:line="360" w:lineRule="auto" w:before="142"/>
        <w:ind w:left="265" w:right="232"/>
        <w:jc w:val="both"/>
      </w:pPr>
      <w:r>
        <w:rPr/>
        <w:t>Esta Norma para la administración de la terapia de infusión intravenosa se ha desarrollado con el propósito de establecer las condiciones necesarias y suficientes que favorezcan una práctica clínica homogénea, que coadyuve a lograr una atención segura y libre de riesgos, asimismo, instituye los criterios mínimos para la instalación, el mantenimiento y el retiro de los accesos venosos</w:t>
      </w:r>
      <w:r>
        <w:rPr>
          <w:spacing w:val="64"/>
        </w:rPr>
        <w:t> </w:t>
      </w:r>
      <w:r>
        <w:rPr/>
        <w:t>periféricos</w:t>
      </w: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1840;mso-wrap-distance-left:0;mso-wrap-distance-right:0" from="99.264pt,18.755842pt" to="243.284pt,18.755842pt" stroked="true" strokeweight=".72003pt" strokecolor="#000000">
            <w10:wrap type="topAndBottom"/>
          </v:line>
        </w:pict>
      </w:r>
    </w:p>
    <w:p>
      <w:pPr>
        <w:spacing w:before="66"/>
        <w:ind w:left="265" w:right="538" w:firstLine="0"/>
        <w:jc w:val="left"/>
        <w:rPr>
          <w:sz w:val="16"/>
        </w:rPr>
      </w:pPr>
      <w:r>
        <w:rPr>
          <w:position w:val="6"/>
          <w:sz w:val="10"/>
        </w:rPr>
        <w:t>12 </w:t>
      </w:r>
      <w:r>
        <w:rPr>
          <w:sz w:val="16"/>
        </w:rPr>
        <w:t>Fajardo D. NORMA Oficial Mexicana NOM-022-SSA3-2012, Que instituye las condiciones para la administración de la terapia de infusión en los Estados Unidos Mexicanos .Diario oficial de la federación, Subsecretario de Integración y Desarrollo del Sector Salud. 0-2 Pp. [Consultada el 13 de marzo de 2014] Disponible en: http://dof.gob.mx/nota_detalle.php?codigo=5268977&amp;fecha=18/09/2012</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912" from="97.823997pt,56.16pt" to="542.643997pt,56.16pt" stroked="true" strokeweight=".48pt" strokecolor="#000000">
            <w10:wrap type="none"/>
          </v:line>
        </w:pict>
      </w:r>
    </w:p>
    <w:p>
      <w:pPr>
        <w:pStyle w:val="BodyText"/>
        <w:rPr>
          <w:sz w:val="20"/>
        </w:rPr>
      </w:pPr>
    </w:p>
    <w:p>
      <w:pPr>
        <w:pStyle w:val="BodyText"/>
        <w:spacing w:line="360" w:lineRule="auto" w:before="204"/>
        <w:ind w:left="265" w:right="242"/>
        <w:jc w:val="both"/>
      </w:pPr>
      <w:r>
        <w:rPr/>
        <w:t>y centrales, para contribuir a la mejora de la calidad en la atención de los pacientes.</w:t>
      </w:r>
    </w:p>
    <w:p>
      <w:pPr>
        <w:pStyle w:val="BodyText"/>
      </w:pPr>
    </w:p>
    <w:p>
      <w:pPr>
        <w:pStyle w:val="BodyText"/>
      </w:pPr>
    </w:p>
    <w:p>
      <w:pPr>
        <w:pStyle w:val="BodyText"/>
        <w:spacing w:before="2"/>
      </w:pPr>
    </w:p>
    <w:p>
      <w:pPr>
        <w:pStyle w:val="ListParagraph"/>
        <w:numPr>
          <w:ilvl w:val="0"/>
          <w:numId w:val="2"/>
        </w:numPr>
        <w:tabs>
          <w:tab w:pos="822" w:val="left" w:leader="none"/>
        </w:tabs>
        <w:spacing w:line="240" w:lineRule="auto" w:before="1" w:after="0"/>
        <w:ind w:left="821" w:right="0" w:hanging="268"/>
        <w:jc w:val="left"/>
        <w:rPr>
          <w:b/>
          <w:sz w:val="19"/>
        </w:rPr>
      </w:pPr>
      <w:r>
        <w:rPr>
          <w:b/>
          <w:sz w:val="24"/>
        </w:rPr>
        <w:t>O</w:t>
      </w:r>
      <w:r>
        <w:rPr>
          <w:b/>
          <w:sz w:val="19"/>
        </w:rPr>
        <w:t>BJETIVO</w:t>
      </w:r>
    </w:p>
    <w:p>
      <w:pPr>
        <w:pStyle w:val="BodyText"/>
        <w:rPr>
          <w:b/>
        </w:rPr>
      </w:pPr>
    </w:p>
    <w:p>
      <w:pPr>
        <w:pStyle w:val="BodyText"/>
        <w:rPr>
          <w:b/>
        </w:rPr>
      </w:pPr>
    </w:p>
    <w:p>
      <w:pPr>
        <w:pStyle w:val="BodyText"/>
        <w:spacing w:line="360" w:lineRule="auto"/>
        <w:ind w:left="265" w:right="233"/>
        <w:jc w:val="both"/>
      </w:pPr>
      <w:r>
        <w:rPr/>
        <w:t>Establecer los criterios para la instalación, mantenimiento, vigilancia y retiro de vías de acceso venoso periférico y central, así como, los requisitos </w:t>
      </w:r>
      <w:r>
        <w:rPr>
          <w:spacing w:val="2"/>
        </w:rPr>
        <w:t>que </w:t>
      </w:r>
      <w:r>
        <w:rPr/>
        <w:t>deberá cumplir el personal de salud que participa en la administración de la terapia de infusión intravenosa con fines profilácticos, diagnósticos y terapéuticos, para disminuir las complicaciones y costos asociados a esta</w:t>
      </w:r>
      <w:r>
        <w:rPr>
          <w:spacing w:val="-16"/>
        </w:rPr>
        <w:t> </w:t>
      </w:r>
      <w:r>
        <w:rPr/>
        <w:t>práctica.</w:t>
      </w:r>
    </w:p>
    <w:p>
      <w:pPr>
        <w:pStyle w:val="BodyText"/>
      </w:pPr>
    </w:p>
    <w:p>
      <w:pPr>
        <w:pStyle w:val="BodyText"/>
      </w:pPr>
    </w:p>
    <w:p>
      <w:pPr>
        <w:pStyle w:val="BodyText"/>
        <w:spacing w:before="2"/>
      </w:pPr>
    </w:p>
    <w:p>
      <w:pPr>
        <w:pStyle w:val="ListParagraph"/>
        <w:numPr>
          <w:ilvl w:val="0"/>
          <w:numId w:val="2"/>
        </w:numPr>
        <w:tabs>
          <w:tab w:pos="822" w:val="left" w:leader="none"/>
        </w:tabs>
        <w:spacing w:line="240" w:lineRule="auto" w:before="1" w:after="0"/>
        <w:ind w:left="822" w:right="0" w:hanging="269"/>
        <w:jc w:val="left"/>
        <w:rPr>
          <w:b/>
          <w:sz w:val="19"/>
        </w:rPr>
      </w:pPr>
      <w:r>
        <w:rPr>
          <w:b/>
          <w:sz w:val="24"/>
        </w:rPr>
        <w:t>C</w:t>
      </w:r>
      <w:r>
        <w:rPr>
          <w:b/>
          <w:sz w:val="19"/>
        </w:rPr>
        <w:t>AMPO DE</w:t>
      </w:r>
      <w:r>
        <w:rPr>
          <w:b/>
          <w:spacing w:val="-10"/>
          <w:sz w:val="19"/>
        </w:rPr>
        <w:t> </w:t>
      </w:r>
      <w:r>
        <w:rPr>
          <w:b/>
          <w:sz w:val="19"/>
        </w:rPr>
        <w:t>APLICACIÓN</w:t>
      </w:r>
    </w:p>
    <w:p>
      <w:pPr>
        <w:pStyle w:val="BodyText"/>
        <w:rPr>
          <w:b/>
        </w:rPr>
      </w:pPr>
    </w:p>
    <w:p>
      <w:pPr>
        <w:pStyle w:val="BodyText"/>
        <w:rPr>
          <w:b/>
        </w:rPr>
      </w:pPr>
    </w:p>
    <w:p>
      <w:pPr>
        <w:pStyle w:val="BodyText"/>
        <w:spacing w:line="357" w:lineRule="auto"/>
        <w:ind w:left="265" w:right="243"/>
        <w:jc w:val="both"/>
        <w:rPr>
          <w:sz w:val="16"/>
        </w:rPr>
      </w:pPr>
      <w:r>
        <w:rPr/>
        <w:t>Esta norma y sus disposiciones son obligatorias para los establecimientos para la atención médica y personal de salud del Sistema Nacional de Salud que realicen  la terapia de infusión</w:t>
      </w:r>
      <w:r>
        <w:rPr>
          <w:spacing w:val="-10"/>
        </w:rPr>
        <w:t> </w:t>
      </w:r>
      <w:r>
        <w:rPr/>
        <w:t>intravenosa.</w:t>
      </w:r>
      <w:r>
        <w:rPr>
          <w:position w:val="8"/>
          <w:sz w:val="16"/>
        </w:rPr>
        <w:t>13</w:t>
      </w:r>
    </w:p>
    <w:p>
      <w:pPr>
        <w:pStyle w:val="BodyText"/>
        <w:rPr>
          <w:sz w:val="26"/>
        </w:rPr>
      </w:pPr>
    </w:p>
    <w:p>
      <w:pPr>
        <w:pStyle w:val="BodyText"/>
        <w:rPr>
          <w:sz w:val="26"/>
        </w:rPr>
      </w:pPr>
    </w:p>
    <w:p>
      <w:pPr>
        <w:pStyle w:val="BodyText"/>
        <w:spacing w:before="4"/>
        <w:rPr>
          <w:sz w:val="20"/>
        </w:rPr>
      </w:pPr>
    </w:p>
    <w:p>
      <w:pPr>
        <w:pStyle w:val="Heading6"/>
        <w:spacing w:line="360" w:lineRule="auto"/>
        <w:ind w:left="279" w:right="253"/>
        <w:jc w:val="center"/>
      </w:pPr>
      <w:r>
        <w:rPr/>
        <w:t>PACIENTE OBSTÉTRICA Norma Oficial Mexicana NOM-007-SSA2-1993, Para la atención de la mujer durante el embarazo, parto y puerperio y del recién nacido. Criterios y procedimientos para la prestación del servicio.</w:t>
      </w:r>
    </w:p>
    <w:p>
      <w:pPr>
        <w:pStyle w:val="BodyText"/>
        <w:rPr>
          <w:b/>
        </w:rPr>
      </w:pPr>
    </w:p>
    <w:p>
      <w:pPr>
        <w:pStyle w:val="BodyText"/>
        <w:spacing w:line="360" w:lineRule="auto" w:before="142"/>
        <w:ind w:left="265" w:right="238"/>
        <w:jc w:val="both"/>
      </w:pPr>
      <w:r>
        <w:rPr/>
        <w:pict>
          <v:line style="position:absolute;mso-position-horizontal-relative:page;mso-position-vertical-relative:paragraph;z-index:1888;mso-wrap-distance-left:0;mso-wrap-distance-right:0" from="99.264pt,117.591873pt" to="243.284pt,117.591873pt" stroked="true" strokeweight=".71997pt" strokecolor="#000000">
            <w10:wrap type="topAndBottom"/>
          </v:line>
        </w:pict>
      </w:r>
      <w:r>
        <w:rPr/>
        <w:t>En su mayoría, los daños obstétricos y los riesgos para la salud de la mujer y del recién nacido pueden ser prevenibles, ser detectados y tratados con éxito, mediante la aplicación de procedimientos indicados y regulados para la atención del embarazo, el parto y el puerperio, así como para la del recién nacido, entre los que  destacan  el  uso  del  enfoque  de  riesgo,  la  realización   de       actividades</w:t>
      </w:r>
    </w:p>
    <w:p>
      <w:pPr>
        <w:spacing w:before="66"/>
        <w:ind w:left="265" w:right="284" w:firstLine="0"/>
        <w:jc w:val="left"/>
        <w:rPr>
          <w:sz w:val="16"/>
        </w:rPr>
      </w:pPr>
      <w:r>
        <w:rPr>
          <w:position w:val="6"/>
          <w:sz w:val="10"/>
        </w:rPr>
        <w:t>13 </w:t>
      </w:r>
      <w:r>
        <w:rPr>
          <w:sz w:val="16"/>
        </w:rPr>
        <w:t>Ibídem.</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936" from="97.823997pt,56.16pt" to="542.643997pt,56.16pt" stroked="true" strokeweight=".48pt" strokecolor="#000000">
            <w10:wrap type="none"/>
          </v:line>
        </w:pict>
      </w:r>
    </w:p>
    <w:p>
      <w:pPr>
        <w:pStyle w:val="BodyText"/>
        <w:rPr>
          <w:sz w:val="20"/>
        </w:rPr>
      </w:pPr>
    </w:p>
    <w:p>
      <w:pPr>
        <w:pStyle w:val="BodyText"/>
        <w:spacing w:line="360" w:lineRule="auto" w:before="204"/>
        <w:ind w:left="265" w:right="235"/>
        <w:jc w:val="both"/>
      </w:pPr>
      <w:r>
        <w:rPr/>
        <w:t>eminentemente preventivas y la eliminación o racionalización de algunas prácticas que se llevan a cabo en forma rutinaria. Las acciones propuestas tienden a favorecer el desarrollo normal de cada una de las etapas del proceso gestacional, a prevenir las complicaciones y a mejorar la sobrevivencia de la madre y del recién nacido.</w:t>
      </w:r>
    </w:p>
    <w:p>
      <w:pPr>
        <w:pStyle w:val="BodyText"/>
      </w:pPr>
    </w:p>
    <w:p>
      <w:pPr>
        <w:pStyle w:val="BodyText"/>
        <w:spacing w:line="360" w:lineRule="auto" w:before="142"/>
        <w:ind w:left="265" w:right="236"/>
        <w:jc w:val="both"/>
      </w:pPr>
      <w:r>
        <w:rPr/>
        <w:t>La inducción del parto con oxitocina y la ruptura artificial de las membranas amnióticas, han sido revaloradas en vista de que no aportan beneficios y sí contribuyen a aumentar tanto la morbilidad y mortalidad materna, como la del recién nacido, por lo que su uso debe quedar limitado a ciertos casos muy especiales.</w:t>
      </w:r>
    </w:p>
    <w:p>
      <w:pPr>
        <w:pStyle w:val="BodyText"/>
      </w:pPr>
    </w:p>
    <w:p>
      <w:pPr>
        <w:pStyle w:val="BodyText"/>
        <w:spacing w:line="360" w:lineRule="auto" w:before="142"/>
        <w:ind w:left="265" w:right="231"/>
        <w:jc w:val="both"/>
      </w:pPr>
      <w:r>
        <w:rPr/>
        <w:t>Otras prácticas, como la anestesia utilizada indiscriminadamente en la atención  del parto normal, el alto índice de cesáreas innecesarias o la revisión sistemática o rutinaria de la cavidad uterina en el posparto normal, implican riesgos adicionales  y deben efectuarse sólo en casos o circunstancias específicas. Algunos de </w:t>
      </w:r>
      <w:r>
        <w:rPr>
          <w:spacing w:val="2"/>
        </w:rPr>
        <w:t>estos </w:t>
      </w:r>
      <w:r>
        <w:rPr/>
        <w:t>procedimientos siguen siendo usados como parte de las técnicas para la atención del parto, por lo que debe modificarse su</w:t>
      </w:r>
      <w:r>
        <w:rPr>
          <w:spacing w:val="-18"/>
        </w:rPr>
        <w:t> </w:t>
      </w:r>
      <w:r>
        <w:rPr/>
        <w:t>práctica.</w:t>
      </w:r>
    </w:p>
    <w:p>
      <w:pPr>
        <w:pStyle w:val="BodyText"/>
      </w:pPr>
    </w:p>
    <w:p>
      <w:pPr>
        <w:pStyle w:val="BodyText"/>
        <w:spacing w:line="360" w:lineRule="auto" w:before="142"/>
        <w:ind w:left="265" w:right="233"/>
        <w:jc w:val="both"/>
      </w:pPr>
      <w:r>
        <w:rPr/>
        <w:t>Con la aplicación de la Norma Oficial Mexicana no se trata de limitar el quehacer de los profesionales de la salud, sino de que, a partir del establecimiento de lineamientos básicos, se contribuya a reducir los riesgos asociados a las intervenciones del personal de salud. A medida que se cuente con mayor tecnología y personal con capacidad resolutiva, estos avances deberán emplearse en la atención a la mujer durante el embarazo, el parto y el puerperio, así como en la del recién nacido.</w:t>
      </w:r>
    </w:p>
    <w:p>
      <w:pPr>
        <w:pStyle w:val="BodyText"/>
      </w:pPr>
    </w:p>
    <w:p>
      <w:pPr>
        <w:pStyle w:val="BodyText"/>
        <w:spacing w:line="360" w:lineRule="auto" w:before="142"/>
        <w:ind w:left="265" w:right="235"/>
        <w:jc w:val="both"/>
      </w:pPr>
      <w:r>
        <w:rPr/>
        <w:t>Las acciones de salud se reforzarán con estrategias de información, educación y comunicación sobre cuidados prenatales y detección de signos y síntomas de alarma que  ameritan atención médica  urgente, a fin  de  corresponsabilizar  a  </w:t>
      </w:r>
      <w:r>
        <w:rPr>
          <w:spacing w:val="52"/>
        </w:rPr>
        <w:t> </w:t>
      </w:r>
      <w:r>
        <w:rPr/>
        <w:t>la</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1984" from="97.823997pt,56.16pt" to="542.643997pt,56.16pt" stroked="true" strokeweight=".48pt" strokecolor="#000000">
            <w10:wrap type="none"/>
          </v:line>
        </w:pict>
      </w:r>
    </w:p>
    <w:p>
      <w:pPr>
        <w:pStyle w:val="BodyText"/>
        <w:rPr>
          <w:sz w:val="20"/>
        </w:rPr>
      </w:pPr>
    </w:p>
    <w:p>
      <w:pPr>
        <w:pStyle w:val="BodyText"/>
        <w:spacing w:line="360" w:lineRule="auto" w:before="204"/>
        <w:ind w:left="265" w:right="246"/>
        <w:jc w:val="both"/>
      </w:pPr>
      <w:r>
        <w:rPr/>
        <w:t>pareja, a la familia y al personal médico y paramédico en la preservación de la salud.</w:t>
      </w:r>
    </w:p>
    <w:p>
      <w:pPr>
        <w:pStyle w:val="BodyText"/>
      </w:pPr>
    </w:p>
    <w:p>
      <w:pPr>
        <w:pStyle w:val="BodyText"/>
        <w:spacing w:line="360" w:lineRule="auto" w:before="142"/>
        <w:ind w:left="265" w:right="232"/>
        <w:jc w:val="both"/>
      </w:pPr>
      <w:r>
        <w:rPr/>
        <w:t>La experiencia adquirida durante los primeros cinco años de uso de la Norma Oficial Mexicana, hizo necesario actualizar los procedimientos para la atención de la mujer durante el embarazo, el parto y el puerperio, además de la correspondiente al recién nacido, para mejorar la calidad, introducir nuevos conocimientos científicos y tecnologías y estrategias innovativas que contribuyen a disminuir la morbilidad y la mortalidad materna y perinatal en nuestro país.</w:t>
      </w:r>
    </w:p>
    <w:p>
      <w:pPr>
        <w:pStyle w:val="BodyText"/>
      </w:pPr>
    </w:p>
    <w:p>
      <w:pPr>
        <w:pStyle w:val="BodyText"/>
      </w:pPr>
    </w:p>
    <w:p>
      <w:pPr>
        <w:pStyle w:val="BodyText"/>
        <w:spacing w:before="2"/>
      </w:pPr>
    </w:p>
    <w:p>
      <w:pPr>
        <w:pStyle w:val="ListParagraph"/>
        <w:numPr>
          <w:ilvl w:val="0"/>
          <w:numId w:val="3"/>
        </w:numPr>
        <w:tabs>
          <w:tab w:pos="817" w:val="left" w:leader="none"/>
        </w:tabs>
        <w:spacing w:line="240" w:lineRule="auto" w:before="1" w:after="0"/>
        <w:ind w:left="816" w:right="0" w:hanging="268"/>
        <w:jc w:val="left"/>
        <w:rPr>
          <w:b/>
          <w:sz w:val="19"/>
        </w:rPr>
      </w:pPr>
      <w:r>
        <w:rPr>
          <w:b/>
          <w:sz w:val="24"/>
        </w:rPr>
        <w:t>O</w:t>
      </w:r>
      <w:r>
        <w:rPr>
          <w:b/>
          <w:sz w:val="19"/>
        </w:rPr>
        <w:t>BJETIVO</w:t>
      </w:r>
    </w:p>
    <w:p>
      <w:pPr>
        <w:pStyle w:val="BodyText"/>
        <w:rPr>
          <w:b/>
        </w:rPr>
      </w:pPr>
    </w:p>
    <w:p>
      <w:pPr>
        <w:pStyle w:val="BodyText"/>
        <w:rPr>
          <w:b/>
        </w:rPr>
      </w:pPr>
    </w:p>
    <w:p>
      <w:pPr>
        <w:pStyle w:val="BodyText"/>
        <w:spacing w:line="360" w:lineRule="auto"/>
        <w:ind w:left="265" w:right="240"/>
        <w:jc w:val="both"/>
      </w:pPr>
      <w:r>
        <w:rPr/>
        <w:t>Esta Norma establece los criterios para la atención y vigilancia de la salud en la mujer durante el embarazo, el parto y el puerperio, y la correspondiente al recién nacido.</w:t>
      </w:r>
    </w:p>
    <w:p>
      <w:pPr>
        <w:pStyle w:val="BodyText"/>
      </w:pPr>
    </w:p>
    <w:p>
      <w:pPr>
        <w:pStyle w:val="BodyText"/>
      </w:pPr>
    </w:p>
    <w:p>
      <w:pPr>
        <w:pStyle w:val="BodyText"/>
        <w:spacing w:before="5"/>
      </w:pPr>
    </w:p>
    <w:p>
      <w:pPr>
        <w:pStyle w:val="ListParagraph"/>
        <w:numPr>
          <w:ilvl w:val="0"/>
          <w:numId w:val="3"/>
        </w:numPr>
        <w:tabs>
          <w:tab w:pos="817" w:val="left" w:leader="none"/>
        </w:tabs>
        <w:spacing w:line="240" w:lineRule="auto" w:before="0" w:after="0"/>
        <w:ind w:left="816" w:right="0" w:hanging="268"/>
        <w:jc w:val="left"/>
        <w:rPr>
          <w:b/>
          <w:sz w:val="19"/>
        </w:rPr>
      </w:pPr>
      <w:r>
        <w:rPr>
          <w:b/>
          <w:sz w:val="24"/>
        </w:rPr>
        <w:t>C</w:t>
      </w:r>
      <w:r>
        <w:rPr>
          <w:b/>
          <w:sz w:val="19"/>
        </w:rPr>
        <w:t>AMPO DE</w:t>
      </w:r>
      <w:r>
        <w:rPr>
          <w:b/>
          <w:spacing w:val="-10"/>
          <w:sz w:val="19"/>
        </w:rPr>
        <w:t> </w:t>
      </w:r>
      <w:r>
        <w:rPr>
          <w:b/>
          <w:sz w:val="19"/>
        </w:rPr>
        <w:t>APLICACIÓN</w:t>
      </w:r>
    </w:p>
    <w:p>
      <w:pPr>
        <w:pStyle w:val="BodyText"/>
        <w:rPr>
          <w:b/>
        </w:rPr>
      </w:pPr>
    </w:p>
    <w:p>
      <w:pPr>
        <w:pStyle w:val="BodyText"/>
        <w:rPr>
          <w:b/>
        </w:rPr>
      </w:pPr>
    </w:p>
    <w:p>
      <w:pPr>
        <w:pStyle w:val="BodyText"/>
        <w:spacing w:line="357" w:lineRule="auto"/>
        <w:ind w:left="265" w:right="234"/>
        <w:jc w:val="both"/>
        <w:rPr>
          <w:sz w:val="16"/>
        </w:rPr>
      </w:pPr>
      <w:r>
        <w:rPr/>
        <w:t>Esta Norma es de observancia obligatoria para todo el personal de salud en las unidades de salud de los sectores público, social y privado del Sistema Nacional de Salud, que brindan atención a mujeres embarazadas, parturientas, puérperas y a los recién</w:t>
      </w:r>
      <w:r>
        <w:rPr>
          <w:spacing w:val="-5"/>
        </w:rPr>
        <w:t> </w:t>
      </w:r>
      <w:r>
        <w:rPr/>
        <w:t>nacidos.</w:t>
      </w:r>
      <w:r>
        <w:rPr>
          <w:position w:val="8"/>
          <w:sz w:val="16"/>
        </w:rPr>
        <w:t>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960;mso-wrap-distance-left:0;mso-wrap-distance-right:0" from="99.264pt,14.138155pt" to="243.284pt,14.138155pt" stroked="true" strokeweight=".72003pt" strokecolor="#000000">
            <w10:wrap type="topAndBottom"/>
          </v:line>
        </w:pict>
      </w:r>
    </w:p>
    <w:p>
      <w:pPr>
        <w:spacing w:before="66"/>
        <w:ind w:left="265" w:right="243" w:firstLine="0"/>
        <w:jc w:val="left"/>
        <w:rPr>
          <w:sz w:val="16"/>
        </w:rPr>
      </w:pPr>
      <w:r>
        <w:rPr>
          <w:position w:val="6"/>
          <w:sz w:val="10"/>
        </w:rPr>
        <w:t>14 </w:t>
      </w:r>
      <w:r>
        <w:rPr>
          <w:sz w:val="16"/>
        </w:rPr>
        <w:t>NORMA Oficial Mexicana NOM-007 SSA2-1993, Para la atención de la mujer durante el embarazo, parto y puerperio y del recién nacido. Criterios y procedimientos para la prestación del servicio [consultada 10 de marzo 2014. 0-2 Pp. ] Disponible en </w:t>
      </w:r>
      <w:hyperlink r:id="rId23">
        <w:r>
          <w:rPr>
            <w:sz w:val="16"/>
          </w:rPr>
          <w:t>http://salud.edomexico.gob.mx/html/transparencia/informacion/leyesreglamentos/reglamento/norma_007_SSA</w:t>
        </w:r>
      </w:hyperlink>
      <w:r>
        <w:rPr>
          <w:sz w:val="16"/>
        </w:rPr>
        <w:t> 2_1993.pdf</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008" from="97.823997pt,56.16pt" to="542.643997pt,56.16pt" stroked="true" strokeweight=".48pt" strokecolor="#000000">
            <w10:wrap type="none"/>
          </v:line>
        </w:pict>
      </w:r>
    </w:p>
    <w:p>
      <w:pPr>
        <w:pStyle w:val="BodyText"/>
        <w:rPr>
          <w:sz w:val="20"/>
        </w:rPr>
      </w:pPr>
    </w:p>
    <w:p>
      <w:pPr>
        <w:pStyle w:val="Heading6"/>
        <w:spacing w:before="204"/>
      </w:pPr>
      <w:bookmarkStart w:name="_TOC_250011" w:id="8"/>
      <w:bookmarkEnd w:id="8"/>
      <w:r>
        <w:rPr/>
        <w:t>INDICADORES DE LA CALIDAD DE LOS SERVICIOS DE ENFERMERÍA</w:t>
      </w:r>
    </w:p>
    <w:p>
      <w:pPr>
        <w:pStyle w:val="BodyText"/>
        <w:rPr>
          <w:b/>
        </w:rPr>
      </w:pPr>
    </w:p>
    <w:p>
      <w:pPr>
        <w:pStyle w:val="BodyText"/>
        <w:rPr>
          <w:b/>
        </w:rPr>
      </w:pPr>
    </w:p>
    <w:p>
      <w:pPr>
        <w:pStyle w:val="BodyText"/>
        <w:spacing w:line="360" w:lineRule="auto"/>
        <w:ind w:left="265" w:right="242"/>
        <w:jc w:val="both"/>
      </w:pPr>
      <w:r>
        <w:rPr/>
        <w:t>La Organización Mundial de la Salud (OMS), que define a la calidad como “el alto nivel de excelencia profesional, uso eficiente de recursos, mínimo de riesgos con un alto grado de satisfacción por parte del paciente, y resultados finales en salud”.</w:t>
      </w:r>
    </w:p>
    <w:p>
      <w:pPr>
        <w:pStyle w:val="BodyText"/>
      </w:pPr>
    </w:p>
    <w:p>
      <w:pPr>
        <w:pStyle w:val="BodyText"/>
        <w:spacing w:line="360" w:lineRule="auto" w:before="142"/>
        <w:ind w:left="265" w:right="234"/>
        <w:jc w:val="both"/>
      </w:pPr>
      <w:r>
        <w:rPr/>
        <w:t>Esta definición aplicada a la enfermería conlleva la aplicación de conocimientos técnicos, capacidades interpersonales funciones asistenciales, de educación para la salud, administración de los recursos y cuya atención sea oportuna, personalizada, humanizada y continua para lograr satisfacer las necesidades de los pacientes o la población. Lograr esto, no ha sido tarea fácil, con el paso de los años se ha impulsado el desarrollo de la cultura de la calidad y brindar atención con una actitud proactiva.</w:t>
      </w:r>
    </w:p>
    <w:p>
      <w:pPr>
        <w:pStyle w:val="BodyText"/>
      </w:pPr>
    </w:p>
    <w:p>
      <w:pPr>
        <w:pStyle w:val="BodyText"/>
        <w:spacing w:line="360" w:lineRule="auto" w:before="142"/>
        <w:ind w:left="265" w:right="231"/>
        <w:jc w:val="both"/>
      </w:pPr>
      <w:r>
        <w:rPr/>
        <w:t>Las políticas y planes de salud de muchos países del mundo, hoy en día es una realidad. Disponen de estándares definidos para una práctica profesional competente y responsable, con el propósito de lograr la satisfacción del usuario y del prestador de servicios.</w:t>
      </w:r>
    </w:p>
    <w:p>
      <w:pPr>
        <w:pStyle w:val="BodyText"/>
      </w:pPr>
    </w:p>
    <w:p>
      <w:pPr>
        <w:pStyle w:val="BodyText"/>
        <w:spacing w:line="360" w:lineRule="auto" w:before="142"/>
        <w:ind w:left="265" w:right="233"/>
        <w:jc w:val="both"/>
      </w:pPr>
      <w:r>
        <w:rPr/>
        <w:t>En México los avances en este sentido han sido valiosos pero aún la brecha dista de lograr la estandarización, unificación de criterios y la evaluación sistemática de los servicios de enfermería.</w:t>
      </w:r>
    </w:p>
    <w:p>
      <w:pPr>
        <w:pStyle w:val="BodyText"/>
      </w:pPr>
    </w:p>
    <w:p>
      <w:pPr>
        <w:spacing w:line="360" w:lineRule="auto" w:before="139"/>
        <w:ind w:left="265" w:right="233" w:firstLine="0"/>
        <w:jc w:val="both"/>
        <w:rPr>
          <w:sz w:val="24"/>
        </w:rPr>
      </w:pPr>
      <w:r>
        <w:rPr>
          <w:sz w:val="24"/>
        </w:rPr>
        <w:t>La Secretaría de Salud, a través de su </w:t>
      </w:r>
      <w:r>
        <w:rPr>
          <w:i/>
          <w:sz w:val="24"/>
        </w:rPr>
        <w:t>Programa la Cruzada Nacional por la </w:t>
      </w:r>
      <w:r>
        <w:rPr>
          <w:i/>
          <w:sz w:val="24"/>
        </w:rPr>
        <w:t>Calidad de los Servicios de Salud </w:t>
      </w:r>
      <w:r>
        <w:rPr>
          <w:sz w:val="24"/>
        </w:rPr>
        <w:t>y en coordinación con la </w:t>
      </w:r>
      <w:r>
        <w:rPr>
          <w:i/>
          <w:sz w:val="24"/>
        </w:rPr>
        <w:t>Comisión </w:t>
      </w:r>
      <w:r>
        <w:rPr>
          <w:i/>
          <w:sz w:val="24"/>
        </w:rPr>
        <w:t>Interinstitucional de Enfermería </w:t>
      </w:r>
      <w:r>
        <w:rPr>
          <w:sz w:val="24"/>
        </w:rPr>
        <w:t>(CIE), propuso mejorar la calidad de los servicios de enfermería, mediante una evaluación sistematizada de los servicios de enfermería,  con  estándares  e  indicadores  sobre  el control de  riesgos y </w:t>
      </w:r>
      <w:r>
        <w:rPr>
          <w:spacing w:val="51"/>
          <w:sz w:val="24"/>
        </w:rPr>
        <w:t> </w:t>
      </w:r>
      <w:r>
        <w:rPr>
          <w:sz w:val="24"/>
        </w:rPr>
        <w:t>daños</w:t>
      </w:r>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056" from="97.823997pt,56.16pt" to="542.643997pt,56.16pt" stroked="true" strokeweight=".48pt" strokecolor="#000000">
            <w10:wrap type="none"/>
          </v:line>
        </w:pict>
      </w:r>
    </w:p>
    <w:p>
      <w:pPr>
        <w:pStyle w:val="BodyText"/>
        <w:rPr>
          <w:sz w:val="20"/>
        </w:rPr>
      </w:pPr>
    </w:p>
    <w:p>
      <w:pPr>
        <w:pStyle w:val="BodyText"/>
        <w:spacing w:line="357" w:lineRule="auto" w:before="204"/>
        <w:ind w:left="265" w:right="241"/>
        <w:jc w:val="both"/>
        <w:rPr>
          <w:sz w:val="16"/>
        </w:rPr>
      </w:pPr>
      <w:r>
        <w:rPr/>
        <w:t>innecesarios al paciente, que permitan monitorear al sistema de salud, regular y mejorar la calidad de la atención de enfermería.</w:t>
      </w:r>
      <w:r>
        <w:rPr>
          <w:position w:val="8"/>
          <w:sz w:val="16"/>
        </w:rPr>
        <w:t>15</w:t>
      </w:r>
    </w:p>
    <w:p>
      <w:pPr>
        <w:pStyle w:val="BodyText"/>
        <w:spacing w:before="2"/>
        <w:rPr>
          <w:sz w:val="36"/>
        </w:rPr>
      </w:pPr>
    </w:p>
    <w:p>
      <w:pPr>
        <w:pStyle w:val="BodyText"/>
        <w:spacing w:line="360" w:lineRule="auto" w:before="1"/>
        <w:ind w:left="265" w:right="232"/>
        <w:jc w:val="both"/>
        <w:rPr>
          <w:sz w:val="16"/>
        </w:rPr>
      </w:pPr>
      <w:r>
        <w:rPr/>
        <w:t>Específicamente, para enfermería se encuentra la Ley 266 de 1996, que reglamenta el ejercicio de la profesión de enfermería y precisa que la calidad en el cuidado es una ayuda eficiente, efectiva y oportuna, con un uso adecuado de los recursos, de tal forma que genere el impacto deseado para los receptores de ese cuidado, que debe de tener su fundamento en valores y estándares técnicos, científicos, sociales, humanos y éticos.</w:t>
      </w:r>
      <w:r>
        <w:rPr>
          <w:position w:val="8"/>
          <w:sz w:val="16"/>
        </w:rPr>
        <w:t>16</w:t>
      </w:r>
    </w:p>
    <w:p>
      <w:pPr>
        <w:pStyle w:val="BodyText"/>
        <w:rPr>
          <w:sz w:val="36"/>
        </w:rPr>
      </w:pPr>
    </w:p>
    <w:p>
      <w:pPr>
        <w:pStyle w:val="BodyText"/>
        <w:spacing w:line="360" w:lineRule="auto"/>
        <w:ind w:left="265" w:right="242"/>
        <w:jc w:val="both"/>
      </w:pPr>
      <w:r>
        <w:rPr/>
        <w:t>Se puede señalar que la garantía de la calidad es un valor agregado en los servicios de salud, que garantice a cada paciente la atención integral específica, para lograr un resultado óptimo.</w:t>
      </w:r>
    </w:p>
    <w:p>
      <w:pPr>
        <w:pStyle w:val="BodyText"/>
      </w:pPr>
    </w:p>
    <w:p>
      <w:pPr>
        <w:pStyle w:val="BodyText"/>
      </w:pPr>
    </w:p>
    <w:p>
      <w:pPr>
        <w:pStyle w:val="Heading6"/>
        <w:spacing w:before="175"/>
      </w:pPr>
      <w:bookmarkStart w:name="_TOC_250010" w:id="9"/>
      <w:bookmarkEnd w:id="9"/>
      <w:r>
        <w:rPr/>
        <w:t>UN CUIDADO SEGURO</w:t>
      </w:r>
    </w:p>
    <w:p>
      <w:pPr>
        <w:pStyle w:val="BodyText"/>
        <w:rPr>
          <w:b/>
        </w:rPr>
      </w:pPr>
    </w:p>
    <w:p>
      <w:pPr>
        <w:pStyle w:val="BodyText"/>
        <w:rPr>
          <w:b/>
        </w:rPr>
      </w:pPr>
    </w:p>
    <w:p>
      <w:pPr>
        <w:pStyle w:val="BodyText"/>
        <w:spacing w:line="360" w:lineRule="auto"/>
        <w:ind w:left="265" w:right="234"/>
        <w:jc w:val="both"/>
      </w:pPr>
      <w:r>
        <w:rPr/>
        <w:t>Puede definirse como aquel que además de cumplir con las necesidades y expectativas del paciente, al ser desarrollado alcanza un estado de logro que beneficia en todos los sentidos a la persona que es atendida. Es un aspecto prioritario que dirige la organización y el funcionamiento del sistema y es factor determinante para la calidad de atención, actualmente el cuidado seguro es uno  de los puntos medulares en la gestión de los servicios de enfermería y en los programas de calidad que se desarrollan en diversas instituciones. Para proporcionar un cuidado seguro, establecer garantía de calidad y prevenir los errores es necesario establecer un mecanismo de información que permita a los gestores de enfermería determinar la existencia de focos rojos y la posibilidad de controlarlos, disminuirlos o</w:t>
      </w:r>
      <w:r>
        <w:rPr>
          <w:spacing w:val="-11"/>
        </w:rPr>
        <w:t> </w:t>
      </w:r>
      <w:r>
        <w:rPr/>
        <w:t>desparecerlos.</w:t>
      </w:r>
    </w:p>
    <w:p>
      <w:pPr>
        <w:pStyle w:val="BodyText"/>
        <w:spacing w:before="4"/>
        <w:rPr>
          <w:sz w:val="21"/>
        </w:rPr>
      </w:pPr>
      <w:r>
        <w:rPr/>
        <w:pict>
          <v:line style="position:absolute;mso-position-horizontal-relative:page;mso-position-vertical-relative:paragraph;z-index:2032;mso-wrap-distance-left:0;mso-wrap-distance-right:0" from="99.264pt,14.633891pt" to="243.284pt,14.633891pt" stroked="true" strokeweight=".72003pt" strokecolor="#000000">
            <w10:wrap type="topAndBottom"/>
          </v:line>
        </w:pict>
      </w:r>
    </w:p>
    <w:p>
      <w:pPr>
        <w:spacing w:before="66"/>
        <w:ind w:left="265" w:right="733" w:firstLine="0"/>
        <w:jc w:val="left"/>
        <w:rPr>
          <w:sz w:val="16"/>
        </w:rPr>
      </w:pPr>
      <w:r>
        <w:rPr>
          <w:position w:val="6"/>
          <w:sz w:val="10"/>
        </w:rPr>
        <w:t>15 </w:t>
      </w:r>
      <w:r>
        <w:rPr>
          <w:sz w:val="16"/>
        </w:rPr>
        <w:t>Hernández E. Gutiérrez A. Cuidar de la salud, con calidad. Revista de enfermería del Instituto Mexicano del Seguro Social. México, D.F. 2009. 121-122 Pp.</w:t>
      </w:r>
    </w:p>
    <w:p>
      <w:pPr>
        <w:spacing w:line="185" w:lineRule="exact" w:before="0"/>
        <w:ind w:left="265" w:right="284" w:firstLine="0"/>
        <w:jc w:val="left"/>
        <w:rPr>
          <w:sz w:val="16"/>
        </w:rPr>
      </w:pPr>
      <w:r>
        <w:rPr>
          <w:position w:val="6"/>
          <w:sz w:val="10"/>
        </w:rPr>
        <w:t>16 </w:t>
      </w:r>
      <w:r>
        <w:rPr>
          <w:sz w:val="16"/>
        </w:rPr>
        <w:t>Consejo Internacional de Enfermeras Declaración de posición del CIE sobre seguridad de los pacientes, adaptada 2002.</w:t>
      </w:r>
    </w:p>
    <w:p>
      <w:pPr>
        <w:spacing w:after="0" w:line="185" w:lineRule="exact"/>
        <w:jc w:val="left"/>
        <w:rPr>
          <w:sz w:val="16"/>
        </w:rPr>
        <w:sectPr>
          <w:footerReference w:type="default" r:id="rId24"/>
          <w:pgSz w:w="12240" w:h="15840"/>
          <w:pgMar w:footer="928" w:header="739" w:top="1300" w:bottom="1120" w:left="1720" w:right="1180"/>
        </w:sectPr>
      </w:pPr>
    </w:p>
    <w:p>
      <w:pPr>
        <w:pStyle w:val="BodyText"/>
        <w:rPr>
          <w:sz w:val="20"/>
        </w:rPr>
      </w:pPr>
      <w:r>
        <w:rPr/>
        <w:pict>
          <v:line style="position:absolute;mso-position-horizontal-relative:page;mso-position-vertical-relative:page;z-index:2104" from="97.823997pt,56.16pt" to="542.643997pt,56.16pt" stroked="true" strokeweight=".48pt" strokecolor="#000000">
            <w10:wrap type="none"/>
          </v:line>
        </w:pict>
      </w:r>
    </w:p>
    <w:p>
      <w:pPr>
        <w:pStyle w:val="BodyText"/>
        <w:rPr>
          <w:sz w:val="20"/>
        </w:rPr>
      </w:pPr>
    </w:p>
    <w:p>
      <w:pPr>
        <w:pStyle w:val="BodyText"/>
        <w:spacing w:line="360" w:lineRule="auto" w:before="204"/>
        <w:ind w:left="265" w:right="234"/>
        <w:jc w:val="both"/>
        <w:rPr>
          <w:sz w:val="16"/>
        </w:rPr>
      </w:pPr>
      <w:r>
        <w:rPr/>
        <w:t>Esto se puede lograr a través de un sistema de información de Eventos Adversos  o incidencias en la atención de enfermería y en el desarrollo de procedimientos, como el establecido en la Dirección de Enfermería del Instituto Nacional de Cardiología “Ignacio Chávez”, el cual desde 1995 ha desarrollado este sistema de registro que permita conocer de forma concreta y objetiva la prevalencia de incidencias y Eventos Adverso en la atención de</w:t>
      </w:r>
      <w:r>
        <w:rPr>
          <w:spacing w:val="-22"/>
        </w:rPr>
        <w:t> </w:t>
      </w:r>
      <w:r>
        <w:rPr/>
        <w:t>enfermería.</w:t>
      </w:r>
      <w:r>
        <w:rPr>
          <w:position w:val="8"/>
          <w:sz w:val="16"/>
        </w:rPr>
        <w:t>17</w:t>
      </w:r>
    </w:p>
    <w:p>
      <w:pPr>
        <w:pStyle w:val="BodyText"/>
        <w:spacing w:before="9"/>
        <w:rPr>
          <w:sz w:val="35"/>
        </w:rPr>
      </w:pPr>
    </w:p>
    <w:p>
      <w:pPr>
        <w:pStyle w:val="BodyText"/>
        <w:spacing w:line="360" w:lineRule="auto" w:before="1"/>
        <w:ind w:left="265" w:right="233"/>
        <w:jc w:val="both"/>
      </w:pPr>
      <w:r>
        <w:rPr/>
        <w:t>Por ello, la correcta instalación, cuidado, manejo y mantenimiento de los dispositivos intravenosos que están a cargo del personal de enfermería tales como catéteres, son de primordial importancia ya que si bien es cierto que la mayoría de ellos llegan a partes vitales del cuerpo tales como el torrente sanguíneo, cerebro, corazón y pulmón, etc., y que si no tenemos los conocimientos adecuados durante su manejo, le podemos causar múltiples daños a los paciente, los cuales se van a ver reflejados en su estado de salud, días de estancia hospitalaria, aumento de costos y lo más lamentable en la morbi-mortalidad de los pacientes, debido a la presencia de eventos adversos. La lista de catéteres es amplia y muy diversa, sin embargo los mencionados a continuación son de mayor uso en las pacientes obstétricas de un hospital de tercer nivel de atención de Toluca.</w:t>
      </w:r>
    </w:p>
    <w:p>
      <w:pPr>
        <w:pStyle w:val="BodyText"/>
      </w:pPr>
    </w:p>
    <w:p>
      <w:pPr>
        <w:pStyle w:val="BodyText"/>
      </w:pPr>
    </w:p>
    <w:p>
      <w:pPr>
        <w:pStyle w:val="BodyText"/>
        <w:spacing w:before="3"/>
        <w:rPr>
          <w:sz w:val="21"/>
        </w:rPr>
      </w:pPr>
    </w:p>
    <w:p>
      <w:pPr>
        <w:pStyle w:val="Heading6"/>
      </w:pPr>
      <w:bookmarkStart w:name="_TOC_250009" w:id="10"/>
      <w:bookmarkEnd w:id="10"/>
      <w:r>
        <w:rPr/>
        <w:t>CATÉTERES MÉDICOS</w:t>
      </w:r>
    </w:p>
    <w:p>
      <w:pPr>
        <w:pStyle w:val="BodyText"/>
        <w:rPr>
          <w:b/>
        </w:rPr>
      </w:pPr>
    </w:p>
    <w:p>
      <w:pPr>
        <w:pStyle w:val="BodyText"/>
        <w:rPr>
          <w:b/>
        </w:rPr>
      </w:pPr>
    </w:p>
    <w:p>
      <w:pPr>
        <w:pStyle w:val="BodyText"/>
        <w:spacing w:line="360" w:lineRule="auto"/>
        <w:ind w:left="265" w:right="233"/>
        <w:jc w:val="both"/>
        <w:rPr>
          <w:sz w:val="16"/>
        </w:rPr>
      </w:pPr>
      <w:r>
        <w:rPr/>
        <w:t>Los catéteres intravasculares son dispositivos plásticos que permiten acceder al torrente sanguíneo a nivel periférico o central. Varían en su diseño y estructura según se utilicen en forma temporal (días) o permanente (semanas, meses), así como también en el material con que son fabricados, en el número de lúmenes, y en el motivo por el cual se instalan.</w:t>
      </w:r>
      <w:r>
        <w:rPr>
          <w:position w:val="8"/>
          <w:sz w:val="16"/>
        </w:rPr>
        <w:t>18</w:t>
      </w:r>
    </w:p>
    <w:p>
      <w:pPr>
        <w:pStyle w:val="BodyText"/>
        <w:rPr>
          <w:sz w:val="20"/>
        </w:rPr>
      </w:pPr>
    </w:p>
    <w:p>
      <w:pPr>
        <w:pStyle w:val="BodyText"/>
        <w:spacing w:before="3"/>
        <w:rPr>
          <w:sz w:val="15"/>
        </w:rPr>
      </w:pPr>
      <w:r>
        <w:rPr/>
        <w:pict>
          <v:line style="position:absolute;mso-position-horizontal-relative:page;mso-position-vertical-relative:paragraph;z-index:2080;mso-wrap-distance-left:0;mso-wrap-distance-right:0" from="99.264pt,11.105421pt" to="243.284pt,11.105421pt" stroked="true" strokeweight=".72003pt" strokecolor="#000000">
            <w10:wrap type="topAndBottom"/>
          </v:line>
        </w:pict>
      </w:r>
    </w:p>
    <w:p>
      <w:pPr>
        <w:spacing w:before="66"/>
        <w:ind w:left="265" w:right="748" w:firstLine="0"/>
        <w:jc w:val="left"/>
        <w:rPr>
          <w:sz w:val="16"/>
        </w:rPr>
      </w:pPr>
      <w:r>
        <w:rPr>
          <w:position w:val="6"/>
          <w:sz w:val="10"/>
        </w:rPr>
        <w:t>17 </w:t>
      </w:r>
      <w:r>
        <w:rPr>
          <w:sz w:val="16"/>
        </w:rPr>
        <w:t>Hernández A. Mendoza E. (2006) Eventos adversos en el cuidado de enfermería. Revista mexicana de enfermería. Instituto Nacional de Cardiología Ignacio Chávez 72 Pp. [consultado el 5 de noviembre de 2012] disponible en: http/</w:t>
      </w:r>
      <w:hyperlink r:id="rId21">
        <w:r>
          <w:rPr>
            <w:sz w:val="16"/>
          </w:rPr>
          <w:t>www.mediagraphic.com/pdfs/enfe/en-2006/en062g.pdf</w:t>
        </w:r>
      </w:hyperlink>
    </w:p>
    <w:p>
      <w:pPr>
        <w:spacing w:line="185" w:lineRule="exact" w:before="0"/>
        <w:ind w:left="265" w:right="284" w:firstLine="0"/>
        <w:jc w:val="left"/>
        <w:rPr>
          <w:sz w:val="16"/>
        </w:rPr>
      </w:pPr>
      <w:r>
        <w:rPr>
          <w:position w:val="6"/>
          <w:sz w:val="10"/>
        </w:rPr>
        <w:t>18 </w:t>
      </w:r>
      <w:r>
        <w:rPr>
          <w:sz w:val="16"/>
        </w:rPr>
        <w:t>Gamarra B. Técnicas de enfermería en el paciente crítico. 1</w:t>
      </w:r>
      <w:r>
        <w:rPr>
          <w:position w:val="6"/>
          <w:sz w:val="10"/>
        </w:rPr>
        <w:t>a </w:t>
      </w:r>
      <w:r>
        <w:rPr>
          <w:sz w:val="16"/>
        </w:rPr>
        <w:t>edición. México. Editorial formación Alcalá. 2006. 326 pp.</w:t>
      </w:r>
    </w:p>
    <w:p>
      <w:pPr>
        <w:spacing w:after="0" w:line="185" w:lineRule="exact"/>
        <w:jc w:val="left"/>
        <w:rPr>
          <w:sz w:val="16"/>
        </w:rPr>
        <w:sectPr>
          <w:footerReference w:type="default" r:id="rId25"/>
          <w:pgSz w:w="12240" w:h="15840"/>
          <w:pgMar w:footer="928" w:header="739" w:top="1300" w:bottom="1120" w:left="1720" w:right="1180"/>
          <w:pgNumType w:start="31"/>
        </w:sectPr>
      </w:pPr>
    </w:p>
    <w:p>
      <w:pPr>
        <w:pStyle w:val="BodyText"/>
        <w:rPr>
          <w:sz w:val="20"/>
        </w:rPr>
      </w:pPr>
      <w:r>
        <w:rPr/>
        <w:pict>
          <v:line style="position:absolute;mso-position-horizontal-relative:page;mso-position-vertical-relative:page;z-index:2152" from="97.823997pt,56.16pt" to="542.643997pt,56.16pt" stroked="true" strokeweight=".48pt" strokecolor="#000000">
            <w10:wrap type="none"/>
          </v:line>
        </w:pict>
      </w:r>
    </w:p>
    <w:p>
      <w:pPr>
        <w:pStyle w:val="BodyText"/>
        <w:rPr>
          <w:sz w:val="20"/>
        </w:rPr>
      </w:pPr>
    </w:p>
    <w:p>
      <w:pPr>
        <w:pStyle w:val="BodyText"/>
        <w:spacing w:line="360" w:lineRule="auto" w:before="204"/>
        <w:ind w:left="265" w:right="233"/>
        <w:jc w:val="both"/>
      </w:pPr>
      <w:r>
        <w:rPr/>
        <w:t>El uso de estos dispositivos ha sido de gran utilidad clínica ya que permiten un acceso rápido y seguro al torrente sanguíneo, pudiendo ser utilizados para la administración o evacuación de fluidos endovenosos, medicamentos, productos sanguíneos, nutrición parenteral total, monitoreo del estado hemodinámico y para hemodiálisis. Sin embargo, no están exentos de riesgos, es decir que durante su manejo se presentan eventos adversos que alteren la salud del paciente.</w:t>
      </w:r>
    </w:p>
    <w:p>
      <w:pPr>
        <w:pStyle w:val="BodyText"/>
      </w:pPr>
    </w:p>
    <w:p>
      <w:pPr>
        <w:pStyle w:val="BodyText"/>
      </w:pPr>
    </w:p>
    <w:p>
      <w:pPr>
        <w:pStyle w:val="BodyText"/>
        <w:spacing w:before="3"/>
      </w:pPr>
    </w:p>
    <w:p>
      <w:pPr>
        <w:pStyle w:val="Heading6"/>
      </w:pPr>
      <w:bookmarkStart w:name="_TOC_250008" w:id="11"/>
      <w:bookmarkEnd w:id="11"/>
      <w:r>
        <w:rPr/>
        <w:t>CATÉTER PERIFÉRICO</w:t>
      </w:r>
    </w:p>
    <w:p>
      <w:pPr>
        <w:pStyle w:val="BodyText"/>
        <w:rPr>
          <w:b/>
        </w:rPr>
      </w:pPr>
    </w:p>
    <w:p>
      <w:pPr>
        <w:pStyle w:val="BodyText"/>
        <w:rPr>
          <w:b/>
        </w:rPr>
      </w:pPr>
    </w:p>
    <w:p>
      <w:pPr>
        <w:pStyle w:val="BodyText"/>
        <w:spacing w:line="360" w:lineRule="auto"/>
        <w:ind w:left="265" w:right="231"/>
        <w:jc w:val="both"/>
        <w:rPr>
          <w:sz w:val="16"/>
        </w:rPr>
      </w:pPr>
      <w:r>
        <w:rPr/>
        <w:t>Consiste en la colocación de un catéter en el interior de una vena para mantener un acceso venoso abierto, para la administración de sustancias terapéuticas. Los vasos más adecuados para la venopunción son: el plexo venoso dorsal y venas metacarpianas dorsales de la mano, vena cefálica, vena basílica y vena mediana del brazo</w:t>
      </w:r>
      <w:r>
        <w:rPr>
          <w:position w:val="8"/>
          <w:sz w:val="16"/>
        </w:rPr>
        <w:t>.</w:t>
      </w:r>
    </w:p>
    <w:p>
      <w:pPr>
        <w:pStyle w:val="BodyText"/>
        <w:rPr>
          <w:sz w:val="36"/>
        </w:rPr>
      </w:pPr>
    </w:p>
    <w:p>
      <w:pPr>
        <w:pStyle w:val="Heading6"/>
      </w:pPr>
      <w:r>
        <w:rPr/>
        <w:t>Indicaciones:</w:t>
      </w:r>
    </w:p>
    <w:p>
      <w:pPr>
        <w:pStyle w:val="BodyText"/>
        <w:spacing w:before="8"/>
        <w:rPr>
          <w:b/>
          <w:sz w:val="32"/>
        </w:rPr>
      </w:pPr>
    </w:p>
    <w:p>
      <w:pPr>
        <w:pStyle w:val="ListParagraph"/>
        <w:numPr>
          <w:ilvl w:val="0"/>
          <w:numId w:val="4"/>
        </w:numPr>
        <w:tabs>
          <w:tab w:pos="986" w:val="left" w:leader="none"/>
        </w:tabs>
        <w:spacing w:line="240" w:lineRule="auto" w:before="1" w:after="0"/>
        <w:ind w:left="985" w:right="0" w:hanging="360"/>
        <w:jc w:val="left"/>
        <w:rPr>
          <w:rFonts w:ascii="Wingdings" w:hAnsi="Wingdings"/>
          <w:sz w:val="24"/>
        </w:rPr>
      </w:pPr>
      <w:r>
        <w:rPr>
          <w:sz w:val="24"/>
        </w:rPr>
        <w:t>Reposición de líquidos y</w:t>
      </w:r>
      <w:r>
        <w:rPr>
          <w:spacing w:val="-10"/>
          <w:sz w:val="24"/>
        </w:rPr>
        <w:t> </w:t>
      </w:r>
      <w:r>
        <w:rPr>
          <w:sz w:val="24"/>
        </w:rPr>
        <w:t>electrolitos.</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Administración de medicamentos</w:t>
      </w:r>
      <w:r>
        <w:rPr>
          <w:spacing w:val="-18"/>
          <w:sz w:val="24"/>
        </w:rPr>
        <w:t> </w:t>
      </w:r>
      <w:r>
        <w:rPr>
          <w:sz w:val="24"/>
        </w:rPr>
        <w:t>intravenosos.</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Transfusión de sangre y</w:t>
      </w:r>
      <w:r>
        <w:rPr>
          <w:spacing w:val="-15"/>
          <w:sz w:val="24"/>
        </w:rPr>
        <w:t> </w:t>
      </w:r>
      <w:r>
        <w:rPr>
          <w:sz w:val="24"/>
        </w:rPr>
        <w:t>hemoderivados.</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Obtención de muestras de</w:t>
      </w:r>
      <w:r>
        <w:rPr>
          <w:spacing w:val="-10"/>
          <w:sz w:val="24"/>
        </w:rPr>
        <w:t> </w:t>
      </w:r>
      <w:r>
        <w:rPr>
          <w:sz w:val="24"/>
        </w:rPr>
        <w:t>sangre.</w:t>
      </w:r>
    </w:p>
    <w:p>
      <w:pPr>
        <w:pStyle w:val="ListParagraph"/>
        <w:numPr>
          <w:ilvl w:val="0"/>
          <w:numId w:val="4"/>
        </w:numPr>
        <w:tabs>
          <w:tab w:pos="986" w:val="left" w:leader="none"/>
        </w:tabs>
        <w:spacing w:line="240" w:lineRule="auto" w:before="137" w:after="0"/>
        <w:ind w:left="985" w:right="0" w:hanging="360"/>
        <w:jc w:val="left"/>
        <w:rPr>
          <w:rFonts w:ascii="Wingdings"/>
          <w:sz w:val="24"/>
        </w:rPr>
      </w:pPr>
      <w:r>
        <w:rPr>
          <w:sz w:val="24"/>
        </w:rPr>
        <w:t>Mantenimiento de acceso venoso permeable para casos de</w:t>
      </w:r>
      <w:r>
        <w:rPr>
          <w:spacing w:val="-30"/>
          <w:sz w:val="24"/>
        </w:rPr>
        <w:t> </w:t>
      </w:r>
      <w:r>
        <w:rPr>
          <w:sz w:val="24"/>
        </w:rPr>
        <w:t>emergencia.</w:t>
      </w:r>
    </w:p>
    <w:p>
      <w:pPr>
        <w:pStyle w:val="ListParagraph"/>
        <w:numPr>
          <w:ilvl w:val="0"/>
          <w:numId w:val="4"/>
        </w:numPr>
        <w:tabs>
          <w:tab w:pos="985" w:val="left" w:leader="none"/>
          <w:tab w:pos="986" w:val="left" w:leader="none"/>
        </w:tabs>
        <w:spacing w:line="240" w:lineRule="auto" w:before="134" w:after="0"/>
        <w:ind w:left="985" w:right="0" w:hanging="360"/>
        <w:jc w:val="left"/>
        <w:rPr>
          <w:rFonts w:ascii="Wingdings" w:hAnsi="Wingdings"/>
          <w:sz w:val="14"/>
        </w:rPr>
      </w:pPr>
      <w:r>
        <w:rPr>
          <w:sz w:val="24"/>
        </w:rPr>
        <w:t>Realización de estudios</w:t>
      </w:r>
      <w:r>
        <w:rPr>
          <w:spacing w:val="-7"/>
          <w:sz w:val="24"/>
        </w:rPr>
        <w:t> </w:t>
      </w:r>
      <w:r>
        <w:rPr>
          <w:sz w:val="24"/>
        </w:rPr>
        <w:t>diagnósticos.</w:t>
      </w:r>
      <w:r>
        <w:rPr>
          <w:position w:val="8"/>
          <w:sz w:val="16"/>
        </w:rPr>
        <w:t>19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2128;mso-wrap-distance-left:0;mso-wrap-distance-right:0" from="99.264pt,13.39184pt" to="243.284pt,13.39184pt" stroked="true" strokeweight=".71997pt" strokecolor="#000000">
            <w10:wrap type="topAndBottom"/>
          </v:line>
        </w:pict>
      </w:r>
    </w:p>
    <w:p>
      <w:pPr>
        <w:spacing w:before="66"/>
        <w:ind w:left="265" w:right="235" w:firstLine="0"/>
        <w:jc w:val="left"/>
        <w:rPr>
          <w:sz w:val="16"/>
        </w:rPr>
      </w:pPr>
      <w:r>
        <w:rPr>
          <w:position w:val="6"/>
          <w:sz w:val="10"/>
        </w:rPr>
        <w:t>19 </w:t>
      </w:r>
      <w:r>
        <w:rPr>
          <w:sz w:val="16"/>
        </w:rPr>
        <w:t>Manejo de catéteres periféricos (2013) Hospital general universitario Gregorio Marañón. Comunidad de Madrid. Versión 3. 1 Pp .[consultado 21 de marzo 2013] disponible en: http://www.madrid.org/cs/satellite?biobcal=ur/data.</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176" from="97.823997pt,56.16pt" to="542.643997pt,56.16pt" stroked="true" strokeweight=".48pt" strokecolor="#000000">
            <w10:wrap type="none"/>
          </v:line>
        </w:pict>
      </w:r>
    </w:p>
    <w:p>
      <w:pPr>
        <w:pStyle w:val="BodyText"/>
        <w:rPr>
          <w:sz w:val="20"/>
        </w:rPr>
      </w:pPr>
    </w:p>
    <w:p>
      <w:pPr>
        <w:pStyle w:val="BodyText"/>
        <w:spacing w:before="9" w:after="1"/>
        <w:rPr>
          <w:sz w:val="17"/>
        </w:rPr>
      </w:pPr>
    </w:p>
    <w:p>
      <w:pPr>
        <w:tabs>
          <w:tab w:pos="5372" w:val="left" w:leader="none"/>
        </w:tabs>
        <w:spacing w:line="240" w:lineRule="auto"/>
        <w:ind w:left="545" w:right="0" w:firstLine="0"/>
        <w:rPr>
          <w:sz w:val="20"/>
        </w:rPr>
      </w:pPr>
      <w:r>
        <w:rPr>
          <w:sz w:val="20"/>
        </w:rPr>
        <w:drawing>
          <wp:inline distT="0" distB="0" distL="0" distR="0">
            <wp:extent cx="2494425" cy="2619375"/>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26" cstate="print"/>
                    <a:stretch>
                      <a:fillRect/>
                    </a:stretch>
                  </pic:blipFill>
                  <pic:spPr>
                    <a:xfrm>
                      <a:off x="0" y="0"/>
                      <a:ext cx="2494425" cy="2619375"/>
                    </a:xfrm>
                    <a:prstGeom prst="rect">
                      <a:avLst/>
                    </a:prstGeom>
                  </pic:spPr>
                </pic:pic>
              </a:graphicData>
            </a:graphic>
          </wp:inline>
        </w:drawing>
      </w:r>
      <w:r>
        <w:rPr>
          <w:sz w:val="20"/>
        </w:rPr>
      </w:r>
      <w:r>
        <w:rPr>
          <w:sz w:val="20"/>
        </w:rPr>
        <w:tab/>
      </w:r>
      <w:r>
        <w:rPr>
          <w:position w:val="1"/>
          <w:sz w:val="20"/>
        </w:rPr>
        <w:drawing>
          <wp:inline distT="0" distB="0" distL="0" distR="0">
            <wp:extent cx="2196504" cy="2441067"/>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27" cstate="print"/>
                    <a:stretch>
                      <a:fillRect/>
                    </a:stretch>
                  </pic:blipFill>
                  <pic:spPr>
                    <a:xfrm>
                      <a:off x="0" y="0"/>
                      <a:ext cx="2196504" cy="2441067"/>
                    </a:xfrm>
                    <a:prstGeom prst="rect">
                      <a:avLst/>
                    </a:prstGeom>
                  </pic:spPr>
                </pic:pic>
              </a:graphicData>
            </a:graphic>
          </wp:inline>
        </w:drawing>
      </w:r>
      <w:r>
        <w:rPr>
          <w:position w:val="1"/>
          <w:sz w:val="20"/>
        </w:rPr>
      </w:r>
    </w:p>
    <w:p>
      <w:pPr>
        <w:tabs>
          <w:tab w:pos="5637" w:val="left" w:leader="none"/>
        </w:tabs>
        <w:spacing w:before="134"/>
        <w:ind w:left="1201" w:right="284" w:firstLine="0"/>
        <w:jc w:val="left"/>
        <w:rPr>
          <w:sz w:val="16"/>
        </w:rPr>
      </w:pPr>
      <w:r>
        <w:rPr>
          <w:sz w:val="16"/>
        </w:rPr>
        <w:t>Figura No. 1 Calibres de</w:t>
      </w:r>
      <w:r>
        <w:rPr>
          <w:spacing w:val="-10"/>
          <w:sz w:val="16"/>
        </w:rPr>
        <w:t> </w:t>
      </w:r>
      <w:r>
        <w:rPr>
          <w:sz w:val="16"/>
        </w:rPr>
        <w:t>catéter</w:t>
      </w:r>
      <w:r>
        <w:rPr>
          <w:spacing w:val="-2"/>
          <w:sz w:val="16"/>
        </w:rPr>
        <w:t> </w:t>
      </w:r>
      <w:r>
        <w:rPr>
          <w:sz w:val="16"/>
        </w:rPr>
        <w:t>periférico</w:t>
        <w:tab/>
        <w:t>Figura No. 2 catéter periférico en</w:t>
      </w:r>
      <w:r>
        <w:rPr>
          <w:spacing w:val="-13"/>
          <w:sz w:val="16"/>
        </w:rPr>
        <w:t> </w:t>
      </w:r>
      <w:r>
        <w:rPr>
          <w:sz w:val="16"/>
        </w:rPr>
        <w:t>vena</w:t>
      </w:r>
    </w:p>
    <w:p>
      <w:pPr>
        <w:pStyle w:val="BodyText"/>
        <w:rPr>
          <w:sz w:val="16"/>
        </w:rPr>
      </w:pPr>
    </w:p>
    <w:p>
      <w:pPr>
        <w:pStyle w:val="BodyText"/>
        <w:rPr>
          <w:sz w:val="16"/>
        </w:rPr>
      </w:pPr>
    </w:p>
    <w:p>
      <w:pPr>
        <w:pStyle w:val="BodyText"/>
        <w:rPr>
          <w:sz w:val="16"/>
        </w:rPr>
      </w:pPr>
    </w:p>
    <w:p>
      <w:pPr>
        <w:pStyle w:val="BodyText"/>
        <w:spacing w:before="3"/>
        <w:rPr>
          <w:sz w:val="20"/>
        </w:rPr>
      </w:pPr>
    </w:p>
    <w:p>
      <w:pPr>
        <w:pStyle w:val="Heading6"/>
      </w:pPr>
      <w:r>
        <w:rPr/>
        <w:t>EVENTOS ADVERSOS RELACIONADOS AL USO DE CATÉTER PERIFÉRICO:</w:t>
      </w:r>
    </w:p>
    <w:p>
      <w:pPr>
        <w:pStyle w:val="BodyText"/>
        <w:rPr>
          <w:b/>
        </w:rPr>
      </w:pPr>
    </w:p>
    <w:p>
      <w:pPr>
        <w:pStyle w:val="BodyText"/>
        <w:rPr>
          <w:b/>
        </w:rPr>
      </w:pPr>
    </w:p>
    <w:p>
      <w:pPr>
        <w:pStyle w:val="ListParagraph"/>
        <w:numPr>
          <w:ilvl w:val="0"/>
          <w:numId w:val="4"/>
        </w:numPr>
        <w:tabs>
          <w:tab w:pos="986" w:val="left" w:leader="none"/>
        </w:tabs>
        <w:spacing w:line="240" w:lineRule="auto" w:before="0" w:after="0"/>
        <w:ind w:left="985" w:right="0" w:hanging="360"/>
        <w:jc w:val="left"/>
        <w:rPr>
          <w:rFonts w:ascii="Wingdings"/>
          <w:sz w:val="24"/>
        </w:rPr>
      </w:pPr>
      <w:r>
        <w:rPr>
          <w:sz w:val="24"/>
        </w:rPr>
        <w:t>Flebitis.</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Infecciones locales y</w:t>
      </w:r>
      <w:r>
        <w:rPr>
          <w:spacing w:val="-5"/>
          <w:sz w:val="24"/>
        </w:rPr>
        <w:t> </w:t>
      </w:r>
      <w:r>
        <w:rPr>
          <w:sz w:val="24"/>
        </w:rPr>
        <w:t>sistémicas.</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Necrosis tisular relacionada con la infiltración local de</w:t>
      </w:r>
      <w:r>
        <w:rPr>
          <w:spacing w:val="-16"/>
          <w:sz w:val="24"/>
        </w:rPr>
        <w:t> </w:t>
      </w:r>
      <w:r>
        <w:rPr>
          <w:sz w:val="24"/>
        </w:rPr>
        <w:t>líquidos.</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Embolismo</w:t>
      </w:r>
      <w:r>
        <w:rPr>
          <w:spacing w:val="-6"/>
          <w:sz w:val="24"/>
        </w:rPr>
        <w:t> </w:t>
      </w:r>
      <w:r>
        <w:rPr>
          <w:sz w:val="24"/>
        </w:rPr>
        <w:t>aéreo.</w:t>
      </w:r>
    </w:p>
    <w:p>
      <w:pPr>
        <w:pStyle w:val="ListParagraph"/>
        <w:numPr>
          <w:ilvl w:val="0"/>
          <w:numId w:val="4"/>
        </w:numPr>
        <w:tabs>
          <w:tab w:pos="986" w:val="left" w:leader="none"/>
        </w:tabs>
        <w:spacing w:line="240" w:lineRule="auto" w:before="139" w:after="0"/>
        <w:ind w:left="985" w:right="0" w:hanging="360"/>
        <w:jc w:val="left"/>
        <w:rPr>
          <w:rFonts w:ascii="Wingdings"/>
          <w:sz w:val="24"/>
        </w:rPr>
      </w:pPr>
      <w:r>
        <w:rPr>
          <w:sz w:val="24"/>
        </w:rPr>
        <w:t>Traumatismo a</w:t>
      </w:r>
      <w:r>
        <w:rPr>
          <w:spacing w:val="-9"/>
          <w:sz w:val="24"/>
        </w:rPr>
        <w:t> </w:t>
      </w:r>
      <w:r>
        <w:rPr>
          <w:sz w:val="24"/>
        </w:rPr>
        <w:t>nervios.</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Reacciones alérgicas a</w:t>
      </w:r>
      <w:r>
        <w:rPr>
          <w:spacing w:val="-7"/>
          <w:sz w:val="24"/>
        </w:rPr>
        <w:t> </w:t>
      </w:r>
      <w:r>
        <w:rPr>
          <w:sz w:val="24"/>
        </w:rPr>
        <w:t>medicamentos.</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Reacción durante o después de la transfusión de</w:t>
      </w:r>
      <w:r>
        <w:rPr>
          <w:spacing w:val="-18"/>
          <w:sz w:val="24"/>
        </w:rPr>
        <w:t> </w:t>
      </w:r>
      <w:r>
        <w:rPr>
          <w:sz w:val="24"/>
        </w:rPr>
        <w:t>hemoderivados.</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Administración incorrecta de medicamento, dosis y</w:t>
      </w:r>
      <w:r>
        <w:rPr>
          <w:spacing w:val="-17"/>
          <w:sz w:val="24"/>
        </w:rPr>
        <w:t> </w:t>
      </w:r>
      <w:r>
        <w:rPr>
          <w:sz w:val="24"/>
        </w:rPr>
        <w:t>vía.</w:t>
      </w:r>
    </w:p>
    <w:p>
      <w:pPr>
        <w:pStyle w:val="BodyText"/>
      </w:pPr>
    </w:p>
    <w:p>
      <w:pPr>
        <w:pStyle w:val="BodyText"/>
      </w:pPr>
    </w:p>
    <w:p>
      <w:pPr>
        <w:pStyle w:val="BodyText"/>
      </w:pPr>
    </w:p>
    <w:p>
      <w:pPr>
        <w:pStyle w:val="Heading6"/>
        <w:spacing w:before="140"/>
      </w:pPr>
      <w:bookmarkStart w:name="_TOC_250007" w:id="12"/>
      <w:bookmarkEnd w:id="12"/>
      <w:r>
        <w:rPr/>
        <w:t>CATÉTER CENTRAL</w:t>
      </w:r>
    </w:p>
    <w:p>
      <w:pPr>
        <w:pStyle w:val="BodyText"/>
        <w:rPr>
          <w:b/>
        </w:rPr>
      </w:pPr>
    </w:p>
    <w:p>
      <w:pPr>
        <w:pStyle w:val="BodyText"/>
        <w:rPr>
          <w:b/>
        </w:rPr>
      </w:pPr>
    </w:p>
    <w:p>
      <w:pPr>
        <w:pStyle w:val="BodyText"/>
        <w:spacing w:line="360" w:lineRule="auto"/>
        <w:ind w:left="265" w:right="232"/>
        <w:jc w:val="both"/>
      </w:pPr>
      <w:r>
        <w:rPr/>
        <w:t>Es una sonda plástica larga y suave (generalmente hecha de silicona) que se insertar a través de una vena periférica o central proximal como la yugular interna, la subclavia o  la femoral  cuyo  extremo  distal se  aloja en  el interior de   grandes</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224" from="97.823997pt,56.16pt" to="542.643997pt,56.16pt" stroked="true" strokeweight=".48pt" strokecolor="#000000">
            <w10:wrap type="none"/>
          </v:line>
        </w:pict>
      </w:r>
    </w:p>
    <w:p>
      <w:pPr>
        <w:pStyle w:val="BodyText"/>
        <w:rPr>
          <w:sz w:val="20"/>
        </w:rPr>
      </w:pPr>
    </w:p>
    <w:p>
      <w:pPr>
        <w:pStyle w:val="BodyText"/>
        <w:spacing w:line="357" w:lineRule="auto" w:before="204" w:after="6"/>
        <w:ind w:left="265" w:right="234"/>
        <w:jc w:val="both"/>
        <w:rPr>
          <w:sz w:val="16"/>
        </w:rPr>
      </w:pPr>
      <w:r>
        <w:rPr/>
        <w:t>vasos venosos (cava superior, cava inferior, aurícula derecha), con el fin de permitir la administración de líquidos y medicamentos por vía intravenosa, durante un período de tiempo prolongado.</w:t>
      </w:r>
      <w:r>
        <w:rPr>
          <w:position w:val="8"/>
          <w:sz w:val="16"/>
        </w:rPr>
        <w:t>20</w:t>
      </w:r>
    </w:p>
    <w:p>
      <w:pPr>
        <w:tabs>
          <w:tab w:pos="5247" w:val="left" w:leader="none"/>
        </w:tabs>
        <w:spacing w:line="240" w:lineRule="auto"/>
        <w:ind w:left="941" w:right="0" w:firstLine="0"/>
        <w:rPr>
          <w:sz w:val="20"/>
        </w:rPr>
      </w:pPr>
      <w:r>
        <w:rPr>
          <w:position w:val="1"/>
          <w:sz w:val="20"/>
        </w:rPr>
        <w:drawing>
          <wp:inline distT="0" distB="0" distL="0" distR="0">
            <wp:extent cx="2262663" cy="1367409"/>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28" cstate="print"/>
                    <a:stretch>
                      <a:fillRect/>
                    </a:stretch>
                  </pic:blipFill>
                  <pic:spPr>
                    <a:xfrm>
                      <a:off x="0" y="0"/>
                      <a:ext cx="2262663" cy="1367409"/>
                    </a:xfrm>
                    <a:prstGeom prst="rect">
                      <a:avLst/>
                    </a:prstGeom>
                  </pic:spPr>
                </pic:pic>
              </a:graphicData>
            </a:graphic>
          </wp:inline>
        </w:drawing>
      </w:r>
      <w:r>
        <w:rPr>
          <w:position w:val="1"/>
          <w:sz w:val="20"/>
        </w:rPr>
      </w:r>
      <w:r>
        <w:rPr>
          <w:position w:val="1"/>
          <w:sz w:val="20"/>
        </w:rPr>
        <w:tab/>
      </w:r>
      <w:r>
        <w:rPr>
          <w:sz w:val="20"/>
        </w:rPr>
        <w:drawing>
          <wp:inline distT="0" distB="0" distL="0" distR="0">
            <wp:extent cx="2053734" cy="1704784"/>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9" cstate="print"/>
                    <a:stretch>
                      <a:fillRect/>
                    </a:stretch>
                  </pic:blipFill>
                  <pic:spPr>
                    <a:xfrm>
                      <a:off x="0" y="0"/>
                      <a:ext cx="2053734" cy="1704784"/>
                    </a:xfrm>
                    <a:prstGeom prst="rect">
                      <a:avLst/>
                    </a:prstGeom>
                  </pic:spPr>
                </pic:pic>
              </a:graphicData>
            </a:graphic>
          </wp:inline>
        </w:drawing>
      </w:r>
      <w:r>
        <w:rPr>
          <w:sz w:val="20"/>
        </w:rPr>
      </w:r>
    </w:p>
    <w:p>
      <w:pPr>
        <w:tabs>
          <w:tab w:pos="5382" w:val="left" w:leader="none"/>
        </w:tabs>
        <w:spacing w:before="113"/>
        <w:ind w:left="1378" w:right="284" w:firstLine="0"/>
        <w:jc w:val="left"/>
        <w:rPr>
          <w:sz w:val="16"/>
        </w:rPr>
      </w:pPr>
      <w:r>
        <w:rPr>
          <w:sz w:val="16"/>
        </w:rPr>
        <w:t>Figura No. 3 Catéter</w:t>
      </w:r>
      <w:r>
        <w:rPr>
          <w:spacing w:val="-7"/>
          <w:sz w:val="16"/>
        </w:rPr>
        <w:t> </w:t>
      </w:r>
      <w:r>
        <w:rPr>
          <w:sz w:val="16"/>
        </w:rPr>
        <w:t>venoso</w:t>
      </w:r>
      <w:r>
        <w:rPr>
          <w:spacing w:val="-2"/>
          <w:sz w:val="16"/>
        </w:rPr>
        <w:t> </w:t>
      </w:r>
      <w:r>
        <w:rPr>
          <w:sz w:val="16"/>
        </w:rPr>
        <w:t>central</w:t>
        <w:tab/>
        <w:t>Figura No. 4  Trayecto de catéter venoso</w:t>
      </w:r>
      <w:r>
        <w:rPr>
          <w:spacing w:val="-18"/>
          <w:sz w:val="16"/>
        </w:rPr>
        <w:t> </w:t>
      </w:r>
      <w:r>
        <w:rPr>
          <w:sz w:val="16"/>
        </w:rPr>
        <w:t>central</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16"/>
        </w:rPr>
      </w:pPr>
    </w:p>
    <w:p>
      <w:pPr>
        <w:pStyle w:val="Heading6"/>
        <w:spacing w:before="1"/>
      </w:pPr>
      <w:r>
        <w:rPr/>
        <w:t>EVENTOS ADVERSOS RELACIONADOS AL USO DE CATÉTER CENTRAL:</w:t>
      </w:r>
    </w:p>
    <w:p>
      <w:pPr>
        <w:pStyle w:val="BodyText"/>
        <w:rPr>
          <w:b/>
        </w:rPr>
      </w:pPr>
    </w:p>
    <w:p>
      <w:pPr>
        <w:pStyle w:val="BodyText"/>
        <w:rPr>
          <w:b/>
        </w:rPr>
      </w:pPr>
    </w:p>
    <w:p>
      <w:pPr>
        <w:pStyle w:val="ListParagraph"/>
        <w:numPr>
          <w:ilvl w:val="0"/>
          <w:numId w:val="4"/>
        </w:numPr>
        <w:tabs>
          <w:tab w:pos="986" w:val="left" w:leader="none"/>
        </w:tabs>
        <w:spacing w:line="240" w:lineRule="auto" w:before="0" w:after="0"/>
        <w:ind w:left="985" w:right="0" w:hanging="360"/>
        <w:jc w:val="left"/>
        <w:rPr>
          <w:rFonts w:ascii="Wingdings" w:hAnsi="Wingdings"/>
          <w:sz w:val="24"/>
        </w:rPr>
      </w:pPr>
      <w:r>
        <w:rPr>
          <w:sz w:val="24"/>
        </w:rPr>
        <w:t>Presencia de hematoma en el sitio de</w:t>
      </w:r>
      <w:r>
        <w:rPr>
          <w:spacing w:val="-17"/>
          <w:sz w:val="24"/>
        </w:rPr>
        <w:t> </w:t>
      </w:r>
      <w:r>
        <w:rPr>
          <w:sz w:val="24"/>
        </w:rPr>
        <w:t>punción.</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Perforación</w:t>
      </w:r>
      <w:r>
        <w:rPr>
          <w:spacing w:val="-9"/>
          <w:sz w:val="24"/>
        </w:rPr>
        <w:t> </w:t>
      </w:r>
      <w:r>
        <w:rPr>
          <w:sz w:val="24"/>
        </w:rPr>
        <w:t>miocárdica.</w:t>
      </w:r>
    </w:p>
    <w:p>
      <w:pPr>
        <w:pStyle w:val="ListParagraph"/>
        <w:numPr>
          <w:ilvl w:val="0"/>
          <w:numId w:val="4"/>
        </w:numPr>
        <w:tabs>
          <w:tab w:pos="986" w:val="left" w:leader="none"/>
        </w:tabs>
        <w:spacing w:line="240" w:lineRule="auto" w:before="139" w:after="0"/>
        <w:ind w:left="985" w:right="0" w:hanging="360"/>
        <w:jc w:val="left"/>
        <w:rPr>
          <w:rFonts w:ascii="Wingdings"/>
          <w:sz w:val="24"/>
        </w:rPr>
      </w:pPr>
      <w:r>
        <w:rPr>
          <w:sz w:val="24"/>
        </w:rPr>
        <w:t>Trombosis o</w:t>
      </w:r>
      <w:r>
        <w:rPr>
          <w:spacing w:val="-7"/>
          <w:sz w:val="24"/>
        </w:rPr>
        <w:t> </w:t>
      </w:r>
      <w:r>
        <w:rPr>
          <w:sz w:val="24"/>
        </w:rPr>
        <w:t>flebitis.</w:t>
      </w:r>
    </w:p>
    <w:p>
      <w:pPr>
        <w:pStyle w:val="ListParagraph"/>
        <w:numPr>
          <w:ilvl w:val="0"/>
          <w:numId w:val="4"/>
        </w:numPr>
        <w:tabs>
          <w:tab w:pos="986" w:val="left" w:leader="none"/>
        </w:tabs>
        <w:spacing w:line="240" w:lineRule="auto" w:before="137" w:after="0"/>
        <w:ind w:left="985" w:right="0" w:hanging="360"/>
        <w:jc w:val="left"/>
        <w:rPr>
          <w:rFonts w:ascii="Wingdings"/>
          <w:sz w:val="24"/>
        </w:rPr>
      </w:pPr>
      <w:r>
        <w:rPr>
          <w:sz w:val="24"/>
        </w:rPr>
        <w:t>Arritmias.</w:t>
      </w:r>
    </w:p>
    <w:p>
      <w:pPr>
        <w:pStyle w:val="ListParagraph"/>
        <w:numPr>
          <w:ilvl w:val="0"/>
          <w:numId w:val="4"/>
        </w:numPr>
        <w:tabs>
          <w:tab w:pos="986" w:val="left" w:leader="none"/>
        </w:tabs>
        <w:spacing w:line="240" w:lineRule="auto" w:before="137" w:after="0"/>
        <w:ind w:left="985" w:right="0" w:hanging="360"/>
        <w:jc w:val="left"/>
        <w:rPr>
          <w:rFonts w:ascii="Wingdings"/>
          <w:sz w:val="24"/>
        </w:rPr>
      </w:pPr>
      <w:r>
        <w:rPr>
          <w:sz w:val="24"/>
        </w:rPr>
        <w:t>Embolia</w:t>
      </w:r>
      <w:r>
        <w:rPr>
          <w:spacing w:val="-7"/>
          <w:sz w:val="24"/>
        </w:rPr>
        <w:t> </w:t>
      </w:r>
      <w:r>
        <w:rPr>
          <w:sz w:val="24"/>
        </w:rPr>
        <w:t>gaseosa.</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Ruptura del</w:t>
      </w:r>
      <w:r>
        <w:rPr>
          <w:spacing w:val="-5"/>
          <w:sz w:val="24"/>
        </w:rPr>
        <w:t> </w:t>
      </w:r>
      <w:r>
        <w:rPr>
          <w:sz w:val="24"/>
        </w:rPr>
        <w:t>catéter.</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Osteomielitis por punción</w:t>
      </w:r>
      <w:r>
        <w:rPr>
          <w:spacing w:val="-7"/>
          <w:sz w:val="24"/>
        </w:rPr>
        <w:t> </w:t>
      </w:r>
      <w:r>
        <w:rPr>
          <w:sz w:val="24"/>
        </w:rPr>
        <w:t>ósea.</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Reacción</w:t>
      </w:r>
      <w:r>
        <w:rPr>
          <w:spacing w:val="-7"/>
          <w:sz w:val="24"/>
        </w:rPr>
        <w:t> </w:t>
      </w:r>
      <w:r>
        <w:rPr>
          <w:sz w:val="24"/>
        </w:rPr>
        <w:t>medicamentosa</w:t>
      </w:r>
    </w:p>
    <w:p>
      <w:pPr>
        <w:pStyle w:val="ListParagraph"/>
        <w:numPr>
          <w:ilvl w:val="0"/>
          <w:numId w:val="4"/>
        </w:numPr>
        <w:tabs>
          <w:tab w:pos="985" w:val="left" w:leader="none"/>
          <w:tab w:pos="986" w:val="left" w:leader="none"/>
        </w:tabs>
        <w:spacing w:line="240" w:lineRule="auto" w:before="132" w:after="0"/>
        <w:ind w:left="985" w:right="0" w:hanging="360"/>
        <w:jc w:val="left"/>
        <w:rPr>
          <w:rFonts w:ascii="Wingdings" w:hAnsi="Wingdings"/>
          <w:sz w:val="14"/>
        </w:rPr>
      </w:pPr>
      <w:r>
        <w:rPr>
          <w:sz w:val="24"/>
        </w:rPr>
        <w:t>Desconexión de los</w:t>
      </w:r>
      <w:r>
        <w:rPr>
          <w:spacing w:val="-9"/>
          <w:sz w:val="24"/>
        </w:rPr>
        <w:t> </w:t>
      </w:r>
      <w:r>
        <w:rPr>
          <w:sz w:val="24"/>
        </w:rPr>
        <w:t>lúmenes.</w:t>
      </w:r>
      <w:r>
        <w:rPr>
          <w:position w:val="8"/>
          <w:sz w:val="16"/>
        </w:rPr>
        <w:t>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2200;mso-wrap-distance-left:0;mso-wrap-distance-right:0" from="99.264pt,18.153852pt" to="243.284pt,18.153852pt" stroked="true" strokeweight=".72003pt" strokecolor="#000000">
            <w10:wrap type="topAndBottom"/>
          </v:line>
        </w:pict>
      </w:r>
    </w:p>
    <w:p>
      <w:pPr>
        <w:spacing w:line="247" w:lineRule="auto" w:before="64"/>
        <w:ind w:left="265" w:right="342" w:firstLine="0"/>
        <w:jc w:val="left"/>
        <w:rPr>
          <w:sz w:val="16"/>
        </w:rPr>
      </w:pPr>
      <w:r>
        <w:rPr>
          <w:position w:val="6"/>
          <w:sz w:val="10"/>
        </w:rPr>
        <w:t>20 </w:t>
      </w:r>
      <w:r>
        <w:rPr>
          <w:sz w:val="16"/>
        </w:rPr>
        <w:t>Catéteres venosos centrales y las técnicas de inserción, así como la prevención y el tratamiento de las complicaciones (2013) Intra Med. [Consultado 18 de mayo 2013] disponible en: </w:t>
      </w:r>
      <w:hyperlink r:id="rId30">
        <w:r>
          <w:rPr>
            <w:color w:val="0000FF"/>
            <w:sz w:val="16"/>
            <w:u w:val="single" w:color="0000FF"/>
          </w:rPr>
          <w:t>http://intramed.net/contenidover.asp?contenidoID=82177</w:t>
        </w:r>
      </w:hyperlink>
      <w:r>
        <w:rPr>
          <w:sz w:val="16"/>
        </w:rPr>
        <w:t>? </w:t>
      </w:r>
      <w:r>
        <w:rPr>
          <w:rFonts w:ascii="Calibri" w:hAnsi="Calibri"/>
          <w:position w:val="7"/>
          <w:sz w:val="13"/>
        </w:rPr>
        <w:t>21 </w:t>
      </w:r>
      <w:r>
        <w:rPr>
          <w:sz w:val="16"/>
        </w:rPr>
        <w:t>Cateterización de vía venosa centra 107 Pp. [consultado 5 de junio 2014] disponible en iww.oc.lm.ehu.es/fundamentos/fundamentos/tecnicascm/via venosa central.pdfble</w:t>
      </w:r>
    </w:p>
    <w:p>
      <w:pPr>
        <w:spacing w:after="0" w:line="247" w:lineRule="auto"/>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296" from="97.823997pt,56.16pt" to="542.643997pt,56.16pt" stroked="true" strokeweight=".48pt" strokecolor="#000000">
            <w10:wrap type="none"/>
          </v:line>
        </w:pict>
      </w:r>
    </w:p>
    <w:p>
      <w:pPr>
        <w:pStyle w:val="BodyText"/>
        <w:rPr>
          <w:sz w:val="20"/>
        </w:rPr>
      </w:pPr>
    </w:p>
    <w:p>
      <w:pPr>
        <w:pStyle w:val="Heading6"/>
        <w:spacing w:before="204"/>
      </w:pPr>
      <w:bookmarkStart w:name="_TOC_250006" w:id="13"/>
      <w:bookmarkEnd w:id="13"/>
      <w:r>
        <w:rPr/>
        <w:t>LÍNEA ARTERIAL</w:t>
      </w:r>
    </w:p>
    <w:p>
      <w:pPr>
        <w:pStyle w:val="BodyText"/>
        <w:rPr>
          <w:b/>
        </w:rPr>
      </w:pPr>
    </w:p>
    <w:p>
      <w:pPr>
        <w:pStyle w:val="BodyText"/>
        <w:rPr>
          <w:b/>
        </w:rPr>
      </w:pPr>
    </w:p>
    <w:p>
      <w:pPr>
        <w:pStyle w:val="BodyText"/>
        <w:spacing w:line="360" w:lineRule="auto"/>
        <w:ind w:left="265" w:right="243"/>
        <w:jc w:val="both"/>
        <w:rPr>
          <w:sz w:val="16"/>
        </w:rPr>
      </w:pPr>
      <w:r>
        <w:rPr/>
        <w:drawing>
          <wp:anchor distT="0" distB="0" distL="0" distR="0" allowOverlap="1" layoutInCell="1" locked="0" behindDoc="0" simplePos="0" relativeHeight="2248">
            <wp:simplePos x="0" y="0"/>
            <wp:positionH relativeFrom="page">
              <wp:posOffset>2766060</wp:posOffset>
            </wp:positionH>
            <wp:positionV relativeFrom="paragraph">
              <wp:posOffset>1374087</wp:posOffset>
            </wp:positionV>
            <wp:extent cx="2410327" cy="2105977"/>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31" cstate="print"/>
                    <a:stretch>
                      <a:fillRect/>
                    </a:stretch>
                  </pic:blipFill>
                  <pic:spPr>
                    <a:xfrm>
                      <a:off x="0" y="0"/>
                      <a:ext cx="2410327" cy="2105977"/>
                    </a:xfrm>
                    <a:prstGeom prst="rect">
                      <a:avLst/>
                    </a:prstGeom>
                  </pic:spPr>
                </pic:pic>
              </a:graphicData>
            </a:graphic>
          </wp:anchor>
        </w:drawing>
      </w:r>
      <w:r>
        <w:rPr/>
        <w:t>Es una técnica invasiva que consiste en la introducción de un catéter en una  arteria periférica, que permite mantener una acceso directo y permanente en el sistema arterial, gracias a ello podemos medir de manera continua y exacta, la presión arterial también brinda la disponibilidad de extraer muestras para la determinación de gases arteriales, lo cual evita múltiples</w:t>
      </w:r>
      <w:r>
        <w:rPr>
          <w:spacing w:val="-18"/>
        </w:rPr>
        <w:t> </w:t>
      </w:r>
      <w:r>
        <w:rPr/>
        <w:t>punciones.</w:t>
      </w:r>
      <w:r>
        <w:rPr>
          <w:position w:val="8"/>
          <w:sz w:val="16"/>
        </w:rPr>
        <w:t>22</w:t>
      </w:r>
    </w:p>
    <w:p>
      <w:pPr>
        <w:spacing w:before="146"/>
        <w:ind w:left="456" w:right="430" w:firstLine="0"/>
        <w:jc w:val="center"/>
        <w:rPr>
          <w:sz w:val="16"/>
        </w:rPr>
      </w:pPr>
      <w:r>
        <w:rPr>
          <w:sz w:val="16"/>
        </w:rPr>
        <w:t>Figura No.5 Localización de arteria radial</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16"/>
        </w:rPr>
      </w:pPr>
    </w:p>
    <w:p>
      <w:pPr>
        <w:pStyle w:val="Heading6"/>
        <w:spacing w:before="1"/>
      </w:pPr>
      <w:r>
        <w:rPr/>
        <w:t>EVENTOS ADVERSOS RELACIONADOS AL USO DE LINEA ARTERIAL</w:t>
      </w:r>
    </w:p>
    <w:p>
      <w:pPr>
        <w:pStyle w:val="BodyText"/>
        <w:rPr>
          <w:b/>
        </w:rPr>
      </w:pPr>
    </w:p>
    <w:p>
      <w:pPr>
        <w:pStyle w:val="BodyText"/>
        <w:rPr>
          <w:b/>
        </w:rPr>
      </w:pPr>
    </w:p>
    <w:p>
      <w:pPr>
        <w:pStyle w:val="ListParagraph"/>
        <w:numPr>
          <w:ilvl w:val="0"/>
          <w:numId w:val="4"/>
        </w:numPr>
        <w:tabs>
          <w:tab w:pos="986" w:val="left" w:leader="none"/>
        </w:tabs>
        <w:spacing w:line="240" w:lineRule="auto" w:before="0" w:after="0"/>
        <w:ind w:left="985" w:right="0" w:hanging="360"/>
        <w:jc w:val="left"/>
        <w:rPr>
          <w:rFonts w:ascii="Wingdings"/>
          <w:sz w:val="24"/>
        </w:rPr>
      </w:pPr>
      <w:r>
        <w:rPr>
          <w:sz w:val="24"/>
        </w:rPr>
        <w:t>Hematomas y edema</w:t>
      </w:r>
      <w:r>
        <w:rPr>
          <w:spacing w:val="-11"/>
          <w:sz w:val="24"/>
        </w:rPr>
        <w:t> </w:t>
      </w:r>
      <w:r>
        <w:rPr>
          <w:sz w:val="24"/>
        </w:rPr>
        <w:t>local.</w:t>
      </w:r>
    </w:p>
    <w:p>
      <w:pPr>
        <w:pStyle w:val="ListParagraph"/>
        <w:numPr>
          <w:ilvl w:val="0"/>
          <w:numId w:val="4"/>
        </w:numPr>
        <w:tabs>
          <w:tab w:pos="986" w:val="left" w:leader="none"/>
        </w:tabs>
        <w:spacing w:line="240" w:lineRule="auto" w:before="139" w:after="0"/>
        <w:ind w:left="985" w:right="0" w:hanging="360"/>
        <w:jc w:val="left"/>
        <w:rPr>
          <w:rFonts w:ascii="Wingdings"/>
          <w:sz w:val="24"/>
        </w:rPr>
      </w:pPr>
      <w:r>
        <w:rPr>
          <w:sz w:val="24"/>
        </w:rPr>
        <w:t>Dolor en nervio</w:t>
      </w:r>
      <w:r>
        <w:rPr>
          <w:spacing w:val="-8"/>
          <w:sz w:val="24"/>
        </w:rPr>
        <w:t> </w:t>
      </w:r>
      <w:r>
        <w:rPr>
          <w:sz w:val="24"/>
        </w:rPr>
        <w:t>radial.</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Uso de solución heparinizada ya</w:t>
      </w:r>
      <w:r>
        <w:rPr>
          <w:spacing w:val="-17"/>
          <w:sz w:val="24"/>
        </w:rPr>
        <w:t> </w:t>
      </w:r>
      <w:r>
        <w:rPr>
          <w:sz w:val="24"/>
        </w:rPr>
        <w:t>caducada</w:t>
      </w:r>
    </w:p>
    <w:p>
      <w:pPr>
        <w:pStyle w:val="ListParagraph"/>
        <w:numPr>
          <w:ilvl w:val="0"/>
          <w:numId w:val="4"/>
        </w:numPr>
        <w:tabs>
          <w:tab w:pos="986" w:val="left" w:leader="none"/>
        </w:tabs>
        <w:spacing w:line="240" w:lineRule="auto" w:before="140" w:after="0"/>
        <w:ind w:left="985" w:right="0" w:hanging="360"/>
        <w:jc w:val="left"/>
        <w:rPr>
          <w:rFonts w:ascii="Wingdings" w:hAnsi="Wingdings"/>
          <w:sz w:val="24"/>
        </w:rPr>
      </w:pPr>
      <w:r>
        <w:rPr>
          <w:sz w:val="24"/>
        </w:rPr>
        <w:t>Formación de trombos arteriales en el</w:t>
      </w:r>
      <w:r>
        <w:rPr>
          <w:spacing w:val="-18"/>
          <w:sz w:val="24"/>
        </w:rPr>
        <w:t> </w:t>
      </w:r>
      <w:r>
        <w:rPr>
          <w:sz w:val="24"/>
        </w:rPr>
        <w:t>equipo</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Infección</w:t>
      </w:r>
      <w:r>
        <w:rPr>
          <w:spacing w:val="-3"/>
          <w:sz w:val="24"/>
        </w:rPr>
        <w:t> </w:t>
      </w:r>
      <w:r>
        <w:rPr>
          <w:sz w:val="24"/>
        </w:rPr>
        <w:t>local.</w:t>
      </w:r>
    </w:p>
    <w:p>
      <w:pPr>
        <w:pStyle w:val="ListParagraph"/>
        <w:numPr>
          <w:ilvl w:val="0"/>
          <w:numId w:val="4"/>
        </w:numPr>
        <w:tabs>
          <w:tab w:pos="986" w:val="left" w:leader="none"/>
        </w:tabs>
        <w:spacing w:line="240" w:lineRule="auto" w:before="139" w:after="0"/>
        <w:ind w:left="985" w:right="0" w:hanging="360"/>
        <w:jc w:val="left"/>
        <w:rPr>
          <w:rFonts w:ascii="Wingdings" w:hAnsi="Wingdings"/>
          <w:sz w:val="24"/>
        </w:rPr>
      </w:pPr>
      <w:r>
        <w:rPr>
          <w:sz w:val="24"/>
        </w:rPr>
        <w:t>Deterioro de la circulación</w:t>
      </w:r>
      <w:r>
        <w:rPr>
          <w:spacing w:val="-8"/>
          <w:sz w:val="24"/>
        </w:rPr>
        <w:t> </w:t>
      </w:r>
      <w:r>
        <w:rPr>
          <w:sz w:val="24"/>
        </w:rPr>
        <w:t>distal.</w:t>
      </w:r>
    </w:p>
    <w:p>
      <w:pPr>
        <w:pStyle w:val="ListParagraph"/>
        <w:numPr>
          <w:ilvl w:val="0"/>
          <w:numId w:val="4"/>
        </w:numPr>
        <w:tabs>
          <w:tab w:pos="986" w:val="left" w:leader="none"/>
        </w:tabs>
        <w:spacing w:line="240" w:lineRule="auto" w:before="137" w:after="0"/>
        <w:ind w:left="985" w:right="0" w:hanging="360"/>
        <w:jc w:val="left"/>
        <w:rPr>
          <w:rFonts w:ascii="Wingdings" w:hAnsi="Wingdings"/>
          <w:sz w:val="24"/>
        </w:rPr>
      </w:pPr>
      <w:r>
        <w:rPr>
          <w:sz w:val="24"/>
        </w:rPr>
        <w:t>Sangrado importante por desconexión del equipo y/o salida del</w:t>
      </w:r>
      <w:r>
        <w:rPr>
          <w:spacing w:val="-20"/>
          <w:sz w:val="24"/>
        </w:rPr>
        <w:t> </w:t>
      </w:r>
      <w:r>
        <w:rPr>
          <w:sz w:val="24"/>
        </w:rPr>
        <w:t>catéter.</w:t>
      </w:r>
    </w:p>
    <w:p>
      <w:pPr>
        <w:pStyle w:val="ListParagraph"/>
        <w:numPr>
          <w:ilvl w:val="0"/>
          <w:numId w:val="4"/>
        </w:numPr>
        <w:tabs>
          <w:tab w:pos="986" w:val="left" w:leader="none"/>
        </w:tabs>
        <w:spacing w:line="240" w:lineRule="auto" w:before="139" w:after="0"/>
        <w:ind w:left="985" w:right="0" w:hanging="360"/>
        <w:jc w:val="left"/>
        <w:rPr>
          <w:rFonts w:ascii="Wingdings"/>
          <w:sz w:val="24"/>
        </w:rPr>
      </w:pPr>
      <w:r>
        <w:rPr>
          <w:sz w:val="24"/>
        </w:rPr>
        <w:t>Espasmo</w:t>
      </w:r>
      <w:r>
        <w:rPr>
          <w:spacing w:val="-7"/>
          <w:sz w:val="24"/>
        </w:rPr>
        <w:t> </w:t>
      </w:r>
      <w:r>
        <w:rPr>
          <w:sz w:val="24"/>
        </w:rPr>
        <w:t>arterial.</w:t>
      </w:r>
    </w:p>
    <w:p>
      <w:pPr>
        <w:pStyle w:val="BodyText"/>
        <w:rPr>
          <w:sz w:val="20"/>
        </w:rPr>
      </w:pPr>
    </w:p>
    <w:p>
      <w:pPr>
        <w:pStyle w:val="BodyText"/>
        <w:spacing w:before="1"/>
      </w:pPr>
      <w:r>
        <w:rPr/>
        <w:pict>
          <v:line style="position:absolute;mso-position-horizontal-relative:page;mso-position-vertical-relative:paragraph;z-index:2272;mso-wrap-distance-left:0;mso-wrap-distance-right:0" from="99.264pt,16.194019pt" to="243.284pt,16.194019pt" stroked="true" strokeweight=".71997pt" strokecolor="#000000">
            <w10:wrap type="topAndBottom"/>
          </v:line>
        </w:pict>
      </w:r>
    </w:p>
    <w:p>
      <w:pPr>
        <w:spacing w:before="66"/>
        <w:ind w:left="265" w:right="284" w:firstLine="0"/>
        <w:jc w:val="left"/>
        <w:rPr>
          <w:sz w:val="16"/>
        </w:rPr>
      </w:pPr>
      <w:r>
        <w:rPr>
          <w:position w:val="6"/>
          <w:sz w:val="10"/>
        </w:rPr>
        <w:t>22 </w:t>
      </w:r>
      <w:r>
        <w:rPr>
          <w:sz w:val="16"/>
        </w:rPr>
        <w:t>Gutiérrez L. Procedimientos en el paciente crítico. 29 Pp. México. Ediciones Cuellar S.A. 2007.</w:t>
      </w:r>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320" from="97.823997pt,56.16pt" to="542.643997pt,56.16pt" stroked="true" strokeweight=".48pt" strokecolor="#000000">
            <w10:wrap type="none"/>
          </v:line>
        </w:pict>
      </w:r>
    </w:p>
    <w:p>
      <w:pPr>
        <w:pStyle w:val="BodyText"/>
        <w:rPr>
          <w:sz w:val="20"/>
        </w:rPr>
      </w:pPr>
    </w:p>
    <w:p>
      <w:pPr>
        <w:pStyle w:val="Heading6"/>
        <w:spacing w:before="204"/>
        <w:ind w:left="2082" w:right="284"/>
        <w:jc w:val="left"/>
      </w:pPr>
      <w:bookmarkStart w:name="_TOC_250005" w:id="14"/>
      <w:bookmarkEnd w:id="14"/>
      <w:r>
        <w:rPr/>
        <w:t>ANÁLISIS Y DESCRIPCIÓN DE RESULTADOS</w:t>
      </w:r>
    </w:p>
    <w:p>
      <w:pPr>
        <w:pStyle w:val="BodyText"/>
        <w:rPr>
          <w:b/>
        </w:rPr>
      </w:pPr>
    </w:p>
    <w:p>
      <w:pPr>
        <w:pStyle w:val="BodyText"/>
        <w:rPr>
          <w:b/>
        </w:rPr>
      </w:pPr>
    </w:p>
    <w:p>
      <w:pPr>
        <w:pStyle w:val="BodyText"/>
        <w:spacing w:line="360" w:lineRule="auto"/>
        <w:ind w:left="265" w:right="232"/>
        <w:jc w:val="both"/>
      </w:pPr>
      <w:r>
        <w:rPr/>
        <w:t>La enfermería mexicana tiene como finalidad ofrecer servicios asistenciales efectivos con sentido humanitario, dirigidos al cuidado de la salud de la persona, familia y comunidad. Con acciones de promoción, prevención, curación y rehabilitación otorgadas por personal profesional competente que sustente su práctica en una sólida formación académica, centrada en el dominio de la disciplina y en los valores éticos de la</w:t>
      </w:r>
      <w:r>
        <w:rPr>
          <w:spacing w:val="-8"/>
        </w:rPr>
        <w:t> </w:t>
      </w:r>
      <w:r>
        <w:rPr/>
        <w:t>profesión.</w:t>
      </w:r>
    </w:p>
    <w:p>
      <w:pPr>
        <w:pStyle w:val="BodyText"/>
      </w:pPr>
    </w:p>
    <w:p>
      <w:pPr>
        <w:pStyle w:val="BodyText"/>
        <w:spacing w:line="360" w:lineRule="auto" w:before="142"/>
        <w:ind w:left="265" w:right="236"/>
        <w:jc w:val="both"/>
        <w:rPr>
          <w:b/>
        </w:rPr>
      </w:pPr>
      <w:r>
        <w:rPr/>
        <w:t>La calidad se considera en dos dimensiones: la calidad técnica que requiere de la competencia y responsabilidad para aplicar sus conocimientos y habilidades en todos los cuidados que otorga y, la calidad interpersonal, entendida como el trato digno que distingue la atención de enfermería y cuyos rasgos característicos son: comunicación, confianza y respeto</w:t>
      </w:r>
      <w:r>
        <w:rPr>
          <w:b/>
        </w:rPr>
        <w:t>.</w:t>
      </w:r>
    </w:p>
    <w:p>
      <w:pPr>
        <w:pStyle w:val="BodyText"/>
        <w:rPr>
          <w:b/>
        </w:rPr>
      </w:pPr>
    </w:p>
    <w:p>
      <w:pPr>
        <w:pStyle w:val="BodyText"/>
        <w:spacing w:line="360" w:lineRule="auto" w:before="142"/>
        <w:ind w:left="265" w:right="242"/>
        <w:jc w:val="both"/>
      </w:pPr>
      <w:r>
        <w:rPr/>
        <w:t>La calidad de los servicios de enfermería es un concepto complejo que comprende la asistencia acorde a los avances de la ciencia, a fin de implementar cuidados  que satisfagan las necesidades de cada paciente, evitando cualquier tipo de daño o evento adverso agregado a su patología de</w:t>
      </w:r>
      <w:r>
        <w:rPr>
          <w:spacing w:val="-16"/>
        </w:rPr>
        <w:t> </w:t>
      </w:r>
      <w:r>
        <w:rPr/>
        <w:t>base.</w:t>
      </w:r>
    </w:p>
    <w:p>
      <w:pPr>
        <w:pStyle w:val="BodyText"/>
      </w:pPr>
    </w:p>
    <w:p>
      <w:pPr>
        <w:pStyle w:val="BodyText"/>
        <w:spacing w:line="360" w:lineRule="auto" w:before="142"/>
        <w:ind w:left="265" w:right="232"/>
        <w:jc w:val="both"/>
      </w:pPr>
      <w:r>
        <w:rPr/>
        <w:t>La finalidad del trabajo fue analizar los eventos adversos derivados de la terapia  de infusión, en pacientes obstétricas en un hospital de tercer nivel de Toluca, mediante la obtención de porcentaje de eventos adversos ocurridos en 2012, la clasificación de los mismos y el turno con mayor incidencia que se presentaran. La muestra total obtenida mediante una cédula de captación de datos fue de 383 casos, con los cuales se obtuvieron datos interesantes tales como la etapa del embarazo en la que se presenta mayor incidencia de eventos adversos relacionados a catéter periférico secundarios a la administración de medicamentos en turno matutino y que el 60% de ellos pudieron haberse</w:t>
      </w:r>
      <w:r>
        <w:rPr>
          <w:spacing w:val="-24"/>
        </w:rPr>
        <w:t> </w:t>
      </w:r>
      <w:r>
        <w:rPr/>
        <w:t>evitado.</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344" from="97.823997pt,56.16pt" to="542.643997pt,56.16pt" stroked="true" strokeweight=".48pt" strokecolor="#000000">
            <w10:wrap type="none"/>
          </v:line>
        </w:pict>
      </w:r>
    </w:p>
    <w:p>
      <w:pPr>
        <w:pStyle w:val="BodyText"/>
        <w:rPr>
          <w:sz w:val="20"/>
        </w:rPr>
      </w:pPr>
    </w:p>
    <w:p>
      <w:pPr>
        <w:pStyle w:val="BodyText"/>
        <w:spacing w:line="360" w:lineRule="auto" w:before="204"/>
        <w:ind w:left="265" w:right="235"/>
        <w:jc w:val="both"/>
      </w:pPr>
      <w:r>
        <w:rPr/>
        <w:t>Los porcentajes analizados a continuación se realizaron mediante la obtención de la prevalencia de los mismos, de los cuales sólo se hace referencia a los datos más significativos para fines de la presente investigación.</w:t>
      </w:r>
    </w:p>
    <w:p>
      <w:pPr>
        <w:pStyle w:val="BodyText"/>
      </w:pPr>
    </w:p>
    <w:p>
      <w:pPr>
        <w:pStyle w:val="BodyText"/>
        <w:spacing w:line="360" w:lineRule="auto" w:before="142"/>
        <w:ind w:left="265" w:right="233"/>
        <w:jc w:val="both"/>
      </w:pPr>
      <w:r>
        <w:rPr/>
        <w:t>La calidad de los servicios de enfermería es un concepto complejo que comprende la asistencia acorde a los avances de la ciencia, a fin de implementar cuidados  que satisfagan las necesidades de cada paciente, evitando cualquier tipo de daño o evento adverso agregado a su patología de</w:t>
      </w:r>
      <w:r>
        <w:rPr>
          <w:spacing w:val="-19"/>
        </w:rPr>
        <w:t> </w:t>
      </w:r>
      <w:r>
        <w:rPr/>
        <w:t>base.</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368" from="97.823997pt,56.16pt" to="542.643997pt,56.16pt" stroked="true" strokeweight=".48pt" strokecolor="#000000">
            <w10:wrap type="none"/>
          </v:line>
        </w:pict>
      </w:r>
    </w:p>
    <w:p>
      <w:pPr>
        <w:pStyle w:val="BodyText"/>
        <w:rPr>
          <w:sz w:val="20"/>
        </w:rPr>
      </w:pPr>
    </w:p>
    <w:p>
      <w:pPr>
        <w:pStyle w:val="BodyText"/>
        <w:spacing w:line="360" w:lineRule="auto" w:before="204"/>
        <w:ind w:left="265" w:right="236"/>
        <w:jc w:val="both"/>
      </w:pPr>
      <w:r>
        <w:rPr/>
        <w:t>En el cuadro 1 se realizó una tabulación sobre el total de eventos adversos ocurridos en el año 2012, el cual corresponde a 383 casos totales y en donde, el mayor número de eventos adversos registrados corresponden al mes de enero (98 casos, 26%), posteriormente el mes de julio con (97 casos, 25%), y en contraste el mes con menor incidencia fue octubre (1 caso, 0.26%).</w:t>
      </w:r>
    </w:p>
    <w:p>
      <w:pPr>
        <w:pStyle w:val="BodyText"/>
      </w:pPr>
    </w:p>
    <w:p>
      <w:pPr>
        <w:pStyle w:val="BodyText"/>
      </w:pPr>
    </w:p>
    <w:p>
      <w:pPr>
        <w:pStyle w:val="BodyText"/>
      </w:pPr>
    </w:p>
    <w:p>
      <w:pPr>
        <w:spacing w:before="156"/>
        <w:ind w:left="461" w:right="430" w:firstLine="0"/>
        <w:jc w:val="center"/>
        <w:rPr>
          <w:b/>
          <w:sz w:val="22"/>
        </w:rPr>
      </w:pPr>
      <w:r>
        <w:rPr>
          <w:b/>
          <w:sz w:val="22"/>
        </w:rPr>
        <w:t>Cuadro N° 1</w:t>
      </w:r>
    </w:p>
    <w:p>
      <w:pPr>
        <w:pStyle w:val="BodyText"/>
        <w:rPr>
          <w:b/>
          <w:sz w:val="22"/>
        </w:rPr>
      </w:pPr>
    </w:p>
    <w:p>
      <w:pPr>
        <w:pStyle w:val="BodyText"/>
        <w:rPr>
          <w:b/>
          <w:sz w:val="22"/>
        </w:rPr>
      </w:pPr>
    </w:p>
    <w:p>
      <w:pPr>
        <w:pStyle w:val="BodyText"/>
        <w:spacing w:before="7"/>
        <w:rPr>
          <w:b/>
          <w:sz w:val="19"/>
        </w:rPr>
      </w:pPr>
    </w:p>
    <w:p>
      <w:pPr>
        <w:pStyle w:val="Heading6"/>
        <w:spacing w:line="360" w:lineRule="auto"/>
        <w:ind w:left="456" w:right="430"/>
        <w:jc w:val="center"/>
      </w:pPr>
      <w:r>
        <w:rPr/>
        <w:t>PORCENTAJE DE EVENTOS ADVERSOS EN UN HOSPITAL DE TERCER NIVEL DE TOLUCA 2012</w:t>
      </w:r>
    </w:p>
    <w:p>
      <w:pPr>
        <w:pStyle w:val="BodyText"/>
        <w:rPr>
          <w:b/>
          <w:sz w:val="20"/>
        </w:rPr>
      </w:pPr>
    </w:p>
    <w:p>
      <w:pPr>
        <w:pStyle w:val="BodyText"/>
        <w:spacing w:before="7"/>
        <w:rPr>
          <w:b/>
          <w:sz w:val="16"/>
        </w:rPr>
      </w:pPr>
    </w:p>
    <w:tbl>
      <w:tblPr>
        <w:tblW w:w="0" w:type="auto"/>
        <w:jc w:val="left"/>
        <w:tblInd w:w="26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425"/>
        <w:gridCol w:w="3262"/>
        <w:gridCol w:w="3104"/>
      </w:tblGrid>
      <w:tr>
        <w:trPr>
          <w:trHeight w:val="416" w:hRule="exact"/>
        </w:trPr>
        <w:tc>
          <w:tcPr>
            <w:tcW w:w="2425" w:type="dxa"/>
            <w:shd w:val="clear" w:color="auto" w:fill="FFC000"/>
          </w:tcPr>
          <w:p>
            <w:pPr>
              <w:pStyle w:val="TableParagraph"/>
              <w:spacing w:before="56"/>
              <w:ind w:left="951" w:right="961"/>
              <w:jc w:val="center"/>
              <w:rPr>
                <w:rFonts w:ascii="Arial"/>
                <w:b/>
                <w:sz w:val="22"/>
              </w:rPr>
            </w:pPr>
            <w:r>
              <w:rPr>
                <w:rFonts w:ascii="Arial"/>
                <w:b/>
                <w:sz w:val="22"/>
              </w:rPr>
              <w:t>Mes</w:t>
            </w:r>
          </w:p>
        </w:tc>
        <w:tc>
          <w:tcPr>
            <w:tcW w:w="3262" w:type="dxa"/>
            <w:shd w:val="clear" w:color="auto" w:fill="FFC000"/>
          </w:tcPr>
          <w:p>
            <w:pPr>
              <w:pStyle w:val="TableParagraph"/>
              <w:spacing w:before="56"/>
              <w:ind w:left="1012"/>
              <w:rPr>
                <w:rFonts w:ascii="Arial"/>
                <w:b/>
                <w:sz w:val="22"/>
              </w:rPr>
            </w:pPr>
            <w:r>
              <w:rPr>
                <w:rFonts w:ascii="Arial"/>
                <w:b/>
                <w:sz w:val="22"/>
              </w:rPr>
              <w:t>Frecuencia</w:t>
            </w:r>
          </w:p>
        </w:tc>
        <w:tc>
          <w:tcPr>
            <w:tcW w:w="3104" w:type="dxa"/>
            <w:shd w:val="clear" w:color="auto" w:fill="FFC000"/>
          </w:tcPr>
          <w:p>
            <w:pPr>
              <w:pStyle w:val="TableParagraph"/>
              <w:spacing w:before="56"/>
              <w:ind w:left="960"/>
              <w:rPr>
                <w:rFonts w:ascii="Arial"/>
                <w:b/>
                <w:sz w:val="22"/>
              </w:rPr>
            </w:pPr>
            <w:r>
              <w:rPr>
                <w:rFonts w:ascii="Arial"/>
                <w:b/>
                <w:sz w:val="22"/>
              </w:rPr>
              <w:t>Porcentaje</w:t>
            </w:r>
          </w:p>
        </w:tc>
      </w:tr>
      <w:tr>
        <w:trPr>
          <w:trHeight w:val="418" w:hRule="exact"/>
        </w:trPr>
        <w:tc>
          <w:tcPr>
            <w:tcW w:w="2425" w:type="dxa"/>
          </w:tcPr>
          <w:p>
            <w:pPr>
              <w:pStyle w:val="TableParagraph"/>
              <w:spacing w:before="60"/>
              <w:ind w:left="48"/>
              <w:rPr>
                <w:rFonts w:ascii="Arial"/>
                <w:sz w:val="22"/>
              </w:rPr>
            </w:pPr>
            <w:r>
              <w:rPr>
                <w:rFonts w:ascii="Arial"/>
                <w:sz w:val="22"/>
              </w:rPr>
              <w:t>Enero</w:t>
            </w:r>
          </w:p>
        </w:tc>
        <w:tc>
          <w:tcPr>
            <w:tcW w:w="3262" w:type="dxa"/>
          </w:tcPr>
          <w:p>
            <w:pPr>
              <w:pStyle w:val="TableParagraph"/>
              <w:spacing w:before="57"/>
              <w:ind w:left="1420" w:right="1269"/>
              <w:jc w:val="center"/>
              <w:rPr>
                <w:rFonts w:ascii="Arial"/>
                <w:b/>
                <w:sz w:val="22"/>
              </w:rPr>
            </w:pPr>
            <w:r>
              <w:rPr>
                <w:rFonts w:ascii="Arial"/>
                <w:b/>
                <w:sz w:val="22"/>
              </w:rPr>
              <w:t>98</w:t>
            </w:r>
          </w:p>
        </w:tc>
        <w:tc>
          <w:tcPr>
            <w:tcW w:w="3104" w:type="dxa"/>
          </w:tcPr>
          <w:p>
            <w:pPr>
              <w:pStyle w:val="TableParagraph"/>
              <w:spacing w:before="57"/>
              <w:ind w:left="1098" w:right="1371"/>
              <w:jc w:val="center"/>
              <w:rPr>
                <w:rFonts w:ascii="Arial"/>
                <w:b/>
                <w:sz w:val="22"/>
              </w:rPr>
            </w:pPr>
            <w:r>
              <w:rPr>
                <w:rFonts w:ascii="Arial"/>
                <w:b/>
                <w:sz w:val="22"/>
              </w:rPr>
              <w:t>25.59</w:t>
            </w:r>
          </w:p>
        </w:tc>
      </w:tr>
      <w:tr>
        <w:trPr>
          <w:trHeight w:val="406" w:hRule="exact"/>
        </w:trPr>
        <w:tc>
          <w:tcPr>
            <w:tcW w:w="2425" w:type="dxa"/>
          </w:tcPr>
          <w:p>
            <w:pPr>
              <w:pStyle w:val="TableParagraph"/>
              <w:spacing w:before="60"/>
              <w:ind w:left="48"/>
              <w:rPr>
                <w:rFonts w:ascii="Arial"/>
                <w:sz w:val="22"/>
              </w:rPr>
            </w:pPr>
            <w:r>
              <w:rPr>
                <w:rFonts w:ascii="Arial"/>
                <w:sz w:val="22"/>
              </w:rPr>
              <w:t>Febrero</w:t>
            </w:r>
          </w:p>
        </w:tc>
        <w:tc>
          <w:tcPr>
            <w:tcW w:w="3262" w:type="dxa"/>
          </w:tcPr>
          <w:p>
            <w:pPr>
              <w:pStyle w:val="TableParagraph"/>
              <w:spacing w:before="60"/>
              <w:ind w:left="1420" w:right="1269"/>
              <w:jc w:val="center"/>
              <w:rPr>
                <w:rFonts w:ascii="Arial"/>
                <w:sz w:val="22"/>
              </w:rPr>
            </w:pPr>
            <w:r>
              <w:rPr>
                <w:rFonts w:ascii="Arial"/>
                <w:sz w:val="22"/>
              </w:rPr>
              <w:t>20</w:t>
            </w:r>
          </w:p>
        </w:tc>
        <w:tc>
          <w:tcPr>
            <w:tcW w:w="3104" w:type="dxa"/>
          </w:tcPr>
          <w:p>
            <w:pPr>
              <w:pStyle w:val="TableParagraph"/>
              <w:spacing w:before="60"/>
              <w:ind w:left="1098" w:right="1249"/>
              <w:jc w:val="center"/>
              <w:rPr>
                <w:rFonts w:ascii="Arial"/>
                <w:sz w:val="22"/>
              </w:rPr>
            </w:pPr>
            <w:r>
              <w:rPr>
                <w:rFonts w:ascii="Arial"/>
                <w:sz w:val="22"/>
              </w:rPr>
              <w:t>5.22</w:t>
            </w:r>
          </w:p>
        </w:tc>
      </w:tr>
      <w:tr>
        <w:trPr>
          <w:trHeight w:val="432" w:hRule="exact"/>
        </w:trPr>
        <w:tc>
          <w:tcPr>
            <w:tcW w:w="2425" w:type="dxa"/>
          </w:tcPr>
          <w:p>
            <w:pPr>
              <w:pStyle w:val="TableParagraph"/>
              <w:spacing w:before="72"/>
              <w:ind w:left="48"/>
              <w:rPr>
                <w:rFonts w:ascii="Arial"/>
                <w:sz w:val="22"/>
              </w:rPr>
            </w:pPr>
            <w:r>
              <w:rPr>
                <w:rFonts w:ascii="Arial"/>
                <w:sz w:val="22"/>
              </w:rPr>
              <w:t>Marzo</w:t>
            </w:r>
          </w:p>
        </w:tc>
        <w:tc>
          <w:tcPr>
            <w:tcW w:w="3262" w:type="dxa"/>
          </w:tcPr>
          <w:p>
            <w:pPr>
              <w:pStyle w:val="TableParagraph"/>
              <w:spacing w:before="72"/>
              <w:ind w:left="1420" w:right="1269"/>
              <w:jc w:val="center"/>
              <w:rPr>
                <w:rFonts w:ascii="Arial"/>
                <w:sz w:val="22"/>
              </w:rPr>
            </w:pPr>
            <w:r>
              <w:rPr>
                <w:rFonts w:ascii="Arial"/>
                <w:sz w:val="22"/>
              </w:rPr>
              <w:t>32</w:t>
            </w:r>
          </w:p>
        </w:tc>
        <w:tc>
          <w:tcPr>
            <w:tcW w:w="3104" w:type="dxa"/>
          </w:tcPr>
          <w:p>
            <w:pPr>
              <w:pStyle w:val="TableParagraph"/>
              <w:spacing w:before="72"/>
              <w:ind w:left="1098" w:right="1249"/>
              <w:jc w:val="center"/>
              <w:rPr>
                <w:rFonts w:ascii="Arial"/>
                <w:sz w:val="22"/>
              </w:rPr>
            </w:pPr>
            <w:r>
              <w:rPr>
                <w:rFonts w:ascii="Arial"/>
                <w:sz w:val="22"/>
              </w:rPr>
              <w:t>8.36</w:t>
            </w:r>
          </w:p>
        </w:tc>
      </w:tr>
      <w:tr>
        <w:trPr>
          <w:trHeight w:val="403" w:hRule="exact"/>
        </w:trPr>
        <w:tc>
          <w:tcPr>
            <w:tcW w:w="2425" w:type="dxa"/>
          </w:tcPr>
          <w:p>
            <w:pPr>
              <w:pStyle w:val="TableParagraph"/>
              <w:spacing w:before="60"/>
              <w:ind w:left="48"/>
              <w:rPr>
                <w:rFonts w:ascii="Arial"/>
                <w:sz w:val="22"/>
              </w:rPr>
            </w:pPr>
            <w:r>
              <w:rPr>
                <w:rFonts w:ascii="Arial"/>
                <w:sz w:val="22"/>
              </w:rPr>
              <w:t>Abril</w:t>
            </w:r>
          </w:p>
        </w:tc>
        <w:tc>
          <w:tcPr>
            <w:tcW w:w="3262" w:type="dxa"/>
          </w:tcPr>
          <w:p>
            <w:pPr>
              <w:pStyle w:val="TableParagraph"/>
              <w:spacing w:before="60"/>
              <w:ind w:left="1420" w:right="1269"/>
              <w:jc w:val="center"/>
              <w:rPr>
                <w:rFonts w:ascii="Arial"/>
                <w:sz w:val="22"/>
              </w:rPr>
            </w:pPr>
            <w:r>
              <w:rPr>
                <w:rFonts w:ascii="Arial"/>
                <w:sz w:val="22"/>
              </w:rPr>
              <w:t>29</w:t>
            </w:r>
          </w:p>
        </w:tc>
        <w:tc>
          <w:tcPr>
            <w:tcW w:w="3104" w:type="dxa"/>
          </w:tcPr>
          <w:p>
            <w:pPr>
              <w:pStyle w:val="TableParagraph"/>
              <w:spacing w:before="60"/>
              <w:ind w:left="1098" w:right="1249"/>
              <w:jc w:val="center"/>
              <w:rPr>
                <w:rFonts w:ascii="Arial"/>
                <w:sz w:val="22"/>
              </w:rPr>
            </w:pPr>
            <w:r>
              <w:rPr>
                <w:rFonts w:ascii="Arial"/>
                <w:sz w:val="22"/>
              </w:rPr>
              <w:t>7.57</w:t>
            </w:r>
          </w:p>
        </w:tc>
      </w:tr>
      <w:tr>
        <w:trPr>
          <w:trHeight w:val="432" w:hRule="exact"/>
        </w:trPr>
        <w:tc>
          <w:tcPr>
            <w:tcW w:w="2425" w:type="dxa"/>
          </w:tcPr>
          <w:p>
            <w:pPr>
              <w:pStyle w:val="TableParagraph"/>
              <w:spacing w:before="74"/>
              <w:ind w:left="48"/>
              <w:rPr>
                <w:rFonts w:ascii="Arial"/>
                <w:sz w:val="22"/>
              </w:rPr>
            </w:pPr>
            <w:r>
              <w:rPr>
                <w:rFonts w:ascii="Arial"/>
                <w:sz w:val="22"/>
              </w:rPr>
              <w:t>Mayo</w:t>
            </w:r>
          </w:p>
        </w:tc>
        <w:tc>
          <w:tcPr>
            <w:tcW w:w="3262" w:type="dxa"/>
          </w:tcPr>
          <w:p>
            <w:pPr>
              <w:pStyle w:val="TableParagraph"/>
              <w:spacing w:before="74"/>
              <w:ind w:left="1420" w:right="1269"/>
              <w:jc w:val="center"/>
              <w:rPr>
                <w:rFonts w:ascii="Arial"/>
                <w:sz w:val="22"/>
              </w:rPr>
            </w:pPr>
            <w:r>
              <w:rPr>
                <w:rFonts w:ascii="Arial"/>
                <w:sz w:val="22"/>
              </w:rPr>
              <w:t>50</w:t>
            </w:r>
          </w:p>
        </w:tc>
        <w:tc>
          <w:tcPr>
            <w:tcW w:w="3104" w:type="dxa"/>
          </w:tcPr>
          <w:p>
            <w:pPr>
              <w:pStyle w:val="TableParagraph"/>
              <w:spacing w:before="74"/>
              <w:ind w:left="1098" w:right="1371"/>
              <w:jc w:val="center"/>
              <w:rPr>
                <w:rFonts w:ascii="Arial"/>
                <w:sz w:val="22"/>
              </w:rPr>
            </w:pPr>
            <w:r>
              <w:rPr>
                <w:rFonts w:ascii="Arial"/>
                <w:sz w:val="22"/>
              </w:rPr>
              <w:t>13.05</w:t>
            </w:r>
          </w:p>
        </w:tc>
      </w:tr>
      <w:tr>
        <w:trPr>
          <w:trHeight w:val="403" w:hRule="exact"/>
        </w:trPr>
        <w:tc>
          <w:tcPr>
            <w:tcW w:w="2425" w:type="dxa"/>
          </w:tcPr>
          <w:p>
            <w:pPr>
              <w:pStyle w:val="TableParagraph"/>
              <w:spacing w:before="60"/>
              <w:ind w:left="48"/>
              <w:rPr>
                <w:rFonts w:ascii="Arial"/>
                <w:sz w:val="22"/>
              </w:rPr>
            </w:pPr>
            <w:r>
              <w:rPr>
                <w:rFonts w:ascii="Arial"/>
                <w:sz w:val="22"/>
              </w:rPr>
              <w:t>Junio</w:t>
            </w:r>
          </w:p>
        </w:tc>
        <w:tc>
          <w:tcPr>
            <w:tcW w:w="3262" w:type="dxa"/>
          </w:tcPr>
          <w:p>
            <w:pPr>
              <w:pStyle w:val="TableParagraph"/>
              <w:spacing w:before="60"/>
              <w:ind w:left="1420" w:right="1269"/>
              <w:jc w:val="center"/>
              <w:rPr>
                <w:rFonts w:ascii="Arial"/>
                <w:sz w:val="22"/>
              </w:rPr>
            </w:pPr>
            <w:r>
              <w:rPr>
                <w:rFonts w:ascii="Arial"/>
                <w:sz w:val="22"/>
              </w:rPr>
              <w:t>42</w:t>
            </w:r>
          </w:p>
        </w:tc>
        <w:tc>
          <w:tcPr>
            <w:tcW w:w="3104" w:type="dxa"/>
          </w:tcPr>
          <w:p>
            <w:pPr>
              <w:pStyle w:val="TableParagraph"/>
              <w:spacing w:before="60"/>
              <w:ind w:left="1098" w:right="1371"/>
              <w:jc w:val="center"/>
              <w:rPr>
                <w:rFonts w:ascii="Arial"/>
                <w:sz w:val="22"/>
              </w:rPr>
            </w:pPr>
            <w:r>
              <w:rPr>
                <w:rFonts w:ascii="Arial"/>
                <w:sz w:val="22"/>
              </w:rPr>
              <w:t>10.97</w:t>
            </w:r>
          </w:p>
        </w:tc>
      </w:tr>
      <w:tr>
        <w:trPr>
          <w:trHeight w:val="432" w:hRule="exact"/>
        </w:trPr>
        <w:tc>
          <w:tcPr>
            <w:tcW w:w="2425" w:type="dxa"/>
          </w:tcPr>
          <w:p>
            <w:pPr>
              <w:pStyle w:val="TableParagraph"/>
              <w:spacing w:before="74"/>
              <w:ind w:left="48"/>
              <w:rPr>
                <w:rFonts w:ascii="Arial"/>
                <w:sz w:val="22"/>
              </w:rPr>
            </w:pPr>
            <w:r>
              <w:rPr>
                <w:rFonts w:ascii="Arial"/>
                <w:sz w:val="22"/>
              </w:rPr>
              <w:t>Julio</w:t>
            </w:r>
          </w:p>
        </w:tc>
        <w:tc>
          <w:tcPr>
            <w:tcW w:w="3262" w:type="dxa"/>
          </w:tcPr>
          <w:p>
            <w:pPr>
              <w:pStyle w:val="TableParagraph"/>
              <w:spacing w:before="72"/>
              <w:ind w:left="1420" w:right="1269"/>
              <w:jc w:val="center"/>
              <w:rPr>
                <w:rFonts w:ascii="Arial"/>
                <w:b/>
                <w:sz w:val="22"/>
              </w:rPr>
            </w:pPr>
            <w:r>
              <w:rPr>
                <w:rFonts w:ascii="Arial"/>
                <w:b/>
                <w:sz w:val="22"/>
              </w:rPr>
              <w:t>97</w:t>
            </w:r>
          </w:p>
        </w:tc>
        <w:tc>
          <w:tcPr>
            <w:tcW w:w="3104" w:type="dxa"/>
          </w:tcPr>
          <w:p>
            <w:pPr>
              <w:pStyle w:val="TableParagraph"/>
              <w:spacing w:before="72"/>
              <w:ind w:left="1098" w:right="1371"/>
              <w:jc w:val="center"/>
              <w:rPr>
                <w:rFonts w:ascii="Arial"/>
                <w:b/>
                <w:sz w:val="22"/>
              </w:rPr>
            </w:pPr>
            <w:r>
              <w:rPr>
                <w:rFonts w:ascii="Arial"/>
                <w:b/>
                <w:sz w:val="22"/>
              </w:rPr>
              <w:t>25.33</w:t>
            </w:r>
          </w:p>
        </w:tc>
      </w:tr>
      <w:tr>
        <w:trPr>
          <w:trHeight w:val="406" w:hRule="exact"/>
        </w:trPr>
        <w:tc>
          <w:tcPr>
            <w:tcW w:w="2425" w:type="dxa"/>
          </w:tcPr>
          <w:p>
            <w:pPr>
              <w:pStyle w:val="TableParagraph"/>
              <w:spacing w:before="60"/>
              <w:ind w:left="48"/>
              <w:rPr>
                <w:rFonts w:ascii="Arial"/>
                <w:sz w:val="22"/>
              </w:rPr>
            </w:pPr>
            <w:r>
              <w:rPr>
                <w:rFonts w:ascii="Arial"/>
                <w:sz w:val="22"/>
              </w:rPr>
              <w:t>Agosto</w:t>
            </w:r>
          </w:p>
        </w:tc>
        <w:tc>
          <w:tcPr>
            <w:tcW w:w="3262" w:type="dxa"/>
          </w:tcPr>
          <w:p>
            <w:pPr>
              <w:pStyle w:val="TableParagraph"/>
              <w:spacing w:before="60"/>
              <w:ind w:left="274"/>
              <w:jc w:val="center"/>
              <w:rPr>
                <w:rFonts w:ascii="Arial"/>
                <w:sz w:val="22"/>
              </w:rPr>
            </w:pPr>
            <w:r>
              <w:rPr>
                <w:rFonts w:ascii="Arial"/>
                <w:w w:val="100"/>
                <w:sz w:val="22"/>
              </w:rPr>
              <w:t>5</w:t>
            </w:r>
          </w:p>
        </w:tc>
        <w:tc>
          <w:tcPr>
            <w:tcW w:w="3104" w:type="dxa"/>
          </w:tcPr>
          <w:p>
            <w:pPr>
              <w:pStyle w:val="TableParagraph"/>
              <w:spacing w:before="60"/>
              <w:ind w:left="1098" w:right="1249"/>
              <w:jc w:val="center"/>
              <w:rPr>
                <w:rFonts w:ascii="Arial"/>
                <w:sz w:val="22"/>
              </w:rPr>
            </w:pPr>
            <w:r>
              <w:rPr>
                <w:rFonts w:ascii="Arial"/>
                <w:sz w:val="22"/>
              </w:rPr>
              <w:t>1.31</w:t>
            </w:r>
          </w:p>
        </w:tc>
      </w:tr>
      <w:tr>
        <w:trPr>
          <w:trHeight w:val="434" w:hRule="exact"/>
        </w:trPr>
        <w:tc>
          <w:tcPr>
            <w:tcW w:w="2425" w:type="dxa"/>
          </w:tcPr>
          <w:p>
            <w:pPr>
              <w:pStyle w:val="TableParagraph"/>
              <w:spacing w:before="74"/>
              <w:ind w:left="48"/>
              <w:rPr>
                <w:rFonts w:ascii="Arial"/>
                <w:sz w:val="22"/>
              </w:rPr>
            </w:pPr>
            <w:r>
              <w:rPr>
                <w:rFonts w:ascii="Arial"/>
                <w:sz w:val="22"/>
              </w:rPr>
              <w:t>Septiembre</w:t>
            </w:r>
          </w:p>
        </w:tc>
        <w:tc>
          <w:tcPr>
            <w:tcW w:w="3262" w:type="dxa"/>
          </w:tcPr>
          <w:p>
            <w:pPr>
              <w:pStyle w:val="TableParagraph"/>
              <w:spacing w:before="74"/>
              <w:ind w:left="274"/>
              <w:jc w:val="center"/>
              <w:rPr>
                <w:rFonts w:ascii="Arial"/>
                <w:sz w:val="22"/>
              </w:rPr>
            </w:pPr>
            <w:r>
              <w:rPr>
                <w:rFonts w:ascii="Arial"/>
                <w:w w:val="100"/>
                <w:sz w:val="22"/>
              </w:rPr>
              <w:t>7</w:t>
            </w:r>
          </w:p>
        </w:tc>
        <w:tc>
          <w:tcPr>
            <w:tcW w:w="3104" w:type="dxa"/>
          </w:tcPr>
          <w:p>
            <w:pPr>
              <w:pStyle w:val="TableParagraph"/>
              <w:spacing w:before="74"/>
              <w:ind w:left="1098" w:right="1249"/>
              <w:jc w:val="center"/>
              <w:rPr>
                <w:rFonts w:ascii="Arial"/>
                <w:sz w:val="22"/>
              </w:rPr>
            </w:pPr>
            <w:r>
              <w:rPr>
                <w:rFonts w:ascii="Arial"/>
                <w:sz w:val="22"/>
              </w:rPr>
              <w:t>1.83</w:t>
            </w:r>
          </w:p>
        </w:tc>
      </w:tr>
      <w:tr>
        <w:trPr>
          <w:trHeight w:val="404" w:hRule="exact"/>
        </w:trPr>
        <w:tc>
          <w:tcPr>
            <w:tcW w:w="2425" w:type="dxa"/>
          </w:tcPr>
          <w:p>
            <w:pPr>
              <w:pStyle w:val="TableParagraph"/>
              <w:spacing w:before="57"/>
              <w:ind w:left="48"/>
              <w:rPr>
                <w:rFonts w:ascii="Arial"/>
                <w:sz w:val="22"/>
              </w:rPr>
            </w:pPr>
            <w:r>
              <w:rPr>
                <w:rFonts w:ascii="Arial"/>
                <w:sz w:val="22"/>
              </w:rPr>
              <w:t>Octubre</w:t>
            </w:r>
          </w:p>
        </w:tc>
        <w:tc>
          <w:tcPr>
            <w:tcW w:w="3262" w:type="dxa"/>
          </w:tcPr>
          <w:p>
            <w:pPr>
              <w:pStyle w:val="TableParagraph"/>
              <w:spacing w:before="57"/>
              <w:ind w:left="274"/>
              <w:jc w:val="center"/>
              <w:rPr>
                <w:rFonts w:ascii="Arial"/>
                <w:sz w:val="22"/>
              </w:rPr>
            </w:pPr>
            <w:r>
              <w:rPr>
                <w:rFonts w:ascii="Arial"/>
                <w:w w:val="100"/>
                <w:sz w:val="22"/>
              </w:rPr>
              <w:t>1</w:t>
            </w:r>
          </w:p>
        </w:tc>
        <w:tc>
          <w:tcPr>
            <w:tcW w:w="3104" w:type="dxa"/>
          </w:tcPr>
          <w:p>
            <w:pPr>
              <w:pStyle w:val="TableParagraph"/>
              <w:spacing w:before="57"/>
              <w:ind w:left="1098" w:right="1249"/>
              <w:jc w:val="center"/>
              <w:rPr>
                <w:rFonts w:ascii="Arial"/>
                <w:sz w:val="22"/>
              </w:rPr>
            </w:pPr>
            <w:r>
              <w:rPr>
                <w:rFonts w:ascii="Arial"/>
                <w:sz w:val="22"/>
              </w:rPr>
              <w:t>0.26</w:t>
            </w:r>
          </w:p>
        </w:tc>
      </w:tr>
      <w:tr>
        <w:trPr>
          <w:trHeight w:val="432" w:hRule="exact"/>
        </w:trPr>
        <w:tc>
          <w:tcPr>
            <w:tcW w:w="2425" w:type="dxa"/>
          </w:tcPr>
          <w:p>
            <w:pPr>
              <w:pStyle w:val="TableParagraph"/>
              <w:spacing w:before="74"/>
              <w:ind w:left="48"/>
              <w:rPr>
                <w:rFonts w:ascii="Arial"/>
                <w:sz w:val="22"/>
              </w:rPr>
            </w:pPr>
            <w:r>
              <w:rPr>
                <w:rFonts w:ascii="Arial"/>
                <w:sz w:val="22"/>
              </w:rPr>
              <w:t>Noviembre</w:t>
            </w:r>
          </w:p>
        </w:tc>
        <w:tc>
          <w:tcPr>
            <w:tcW w:w="3262" w:type="dxa"/>
          </w:tcPr>
          <w:p>
            <w:pPr>
              <w:pStyle w:val="TableParagraph"/>
              <w:spacing w:before="74"/>
              <w:ind w:left="274"/>
              <w:jc w:val="center"/>
              <w:rPr>
                <w:rFonts w:ascii="Arial"/>
                <w:sz w:val="22"/>
              </w:rPr>
            </w:pPr>
            <w:r>
              <w:rPr>
                <w:rFonts w:ascii="Arial"/>
                <w:w w:val="100"/>
                <w:sz w:val="22"/>
              </w:rPr>
              <w:t>2</w:t>
            </w:r>
          </w:p>
        </w:tc>
        <w:tc>
          <w:tcPr>
            <w:tcW w:w="3104" w:type="dxa"/>
          </w:tcPr>
          <w:p>
            <w:pPr>
              <w:pStyle w:val="TableParagraph"/>
              <w:spacing w:before="74"/>
              <w:ind w:left="1098" w:right="1249"/>
              <w:jc w:val="center"/>
              <w:rPr>
                <w:rFonts w:ascii="Arial"/>
                <w:sz w:val="22"/>
              </w:rPr>
            </w:pPr>
            <w:r>
              <w:rPr>
                <w:rFonts w:ascii="Arial"/>
                <w:sz w:val="22"/>
              </w:rPr>
              <w:t>0.52</w:t>
            </w:r>
          </w:p>
        </w:tc>
      </w:tr>
      <w:tr>
        <w:trPr>
          <w:trHeight w:val="420" w:hRule="exact"/>
        </w:trPr>
        <w:tc>
          <w:tcPr>
            <w:tcW w:w="2425" w:type="dxa"/>
          </w:tcPr>
          <w:p>
            <w:pPr>
              <w:pStyle w:val="TableParagraph"/>
              <w:spacing w:before="57"/>
              <w:ind w:left="48"/>
              <w:rPr>
                <w:rFonts w:ascii="Arial"/>
                <w:b/>
                <w:sz w:val="22"/>
              </w:rPr>
            </w:pPr>
            <w:r>
              <w:rPr>
                <w:rFonts w:ascii="Arial"/>
                <w:b/>
                <w:sz w:val="22"/>
              </w:rPr>
              <w:t>Total</w:t>
            </w:r>
          </w:p>
        </w:tc>
        <w:tc>
          <w:tcPr>
            <w:tcW w:w="3262" w:type="dxa"/>
          </w:tcPr>
          <w:p>
            <w:pPr>
              <w:pStyle w:val="TableParagraph"/>
              <w:spacing w:before="60"/>
              <w:ind w:left="1420" w:right="1391"/>
              <w:jc w:val="center"/>
              <w:rPr>
                <w:rFonts w:ascii="Arial"/>
                <w:sz w:val="22"/>
              </w:rPr>
            </w:pPr>
            <w:r>
              <w:rPr>
                <w:rFonts w:ascii="Arial"/>
                <w:sz w:val="22"/>
              </w:rPr>
              <w:t>383</w:t>
            </w:r>
          </w:p>
        </w:tc>
        <w:tc>
          <w:tcPr>
            <w:tcW w:w="3104" w:type="dxa"/>
          </w:tcPr>
          <w:p>
            <w:pPr>
              <w:pStyle w:val="TableParagraph"/>
              <w:spacing w:before="60"/>
              <w:ind w:left="994"/>
              <w:rPr>
                <w:rFonts w:ascii="Arial"/>
                <w:sz w:val="22"/>
              </w:rPr>
            </w:pPr>
            <w:r>
              <w:rPr>
                <w:rFonts w:ascii="Arial"/>
                <w:sz w:val="22"/>
              </w:rPr>
              <w:t>100.00</w:t>
            </w:r>
          </w:p>
        </w:tc>
      </w:tr>
    </w:tbl>
    <w:p>
      <w:pPr>
        <w:spacing w:before="57"/>
        <w:ind w:left="265" w:right="284" w:firstLine="0"/>
        <w:jc w:val="left"/>
        <w:rPr>
          <w:sz w:val="20"/>
        </w:rPr>
      </w:pPr>
      <w:r>
        <w:rPr>
          <w:sz w:val="20"/>
        </w:rPr>
        <w:t>Fuente: Cédula de captación de datos 2012</w:t>
      </w:r>
    </w:p>
    <w:p>
      <w:pPr>
        <w:spacing w:after="0"/>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392" from="97.823997pt,56.16pt" to="542.643997pt,56.16pt" stroked="true" strokeweight=".48pt" strokecolor="#000000">
            <w10:wrap type="none"/>
          </v:line>
        </w:pict>
      </w:r>
    </w:p>
    <w:p>
      <w:pPr>
        <w:pStyle w:val="BodyText"/>
        <w:rPr>
          <w:sz w:val="20"/>
        </w:rPr>
      </w:pPr>
    </w:p>
    <w:p>
      <w:pPr>
        <w:pStyle w:val="BodyText"/>
        <w:spacing w:line="360" w:lineRule="auto" w:before="204"/>
        <w:ind w:left="265" w:right="231"/>
        <w:jc w:val="both"/>
      </w:pPr>
      <w:r>
        <w:rPr/>
        <w:t>Un embarazo normal dura alrededor de 280 días (aproximadamente 40 semanas), contando desde el primer día del último período menstrual. Sin embargo, el límite normal varía desde 259 hasta 294 días (37 a 42 semanas). Las 40 semanas del embarazo se dividen en tres trimestre, en donde se pueden presentar alteraciones que pongan en riesgo la salud del binomio, por tal motivo, es de vital importancia conocer qué etapa del embarazo cursa al momento de ingresar al hospital. El mayor número de ingresos registrados corresponde al tercer trimestre (188 casos, 49%), segundo trimestre (112 casos, 29%), debido a que son embarazos de alto riesgo y que requieren vigilancia continua por parte del personal de salud. (54 casos,14%) corresponde a primer trimestre y es que esta etapa se considera con mayor vulnerabilidad, ya en su mayoría son pacientes adolescentes que ingresan por sangrado obstétrico, infecciones, abortos en evolución, embarazos anembrionicos. Y (29 casos, 8%) corresponde a pacientes puérperas.</w:t>
      </w:r>
    </w:p>
    <w:p>
      <w:pPr>
        <w:pStyle w:val="BodyText"/>
      </w:pPr>
    </w:p>
    <w:p>
      <w:pPr>
        <w:pStyle w:val="BodyText"/>
      </w:pPr>
    </w:p>
    <w:p>
      <w:pPr>
        <w:pStyle w:val="BodyText"/>
        <w:spacing w:before="2"/>
        <w:rPr>
          <w:sz w:val="29"/>
        </w:rPr>
      </w:pPr>
    </w:p>
    <w:p>
      <w:pPr>
        <w:spacing w:before="1"/>
        <w:ind w:left="461" w:right="430" w:firstLine="0"/>
        <w:jc w:val="center"/>
        <w:rPr>
          <w:b/>
          <w:sz w:val="22"/>
        </w:rPr>
      </w:pPr>
      <w:r>
        <w:rPr>
          <w:b/>
          <w:sz w:val="22"/>
        </w:rPr>
        <w:t>Cuadro N° 2</w:t>
      </w:r>
    </w:p>
    <w:p>
      <w:pPr>
        <w:pStyle w:val="BodyText"/>
        <w:spacing w:before="8"/>
        <w:rPr>
          <w:b/>
          <w:sz w:val="32"/>
        </w:rPr>
      </w:pPr>
    </w:p>
    <w:p>
      <w:pPr>
        <w:pStyle w:val="Heading6"/>
        <w:spacing w:line="360" w:lineRule="auto"/>
        <w:ind w:left="284" w:right="253"/>
        <w:jc w:val="center"/>
      </w:pPr>
      <w:r>
        <w:rPr/>
        <w:t>PORCENTAJE DE EVENTOS ADVERSOS POR ETAPA DE EMBARAZO EN UN HOSPITAL DE TERCER NIVEL 2012</w:t>
      </w:r>
    </w:p>
    <w:p>
      <w:pPr>
        <w:pStyle w:val="BodyText"/>
        <w:rPr>
          <w:b/>
          <w:sz w:val="20"/>
        </w:rPr>
      </w:pPr>
    </w:p>
    <w:p>
      <w:pPr>
        <w:pStyle w:val="BodyText"/>
        <w:spacing w:before="5" w:after="1"/>
        <w:rPr>
          <w:b/>
          <w:sz w:val="16"/>
        </w:rPr>
      </w:pPr>
    </w:p>
    <w:tbl>
      <w:tblPr>
        <w:tblW w:w="0" w:type="auto"/>
        <w:jc w:val="left"/>
        <w:tblInd w:w="26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985"/>
        <w:gridCol w:w="2410"/>
        <w:gridCol w:w="2396"/>
      </w:tblGrid>
      <w:tr>
        <w:trPr>
          <w:trHeight w:val="619" w:hRule="exact"/>
        </w:trPr>
        <w:tc>
          <w:tcPr>
            <w:tcW w:w="3985" w:type="dxa"/>
            <w:shd w:val="clear" w:color="auto" w:fill="FFC000"/>
          </w:tcPr>
          <w:p>
            <w:pPr>
              <w:pStyle w:val="TableParagraph"/>
              <w:spacing w:before="156"/>
              <w:ind w:left="1516" w:right="1528"/>
              <w:jc w:val="center"/>
              <w:rPr>
                <w:rFonts w:ascii="Arial"/>
                <w:b/>
                <w:sz w:val="22"/>
              </w:rPr>
            </w:pPr>
            <w:r>
              <w:rPr>
                <w:rFonts w:ascii="Arial"/>
                <w:b/>
                <w:sz w:val="22"/>
              </w:rPr>
              <w:t>Variable</w:t>
            </w:r>
          </w:p>
        </w:tc>
        <w:tc>
          <w:tcPr>
            <w:tcW w:w="2410" w:type="dxa"/>
            <w:shd w:val="clear" w:color="auto" w:fill="FFC000"/>
          </w:tcPr>
          <w:p>
            <w:pPr>
              <w:pStyle w:val="TableParagraph"/>
              <w:spacing w:before="156"/>
              <w:ind w:left="587"/>
              <w:rPr>
                <w:rFonts w:ascii="Arial"/>
                <w:b/>
                <w:sz w:val="22"/>
              </w:rPr>
            </w:pPr>
            <w:r>
              <w:rPr>
                <w:rFonts w:ascii="Arial"/>
                <w:b/>
                <w:sz w:val="22"/>
              </w:rPr>
              <w:t>Frecuencia</w:t>
            </w:r>
          </w:p>
        </w:tc>
        <w:tc>
          <w:tcPr>
            <w:tcW w:w="2396" w:type="dxa"/>
            <w:shd w:val="clear" w:color="auto" w:fill="FFC000"/>
          </w:tcPr>
          <w:p>
            <w:pPr>
              <w:pStyle w:val="TableParagraph"/>
              <w:spacing w:before="156"/>
              <w:ind w:left="604"/>
              <w:rPr>
                <w:rFonts w:ascii="Arial"/>
                <w:b/>
                <w:sz w:val="22"/>
              </w:rPr>
            </w:pPr>
            <w:r>
              <w:rPr>
                <w:rFonts w:ascii="Arial"/>
                <w:b/>
                <w:sz w:val="22"/>
              </w:rPr>
              <w:t>Porcentaje</w:t>
            </w:r>
          </w:p>
        </w:tc>
      </w:tr>
      <w:tr>
        <w:trPr>
          <w:trHeight w:val="557" w:hRule="exact"/>
        </w:trPr>
        <w:tc>
          <w:tcPr>
            <w:tcW w:w="3985" w:type="dxa"/>
          </w:tcPr>
          <w:p>
            <w:pPr>
              <w:pStyle w:val="TableParagraph"/>
              <w:spacing w:before="137"/>
              <w:ind w:left="48"/>
              <w:rPr>
                <w:rFonts w:ascii="Arial"/>
                <w:sz w:val="22"/>
              </w:rPr>
            </w:pPr>
            <w:r>
              <w:rPr>
                <w:rFonts w:ascii="Arial"/>
                <w:sz w:val="22"/>
              </w:rPr>
              <w:t>Primer trimestre (1 a 12 SDG)</w:t>
            </w:r>
          </w:p>
        </w:tc>
        <w:tc>
          <w:tcPr>
            <w:tcW w:w="2410" w:type="dxa"/>
          </w:tcPr>
          <w:p>
            <w:pPr>
              <w:pStyle w:val="TableParagraph"/>
              <w:spacing w:before="137"/>
              <w:ind w:left="830" w:right="1006"/>
              <w:jc w:val="center"/>
              <w:rPr>
                <w:rFonts w:ascii="Arial"/>
                <w:sz w:val="22"/>
              </w:rPr>
            </w:pPr>
            <w:r>
              <w:rPr>
                <w:rFonts w:ascii="Arial"/>
                <w:sz w:val="22"/>
              </w:rPr>
              <w:t>54</w:t>
            </w:r>
          </w:p>
        </w:tc>
        <w:tc>
          <w:tcPr>
            <w:tcW w:w="2396" w:type="dxa"/>
          </w:tcPr>
          <w:p>
            <w:pPr>
              <w:pStyle w:val="TableParagraph"/>
              <w:spacing w:before="137"/>
              <w:ind w:left="790" w:right="970"/>
              <w:jc w:val="center"/>
              <w:rPr>
                <w:rFonts w:ascii="Arial"/>
                <w:sz w:val="22"/>
              </w:rPr>
            </w:pPr>
            <w:r>
              <w:rPr>
                <w:rFonts w:ascii="Arial"/>
                <w:sz w:val="22"/>
              </w:rPr>
              <w:t>14.13</w:t>
            </w:r>
          </w:p>
        </w:tc>
      </w:tr>
      <w:tr>
        <w:trPr>
          <w:trHeight w:val="579" w:hRule="exact"/>
        </w:trPr>
        <w:tc>
          <w:tcPr>
            <w:tcW w:w="3985" w:type="dxa"/>
          </w:tcPr>
          <w:p>
            <w:pPr>
              <w:pStyle w:val="TableParagraph"/>
              <w:spacing w:before="146"/>
              <w:ind w:left="48"/>
              <w:rPr>
                <w:rFonts w:ascii="Arial"/>
                <w:sz w:val="22"/>
              </w:rPr>
            </w:pPr>
            <w:r>
              <w:rPr>
                <w:rFonts w:ascii="Arial"/>
                <w:sz w:val="22"/>
              </w:rPr>
              <w:t>Segundo trimestre (13 a 28 SDG)</w:t>
            </w:r>
          </w:p>
        </w:tc>
        <w:tc>
          <w:tcPr>
            <w:tcW w:w="2410" w:type="dxa"/>
          </w:tcPr>
          <w:p>
            <w:pPr>
              <w:pStyle w:val="TableParagraph"/>
              <w:spacing w:before="146"/>
              <w:ind w:left="830" w:right="1128"/>
              <w:jc w:val="center"/>
              <w:rPr>
                <w:rFonts w:ascii="Arial"/>
                <w:sz w:val="22"/>
              </w:rPr>
            </w:pPr>
            <w:r>
              <w:rPr>
                <w:rFonts w:ascii="Arial"/>
                <w:sz w:val="22"/>
              </w:rPr>
              <w:t>112</w:t>
            </w:r>
          </w:p>
        </w:tc>
        <w:tc>
          <w:tcPr>
            <w:tcW w:w="2396" w:type="dxa"/>
          </w:tcPr>
          <w:p>
            <w:pPr>
              <w:pStyle w:val="TableParagraph"/>
              <w:spacing w:before="146"/>
              <w:ind w:left="790" w:right="970"/>
              <w:jc w:val="center"/>
              <w:rPr>
                <w:rFonts w:ascii="Arial"/>
                <w:sz w:val="22"/>
              </w:rPr>
            </w:pPr>
            <w:r>
              <w:rPr>
                <w:rFonts w:ascii="Arial"/>
                <w:sz w:val="22"/>
              </w:rPr>
              <w:t>29.35</w:t>
            </w:r>
          </w:p>
        </w:tc>
      </w:tr>
      <w:tr>
        <w:trPr>
          <w:trHeight w:val="559" w:hRule="exact"/>
        </w:trPr>
        <w:tc>
          <w:tcPr>
            <w:tcW w:w="3985" w:type="dxa"/>
          </w:tcPr>
          <w:p>
            <w:pPr>
              <w:pStyle w:val="TableParagraph"/>
              <w:spacing w:before="137"/>
              <w:ind w:left="48"/>
              <w:rPr>
                <w:rFonts w:ascii="Arial"/>
                <w:sz w:val="22"/>
              </w:rPr>
            </w:pPr>
            <w:r>
              <w:rPr>
                <w:rFonts w:ascii="Arial"/>
                <w:sz w:val="22"/>
              </w:rPr>
              <w:t>Tercer trimestre (29 a 40 SDG)</w:t>
            </w:r>
          </w:p>
        </w:tc>
        <w:tc>
          <w:tcPr>
            <w:tcW w:w="2410" w:type="dxa"/>
          </w:tcPr>
          <w:p>
            <w:pPr>
              <w:pStyle w:val="TableParagraph"/>
              <w:spacing w:before="134"/>
              <w:ind w:left="830" w:right="1128"/>
              <w:jc w:val="center"/>
              <w:rPr>
                <w:rFonts w:ascii="Arial"/>
                <w:b/>
                <w:sz w:val="22"/>
              </w:rPr>
            </w:pPr>
            <w:r>
              <w:rPr>
                <w:rFonts w:ascii="Arial"/>
                <w:b/>
                <w:sz w:val="22"/>
              </w:rPr>
              <w:t>188</w:t>
            </w:r>
          </w:p>
        </w:tc>
        <w:tc>
          <w:tcPr>
            <w:tcW w:w="2396" w:type="dxa"/>
          </w:tcPr>
          <w:p>
            <w:pPr>
              <w:pStyle w:val="TableParagraph"/>
              <w:spacing w:before="134"/>
              <w:ind w:left="790" w:right="970"/>
              <w:jc w:val="center"/>
              <w:rPr>
                <w:rFonts w:ascii="Arial"/>
                <w:b/>
                <w:sz w:val="22"/>
              </w:rPr>
            </w:pPr>
            <w:r>
              <w:rPr>
                <w:rFonts w:ascii="Arial"/>
                <w:b/>
                <w:sz w:val="22"/>
              </w:rPr>
              <w:t>48.91</w:t>
            </w:r>
          </w:p>
        </w:tc>
      </w:tr>
      <w:tr>
        <w:trPr>
          <w:trHeight w:val="581" w:hRule="exact"/>
        </w:trPr>
        <w:tc>
          <w:tcPr>
            <w:tcW w:w="3985" w:type="dxa"/>
          </w:tcPr>
          <w:p>
            <w:pPr>
              <w:pStyle w:val="TableParagraph"/>
              <w:spacing w:before="149"/>
              <w:ind w:left="48"/>
              <w:rPr>
                <w:rFonts w:ascii="Arial"/>
                <w:sz w:val="22"/>
              </w:rPr>
            </w:pPr>
            <w:r>
              <w:rPr>
                <w:rFonts w:ascii="Arial"/>
                <w:sz w:val="22"/>
              </w:rPr>
              <w:t>Puerperio</w:t>
            </w:r>
          </w:p>
        </w:tc>
        <w:tc>
          <w:tcPr>
            <w:tcW w:w="2410" w:type="dxa"/>
          </w:tcPr>
          <w:p>
            <w:pPr>
              <w:pStyle w:val="TableParagraph"/>
              <w:spacing w:before="149"/>
              <w:ind w:left="830" w:right="1006"/>
              <w:jc w:val="center"/>
              <w:rPr>
                <w:rFonts w:ascii="Arial"/>
                <w:sz w:val="22"/>
              </w:rPr>
            </w:pPr>
            <w:r>
              <w:rPr>
                <w:rFonts w:ascii="Arial"/>
                <w:sz w:val="22"/>
              </w:rPr>
              <w:t>29</w:t>
            </w:r>
          </w:p>
        </w:tc>
        <w:tc>
          <w:tcPr>
            <w:tcW w:w="2396" w:type="dxa"/>
          </w:tcPr>
          <w:p>
            <w:pPr>
              <w:pStyle w:val="TableParagraph"/>
              <w:spacing w:before="149"/>
              <w:ind w:left="790" w:right="848"/>
              <w:jc w:val="center"/>
              <w:rPr>
                <w:rFonts w:ascii="Arial"/>
                <w:sz w:val="22"/>
              </w:rPr>
            </w:pPr>
            <w:r>
              <w:rPr>
                <w:rFonts w:ascii="Arial"/>
                <w:sz w:val="22"/>
              </w:rPr>
              <w:t>7.61</w:t>
            </w:r>
          </w:p>
        </w:tc>
      </w:tr>
      <w:tr>
        <w:trPr>
          <w:trHeight w:val="420" w:hRule="exact"/>
        </w:trPr>
        <w:tc>
          <w:tcPr>
            <w:tcW w:w="3985" w:type="dxa"/>
          </w:tcPr>
          <w:p>
            <w:pPr>
              <w:pStyle w:val="TableParagraph"/>
              <w:spacing w:before="57"/>
              <w:ind w:left="48"/>
              <w:rPr>
                <w:rFonts w:ascii="Arial"/>
                <w:b/>
                <w:sz w:val="22"/>
              </w:rPr>
            </w:pPr>
            <w:r>
              <w:rPr>
                <w:rFonts w:ascii="Arial"/>
                <w:b/>
                <w:sz w:val="22"/>
              </w:rPr>
              <w:t>Total</w:t>
            </w:r>
          </w:p>
        </w:tc>
        <w:tc>
          <w:tcPr>
            <w:tcW w:w="2410" w:type="dxa"/>
          </w:tcPr>
          <w:p>
            <w:pPr>
              <w:pStyle w:val="TableParagraph"/>
              <w:spacing w:before="60"/>
              <w:ind w:left="830" w:right="1128"/>
              <w:jc w:val="center"/>
              <w:rPr>
                <w:rFonts w:ascii="Arial"/>
                <w:sz w:val="22"/>
              </w:rPr>
            </w:pPr>
            <w:r>
              <w:rPr>
                <w:rFonts w:ascii="Arial"/>
                <w:sz w:val="22"/>
              </w:rPr>
              <w:t>383</w:t>
            </w:r>
          </w:p>
        </w:tc>
        <w:tc>
          <w:tcPr>
            <w:tcW w:w="2396" w:type="dxa"/>
          </w:tcPr>
          <w:p>
            <w:pPr>
              <w:pStyle w:val="TableParagraph"/>
              <w:spacing w:before="60"/>
              <w:ind w:left="790" w:right="969"/>
              <w:jc w:val="center"/>
              <w:rPr>
                <w:rFonts w:ascii="Arial"/>
                <w:sz w:val="22"/>
              </w:rPr>
            </w:pPr>
            <w:r>
              <w:rPr>
                <w:rFonts w:ascii="Arial"/>
                <w:sz w:val="22"/>
              </w:rPr>
              <w:t>100.0</w:t>
            </w:r>
          </w:p>
        </w:tc>
      </w:tr>
    </w:tbl>
    <w:p>
      <w:pPr>
        <w:spacing w:before="57"/>
        <w:ind w:left="265" w:right="284" w:firstLine="0"/>
        <w:jc w:val="left"/>
        <w:rPr>
          <w:sz w:val="20"/>
        </w:rPr>
      </w:pPr>
      <w:r>
        <w:rPr>
          <w:sz w:val="20"/>
        </w:rPr>
        <w:t>Fuente: Cédula de captación de datos 2012</w:t>
      </w:r>
    </w:p>
    <w:p>
      <w:pPr>
        <w:spacing w:after="0"/>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416"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El parto normal es un proceso fisiológico con el que la mujer finaliza su gestación  a término (entre las 37 y las 42 semanas cumplidas). Su inicio es espontáneo, se desarrolla y finaliza sin complicaciones, culmina con el nacimiento del bebé, pero muchas veces este proceso se ve afectado por múltiples causas que condicionan otro tipo de intervención. Y es que pese a que se trata de un hospital de atención a embarazos de alto riesgo, lo que predominó fueron los partos eutócicos (244 casos, 63%) y las cesáreas con (67 casos,</w:t>
      </w:r>
      <w:r>
        <w:rPr>
          <w:spacing w:val="-10"/>
        </w:rPr>
        <w:t> </w:t>
      </w:r>
      <w:r>
        <w:rPr/>
        <w:t>17%).</w:t>
      </w:r>
    </w:p>
    <w:p>
      <w:pPr>
        <w:pStyle w:val="BodyText"/>
      </w:pPr>
    </w:p>
    <w:p>
      <w:pPr>
        <w:pStyle w:val="BodyText"/>
      </w:pPr>
    </w:p>
    <w:p>
      <w:pPr>
        <w:pStyle w:val="BodyText"/>
      </w:pPr>
    </w:p>
    <w:p>
      <w:pPr>
        <w:spacing w:before="0"/>
        <w:ind w:left="461" w:right="430" w:firstLine="0"/>
        <w:jc w:val="center"/>
        <w:rPr>
          <w:b/>
          <w:sz w:val="22"/>
        </w:rPr>
      </w:pPr>
      <w:r>
        <w:rPr>
          <w:b/>
          <w:sz w:val="22"/>
        </w:rPr>
        <w:t>Cuadro N° 3</w:t>
      </w:r>
    </w:p>
    <w:p>
      <w:pPr>
        <w:pStyle w:val="BodyText"/>
        <w:rPr>
          <w:b/>
          <w:sz w:val="22"/>
        </w:rPr>
      </w:pPr>
    </w:p>
    <w:p>
      <w:pPr>
        <w:pStyle w:val="BodyText"/>
        <w:spacing w:before="3"/>
        <w:rPr>
          <w:b/>
          <w:sz w:val="25"/>
        </w:rPr>
      </w:pPr>
    </w:p>
    <w:p>
      <w:pPr>
        <w:pStyle w:val="Heading6"/>
        <w:spacing w:line="360" w:lineRule="auto" w:before="1"/>
        <w:ind w:left="276" w:right="253"/>
        <w:jc w:val="center"/>
      </w:pPr>
      <w:r>
        <w:rPr/>
        <w:t>PORCENTAJE DE DIAGNÓSTICO EN LOS QUE PRESENTARON EVENTOS ADVERSOS TOLUCA 2012</w:t>
      </w:r>
    </w:p>
    <w:p>
      <w:pPr>
        <w:pStyle w:val="BodyText"/>
        <w:rPr>
          <w:b/>
          <w:sz w:val="20"/>
        </w:rPr>
      </w:pPr>
    </w:p>
    <w:p>
      <w:pPr>
        <w:pStyle w:val="BodyText"/>
        <w:spacing w:before="5" w:after="1"/>
        <w:rPr>
          <w:b/>
          <w:sz w:val="16"/>
        </w:rPr>
      </w:pPr>
    </w:p>
    <w:tbl>
      <w:tblPr>
        <w:tblW w:w="0" w:type="auto"/>
        <w:jc w:val="left"/>
        <w:tblInd w:w="26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560"/>
        <w:gridCol w:w="2622"/>
        <w:gridCol w:w="2609"/>
      </w:tblGrid>
      <w:tr>
        <w:trPr>
          <w:trHeight w:val="593" w:hRule="exact"/>
        </w:trPr>
        <w:tc>
          <w:tcPr>
            <w:tcW w:w="3560" w:type="dxa"/>
            <w:shd w:val="clear" w:color="auto" w:fill="FFC000"/>
          </w:tcPr>
          <w:p>
            <w:pPr>
              <w:pStyle w:val="TableParagraph"/>
              <w:spacing w:before="144"/>
              <w:ind w:left="1302" w:right="1317"/>
              <w:jc w:val="center"/>
              <w:rPr>
                <w:rFonts w:ascii="Arial"/>
                <w:b/>
                <w:sz w:val="22"/>
              </w:rPr>
            </w:pPr>
            <w:r>
              <w:rPr>
                <w:rFonts w:ascii="Arial"/>
                <w:b/>
                <w:sz w:val="22"/>
              </w:rPr>
              <w:t>Variable</w:t>
            </w:r>
          </w:p>
        </w:tc>
        <w:tc>
          <w:tcPr>
            <w:tcW w:w="2622" w:type="dxa"/>
            <w:shd w:val="clear" w:color="auto" w:fill="FFC000"/>
          </w:tcPr>
          <w:p>
            <w:pPr>
              <w:pStyle w:val="TableParagraph"/>
              <w:spacing w:before="144"/>
              <w:ind w:left="694"/>
              <w:rPr>
                <w:rFonts w:ascii="Arial"/>
                <w:b/>
                <w:sz w:val="22"/>
              </w:rPr>
            </w:pPr>
            <w:r>
              <w:rPr>
                <w:rFonts w:ascii="Arial"/>
                <w:b/>
                <w:sz w:val="22"/>
              </w:rPr>
              <w:t>Frecuencia</w:t>
            </w:r>
          </w:p>
        </w:tc>
        <w:tc>
          <w:tcPr>
            <w:tcW w:w="2609" w:type="dxa"/>
            <w:shd w:val="clear" w:color="auto" w:fill="FFC000"/>
          </w:tcPr>
          <w:p>
            <w:pPr>
              <w:pStyle w:val="TableParagraph"/>
              <w:spacing w:before="144"/>
              <w:ind w:left="712"/>
              <w:rPr>
                <w:rFonts w:ascii="Arial"/>
                <w:b/>
                <w:sz w:val="22"/>
              </w:rPr>
            </w:pPr>
            <w:r>
              <w:rPr>
                <w:rFonts w:ascii="Arial"/>
                <w:b/>
                <w:sz w:val="22"/>
              </w:rPr>
              <w:t>Porcentaje</w:t>
            </w:r>
          </w:p>
        </w:tc>
      </w:tr>
      <w:tr>
        <w:trPr>
          <w:trHeight w:val="406" w:hRule="exact"/>
        </w:trPr>
        <w:tc>
          <w:tcPr>
            <w:tcW w:w="3560" w:type="dxa"/>
          </w:tcPr>
          <w:p>
            <w:pPr>
              <w:pStyle w:val="TableParagraph"/>
              <w:spacing w:before="60"/>
              <w:ind w:left="48"/>
              <w:rPr>
                <w:rFonts w:ascii="Arial"/>
                <w:sz w:val="22"/>
              </w:rPr>
            </w:pPr>
            <w:r>
              <w:rPr>
                <w:rFonts w:ascii="Arial"/>
                <w:sz w:val="22"/>
              </w:rPr>
              <w:t>Parto</w:t>
            </w:r>
          </w:p>
        </w:tc>
        <w:tc>
          <w:tcPr>
            <w:tcW w:w="2622" w:type="dxa"/>
          </w:tcPr>
          <w:p>
            <w:pPr>
              <w:pStyle w:val="TableParagraph"/>
              <w:spacing w:before="58"/>
              <w:ind w:left="1050" w:right="1000"/>
              <w:jc w:val="center"/>
              <w:rPr>
                <w:rFonts w:ascii="Arial"/>
                <w:b/>
                <w:sz w:val="22"/>
              </w:rPr>
            </w:pPr>
            <w:r>
              <w:rPr>
                <w:rFonts w:ascii="Arial"/>
                <w:b/>
                <w:sz w:val="22"/>
              </w:rPr>
              <w:t>244</w:t>
            </w:r>
          </w:p>
        </w:tc>
        <w:tc>
          <w:tcPr>
            <w:tcW w:w="2609" w:type="dxa"/>
          </w:tcPr>
          <w:p>
            <w:pPr>
              <w:pStyle w:val="TableParagraph"/>
              <w:spacing w:before="58"/>
              <w:ind w:left="827"/>
              <w:rPr>
                <w:rFonts w:ascii="Arial"/>
                <w:b/>
                <w:sz w:val="22"/>
              </w:rPr>
            </w:pPr>
            <w:r>
              <w:rPr>
                <w:rFonts w:ascii="Arial"/>
                <w:b/>
                <w:sz w:val="22"/>
              </w:rPr>
              <w:t>63.492</w:t>
            </w:r>
          </w:p>
        </w:tc>
      </w:tr>
      <w:tr>
        <w:trPr>
          <w:trHeight w:val="432" w:hRule="exact"/>
        </w:trPr>
        <w:tc>
          <w:tcPr>
            <w:tcW w:w="3560" w:type="dxa"/>
          </w:tcPr>
          <w:p>
            <w:pPr>
              <w:pStyle w:val="TableParagraph"/>
              <w:spacing w:before="72"/>
              <w:ind w:left="48"/>
              <w:rPr>
                <w:rFonts w:ascii="Arial" w:hAnsi="Arial"/>
                <w:sz w:val="22"/>
              </w:rPr>
            </w:pPr>
            <w:r>
              <w:rPr>
                <w:rFonts w:ascii="Arial" w:hAnsi="Arial"/>
                <w:sz w:val="22"/>
              </w:rPr>
              <w:t>Cesárea</w:t>
            </w:r>
          </w:p>
        </w:tc>
        <w:tc>
          <w:tcPr>
            <w:tcW w:w="2622" w:type="dxa"/>
          </w:tcPr>
          <w:p>
            <w:pPr>
              <w:pStyle w:val="TableParagraph"/>
              <w:spacing w:before="72"/>
              <w:ind w:left="1110" w:right="938"/>
              <w:jc w:val="center"/>
              <w:rPr>
                <w:rFonts w:ascii="Arial"/>
                <w:sz w:val="22"/>
              </w:rPr>
            </w:pPr>
            <w:r>
              <w:rPr>
                <w:rFonts w:ascii="Arial"/>
                <w:sz w:val="22"/>
              </w:rPr>
              <w:t>67</w:t>
            </w:r>
          </w:p>
        </w:tc>
        <w:tc>
          <w:tcPr>
            <w:tcW w:w="2609" w:type="dxa"/>
          </w:tcPr>
          <w:p>
            <w:pPr>
              <w:pStyle w:val="TableParagraph"/>
              <w:spacing w:before="72"/>
              <w:ind w:left="827"/>
              <w:rPr>
                <w:rFonts w:ascii="Arial"/>
                <w:sz w:val="22"/>
              </w:rPr>
            </w:pPr>
            <w:r>
              <w:rPr>
                <w:rFonts w:ascii="Arial"/>
                <w:sz w:val="22"/>
              </w:rPr>
              <w:t>17.460</w:t>
            </w:r>
          </w:p>
        </w:tc>
      </w:tr>
      <w:tr>
        <w:trPr>
          <w:trHeight w:val="403" w:hRule="exact"/>
        </w:trPr>
        <w:tc>
          <w:tcPr>
            <w:tcW w:w="3560" w:type="dxa"/>
          </w:tcPr>
          <w:p>
            <w:pPr>
              <w:pStyle w:val="TableParagraph"/>
              <w:spacing w:before="57"/>
              <w:ind w:left="48"/>
              <w:rPr>
                <w:rFonts w:ascii="Arial"/>
                <w:sz w:val="22"/>
              </w:rPr>
            </w:pPr>
            <w:r>
              <w:rPr>
                <w:rFonts w:ascii="Arial"/>
                <w:sz w:val="22"/>
              </w:rPr>
              <w:t>Legrado uterino instrumentado</w:t>
            </w:r>
          </w:p>
        </w:tc>
        <w:tc>
          <w:tcPr>
            <w:tcW w:w="2622" w:type="dxa"/>
          </w:tcPr>
          <w:p>
            <w:pPr>
              <w:pStyle w:val="TableParagraph"/>
              <w:spacing w:before="57"/>
              <w:ind w:left="1110" w:right="938"/>
              <w:jc w:val="center"/>
              <w:rPr>
                <w:rFonts w:ascii="Arial"/>
                <w:sz w:val="22"/>
              </w:rPr>
            </w:pPr>
            <w:r>
              <w:rPr>
                <w:rFonts w:ascii="Arial"/>
                <w:sz w:val="22"/>
              </w:rPr>
              <w:t>36</w:t>
            </w:r>
          </w:p>
        </w:tc>
        <w:tc>
          <w:tcPr>
            <w:tcW w:w="2609" w:type="dxa"/>
          </w:tcPr>
          <w:p>
            <w:pPr>
              <w:pStyle w:val="TableParagraph"/>
              <w:spacing w:before="57"/>
              <w:ind w:left="870" w:right="980"/>
              <w:jc w:val="center"/>
              <w:rPr>
                <w:rFonts w:ascii="Arial"/>
                <w:sz w:val="22"/>
              </w:rPr>
            </w:pPr>
            <w:r>
              <w:rPr>
                <w:rFonts w:ascii="Arial"/>
                <w:sz w:val="22"/>
              </w:rPr>
              <w:t>9.524</w:t>
            </w:r>
          </w:p>
        </w:tc>
      </w:tr>
      <w:tr>
        <w:trPr>
          <w:trHeight w:val="432" w:hRule="exact"/>
        </w:trPr>
        <w:tc>
          <w:tcPr>
            <w:tcW w:w="3560" w:type="dxa"/>
          </w:tcPr>
          <w:p>
            <w:pPr>
              <w:pStyle w:val="TableParagraph"/>
              <w:spacing w:before="74"/>
              <w:ind w:left="48"/>
              <w:rPr>
                <w:rFonts w:ascii="Arial" w:hAnsi="Arial"/>
                <w:sz w:val="22"/>
              </w:rPr>
            </w:pPr>
            <w:r>
              <w:rPr>
                <w:rFonts w:ascii="Arial" w:hAnsi="Arial"/>
                <w:sz w:val="22"/>
              </w:rPr>
              <w:t>Oclusión tubaria bilateral</w:t>
            </w:r>
          </w:p>
        </w:tc>
        <w:tc>
          <w:tcPr>
            <w:tcW w:w="2622" w:type="dxa"/>
          </w:tcPr>
          <w:p>
            <w:pPr>
              <w:pStyle w:val="TableParagraph"/>
              <w:spacing w:before="74"/>
              <w:ind w:left="1110" w:right="938"/>
              <w:jc w:val="center"/>
              <w:rPr>
                <w:rFonts w:ascii="Arial"/>
                <w:sz w:val="22"/>
              </w:rPr>
            </w:pPr>
            <w:r>
              <w:rPr>
                <w:rFonts w:ascii="Arial"/>
                <w:sz w:val="22"/>
              </w:rPr>
              <w:t>24</w:t>
            </w:r>
          </w:p>
        </w:tc>
        <w:tc>
          <w:tcPr>
            <w:tcW w:w="2609" w:type="dxa"/>
          </w:tcPr>
          <w:p>
            <w:pPr>
              <w:pStyle w:val="TableParagraph"/>
              <w:spacing w:before="74"/>
              <w:ind w:left="870" w:right="980"/>
              <w:jc w:val="center"/>
              <w:rPr>
                <w:rFonts w:ascii="Arial"/>
                <w:sz w:val="22"/>
              </w:rPr>
            </w:pPr>
            <w:r>
              <w:rPr>
                <w:rFonts w:ascii="Arial"/>
                <w:sz w:val="22"/>
              </w:rPr>
              <w:t>6.349</w:t>
            </w:r>
          </w:p>
        </w:tc>
      </w:tr>
      <w:tr>
        <w:trPr>
          <w:trHeight w:val="403" w:hRule="exact"/>
        </w:trPr>
        <w:tc>
          <w:tcPr>
            <w:tcW w:w="3560" w:type="dxa"/>
          </w:tcPr>
          <w:p>
            <w:pPr>
              <w:pStyle w:val="TableParagraph"/>
              <w:spacing w:before="60"/>
              <w:ind w:left="48"/>
              <w:rPr>
                <w:rFonts w:ascii="Arial" w:hAnsi="Arial"/>
                <w:sz w:val="22"/>
              </w:rPr>
            </w:pPr>
            <w:r>
              <w:rPr>
                <w:rFonts w:ascii="Arial" w:hAnsi="Arial"/>
                <w:sz w:val="22"/>
              </w:rPr>
              <w:t>Histerectomía total abdominal</w:t>
            </w:r>
          </w:p>
        </w:tc>
        <w:tc>
          <w:tcPr>
            <w:tcW w:w="2622" w:type="dxa"/>
          </w:tcPr>
          <w:p>
            <w:pPr>
              <w:pStyle w:val="TableParagraph"/>
              <w:spacing w:before="60"/>
              <w:ind w:left="1110" w:right="938"/>
              <w:jc w:val="center"/>
              <w:rPr>
                <w:rFonts w:ascii="Arial"/>
                <w:sz w:val="22"/>
              </w:rPr>
            </w:pPr>
            <w:r>
              <w:rPr>
                <w:rFonts w:ascii="Arial"/>
                <w:sz w:val="22"/>
              </w:rPr>
              <w:t>12</w:t>
            </w:r>
          </w:p>
        </w:tc>
        <w:tc>
          <w:tcPr>
            <w:tcW w:w="2609" w:type="dxa"/>
          </w:tcPr>
          <w:p>
            <w:pPr>
              <w:pStyle w:val="TableParagraph"/>
              <w:spacing w:before="60"/>
              <w:ind w:left="870" w:right="980"/>
              <w:jc w:val="center"/>
              <w:rPr>
                <w:rFonts w:ascii="Arial"/>
                <w:sz w:val="22"/>
              </w:rPr>
            </w:pPr>
            <w:r>
              <w:rPr>
                <w:rFonts w:ascii="Arial"/>
                <w:sz w:val="22"/>
              </w:rPr>
              <w:t>3.175</w:t>
            </w:r>
          </w:p>
        </w:tc>
      </w:tr>
      <w:tr>
        <w:trPr>
          <w:trHeight w:val="434" w:hRule="exact"/>
        </w:trPr>
        <w:tc>
          <w:tcPr>
            <w:tcW w:w="3560" w:type="dxa"/>
          </w:tcPr>
          <w:p>
            <w:pPr>
              <w:pStyle w:val="TableParagraph"/>
              <w:spacing w:before="72"/>
              <w:ind w:left="48"/>
              <w:rPr>
                <w:rFonts w:ascii="Arial"/>
                <w:b/>
                <w:sz w:val="22"/>
              </w:rPr>
            </w:pPr>
            <w:r>
              <w:rPr>
                <w:rFonts w:ascii="Arial"/>
                <w:b/>
                <w:sz w:val="22"/>
              </w:rPr>
              <w:t>Total</w:t>
            </w:r>
          </w:p>
        </w:tc>
        <w:tc>
          <w:tcPr>
            <w:tcW w:w="2622" w:type="dxa"/>
          </w:tcPr>
          <w:p>
            <w:pPr>
              <w:pStyle w:val="TableParagraph"/>
              <w:spacing w:before="74"/>
              <w:ind w:left="1050" w:right="1000"/>
              <w:jc w:val="center"/>
              <w:rPr>
                <w:rFonts w:ascii="Arial"/>
                <w:sz w:val="22"/>
              </w:rPr>
            </w:pPr>
            <w:r>
              <w:rPr>
                <w:rFonts w:ascii="Arial"/>
                <w:sz w:val="22"/>
              </w:rPr>
              <w:t>383</w:t>
            </w:r>
          </w:p>
        </w:tc>
        <w:tc>
          <w:tcPr>
            <w:tcW w:w="2609" w:type="dxa"/>
          </w:tcPr>
          <w:p>
            <w:pPr>
              <w:pStyle w:val="TableParagraph"/>
              <w:spacing w:before="74"/>
              <w:ind w:left="872" w:right="806"/>
              <w:jc w:val="center"/>
              <w:rPr>
                <w:rFonts w:ascii="Arial"/>
                <w:sz w:val="22"/>
              </w:rPr>
            </w:pPr>
            <w:r>
              <w:rPr>
                <w:rFonts w:ascii="Arial"/>
                <w:sz w:val="22"/>
              </w:rPr>
              <w:t>100</w:t>
            </w:r>
          </w:p>
        </w:tc>
      </w:tr>
    </w:tbl>
    <w:p>
      <w:pPr>
        <w:spacing w:before="57"/>
        <w:ind w:left="265" w:right="284" w:firstLine="0"/>
        <w:jc w:val="left"/>
        <w:rPr>
          <w:sz w:val="20"/>
        </w:rPr>
      </w:pPr>
      <w:r>
        <w:rPr>
          <w:sz w:val="20"/>
        </w:rPr>
        <w:t>Fuente: Cédula de captación de datos 2012</w:t>
      </w:r>
    </w:p>
    <w:p>
      <w:pPr>
        <w:spacing w:after="0"/>
        <w:jc w:val="left"/>
        <w:rPr>
          <w:sz w:val="20"/>
        </w:rPr>
        <w:sectPr>
          <w:footerReference w:type="default" r:id="rId32"/>
          <w:pgSz w:w="12240" w:h="15840"/>
          <w:pgMar w:footer="928" w:header="739" w:top="1300" w:bottom="1120" w:left="1720" w:right="1180"/>
        </w:sectPr>
      </w:pPr>
    </w:p>
    <w:p>
      <w:pPr>
        <w:pStyle w:val="BodyText"/>
        <w:rPr>
          <w:sz w:val="20"/>
        </w:rPr>
      </w:pPr>
      <w:r>
        <w:rPr/>
        <w:pict>
          <v:line style="position:absolute;mso-position-horizontal-relative:page;mso-position-vertical-relative:page;z-index:2440" from="97.823997pt,56.16pt" to="542.643997pt,56.16pt" stroked="true" strokeweight=".48pt" strokecolor="#000000">
            <w10:wrap type="none"/>
          </v:line>
        </w:pict>
      </w:r>
    </w:p>
    <w:p>
      <w:pPr>
        <w:pStyle w:val="BodyText"/>
        <w:rPr>
          <w:sz w:val="20"/>
        </w:rPr>
      </w:pPr>
    </w:p>
    <w:p>
      <w:pPr>
        <w:pStyle w:val="BodyText"/>
        <w:spacing w:line="360" w:lineRule="auto" w:before="204"/>
        <w:ind w:left="325" w:right="332"/>
        <w:jc w:val="both"/>
      </w:pPr>
      <w:r>
        <w:rPr/>
        <w:t>La mayoría de las mujeres sanas, pueden dar a luz con el mínimo de procedimientos médicos, sin poner en riesgo su seguridad y la del recién nacido, pese a ello es durante el post-parto donde se presentan con mayor frecuencia los eventos adversos (240 casos, 63%), lo cual implica un alto compromiso y responsabilidad en la práctica de enfermería.</w:t>
      </w:r>
    </w:p>
    <w:p>
      <w:pPr>
        <w:pStyle w:val="BodyText"/>
      </w:pPr>
    </w:p>
    <w:p>
      <w:pPr>
        <w:pStyle w:val="BodyText"/>
      </w:pPr>
    </w:p>
    <w:p>
      <w:pPr>
        <w:pStyle w:val="BodyText"/>
        <w:spacing w:before="3"/>
        <w:rPr>
          <w:sz w:val="29"/>
        </w:rPr>
      </w:pPr>
    </w:p>
    <w:p>
      <w:pPr>
        <w:spacing w:before="0"/>
        <w:ind w:left="4096" w:right="4102" w:firstLine="0"/>
        <w:jc w:val="center"/>
        <w:rPr>
          <w:b/>
          <w:sz w:val="22"/>
        </w:rPr>
      </w:pPr>
      <w:r>
        <w:rPr>
          <w:b/>
          <w:sz w:val="22"/>
        </w:rPr>
        <w:t>Cuadro N° 4</w:t>
      </w:r>
    </w:p>
    <w:p>
      <w:pPr>
        <w:pStyle w:val="BodyText"/>
        <w:spacing w:before="8"/>
        <w:rPr>
          <w:b/>
          <w:sz w:val="32"/>
        </w:rPr>
      </w:pPr>
    </w:p>
    <w:p>
      <w:pPr>
        <w:pStyle w:val="Heading6"/>
        <w:spacing w:line="360" w:lineRule="auto"/>
        <w:ind w:left="325" w:right="567"/>
        <w:jc w:val="left"/>
      </w:pPr>
      <w:r>
        <w:rPr/>
        <w:t>PORCENTAJE DE PROCEDIMIENTOS OBSTÉTRICOS QUE PRESENTARON ALGUN EVENTO ADVERSO RELACIONADO A TERAPIA DE INFUSIÓN 2012</w:t>
      </w:r>
    </w:p>
    <w:p>
      <w:pPr>
        <w:pStyle w:val="BodyText"/>
        <w:rPr>
          <w:b/>
          <w:sz w:val="20"/>
        </w:rPr>
      </w:pPr>
    </w:p>
    <w:p>
      <w:pPr>
        <w:pStyle w:val="BodyText"/>
        <w:spacing w:before="7"/>
        <w:rPr>
          <w:b/>
          <w:sz w:val="16"/>
        </w:rPr>
      </w:pPr>
    </w:p>
    <w:tbl>
      <w:tblPr>
        <w:tblW w:w="0" w:type="auto"/>
        <w:jc w:val="left"/>
        <w:tblInd w:w="114"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127"/>
        <w:gridCol w:w="2552"/>
        <w:gridCol w:w="2537"/>
      </w:tblGrid>
      <w:tr>
        <w:trPr>
          <w:trHeight w:val="416" w:hRule="exact"/>
        </w:trPr>
        <w:tc>
          <w:tcPr>
            <w:tcW w:w="4127" w:type="dxa"/>
            <w:shd w:val="clear" w:color="auto" w:fill="FFC000"/>
          </w:tcPr>
          <w:p>
            <w:pPr>
              <w:pStyle w:val="TableParagraph"/>
              <w:spacing w:before="56"/>
              <w:ind w:left="1590" w:right="1596"/>
              <w:jc w:val="center"/>
              <w:rPr>
                <w:rFonts w:ascii="Arial"/>
                <w:b/>
                <w:sz w:val="22"/>
              </w:rPr>
            </w:pPr>
            <w:r>
              <w:rPr>
                <w:rFonts w:ascii="Arial"/>
                <w:b/>
                <w:sz w:val="22"/>
              </w:rPr>
              <w:t>Variable</w:t>
            </w:r>
          </w:p>
        </w:tc>
        <w:tc>
          <w:tcPr>
            <w:tcW w:w="2552" w:type="dxa"/>
            <w:shd w:val="clear" w:color="auto" w:fill="FFC000"/>
          </w:tcPr>
          <w:p>
            <w:pPr>
              <w:pStyle w:val="TableParagraph"/>
              <w:spacing w:before="56"/>
              <w:ind w:left="657"/>
              <w:rPr>
                <w:rFonts w:ascii="Arial"/>
                <w:b/>
                <w:sz w:val="22"/>
              </w:rPr>
            </w:pPr>
            <w:r>
              <w:rPr>
                <w:rFonts w:ascii="Arial"/>
                <w:b/>
                <w:sz w:val="22"/>
              </w:rPr>
              <w:t>Frecuencia</w:t>
            </w:r>
          </w:p>
        </w:tc>
        <w:tc>
          <w:tcPr>
            <w:tcW w:w="2537" w:type="dxa"/>
            <w:shd w:val="clear" w:color="auto" w:fill="FFC000"/>
          </w:tcPr>
          <w:p>
            <w:pPr>
              <w:pStyle w:val="TableParagraph"/>
              <w:spacing w:before="56"/>
              <w:ind w:left="676"/>
              <w:rPr>
                <w:rFonts w:ascii="Arial"/>
                <w:b/>
                <w:sz w:val="22"/>
              </w:rPr>
            </w:pPr>
            <w:r>
              <w:rPr>
                <w:rFonts w:ascii="Arial"/>
                <w:b/>
                <w:sz w:val="22"/>
              </w:rPr>
              <w:t>Porcentaje</w:t>
            </w:r>
          </w:p>
        </w:tc>
      </w:tr>
      <w:tr>
        <w:trPr>
          <w:trHeight w:val="418" w:hRule="exact"/>
        </w:trPr>
        <w:tc>
          <w:tcPr>
            <w:tcW w:w="4127" w:type="dxa"/>
          </w:tcPr>
          <w:p>
            <w:pPr>
              <w:pStyle w:val="TableParagraph"/>
              <w:spacing w:before="60"/>
              <w:ind w:left="50"/>
              <w:rPr>
                <w:rFonts w:ascii="Arial"/>
                <w:sz w:val="22"/>
              </w:rPr>
            </w:pPr>
            <w:r>
              <w:rPr>
                <w:rFonts w:ascii="Arial"/>
                <w:sz w:val="22"/>
              </w:rPr>
              <w:t>Post-parto</w:t>
            </w:r>
          </w:p>
        </w:tc>
        <w:tc>
          <w:tcPr>
            <w:tcW w:w="2552" w:type="dxa"/>
          </w:tcPr>
          <w:p>
            <w:pPr>
              <w:pStyle w:val="TableParagraph"/>
              <w:spacing w:before="57"/>
              <w:ind w:left="1042" w:right="1059"/>
              <w:jc w:val="center"/>
              <w:rPr>
                <w:rFonts w:ascii="Arial"/>
                <w:b/>
                <w:sz w:val="22"/>
              </w:rPr>
            </w:pPr>
            <w:r>
              <w:rPr>
                <w:rFonts w:ascii="Arial"/>
                <w:b/>
                <w:sz w:val="22"/>
              </w:rPr>
              <w:t>240</w:t>
            </w:r>
          </w:p>
        </w:tc>
        <w:tc>
          <w:tcPr>
            <w:tcW w:w="2537" w:type="dxa"/>
          </w:tcPr>
          <w:p>
            <w:pPr>
              <w:pStyle w:val="TableParagraph"/>
              <w:spacing w:before="57"/>
              <w:ind w:left="863" w:right="1040"/>
              <w:jc w:val="center"/>
              <w:rPr>
                <w:rFonts w:ascii="Arial"/>
                <w:b/>
                <w:sz w:val="22"/>
              </w:rPr>
            </w:pPr>
            <w:r>
              <w:rPr>
                <w:rFonts w:ascii="Arial"/>
                <w:b/>
                <w:sz w:val="22"/>
              </w:rPr>
              <w:t>62.66</w:t>
            </w:r>
          </w:p>
        </w:tc>
      </w:tr>
      <w:tr>
        <w:trPr>
          <w:trHeight w:val="403" w:hRule="exact"/>
        </w:trPr>
        <w:tc>
          <w:tcPr>
            <w:tcW w:w="4127" w:type="dxa"/>
          </w:tcPr>
          <w:p>
            <w:pPr>
              <w:pStyle w:val="TableParagraph"/>
              <w:spacing w:before="60"/>
              <w:ind w:left="50"/>
              <w:rPr>
                <w:rFonts w:ascii="Arial" w:hAnsi="Arial"/>
                <w:sz w:val="22"/>
              </w:rPr>
            </w:pPr>
            <w:r>
              <w:rPr>
                <w:rFonts w:ascii="Arial" w:hAnsi="Arial"/>
                <w:sz w:val="22"/>
              </w:rPr>
              <w:t>Post-cesárea</w:t>
            </w:r>
          </w:p>
        </w:tc>
        <w:tc>
          <w:tcPr>
            <w:tcW w:w="2552" w:type="dxa"/>
          </w:tcPr>
          <w:p>
            <w:pPr>
              <w:pStyle w:val="TableParagraph"/>
              <w:spacing w:before="60"/>
              <w:ind w:left="1042" w:right="940"/>
              <w:jc w:val="center"/>
              <w:rPr>
                <w:rFonts w:ascii="Arial"/>
                <w:sz w:val="22"/>
              </w:rPr>
            </w:pPr>
            <w:r>
              <w:rPr>
                <w:rFonts w:ascii="Arial"/>
                <w:sz w:val="22"/>
              </w:rPr>
              <w:t>78</w:t>
            </w:r>
          </w:p>
        </w:tc>
        <w:tc>
          <w:tcPr>
            <w:tcW w:w="2537" w:type="dxa"/>
          </w:tcPr>
          <w:p>
            <w:pPr>
              <w:pStyle w:val="TableParagraph"/>
              <w:spacing w:before="60"/>
              <w:ind w:left="863" w:right="1040"/>
              <w:jc w:val="center"/>
              <w:rPr>
                <w:rFonts w:ascii="Arial"/>
                <w:sz w:val="22"/>
              </w:rPr>
            </w:pPr>
            <w:r>
              <w:rPr>
                <w:rFonts w:ascii="Arial"/>
                <w:sz w:val="22"/>
              </w:rPr>
              <w:t>20.37</w:t>
            </w:r>
          </w:p>
        </w:tc>
      </w:tr>
      <w:tr>
        <w:trPr>
          <w:trHeight w:val="432" w:hRule="exact"/>
        </w:trPr>
        <w:tc>
          <w:tcPr>
            <w:tcW w:w="4127" w:type="dxa"/>
          </w:tcPr>
          <w:p>
            <w:pPr>
              <w:pStyle w:val="TableParagraph"/>
              <w:spacing w:before="74"/>
              <w:ind w:left="50"/>
              <w:rPr>
                <w:rFonts w:ascii="Arial"/>
                <w:sz w:val="22"/>
              </w:rPr>
            </w:pPr>
            <w:r>
              <w:rPr>
                <w:rFonts w:ascii="Arial"/>
                <w:sz w:val="22"/>
              </w:rPr>
              <w:t>Post- legrado uterino instrumentado</w:t>
            </w:r>
          </w:p>
        </w:tc>
        <w:tc>
          <w:tcPr>
            <w:tcW w:w="2552" w:type="dxa"/>
          </w:tcPr>
          <w:p>
            <w:pPr>
              <w:pStyle w:val="TableParagraph"/>
              <w:spacing w:before="74"/>
              <w:ind w:left="1042" w:right="940"/>
              <w:jc w:val="center"/>
              <w:rPr>
                <w:rFonts w:ascii="Arial"/>
                <w:sz w:val="22"/>
              </w:rPr>
            </w:pPr>
            <w:r>
              <w:rPr>
                <w:rFonts w:ascii="Arial"/>
                <w:sz w:val="22"/>
              </w:rPr>
              <w:t>41</w:t>
            </w:r>
          </w:p>
        </w:tc>
        <w:tc>
          <w:tcPr>
            <w:tcW w:w="2537" w:type="dxa"/>
          </w:tcPr>
          <w:p>
            <w:pPr>
              <w:pStyle w:val="TableParagraph"/>
              <w:spacing w:before="74"/>
              <w:ind w:left="863" w:right="1040"/>
              <w:jc w:val="center"/>
              <w:rPr>
                <w:rFonts w:ascii="Arial"/>
                <w:sz w:val="22"/>
              </w:rPr>
            </w:pPr>
            <w:r>
              <w:rPr>
                <w:rFonts w:ascii="Arial"/>
                <w:sz w:val="22"/>
              </w:rPr>
              <w:t>10.70</w:t>
            </w:r>
          </w:p>
        </w:tc>
      </w:tr>
      <w:tr>
        <w:trPr>
          <w:trHeight w:val="406" w:hRule="exact"/>
        </w:trPr>
        <w:tc>
          <w:tcPr>
            <w:tcW w:w="4127" w:type="dxa"/>
          </w:tcPr>
          <w:p>
            <w:pPr>
              <w:pStyle w:val="TableParagraph"/>
              <w:spacing w:before="60"/>
              <w:ind w:left="50"/>
              <w:rPr>
                <w:rFonts w:ascii="Arial" w:hAnsi="Arial"/>
                <w:sz w:val="22"/>
              </w:rPr>
            </w:pPr>
            <w:r>
              <w:rPr>
                <w:rFonts w:ascii="Arial" w:hAnsi="Arial"/>
                <w:sz w:val="22"/>
              </w:rPr>
              <w:t>Post- oclusión tubaria bilateral</w:t>
            </w:r>
          </w:p>
        </w:tc>
        <w:tc>
          <w:tcPr>
            <w:tcW w:w="2552" w:type="dxa"/>
          </w:tcPr>
          <w:p>
            <w:pPr>
              <w:pStyle w:val="TableParagraph"/>
              <w:spacing w:before="60"/>
              <w:ind w:left="1042" w:right="940"/>
              <w:jc w:val="center"/>
              <w:rPr>
                <w:rFonts w:ascii="Arial"/>
                <w:sz w:val="22"/>
              </w:rPr>
            </w:pPr>
            <w:r>
              <w:rPr>
                <w:rFonts w:ascii="Arial"/>
                <w:sz w:val="22"/>
              </w:rPr>
              <w:t>15</w:t>
            </w:r>
          </w:p>
        </w:tc>
        <w:tc>
          <w:tcPr>
            <w:tcW w:w="2537" w:type="dxa"/>
          </w:tcPr>
          <w:p>
            <w:pPr>
              <w:pStyle w:val="TableParagraph"/>
              <w:spacing w:before="60"/>
              <w:ind w:left="863" w:right="918"/>
              <w:jc w:val="center"/>
              <w:rPr>
                <w:rFonts w:ascii="Arial"/>
                <w:sz w:val="22"/>
              </w:rPr>
            </w:pPr>
            <w:r>
              <w:rPr>
                <w:rFonts w:ascii="Arial"/>
                <w:sz w:val="22"/>
              </w:rPr>
              <w:t>3.92</w:t>
            </w:r>
          </w:p>
        </w:tc>
      </w:tr>
      <w:tr>
        <w:trPr>
          <w:trHeight w:val="432" w:hRule="exact"/>
        </w:trPr>
        <w:tc>
          <w:tcPr>
            <w:tcW w:w="4127" w:type="dxa"/>
          </w:tcPr>
          <w:p>
            <w:pPr>
              <w:pStyle w:val="TableParagraph"/>
              <w:spacing w:before="72"/>
              <w:ind w:left="50"/>
              <w:rPr>
                <w:rFonts w:ascii="Arial" w:hAnsi="Arial"/>
                <w:sz w:val="22"/>
              </w:rPr>
            </w:pPr>
            <w:r>
              <w:rPr>
                <w:rFonts w:ascii="Arial" w:hAnsi="Arial"/>
                <w:sz w:val="22"/>
              </w:rPr>
              <w:t>Post- histerectomía total abdominal</w:t>
            </w:r>
          </w:p>
        </w:tc>
        <w:tc>
          <w:tcPr>
            <w:tcW w:w="2552" w:type="dxa"/>
          </w:tcPr>
          <w:p>
            <w:pPr>
              <w:pStyle w:val="TableParagraph"/>
              <w:spacing w:before="72"/>
              <w:ind w:left="225"/>
              <w:jc w:val="center"/>
              <w:rPr>
                <w:rFonts w:ascii="Arial"/>
                <w:sz w:val="22"/>
              </w:rPr>
            </w:pPr>
            <w:r>
              <w:rPr>
                <w:rFonts w:ascii="Arial"/>
                <w:w w:val="100"/>
                <w:sz w:val="22"/>
              </w:rPr>
              <w:t>9</w:t>
            </w:r>
          </w:p>
        </w:tc>
        <w:tc>
          <w:tcPr>
            <w:tcW w:w="2537" w:type="dxa"/>
          </w:tcPr>
          <w:p>
            <w:pPr>
              <w:pStyle w:val="TableParagraph"/>
              <w:spacing w:before="72"/>
              <w:ind w:left="863" w:right="918"/>
              <w:jc w:val="center"/>
              <w:rPr>
                <w:rFonts w:ascii="Arial"/>
                <w:sz w:val="22"/>
              </w:rPr>
            </w:pPr>
            <w:r>
              <w:rPr>
                <w:rFonts w:ascii="Arial"/>
                <w:sz w:val="22"/>
              </w:rPr>
              <w:t>2.35</w:t>
            </w:r>
          </w:p>
        </w:tc>
      </w:tr>
      <w:tr>
        <w:trPr>
          <w:trHeight w:val="420" w:hRule="exact"/>
        </w:trPr>
        <w:tc>
          <w:tcPr>
            <w:tcW w:w="4127" w:type="dxa"/>
          </w:tcPr>
          <w:p>
            <w:pPr>
              <w:pStyle w:val="TableParagraph"/>
              <w:spacing w:before="55"/>
              <w:ind w:left="50"/>
              <w:rPr>
                <w:rFonts w:ascii="Arial"/>
                <w:b/>
                <w:sz w:val="22"/>
              </w:rPr>
            </w:pPr>
            <w:r>
              <w:rPr>
                <w:rFonts w:ascii="Arial"/>
                <w:b/>
                <w:sz w:val="22"/>
              </w:rPr>
              <w:t>Total</w:t>
            </w:r>
          </w:p>
        </w:tc>
        <w:tc>
          <w:tcPr>
            <w:tcW w:w="2552" w:type="dxa"/>
          </w:tcPr>
          <w:p>
            <w:pPr>
              <w:pStyle w:val="TableParagraph"/>
              <w:spacing w:before="57"/>
              <w:ind w:left="1042" w:right="1059"/>
              <w:jc w:val="center"/>
              <w:rPr>
                <w:rFonts w:ascii="Arial"/>
                <w:sz w:val="22"/>
              </w:rPr>
            </w:pPr>
            <w:r>
              <w:rPr>
                <w:rFonts w:ascii="Arial"/>
                <w:sz w:val="22"/>
              </w:rPr>
              <w:t>383</w:t>
            </w:r>
          </w:p>
        </w:tc>
        <w:tc>
          <w:tcPr>
            <w:tcW w:w="2537" w:type="dxa"/>
          </w:tcPr>
          <w:p>
            <w:pPr>
              <w:pStyle w:val="TableParagraph"/>
              <w:spacing w:before="57"/>
              <w:ind w:left="758"/>
              <w:rPr>
                <w:rFonts w:ascii="Arial"/>
                <w:sz w:val="22"/>
              </w:rPr>
            </w:pPr>
            <w:r>
              <w:rPr>
                <w:rFonts w:ascii="Arial"/>
                <w:sz w:val="22"/>
              </w:rPr>
              <w:t>100.00</w:t>
            </w:r>
          </w:p>
        </w:tc>
      </w:tr>
    </w:tbl>
    <w:p>
      <w:pPr>
        <w:spacing w:line="227" w:lineRule="exact" w:before="0"/>
        <w:ind w:left="325" w:right="567" w:firstLine="0"/>
        <w:jc w:val="left"/>
        <w:rPr>
          <w:sz w:val="20"/>
        </w:rPr>
      </w:pPr>
      <w:r>
        <w:rPr>
          <w:sz w:val="20"/>
        </w:rPr>
        <w:t>Fuente: Cédula de captación de datos 2012</w:t>
      </w:r>
    </w:p>
    <w:p>
      <w:pPr>
        <w:spacing w:after="0" w:line="227" w:lineRule="exact"/>
        <w:jc w:val="left"/>
        <w:rPr>
          <w:sz w:val="20"/>
        </w:rPr>
        <w:sectPr>
          <w:footerReference w:type="default" r:id="rId33"/>
          <w:pgSz w:w="12240" w:h="15840"/>
          <w:pgMar w:footer="928" w:header="739" w:top="1300" w:bottom="1120" w:left="1660" w:right="1080"/>
          <w:pgNumType w:start="41"/>
        </w:sectPr>
      </w:pPr>
    </w:p>
    <w:p>
      <w:pPr>
        <w:pStyle w:val="BodyText"/>
        <w:rPr>
          <w:sz w:val="20"/>
        </w:rPr>
      </w:pPr>
      <w:r>
        <w:rPr/>
        <w:pict>
          <v:line style="position:absolute;mso-position-horizontal-relative:page;mso-position-vertical-relative:page;z-index:2464" from="97.823997pt,56.16pt" to="542.643997pt,56.16pt" stroked="true" strokeweight=".48pt" strokecolor="#000000">
            <w10:wrap type="none"/>
          </v:line>
        </w:pict>
      </w:r>
    </w:p>
    <w:p>
      <w:pPr>
        <w:pStyle w:val="BodyText"/>
        <w:rPr>
          <w:sz w:val="20"/>
        </w:rPr>
      </w:pPr>
    </w:p>
    <w:p>
      <w:pPr>
        <w:pStyle w:val="BodyText"/>
        <w:spacing w:line="360" w:lineRule="auto" w:before="204"/>
        <w:ind w:left="265" w:right="234"/>
        <w:jc w:val="both"/>
      </w:pPr>
      <w:r>
        <w:rPr/>
        <w:t>La administración de medicamentos es responsabilidad de la enfermera, de ella depende que sea correcta o inadecuada, hasta ahora los errores por administración son un problema persistente asociado a la práctica de enfermería, por lo cual se debe hacer conciencia de que la administración de medicamentos tiene implicaciones éticas y legales. El Cuadro N° 5 muestra que efectivamente los eventos adversos encontrados en este estudio corresponden a la administración de medicamentos (335 casos, 87%), lo cual implica un foco de atención en dicha intervención.</w:t>
      </w:r>
    </w:p>
    <w:p>
      <w:pPr>
        <w:pStyle w:val="BodyText"/>
      </w:pPr>
    </w:p>
    <w:p>
      <w:pPr>
        <w:pStyle w:val="BodyText"/>
      </w:pPr>
    </w:p>
    <w:p>
      <w:pPr>
        <w:pStyle w:val="BodyText"/>
        <w:spacing w:before="4"/>
        <w:rPr>
          <w:sz w:val="29"/>
        </w:rPr>
      </w:pPr>
    </w:p>
    <w:p>
      <w:pPr>
        <w:spacing w:before="1"/>
        <w:ind w:left="461" w:right="430" w:firstLine="0"/>
        <w:jc w:val="center"/>
        <w:rPr>
          <w:b/>
          <w:sz w:val="22"/>
        </w:rPr>
      </w:pPr>
      <w:r>
        <w:rPr>
          <w:b/>
          <w:sz w:val="22"/>
        </w:rPr>
        <w:t>Cuadro N° 5</w:t>
      </w:r>
    </w:p>
    <w:p>
      <w:pPr>
        <w:pStyle w:val="BodyText"/>
        <w:spacing w:before="8"/>
        <w:rPr>
          <w:b/>
          <w:sz w:val="32"/>
        </w:rPr>
      </w:pPr>
    </w:p>
    <w:p>
      <w:pPr>
        <w:pStyle w:val="Heading6"/>
        <w:spacing w:line="360" w:lineRule="auto"/>
        <w:ind w:left="454" w:right="430"/>
        <w:jc w:val="center"/>
      </w:pPr>
      <w:r>
        <w:rPr/>
        <w:t>EVENTO ADVERSO ACONTECIDO EN RELACIÓN A LA TERAPIA DE INFUSIÓN 2012</w:t>
      </w:r>
    </w:p>
    <w:p>
      <w:pPr>
        <w:pStyle w:val="BodyText"/>
        <w:rPr>
          <w:b/>
          <w:sz w:val="20"/>
        </w:rPr>
      </w:pPr>
    </w:p>
    <w:p>
      <w:pPr>
        <w:pStyle w:val="BodyText"/>
        <w:spacing w:before="7"/>
        <w:rPr>
          <w:b/>
          <w:sz w:val="16"/>
        </w:rPr>
      </w:pPr>
    </w:p>
    <w:tbl>
      <w:tblPr>
        <w:tblW w:w="0" w:type="auto"/>
        <w:jc w:val="left"/>
        <w:tblInd w:w="195"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985"/>
        <w:gridCol w:w="2482"/>
        <w:gridCol w:w="2468"/>
      </w:tblGrid>
      <w:tr>
        <w:trPr>
          <w:trHeight w:val="520" w:hRule="exact"/>
        </w:trPr>
        <w:tc>
          <w:tcPr>
            <w:tcW w:w="3985" w:type="dxa"/>
            <w:shd w:val="clear" w:color="auto" w:fill="FFC000"/>
          </w:tcPr>
          <w:p>
            <w:pPr>
              <w:pStyle w:val="TableParagraph"/>
              <w:spacing w:before="107"/>
              <w:ind w:left="1519" w:right="1526"/>
              <w:jc w:val="center"/>
              <w:rPr>
                <w:rFonts w:ascii="Arial"/>
                <w:b/>
                <w:sz w:val="22"/>
              </w:rPr>
            </w:pPr>
            <w:r>
              <w:rPr>
                <w:rFonts w:ascii="Arial"/>
                <w:b/>
                <w:sz w:val="22"/>
              </w:rPr>
              <w:t>Variable</w:t>
            </w:r>
          </w:p>
        </w:tc>
        <w:tc>
          <w:tcPr>
            <w:tcW w:w="2482" w:type="dxa"/>
            <w:shd w:val="clear" w:color="auto" w:fill="FFC000"/>
          </w:tcPr>
          <w:p>
            <w:pPr>
              <w:pStyle w:val="TableParagraph"/>
              <w:spacing w:before="107"/>
              <w:ind w:left="621"/>
              <w:rPr>
                <w:rFonts w:ascii="Arial"/>
                <w:b/>
                <w:sz w:val="22"/>
              </w:rPr>
            </w:pPr>
            <w:r>
              <w:rPr>
                <w:rFonts w:ascii="Arial"/>
                <w:b/>
                <w:sz w:val="22"/>
              </w:rPr>
              <w:t>Frecuencia</w:t>
            </w:r>
          </w:p>
        </w:tc>
        <w:tc>
          <w:tcPr>
            <w:tcW w:w="2468" w:type="dxa"/>
            <w:shd w:val="clear" w:color="auto" w:fill="FFC000"/>
          </w:tcPr>
          <w:p>
            <w:pPr>
              <w:pStyle w:val="TableParagraph"/>
              <w:spacing w:before="107"/>
              <w:ind w:left="640"/>
              <w:rPr>
                <w:rFonts w:ascii="Arial"/>
                <w:b/>
                <w:sz w:val="22"/>
              </w:rPr>
            </w:pPr>
            <w:r>
              <w:rPr>
                <w:rFonts w:ascii="Arial"/>
                <w:b/>
                <w:sz w:val="22"/>
              </w:rPr>
              <w:t>Porcentaje</w:t>
            </w:r>
          </w:p>
        </w:tc>
      </w:tr>
      <w:tr>
        <w:trPr>
          <w:trHeight w:val="403" w:hRule="exact"/>
        </w:trPr>
        <w:tc>
          <w:tcPr>
            <w:tcW w:w="3985" w:type="dxa"/>
          </w:tcPr>
          <w:p>
            <w:pPr>
              <w:pStyle w:val="TableParagraph"/>
              <w:spacing w:before="60"/>
              <w:ind w:left="50"/>
              <w:rPr>
                <w:rFonts w:ascii="Arial" w:hAnsi="Arial"/>
                <w:sz w:val="22"/>
              </w:rPr>
            </w:pPr>
            <w:r>
              <w:rPr>
                <w:rFonts w:ascii="Arial" w:hAnsi="Arial"/>
                <w:sz w:val="22"/>
              </w:rPr>
              <w:t>Administración de medicamentos</w:t>
            </w:r>
          </w:p>
        </w:tc>
        <w:tc>
          <w:tcPr>
            <w:tcW w:w="2482" w:type="dxa"/>
          </w:tcPr>
          <w:p>
            <w:pPr>
              <w:pStyle w:val="TableParagraph"/>
              <w:spacing w:before="57"/>
              <w:ind w:left="1040" w:right="991"/>
              <w:jc w:val="center"/>
              <w:rPr>
                <w:rFonts w:ascii="Arial"/>
                <w:b/>
                <w:sz w:val="22"/>
              </w:rPr>
            </w:pPr>
            <w:r>
              <w:rPr>
                <w:rFonts w:ascii="Arial"/>
                <w:b/>
                <w:sz w:val="22"/>
              </w:rPr>
              <w:t>335</w:t>
            </w:r>
          </w:p>
        </w:tc>
        <w:tc>
          <w:tcPr>
            <w:tcW w:w="2468" w:type="dxa"/>
          </w:tcPr>
          <w:p>
            <w:pPr>
              <w:pStyle w:val="TableParagraph"/>
              <w:spacing w:before="57"/>
              <w:ind w:left="860" w:right="972"/>
              <w:jc w:val="center"/>
              <w:rPr>
                <w:rFonts w:ascii="Arial"/>
                <w:b/>
                <w:sz w:val="22"/>
              </w:rPr>
            </w:pPr>
            <w:r>
              <w:rPr>
                <w:rFonts w:ascii="Arial"/>
                <w:b/>
                <w:sz w:val="22"/>
              </w:rPr>
              <w:t>87.47</w:t>
            </w:r>
          </w:p>
        </w:tc>
      </w:tr>
      <w:tr>
        <w:trPr>
          <w:trHeight w:val="434" w:hRule="exact"/>
        </w:trPr>
        <w:tc>
          <w:tcPr>
            <w:tcW w:w="3985" w:type="dxa"/>
          </w:tcPr>
          <w:p>
            <w:pPr>
              <w:pStyle w:val="TableParagraph"/>
              <w:spacing w:before="74"/>
              <w:ind w:left="50"/>
              <w:rPr>
                <w:rFonts w:ascii="Arial" w:hAnsi="Arial"/>
                <w:sz w:val="22"/>
              </w:rPr>
            </w:pPr>
            <w:r>
              <w:rPr>
                <w:rFonts w:ascii="Arial" w:hAnsi="Arial"/>
                <w:sz w:val="22"/>
              </w:rPr>
              <w:t>Infusión de NPT</w:t>
            </w:r>
          </w:p>
        </w:tc>
        <w:tc>
          <w:tcPr>
            <w:tcW w:w="2482" w:type="dxa"/>
          </w:tcPr>
          <w:p>
            <w:pPr>
              <w:pStyle w:val="TableParagraph"/>
              <w:spacing w:before="74"/>
              <w:ind w:left="1040" w:right="868"/>
              <w:jc w:val="center"/>
              <w:rPr>
                <w:rFonts w:ascii="Arial"/>
                <w:sz w:val="22"/>
              </w:rPr>
            </w:pPr>
            <w:r>
              <w:rPr>
                <w:rFonts w:ascii="Arial"/>
                <w:sz w:val="22"/>
              </w:rPr>
              <w:t>34</w:t>
            </w:r>
          </w:p>
        </w:tc>
        <w:tc>
          <w:tcPr>
            <w:tcW w:w="2468" w:type="dxa"/>
          </w:tcPr>
          <w:p>
            <w:pPr>
              <w:pStyle w:val="TableParagraph"/>
              <w:spacing w:before="74"/>
              <w:ind w:left="860" w:right="854"/>
              <w:jc w:val="center"/>
              <w:rPr>
                <w:rFonts w:ascii="Arial"/>
                <w:sz w:val="22"/>
              </w:rPr>
            </w:pPr>
            <w:r>
              <w:rPr>
                <w:rFonts w:ascii="Arial"/>
                <w:sz w:val="22"/>
              </w:rPr>
              <w:t>8.88</w:t>
            </w:r>
          </w:p>
        </w:tc>
      </w:tr>
      <w:tr>
        <w:trPr>
          <w:trHeight w:val="403" w:hRule="exact"/>
        </w:trPr>
        <w:tc>
          <w:tcPr>
            <w:tcW w:w="3985" w:type="dxa"/>
          </w:tcPr>
          <w:p>
            <w:pPr>
              <w:pStyle w:val="TableParagraph"/>
              <w:spacing w:before="57"/>
              <w:ind w:left="50"/>
              <w:rPr>
                <w:rFonts w:ascii="Arial" w:hAnsi="Arial"/>
                <w:sz w:val="22"/>
              </w:rPr>
            </w:pPr>
            <w:r>
              <w:rPr>
                <w:rFonts w:ascii="Arial" w:hAnsi="Arial"/>
                <w:sz w:val="22"/>
              </w:rPr>
              <w:t>Transfusiones sanguíneas</w:t>
            </w:r>
          </w:p>
        </w:tc>
        <w:tc>
          <w:tcPr>
            <w:tcW w:w="2482" w:type="dxa"/>
          </w:tcPr>
          <w:p>
            <w:pPr>
              <w:pStyle w:val="TableParagraph"/>
              <w:spacing w:before="57"/>
              <w:ind w:left="1040" w:right="868"/>
              <w:jc w:val="center"/>
              <w:rPr>
                <w:rFonts w:ascii="Arial"/>
                <w:sz w:val="22"/>
              </w:rPr>
            </w:pPr>
            <w:r>
              <w:rPr>
                <w:rFonts w:ascii="Arial"/>
                <w:sz w:val="22"/>
              </w:rPr>
              <w:t>14</w:t>
            </w:r>
          </w:p>
        </w:tc>
        <w:tc>
          <w:tcPr>
            <w:tcW w:w="2468" w:type="dxa"/>
          </w:tcPr>
          <w:p>
            <w:pPr>
              <w:pStyle w:val="TableParagraph"/>
              <w:spacing w:before="57"/>
              <w:ind w:left="860" w:right="854"/>
              <w:jc w:val="center"/>
              <w:rPr>
                <w:rFonts w:ascii="Arial"/>
                <w:sz w:val="22"/>
              </w:rPr>
            </w:pPr>
            <w:r>
              <w:rPr>
                <w:rFonts w:ascii="Arial"/>
                <w:sz w:val="22"/>
              </w:rPr>
              <w:t>3.66</w:t>
            </w:r>
          </w:p>
        </w:tc>
      </w:tr>
      <w:tr>
        <w:trPr>
          <w:trHeight w:val="434" w:hRule="exact"/>
        </w:trPr>
        <w:tc>
          <w:tcPr>
            <w:tcW w:w="3985" w:type="dxa"/>
          </w:tcPr>
          <w:p>
            <w:pPr>
              <w:pStyle w:val="TableParagraph"/>
              <w:spacing w:before="72"/>
              <w:ind w:left="50"/>
              <w:rPr>
                <w:rFonts w:ascii="Arial"/>
                <w:b/>
                <w:sz w:val="22"/>
              </w:rPr>
            </w:pPr>
            <w:r>
              <w:rPr>
                <w:rFonts w:ascii="Arial"/>
                <w:b/>
                <w:sz w:val="22"/>
              </w:rPr>
              <w:t>Total</w:t>
            </w:r>
          </w:p>
        </w:tc>
        <w:tc>
          <w:tcPr>
            <w:tcW w:w="2482" w:type="dxa"/>
          </w:tcPr>
          <w:p>
            <w:pPr>
              <w:pStyle w:val="TableParagraph"/>
              <w:spacing w:before="74"/>
              <w:ind w:left="1040" w:right="991"/>
              <w:jc w:val="center"/>
              <w:rPr>
                <w:rFonts w:ascii="Arial"/>
                <w:sz w:val="22"/>
              </w:rPr>
            </w:pPr>
            <w:r>
              <w:rPr>
                <w:rFonts w:ascii="Arial"/>
                <w:sz w:val="22"/>
              </w:rPr>
              <w:t>383</w:t>
            </w:r>
          </w:p>
        </w:tc>
        <w:tc>
          <w:tcPr>
            <w:tcW w:w="2468" w:type="dxa"/>
          </w:tcPr>
          <w:p>
            <w:pPr>
              <w:pStyle w:val="TableParagraph"/>
              <w:spacing w:before="74"/>
              <w:ind w:left="756"/>
              <w:rPr>
                <w:rFonts w:ascii="Arial"/>
                <w:sz w:val="22"/>
              </w:rPr>
            </w:pPr>
            <w:r>
              <w:rPr>
                <w:rFonts w:ascii="Arial"/>
                <w:sz w:val="22"/>
              </w:rPr>
              <w:t>100.00</w:t>
            </w:r>
          </w:p>
        </w:tc>
      </w:tr>
    </w:tbl>
    <w:p>
      <w:pPr>
        <w:spacing w:line="227" w:lineRule="exact" w:before="0"/>
        <w:ind w:left="265" w:right="284" w:firstLine="0"/>
        <w:jc w:val="left"/>
        <w:rPr>
          <w:sz w:val="20"/>
        </w:rPr>
      </w:pPr>
      <w:r>
        <w:rPr>
          <w:sz w:val="20"/>
        </w:rPr>
        <w:t>Fuente: Cédula de captación de datos 2012</w:t>
      </w:r>
    </w:p>
    <w:p>
      <w:pPr>
        <w:spacing w:after="0" w:line="227" w:lineRule="exact"/>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488"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Cuando se trata de intervenciones que van ligadas a la terapia de infusión intravenosa se requiere de conocimientos tanto teóricos, como prácticos y es que en el estudio se encontró que el catéter venoso periférico representa (197 casos, 51%) de eventos adversos durante su manejo, posteriormente el catéter venoso central (151 casos, 39%).</w:t>
      </w:r>
    </w:p>
    <w:p>
      <w:pPr>
        <w:pStyle w:val="BodyText"/>
      </w:pPr>
    </w:p>
    <w:p>
      <w:pPr>
        <w:pStyle w:val="BodyText"/>
      </w:pPr>
    </w:p>
    <w:p>
      <w:pPr>
        <w:spacing w:before="208"/>
        <w:ind w:left="461" w:right="430" w:firstLine="0"/>
        <w:jc w:val="center"/>
        <w:rPr>
          <w:b/>
          <w:sz w:val="22"/>
        </w:rPr>
      </w:pPr>
      <w:r>
        <w:rPr>
          <w:b/>
          <w:sz w:val="22"/>
        </w:rPr>
        <w:t>Cuadro N° 6</w:t>
      </w:r>
    </w:p>
    <w:p>
      <w:pPr>
        <w:pStyle w:val="BodyText"/>
        <w:rPr>
          <w:b/>
          <w:sz w:val="22"/>
        </w:rPr>
      </w:pPr>
    </w:p>
    <w:p>
      <w:pPr>
        <w:pStyle w:val="BodyText"/>
        <w:spacing w:before="2"/>
        <w:rPr>
          <w:b/>
          <w:sz w:val="22"/>
        </w:rPr>
      </w:pPr>
    </w:p>
    <w:p>
      <w:pPr>
        <w:pStyle w:val="Heading6"/>
        <w:spacing w:line="360" w:lineRule="auto" w:before="1"/>
        <w:ind w:left="278" w:right="253"/>
        <w:jc w:val="center"/>
      </w:pPr>
      <w:r>
        <w:rPr/>
        <w:t>CATÉTER DE TERAPIA DE INFUSIÓN CON MAYOR INCIDENCIA A EVENTOS ADVERSOS 2012</w:t>
      </w:r>
    </w:p>
    <w:p>
      <w:pPr>
        <w:pStyle w:val="BodyText"/>
        <w:rPr>
          <w:b/>
          <w:sz w:val="20"/>
        </w:rPr>
      </w:pPr>
    </w:p>
    <w:p>
      <w:pPr>
        <w:pStyle w:val="BodyText"/>
        <w:spacing w:before="7"/>
        <w:rPr>
          <w:b/>
          <w:sz w:val="16"/>
        </w:rPr>
      </w:pPr>
    </w:p>
    <w:tbl>
      <w:tblPr>
        <w:tblW w:w="0" w:type="auto"/>
        <w:jc w:val="left"/>
        <w:tblInd w:w="18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725"/>
        <w:gridCol w:w="2622"/>
        <w:gridCol w:w="2609"/>
      </w:tblGrid>
      <w:tr>
        <w:trPr>
          <w:trHeight w:val="419" w:hRule="exact"/>
        </w:trPr>
        <w:tc>
          <w:tcPr>
            <w:tcW w:w="3725" w:type="dxa"/>
            <w:shd w:val="clear" w:color="auto" w:fill="FFC000"/>
          </w:tcPr>
          <w:p>
            <w:pPr>
              <w:pStyle w:val="TableParagraph"/>
              <w:spacing w:before="56"/>
              <w:ind w:left="1389" w:right="1397"/>
              <w:jc w:val="center"/>
              <w:rPr>
                <w:rFonts w:ascii="Arial"/>
                <w:b/>
                <w:sz w:val="22"/>
              </w:rPr>
            </w:pPr>
            <w:r>
              <w:rPr>
                <w:rFonts w:ascii="Arial"/>
                <w:b/>
                <w:sz w:val="22"/>
              </w:rPr>
              <w:t>Variable</w:t>
            </w:r>
          </w:p>
        </w:tc>
        <w:tc>
          <w:tcPr>
            <w:tcW w:w="2622" w:type="dxa"/>
            <w:shd w:val="clear" w:color="auto" w:fill="FFC000"/>
          </w:tcPr>
          <w:p>
            <w:pPr>
              <w:pStyle w:val="TableParagraph"/>
              <w:spacing w:before="56"/>
              <w:ind w:left="693"/>
              <w:rPr>
                <w:rFonts w:ascii="Arial"/>
                <w:b/>
                <w:sz w:val="22"/>
              </w:rPr>
            </w:pPr>
            <w:r>
              <w:rPr>
                <w:rFonts w:ascii="Arial"/>
                <w:b/>
                <w:sz w:val="22"/>
              </w:rPr>
              <w:t>Frecuencia</w:t>
            </w:r>
          </w:p>
        </w:tc>
        <w:tc>
          <w:tcPr>
            <w:tcW w:w="2609" w:type="dxa"/>
            <w:shd w:val="clear" w:color="auto" w:fill="FFC000"/>
          </w:tcPr>
          <w:p>
            <w:pPr>
              <w:pStyle w:val="TableParagraph"/>
              <w:spacing w:before="56"/>
              <w:ind w:left="715"/>
              <w:rPr>
                <w:rFonts w:ascii="Arial"/>
                <w:b/>
                <w:sz w:val="22"/>
              </w:rPr>
            </w:pPr>
            <w:r>
              <w:rPr>
                <w:rFonts w:ascii="Arial"/>
                <w:b/>
                <w:sz w:val="22"/>
              </w:rPr>
              <w:t>Porcentaje</w:t>
            </w:r>
          </w:p>
        </w:tc>
      </w:tr>
      <w:tr>
        <w:trPr>
          <w:trHeight w:val="418" w:hRule="exact"/>
        </w:trPr>
        <w:tc>
          <w:tcPr>
            <w:tcW w:w="3725" w:type="dxa"/>
          </w:tcPr>
          <w:p>
            <w:pPr>
              <w:pStyle w:val="TableParagraph"/>
              <w:spacing w:before="57"/>
              <w:ind w:left="50"/>
              <w:rPr>
                <w:rFonts w:ascii="Arial" w:hAnsi="Arial"/>
                <w:sz w:val="22"/>
              </w:rPr>
            </w:pPr>
            <w:r>
              <w:rPr>
                <w:rFonts w:ascii="Arial" w:hAnsi="Arial"/>
                <w:sz w:val="22"/>
              </w:rPr>
              <w:t>Catéter venoso periférico</w:t>
            </w:r>
          </w:p>
        </w:tc>
        <w:tc>
          <w:tcPr>
            <w:tcW w:w="2622" w:type="dxa"/>
          </w:tcPr>
          <w:p>
            <w:pPr>
              <w:pStyle w:val="TableParagraph"/>
              <w:spacing w:before="55"/>
              <w:ind w:left="1110" w:right="940"/>
              <w:jc w:val="center"/>
              <w:rPr>
                <w:rFonts w:ascii="Arial"/>
                <w:b/>
                <w:sz w:val="22"/>
              </w:rPr>
            </w:pPr>
            <w:r>
              <w:rPr>
                <w:rFonts w:ascii="Arial"/>
                <w:b/>
                <w:sz w:val="22"/>
              </w:rPr>
              <w:t>197</w:t>
            </w:r>
          </w:p>
        </w:tc>
        <w:tc>
          <w:tcPr>
            <w:tcW w:w="2609" w:type="dxa"/>
          </w:tcPr>
          <w:p>
            <w:pPr>
              <w:pStyle w:val="TableParagraph"/>
              <w:spacing w:before="55"/>
              <w:ind w:left="872" w:right="860"/>
              <w:jc w:val="center"/>
              <w:rPr>
                <w:rFonts w:ascii="Arial"/>
                <w:b/>
                <w:sz w:val="22"/>
              </w:rPr>
            </w:pPr>
            <w:r>
              <w:rPr>
                <w:rFonts w:ascii="Arial"/>
                <w:b/>
                <w:sz w:val="22"/>
              </w:rPr>
              <w:t>51.44</w:t>
            </w:r>
          </w:p>
        </w:tc>
      </w:tr>
      <w:tr>
        <w:trPr>
          <w:trHeight w:val="403" w:hRule="exact"/>
        </w:trPr>
        <w:tc>
          <w:tcPr>
            <w:tcW w:w="3725" w:type="dxa"/>
          </w:tcPr>
          <w:p>
            <w:pPr>
              <w:pStyle w:val="TableParagraph"/>
              <w:spacing w:before="57"/>
              <w:ind w:left="50"/>
              <w:rPr>
                <w:rFonts w:ascii="Arial" w:hAnsi="Arial"/>
                <w:sz w:val="22"/>
              </w:rPr>
            </w:pPr>
            <w:r>
              <w:rPr>
                <w:rFonts w:ascii="Arial" w:hAnsi="Arial"/>
                <w:sz w:val="22"/>
              </w:rPr>
              <w:t>Catéter venoso central</w:t>
            </w:r>
          </w:p>
        </w:tc>
        <w:tc>
          <w:tcPr>
            <w:tcW w:w="2622" w:type="dxa"/>
          </w:tcPr>
          <w:p>
            <w:pPr>
              <w:pStyle w:val="TableParagraph"/>
              <w:spacing w:before="57"/>
              <w:ind w:left="1110" w:right="940"/>
              <w:jc w:val="center"/>
              <w:rPr>
                <w:rFonts w:ascii="Arial"/>
                <w:sz w:val="22"/>
              </w:rPr>
            </w:pPr>
            <w:r>
              <w:rPr>
                <w:rFonts w:ascii="Arial"/>
                <w:sz w:val="22"/>
              </w:rPr>
              <w:t>151</w:t>
            </w:r>
          </w:p>
        </w:tc>
        <w:tc>
          <w:tcPr>
            <w:tcW w:w="2609" w:type="dxa"/>
          </w:tcPr>
          <w:p>
            <w:pPr>
              <w:pStyle w:val="TableParagraph"/>
              <w:spacing w:before="57"/>
              <w:ind w:left="872" w:right="860"/>
              <w:jc w:val="center"/>
              <w:rPr>
                <w:rFonts w:ascii="Arial"/>
                <w:sz w:val="22"/>
              </w:rPr>
            </w:pPr>
            <w:r>
              <w:rPr>
                <w:rFonts w:ascii="Arial"/>
                <w:sz w:val="22"/>
              </w:rPr>
              <w:t>39.43</w:t>
            </w:r>
          </w:p>
        </w:tc>
      </w:tr>
      <w:tr>
        <w:trPr>
          <w:trHeight w:val="432" w:hRule="exact"/>
        </w:trPr>
        <w:tc>
          <w:tcPr>
            <w:tcW w:w="3725" w:type="dxa"/>
          </w:tcPr>
          <w:p>
            <w:pPr>
              <w:pStyle w:val="TableParagraph"/>
              <w:spacing w:before="74"/>
              <w:ind w:left="50"/>
              <w:rPr>
                <w:rFonts w:ascii="Arial" w:hAnsi="Arial"/>
                <w:sz w:val="22"/>
              </w:rPr>
            </w:pPr>
            <w:r>
              <w:rPr>
                <w:rFonts w:ascii="Arial" w:hAnsi="Arial"/>
                <w:sz w:val="22"/>
              </w:rPr>
              <w:t>Catéter arterial periférico</w:t>
            </w:r>
          </w:p>
        </w:tc>
        <w:tc>
          <w:tcPr>
            <w:tcW w:w="2622" w:type="dxa"/>
          </w:tcPr>
          <w:p>
            <w:pPr>
              <w:pStyle w:val="TableParagraph"/>
              <w:spacing w:before="74"/>
              <w:ind w:left="1110" w:right="818"/>
              <w:jc w:val="center"/>
              <w:rPr>
                <w:rFonts w:ascii="Arial"/>
                <w:sz w:val="22"/>
              </w:rPr>
            </w:pPr>
            <w:r>
              <w:rPr>
                <w:rFonts w:ascii="Arial"/>
                <w:sz w:val="22"/>
              </w:rPr>
              <w:t>35</w:t>
            </w:r>
          </w:p>
        </w:tc>
        <w:tc>
          <w:tcPr>
            <w:tcW w:w="2609" w:type="dxa"/>
          </w:tcPr>
          <w:p>
            <w:pPr>
              <w:pStyle w:val="TableParagraph"/>
              <w:spacing w:before="74"/>
              <w:ind w:left="872" w:right="738"/>
              <w:jc w:val="center"/>
              <w:rPr>
                <w:rFonts w:ascii="Arial"/>
                <w:sz w:val="22"/>
              </w:rPr>
            </w:pPr>
            <w:r>
              <w:rPr>
                <w:rFonts w:ascii="Arial"/>
                <w:sz w:val="22"/>
              </w:rPr>
              <w:t>9.14</w:t>
            </w:r>
          </w:p>
        </w:tc>
      </w:tr>
      <w:tr>
        <w:trPr>
          <w:trHeight w:val="420" w:hRule="exact"/>
        </w:trPr>
        <w:tc>
          <w:tcPr>
            <w:tcW w:w="3725" w:type="dxa"/>
          </w:tcPr>
          <w:p>
            <w:pPr>
              <w:pStyle w:val="TableParagraph"/>
              <w:spacing w:before="60"/>
              <w:ind w:left="50"/>
              <w:rPr>
                <w:rFonts w:ascii="Arial"/>
                <w:sz w:val="22"/>
              </w:rPr>
            </w:pPr>
            <w:r>
              <w:rPr>
                <w:rFonts w:ascii="Arial"/>
                <w:sz w:val="22"/>
              </w:rPr>
              <w:t>Total</w:t>
            </w:r>
          </w:p>
        </w:tc>
        <w:tc>
          <w:tcPr>
            <w:tcW w:w="2622" w:type="dxa"/>
          </w:tcPr>
          <w:p>
            <w:pPr>
              <w:pStyle w:val="TableParagraph"/>
              <w:spacing w:before="60"/>
              <w:ind w:left="1110" w:right="940"/>
              <w:jc w:val="center"/>
              <w:rPr>
                <w:rFonts w:ascii="Arial"/>
                <w:sz w:val="22"/>
              </w:rPr>
            </w:pPr>
            <w:r>
              <w:rPr>
                <w:rFonts w:ascii="Arial"/>
                <w:sz w:val="22"/>
              </w:rPr>
              <w:t>383</w:t>
            </w:r>
          </w:p>
        </w:tc>
        <w:tc>
          <w:tcPr>
            <w:tcW w:w="2609" w:type="dxa"/>
          </w:tcPr>
          <w:p>
            <w:pPr>
              <w:pStyle w:val="TableParagraph"/>
              <w:spacing w:before="60"/>
              <w:ind w:left="872" w:right="980"/>
              <w:jc w:val="center"/>
              <w:rPr>
                <w:rFonts w:ascii="Arial"/>
                <w:sz w:val="22"/>
              </w:rPr>
            </w:pPr>
            <w:r>
              <w:rPr>
                <w:rFonts w:ascii="Arial"/>
                <w:sz w:val="22"/>
              </w:rPr>
              <w:t>100.00</w:t>
            </w:r>
          </w:p>
        </w:tc>
      </w:tr>
    </w:tbl>
    <w:p>
      <w:pPr>
        <w:spacing w:line="227" w:lineRule="exact" w:before="0"/>
        <w:ind w:left="265" w:right="284" w:firstLine="0"/>
        <w:jc w:val="left"/>
        <w:rPr>
          <w:sz w:val="20"/>
        </w:rPr>
      </w:pPr>
      <w:r>
        <w:rPr>
          <w:sz w:val="20"/>
        </w:rPr>
        <w:t>Fuente: Cédula de captación de datos 2012</w:t>
      </w:r>
    </w:p>
    <w:p>
      <w:pPr>
        <w:spacing w:after="0" w:line="227" w:lineRule="exact"/>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512" from="97.823997pt,56.16pt" to="542.643997pt,56.16pt" stroked="true" strokeweight=".48pt" strokecolor="#000000">
            <w10:wrap type="none"/>
          </v:line>
        </w:pict>
      </w:r>
    </w:p>
    <w:p>
      <w:pPr>
        <w:pStyle w:val="BodyText"/>
        <w:rPr>
          <w:sz w:val="20"/>
        </w:rPr>
      </w:pPr>
    </w:p>
    <w:p>
      <w:pPr>
        <w:pStyle w:val="BodyText"/>
        <w:spacing w:line="360" w:lineRule="auto" w:before="204"/>
        <w:ind w:left="265" w:right="235"/>
        <w:jc w:val="both"/>
      </w:pPr>
      <w:r>
        <w:rPr/>
        <w:t>El evento centinela es un evento adverso en donde ocurre una muerte o un daño físico o psicológico severo de carácter permanente, que requiere tratamiento o un cambio definitivo de estilo de vida. Y en este estudio (6 casos, 2%) fueron los ocurridos.</w:t>
      </w:r>
    </w:p>
    <w:p>
      <w:pPr>
        <w:pStyle w:val="BodyText"/>
      </w:pPr>
    </w:p>
    <w:p>
      <w:pPr>
        <w:pStyle w:val="BodyText"/>
      </w:pPr>
    </w:p>
    <w:p>
      <w:pPr>
        <w:spacing w:before="206"/>
        <w:ind w:left="461" w:right="430" w:firstLine="0"/>
        <w:jc w:val="center"/>
        <w:rPr>
          <w:b/>
          <w:sz w:val="22"/>
        </w:rPr>
      </w:pPr>
      <w:r>
        <w:rPr>
          <w:b/>
          <w:sz w:val="22"/>
        </w:rPr>
        <w:t>Cuadro N° 7</w:t>
      </w:r>
    </w:p>
    <w:p>
      <w:pPr>
        <w:pStyle w:val="BodyText"/>
        <w:rPr>
          <w:b/>
          <w:sz w:val="22"/>
        </w:rPr>
      </w:pPr>
    </w:p>
    <w:p>
      <w:pPr>
        <w:pStyle w:val="BodyText"/>
        <w:rPr>
          <w:b/>
          <w:sz w:val="22"/>
        </w:rPr>
      </w:pPr>
    </w:p>
    <w:p>
      <w:pPr>
        <w:spacing w:line="360" w:lineRule="auto" w:before="0"/>
        <w:ind w:left="522" w:right="492" w:hanging="1"/>
        <w:jc w:val="center"/>
        <w:rPr>
          <w:b/>
          <w:sz w:val="22"/>
        </w:rPr>
      </w:pPr>
      <w:r>
        <w:rPr>
          <w:b/>
          <w:sz w:val="22"/>
        </w:rPr>
        <w:t>TIPO DE EVENTO ADVERSO ACONTECIDO RELACIONADO A LA TERAPIA DE INFUSIÓN INTRAVENOSA EN PACIENTES OBSTÉTRICAS EN UN HOSPITAL DE TERCER NIVEL TOLUCA, 2012</w:t>
      </w:r>
    </w:p>
    <w:p>
      <w:pPr>
        <w:pStyle w:val="BodyText"/>
        <w:rPr>
          <w:b/>
          <w:sz w:val="20"/>
        </w:rPr>
      </w:pPr>
    </w:p>
    <w:p>
      <w:pPr>
        <w:pStyle w:val="BodyText"/>
        <w:spacing w:before="9"/>
        <w:rPr>
          <w:b/>
          <w:sz w:val="13"/>
        </w:rPr>
      </w:pPr>
    </w:p>
    <w:tbl>
      <w:tblPr>
        <w:tblW w:w="0" w:type="auto"/>
        <w:jc w:val="left"/>
        <w:tblInd w:w="195"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033"/>
        <w:gridCol w:w="2458"/>
        <w:gridCol w:w="2444"/>
      </w:tblGrid>
      <w:tr>
        <w:trPr>
          <w:trHeight w:val="416" w:hRule="exact"/>
        </w:trPr>
        <w:tc>
          <w:tcPr>
            <w:tcW w:w="4033" w:type="dxa"/>
            <w:shd w:val="clear" w:color="auto" w:fill="FFC000"/>
          </w:tcPr>
          <w:p>
            <w:pPr>
              <w:pStyle w:val="TableParagraph"/>
              <w:spacing w:before="56"/>
              <w:ind w:left="1543" w:right="1550"/>
              <w:jc w:val="center"/>
              <w:rPr>
                <w:rFonts w:ascii="Arial"/>
                <w:b/>
                <w:sz w:val="22"/>
              </w:rPr>
            </w:pPr>
            <w:r>
              <w:rPr>
                <w:rFonts w:ascii="Arial"/>
                <w:b/>
                <w:sz w:val="22"/>
              </w:rPr>
              <w:t>Variable</w:t>
            </w:r>
          </w:p>
        </w:tc>
        <w:tc>
          <w:tcPr>
            <w:tcW w:w="2458" w:type="dxa"/>
            <w:shd w:val="clear" w:color="auto" w:fill="FFC000"/>
          </w:tcPr>
          <w:p>
            <w:pPr>
              <w:pStyle w:val="TableParagraph"/>
              <w:spacing w:before="56"/>
              <w:ind w:left="609"/>
              <w:rPr>
                <w:rFonts w:ascii="Arial"/>
                <w:b/>
                <w:sz w:val="22"/>
              </w:rPr>
            </w:pPr>
            <w:r>
              <w:rPr>
                <w:rFonts w:ascii="Arial"/>
                <w:b/>
                <w:sz w:val="22"/>
              </w:rPr>
              <w:t>Frecuencia</w:t>
            </w:r>
          </w:p>
        </w:tc>
        <w:tc>
          <w:tcPr>
            <w:tcW w:w="2444" w:type="dxa"/>
            <w:shd w:val="clear" w:color="auto" w:fill="FFC000"/>
          </w:tcPr>
          <w:p>
            <w:pPr>
              <w:pStyle w:val="TableParagraph"/>
              <w:spacing w:before="56"/>
              <w:ind w:left="628"/>
              <w:rPr>
                <w:rFonts w:ascii="Arial"/>
                <w:b/>
                <w:sz w:val="22"/>
              </w:rPr>
            </w:pPr>
            <w:r>
              <w:rPr>
                <w:rFonts w:ascii="Arial"/>
                <w:b/>
                <w:sz w:val="22"/>
              </w:rPr>
              <w:t>Porcentaje</w:t>
            </w:r>
          </w:p>
        </w:tc>
      </w:tr>
      <w:tr>
        <w:trPr>
          <w:trHeight w:val="418" w:hRule="exact"/>
        </w:trPr>
        <w:tc>
          <w:tcPr>
            <w:tcW w:w="4033" w:type="dxa"/>
          </w:tcPr>
          <w:p>
            <w:pPr>
              <w:pStyle w:val="TableParagraph"/>
              <w:spacing w:before="60"/>
              <w:ind w:left="50"/>
              <w:rPr>
                <w:rFonts w:ascii="Arial"/>
                <w:sz w:val="22"/>
              </w:rPr>
            </w:pPr>
            <w:r>
              <w:rPr>
                <w:rFonts w:ascii="Arial"/>
                <w:sz w:val="22"/>
              </w:rPr>
              <w:t>Evento adverso prevenible</w:t>
            </w:r>
          </w:p>
        </w:tc>
        <w:tc>
          <w:tcPr>
            <w:tcW w:w="2458" w:type="dxa"/>
          </w:tcPr>
          <w:p>
            <w:pPr>
              <w:pStyle w:val="TableParagraph"/>
              <w:spacing w:before="57"/>
              <w:ind w:left="996" w:right="1011"/>
              <w:jc w:val="center"/>
              <w:rPr>
                <w:rFonts w:ascii="Arial"/>
                <w:b/>
                <w:sz w:val="22"/>
              </w:rPr>
            </w:pPr>
            <w:r>
              <w:rPr>
                <w:rFonts w:ascii="Arial"/>
                <w:b/>
                <w:sz w:val="22"/>
              </w:rPr>
              <w:t>234</w:t>
            </w:r>
          </w:p>
        </w:tc>
        <w:tc>
          <w:tcPr>
            <w:tcW w:w="2444" w:type="dxa"/>
          </w:tcPr>
          <w:p>
            <w:pPr>
              <w:pStyle w:val="TableParagraph"/>
              <w:spacing w:before="57"/>
              <w:ind w:left="814" w:right="994"/>
              <w:jc w:val="center"/>
              <w:rPr>
                <w:rFonts w:ascii="Arial"/>
                <w:b/>
                <w:sz w:val="22"/>
              </w:rPr>
            </w:pPr>
            <w:r>
              <w:rPr>
                <w:rFonts w:ascii="Arial"/>
                <w:b/>
                <w:sz w:val="22"/>
              </w:rPr>
              <w:t>61.10</w:t>
            </w:r>
          </w:p>
        </w:tc>
      </w:tr>
      <w:tr>
        <w:trPr>
          <w:trHeight w:val="403" w:hRule="exact"/>
        </w:trPr>
        <w:tc>
          <w:tcPr>
            <w:tcW w:w="4033" w:type="dxa"/>
          </w:tcPr>
          <w:p>
            <w:pPr>
              <w:pStyle w:val="TableParagraph"/>
              <w:spacing w:before="60"/>
              <w:ind w:left="50"/>
              <w:rPr>
                <w:rFonts w:ascii="Arial"/>
                <w:sz w:val="22"/>
              </w:rPr>
            </w:pPr>
            <w:r>
              <w:rPr>
                <w:rFonts w:ascii="Arial"/>
                <w:sz w:val="22"/>
              </w:rPr>
              <w:t>Evento adverso no prevenible</w:t>
            </w:r>
          </w:p>
        </w:tc>
        <w:tc>
          <w:tcPr>
            <w:tcW w:w="2458" w:type="dxa"/>
          </w:tcPr>
          <w:p>
            <w:pPr>
              <w:pStyle w:val="TableParagraph"/>
              <w:spacing w:before="60"/>
              <w:ind w:left="996" w:right="891"/>
              <w:jc w:val="center"/>
              <w:rPr>
                <w:rFonts w:ascii="Arial"/>
                <w:sz w:val="22"/>
              </w:rPr>
            </w:pPr>
            <w:r>
              <w:rPr>
                <w:rFonts w:ascii="Arial"/>
                <w:sz w:val="22"/>
              </w:rPr>
              <w:t>52</w:t>
            </w:r>
          </w:p>
        </w:tc>
        <w:tc>
          <w:tcPr>
            <w:tcW w:w="2444" w:type="dxa"/>
          </w:tcPr>
          <w:p>
            <w:pPr>
              <w:pStyle w:val="TableParagraph"/>
              <w:spacing w:before="60"/>
              <w:ind w:left="814" w:right="994"/>
              <w:jc w:val="center"/>
              <w:rPr>
                <w:rFonts w:ascii="Arial"/>
                <w:sz w:val="22"/>
              </w:rPr>
            </w:pPr>
            <w:r>
              <w:rPr>
                <w:rFonts w:ascii="Arial"/>
                <w:sz w:val="22"/>
              </w:rPr>
              <w:t>13.58</w:t>
            </w:r>
          </w:p>
        </w:tc>
      </w:tr>
      <w:tr>
        <w:trPr>
          <w:trHeight w:val="434" w:hRule="exact"/>
        </w:trPr>
        <w:tc>
          <w:tcPr>
            <w:tcW w:w="4033" w:type="dxa"/>
          </w:tcPr>
          <w:p>
            <w:pPr>
              <w:pStyle w:val="TableParagraph"/>
              <w:spacing w:before="74"/>
              <w:ind w:left="50"/>
              <w:rPr>
                <w:rFonts w:ascii="Arial"/>
                <w:sz w:val="22"/>
              </w:rPr>
            </w:pPr>
            <w:r>
              <w:rPr>
                <w:rFonts w:ascii="Arial"/>
                <w:sz w:val="22"/>
              </w:rPr>
              <w:t>Cuasi falla</w:t>
            </w:r>
          </w:p>
        </w:tc>
        <w:tc>
          <w:tcPr>
            <w:tcW w:w="2458" w:type="dxa"/>
          </w:tcPr>
          <w:p>
            <w:pPr>
              <w:pStyle w:val="TableParagraph"/>
              <w:spacing w:before="74"/>
              <w:ind w:left="996" w:right="891"/>
              <w:jc w:val="center"/>
              <w:rPr>
                <w:rFonts w:ascii="Arial"/>
                <w:sz w:val="22"/>
              </w:rPr>
            </w:pPr>
            <w:r>
              <w:rPr>
                <w:rFonts w:ascii="Arial"/>
                <w:sz w:val="22"/>
              </w:rPr>
              <w:t>91</w:t>
            </w:r>
          </w:p>
        </w:tc>
        <w:tc>
          <w:tcPr>
            <w:tcW w:w="2444" w:type="dxa"/>
          </w:tcPr>
          <w:p>
            <w:pPr>
              <w:pStyle w:val="TableParagraph"/>
              <w:spacing w:before="74"/>
              <w:ind w:left="814" w:right="994"/>
              <w:jc w:val="center"/>
              <w:rPr>
                <w:rFonts w:ascii="Arial"/>
                <w:sz w:val="22"/>
              </w:rPr>
            </w:pPr>
            <w:r>
              <w:rPr>
                <w:rFonts w:ascii="Arial"/>
                <w:sz w:val="22"/>
              </w:rPr>
              <w:t>23.76</w:t>
            </w:r>
          </w:p>
        </w:tc>
      </w:tr>
      <w:tr>
        <w:trPr>
          <w:trHeight w:val="404" w:hRule="exact"/>
        </w:trPr>
        <w:tc>
          <w:tcPr>
            <w:tcW w:w="4033" w:type="dxa"/>
          </w:tcPr>
          <w:p>
            <w:pPr>
              <w:pStyle w:val="TableParagraph"/>
              <w:spacing w:before="58"/>
              <w:ind w:left="50"/>
              <w:rPr>
                <w:rFonts w:ascii="Arial"/>
                <w:sz w:val="22"/>
              </w:rPr>
            </w:pPr>
            <w:r>
              <w:rPr>
                <w:rFonts w:ascii="Arial"/>
                <w:sz w:val="22"/>
              </w:rPr>
              <w:t>Evento centinela</w:t>
            </w:r>
          </w:p>
        </w:tc>
        <w:tc>
          <w:tcPr>
            <w:tcW w:w="2458" w:type="dxa"/>
          </w:tcPr>
          <w:p>
            <w:pPr>
              <w:pStyle w:val="TableParagraph"/>
              <w:spacing w:before="58"/>
              <w:ind w:left="227"/>
              <w:jc w:val="center"/>
              <w:rPr>
                <w:rFonts w:ascii="Arial"/>
                <w:sz w:val="22"/>
              </w:rPr>
            </w:pPr>
            <w:r>
              <w:rPr>
                <w:rFonts w:ascii="Arial"/>
                <w:w w:val="100"/>
                <w:sz w:val="22"/>
              </w:rPr>
              <w:t>6</w:t>
            </w:r>
          </w:p>
        </w:tc>
        <w:tc>
          <w:tcPr>
            <w:tcW w:w="2444" w:type="dxa"/>
          </w:tcPr>
          <w:p>
            <w:pPr>
              <w:pStyle w:val="TableParagraph"/>
              <w:spacing w:before="58"/>
              <w:ind w:left="814" w:right="872"/>
              <w:jc w:val="center"/>
              <w:rPr>
                <w:rFonts w:ascii="Arial"/>
                <w:sz w:val="22"/>
              </w:rPr>
            </w:pPr>
            <w:r>
              <w:rPr>
                <w:rFonts w:ascii="Arial"/>
                <w:sz w:val="22"/>
              </w:rPr>
              <w:t>1.57</w:t>
            </w:r>
          </w:p>
        </w:tc>
      </w:tr>
      <w:tr>
        <w:trPr>
          <w:trHeight w:val="434" w:hRule="exact"/>
        </w:trPr>
        <w:tc>
          <w:tcPr>
            <w:tcW w:w="4033" w:type="dxa"/>
          </w:tcPr>
          <w:p>
            <w:pPr>
              <w:pStyle w:val="TableParagraph"/>
              <w:spacing w:before="69"/>
              <w:ind w:left="50"/>
              <w:rPr>
                <w:rFonts w:ascii="Arial"/>
                <w:b/>
                <w:sz w:val="22"/>
              </w:rPr>
            </w:pPr>
            <w:r>
              <w:rPr>
                <w:rFonts w:ascii="Arial"/>
                <w:b/>
                <w:sz w:val="22"/>
              </w:rPr>
              <w:t>Total</w:t>
            </w:r>
          </w:p>
        </w:tc>
        <w:tc>
          <w:tcPr>
            <w:tcW w:w="2458" w:type="dxa"/>
          </w:tcPr>
          <w:p>
            <w:pPr>
              <w:pStyle w:val="TableParagraph"/>
              <w:spacing w:before="72"/>
              <w:ind w:left="996" w:right="1011"/>
              <w:jc w:val="center"/>
              <w:rPr>
                <w:rFonts w:ascii="Arial"/>
                <w:sz w:val="22"/>
              </w:rPr>
            </w:pPr>
            <w:r>
              <w:rPr>
                <w:rFonts w:ascii="Arial"/>
                <w:sz w:val="22"/>
              </w:rPr>
              <w:t>383</w:t>
            </w:r>
          </w:p>
        </w:tc>
        <w:tc>
          <w:tcPr>
            <w:tcW w:w="2444" w:type="dxa"/>
          </w:tcPr>
          <w:p>
            <w:pPr>
              <w:pStyle w:val="TableParagraph"/>
              <w:spacing w:before="72"/>
              <w:ind w:left="710"/>
              <w:rPr>
                <w:rFonts w:ascii="Arial"/>
                <w:sz w:val="22"/>
              </w:rPr>
            </w:pPr>
            <w:r>
              <w:rPr>
                <w:rFonts w:ascii="Arial"/>
                <w:sz w:val="22"/>
              </w:rPr>
              <w:t>100.00</w:t>
            </w:r>
          </w:p>
        </w:tc>
      </w:tr>
    </w:tbl>
    <w:p>
      <w:pPr>
        <w:spacing w:line="227" w:lineRule="exact" w:before="0"/>
        <w:ind w:left="265" w:right="284" w:firstLine="0"/>
        <w:jc w:val="left"/>
        <w:rPr>
          <w:sz w:val="20"/>
        </w:rPr>
      </w:pPr>
      <w:r>
        <w:rPr>
          <w:sz w:val="20"/>
        </w:rPr>
        <w:t>Fuente: Cédula de captación datos 2012</w:t>
      </w:r>
    </w:p>
    <w:p>
      <w:pPr>
        <w:spacing w:after="0" w:line="227" w:lineRule="exact"/>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536"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El mayor registro de eventos adversos encontrados con lo que respecta al turno fue el matutino (22 casos, 34%), tomando en consideración que es en este turno en donde hay mayor presencia de alumnos, pasantes, personal en capacitación y mayor número de procedimientos invasivos que ponen en riesgo la vida de las pacientes obstétricas.</w:t>
      </w:r>
    </w:p>
    <w:p>
      <w:pPr>
        <w:pStyle w:val="BodyText"/>
      </w:pPr>
    </w:p>
    <w:p>
      <w:pPr>
        <w:pStyle w:val="BodyText"/>
      </w:pPr>
    </w:p>
    <w:p>
      <w:pPr>
        <w:pStyle w:val="BodyText"/>
      </w:pPr>
    </w:p>
    <w:p>
      <w:pPr>
        <w:pStyle w:val="BodyText"/>
      </w:pPr>
    </w:p>
    <w:p>
      <w:pPr>
        <w:spacing w:before="140"/>
        <w:ind w:left="461" w:right="430" w:firstLine="0"/>
        <w:jc w:val="center"/>
        <w:rPr>
          <w:b/>
          <w:sz w:val="22"/>
        </w:rPr>
      </w:pPr>
      <w:r>
        <w:rPr>
          <w:b/>
          <w:sz w:val="22"/>
        </w:rPr>
        <w:t>Cuadro N° 8</w:t>
      </w:r>
    </w:p>
    <w:p>
      <w:pPr>
        <w:pStyle w:val="BodyText"/>
        <w:rPr>
          <w:b/>
          <w:sz w:val="22"/>
        </w:rPr>
      </w:pPr>
    </w:p>
    <w:p>
      <w:pPr>
        <w:pStyle w:val="BodyText"/>
        <w:spacing w:before="10"/>
        <w:rPr>
          <w:b/>
          <w:sz w:val="21"/>
        </w:rPr>
      </w:pPr>
    </w:p>
    <w:p>
      <w:pPr>
        <w:spacing w:line="360" w:lineRule="auto" w:before="1"/>
        <w:ind w:left="284" w:right="249" w:firstLine="0"/>
        <w:jc w:val="center"/>
        <w:rPr>
          <w:b/>
          <w:sz w:val="22"/>
        </w:rPr>
      </w:pPr>
      <w:r>
        <w:rPr>
          <w:b/>
          <w:sz w:val="22"/>
        </w:rPr>
        <w:t>TURNO CON MAYOR INCIDENCIA DE EVENTOS ADVERSOS RELACIONADOS A LA TERAPIA DE INFUSIÓN INTRAVENOSA EN PACIENTES OBSTÉTRICAS DE UN HOSPITAL DE TERCER NIVEL 2012</w:t>
      </w:r>
    </w:p>
    <w:p>
      <w:pPr>
        <w:pStyle w:val="BodyText"/>
        <w:rPr>
          <w:b/>
          <w:sz w:val="20"/>
        </w:rPr>
      </w:pPr>
    </w:p>
    <w:p>
      <w:pPr>
        <w:pStyle w:val="BodyText"/>
        <w:spacing w:before="10"/>
        <w:rPr>
          <w:b/>
          <w:sz w:val="13"/>
        </w:rPr>
      </w:pPr>
    </w:p>
    <w:tbl>
      <w:tblPr>
        <w:tblW w:w="0" w:type="auto"/>
        <w:jc w:val="left"/>
        <w:tblInd w:w="26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253"/>
        <w:gridCol w:w="2775"/>
        <w:gridCol w:w="2763"/>
      </w:tblGrid>
      <w:tr>
        <w:trPr>
          <w:trHeight w:val="439" w:hRule="exact"/>
        </w:trPr>
        <w:tc>
          <w:tcPr>
            <w:tcW w:w="3253" w:type="dxa"/>
            <w:shd w:val="clear" w:color="auto" w:fill="FFC000"/>
          </w:tcPr>
          <w:p>
            <w:pPr>
              <w:pStyle w:val="TableParagraph"/>
              <w:spacing w:before="55"/>
              <w:ind w:left="1109" w:right="1126"/>
              <w:jc w:val="center"/>
              <w:rPr>
                <w:rFonts w:ascii="Arial"/>
                <w:b/>
                <w:sz w:val="24"/>
              </w:rPr>
            </w:pPr>
            <w:r>
              <w:rPr>
                <w:rFonts w:ascii="Arial"/>
                <w:b/>
                <w:sz w:val="24"/>
              </w:rPr>
              <w:t>Variable</w:t>
            </w:r>
          </w:p>
        </w:tc>
        <w:tc>
          <w:tcPr>
            <w:tcW w:w="2775" w:type="dxa"/>
            <w:shd w:val="clear" w:color="auto" w:fill="FFC000"/>
          </w:tcPr>
          <w:p>
            <w:pPr>
              <w:pStyle w:val="TableParagraph"/>
              <w:spacing w:before="55"/>
              <w:ind w:left="699" w:right="725"/>
              <w:jc w:val="center"/>
              <w:rPr>
                <w:rFonts w:ascii="Arial"/>
                <w:b/>
                <w:sz w:val="24"/>
              </w:rPr>
            </w:pPr>
            <w:r>
              <w:rPr>
                <w:rFonts w:ascii="Arial"/>
                <w:b/>
                <w:sz w:val="24"/>
              </w:rPr>
              <w:t>Frecuencia</w:t>
            </w:r>
          </w:p>
        </w:tc>
        <w:tc>
          <w:tcPr>
            <w:tcW w:w="2763" w:type="dxa"/>
            <w:shd w:val="clear" w:color="auto" w:fill="FFC000"/>
          </w:tcPr>
          <w:p>
            <w:pPr>
              <w:pStyle w:val="TableParagraph"/>
              <w:spacing w:before="55"/>
              <w:ind w:left="739"/>
              <w:rPr>
                <w:rFonts w:ascii="Arial"/>
                <w:b/>
                <w:sz w:val="24"/>
              </w:rPr>
            </w:pPr>
            <w:r>
              <w:rPr>
                <w:rFonts w:ascii="Arial"/>
                <w:b/>
                <w:sz w:val="24"/>
              </w:rPr>
              <w:t>Porcentaje</w:t>
            </w:r>
          </w:p>
        </w:tc>
      </w:tr>
      <w:tr>
        <w:trPr>
          <w:trHeight w:val="442" w:hRule="exact"/>
        </w:trPr>
        <w:tc>
          <w:tcPr>
            <w:tcW w:w="3253" w:type="dxa"/>
          </w:tcPr>
          <w:p>
            <w:pPr>
              <w:pStyle w:val="TableParagraph"/>
              <w:spacing w:before="58"/>
              <w:ind w:left="48"/>
              <w:rPr>
                <w:rFonts w:ascii="Arial"/>
                <w:sz w:val="24"/>
              </w:rPr>
            </w:pPr>
            <w:r>
              <w:rPr>
                <w:rFonts w:ascii="Arial"/>
                <w:sz w:val="24"/>
              </w:rPr>
              <w:t>Matutino</w:t>
            </w:r>
          </w:p>
        </w:tc>
        <w:tc>
          <w:tcPr>
            <w:tcW w:w="2775" w:type="dxa"/>
          </w:tcPr>
          <w:p>
            <w:pPr>
              <w:pStyle w:val="TableParagraph"/>
              <w:spacing w:before="58"/>
              <w:ind w:left="640" w:right="725"/>
              <w:jc w:val="center"/>
              <w:rPr>
                <w:rFonts w:ascii="Arial"/>
                <w:b/>
                <w:sz w:val="24"/>
              </w:rPr>
            </w:pPr>
            <w:r>
              <w:rPr>
                <w:rFonts w:ascii="Arial"/>
                <w:b/>
                <w:sz w:val="24"/>
              </w:rPr>
              <w:t>162</w:t>
            </w:r>
          </w:p>
        </w:tc>
        <w:tc>
          <w:tcPr>
            <w:tcW w:w="2763" w:type="dxa"/>
          </w:tcPr>
          <w:p>
            <w:pPr>
              <w:pStyle w:val="TableParagraph"/>
              <w:spacing w:before="58"/>
              <w:ind w:left="905" w:right="1172"/>
              <w:jc w:val="center"/>
              <w:rPr>
                <w:rFonts w:ascii="Arial"/>
                <w:b/>
                <w:sz w:val="24"/>
              </w:rPr>
            </w:pPr>
            <w:r>
              <w:rPr>
                <w:rFonts w:ascii="Arial"/>
                <w:b/>
                <w:sz w:val="24"/>
              </w:rPr>
              <w:t>42.30</w:t>
            </w:r>
          </w:p>
        </w:tc>
      </w:tr>
      <w:tr>
        <w:trPr>
          <w:trHeight w:val="427" w:hRule="exact"/>
        </w:trPr>
        <w:tc>
          <w:tcPr>
            <w:tcW w:w="3253" w:type="dxa"/>
          </w:tcPr>
          <w:p>
            <w:pPr>
              <w:pStyle w:val="TableParagraph"/>
              <w:spacing w:before="58"/>
              <w:ind w:left="48"/>
              <w:rPr>
                <w:rFonts w:ascii="Arial"/>
                <w:sz w:val="24"/>
              </w:rPr>
            </w:pPr>
            <w:r>
              <w:rPr>
                <w:rFonts w:ascii="Arial"/>
                <w:sz w:val="24"/>
              </w:rPr>
              <w:t>Vespertino</w:t>
            </w:r>
          </w:p>
        </w:tc>
        <w:tc>
          <w:tcPr>
            <w:tcW w:w="2775" w:type="dxa"/>
          </w:tcPr>
          <w:p>
            <w:pPr>
              <w:pStyle w:val="TableParagraph"/>
              <w:spacing w:before="58"/>
              <w:ind w:left="699" w:right="651"/>
              <w:jc w:val="center"/>
              <w:rPr>
                <w:rFonts w:ascii="Arial"/>
                <w:sz w:val="24"/>
              </w:rPr>
            </w:pPr>
            <w:r>
              <w:rPr>
                <w:rFonts w:ascii="Arial"/>
                <w:sz w:val="24"/>
              </w:rPr>
              <w:t>84</w:t>
            </w:r>
          </w:p>
        </w:tc>
        <w:tc>
          <w:tcPr>
            <w:tcW w:w="2763" w:type="dxa"/>
          </w:tcPr>
          <w:p>
            <w:pPr>
              <w:pStyle w:val="TableParagraph"/>
              <w:spacing w:before="58"/>
              <w:ind w:left="905" w:right="1173"/>
              <w:jc w:val="center"/>
              <w:rPr>
                <w:rFonts w:ascii="Arial"/>
                <w:sz w:val="24"/>
              </w:rPr>
            </w:pPr>
            <w:r>
              <w:rPr>
                <w:rFonts w:ascii="Arial"/>
                <w:sz w:val="24"/>
              </w:rPr>
              <w:t>21.93</w:t>
            </w:r>
          </w:p>
        </w:tc>
      </w:tr>
      <w:tr>
        <w:trPr>
          <w:trHeight w:val="456" w:hRule="exact"/>
        </w:trPr>
        <w:tc>
          <w:tcPr>
            <w:tcW w:w="3253" w:type="dxa"/>
          </w:tcPr>
          <w:p>
            <w:pPr>
              <w:pStyle w:val="TableParagraph"/>
              <w:spacing w:before="72"/>
              <w:ind w:left="48"/>
              <w:rPr>
                <w:rFonts w:ascii="Arial" w:hAnsi="Arial"/>
                <w:sz w:val="24"/>
              </w:rPr>
            </w:pPr>
            <w:r>
              <w:rPr>
                <w:rFonts w:ascii="Arial" w:hAnsi="Arial"/>
                <w:sz w:val="24"/>
              </w:rPr>
              <w:t>Nocturno “A”</w:t>
            </w:r>
          </w:p>
        </w:tc>
        <w:tc>
          <w:tcPr>
            <w:tcW w:w="2775" w:type="dxa"/>
          </w:tcPr>
          <w:p>
            <w:pPr>
              <w:pStyle w:val="TableParagraph"/>
              <w:spacing w:before="72"/>
              <w:ind w:left="699" w:right="651"/>
              <w:jc w:val="center"/>
              <w:rPr>
                <w:rFonts w:ascii="Arial"/>
                <w:sz w:val="24"/>
              </w:rPr>
            </w:pPr>
            <w:r>
              <w:rPr>
                <w:rFonts w:ascii="Arial"/>
                <w:sz w:val="24"/>
              </w:rPr>
              <w:t>29</w:t>
            </w:r>
          </w:p>
        </w:tc>
        <w:tc>
          <w:tcPr>
            <w:tcW w:w="2763" w:type="dxa"/>
          </w:tcPr>
          <w:p>
            <w:pPr>
              <w:pStyle w:val="TableParagraph"/>
              <w:spacing w:before="72"/>
              <w:ind w:left="905" w:right="1041"/>
              <w:jc w:val="center"/>
              <w:rPr>
                <w:rFonts w:ascii="Arial"/>
                <w:sz w:val="24"/>
              </w:rPr>
            </w:pPr>
            <w:r>
              <w:rPr>
                <w:rFonts w:ascii="Arial"/>
                <w:sz w:val="24"/>
              </w:rPr>
              <w:t>7.57</w:t>
            </w:r>
          </w:p>
        </w:tc>
      </w:tr>
      <w:tr>
        <w:trPr>
          <w:trHeight w:val="425" w:hRule="exact"/>
        </w:trPr>
        <w:tc>
          <w:tcPr>
            <w:tcW w:w="3253" w:type="dxa"/>
          </w:tcPr>
          <w:p>
            <w:pPr>
              <w:pStyle w:val="TableParagraph"/>
              <w:spacing w:before="55"/>
              <w:ind w:left="48"/>
              <w:rPr>
                <w:rFonts w:ascii="Arial" w:hAnsi="Arial"/>
                <w:sz w:val="24"/>
              </w:rPr>
            </w:pPr>
            <w:r>
              <w:rPr>
                <w:rFonts w:ascii="Arial" w:hAnsi="Arial"/>
                <w:sz w:val="24"/>
              </w:rPr>
              <w:t>Nocturno “B”</w:t>
            </w:r>
          </w:p>
        </w:tc>
        <w:tc>
          <w:tcPr>
            <w:tcW w:w="2775" w:type="dxa"/>
          </w:tcPr>
          <w:p>
            <w:pPr>
              <w:pStyle w:val="TableParagraph"/>
              <w:spacing w:before="55"/>
              <w:ind w:left="699" w:right="651"/>
              <w:jc w:val="center"/>
              <w:rPr>
                <w:rFonts w:ascii="Arial"/>
                <w:sz w:val="24"/>
              </w:rPr>
            </w:pPr>
            <w:r>
              <w:rPr>
                <w:rFonts w:ascii="Arial"/>
                <w:sz w:val="24"/>
              </w:rPr>
              <w:t>41</w:t>
            </w:r>
          </w:p>
        </w:tc>
        <w:tc>
          <w:tcPr>
            <w:tcW w:w="2763" w:type="dxa"/>
          </w:tcPr>
          <w:p>
            <w:pPr>
              <w:pStyle w:val="TableParagraph"/>
              <w:spacing w:before="55"/>
              <w:ind w:left="905" w:right="1173"/>
              <w:jc w:val="center"/>
              <w:rPr>
                <w:rFonts w:ascii="Arial"/>
                <w:sz w:val="24"/>
              </w:rPr>
            </w:pPr>
            <w:r>
              <w:rPr>
                <w:rFonts w:ascii="Arial"/>
                <w:sz w:val="24"/>
              </w:rPr>
              <w:t>10.70</w:t>
            </w:r>
          </w:p>
        </w:tc>
      </w:tr>
      <w:tr>
        <w:trPr>
          <w:trHeight w:val="456" w:hRule="exact"/>
        </w:trPr>
        <w:tc>
          <w:tcPr>
            <w:tcW w:w="3253" w:type="dxa"/>
          </w:tcPr>
          <w:p>
            <w:pPr>
              <w:pStyle w:val="TableParagraph"/>
              <w:spacing w:before="72"/>
              <w:ind w:left="48"/>
              <w:rPr>
                <w:rFonts w:ascii="Arial"/>
                <w:sz w:val="24"/>
              </w:rPr>
            </w:pPr>
            <w:r>
              <w:rPr>
                <w:rFonts w:ascii="Arial"/>
                <w:sz w:val="24"/>
              </w:rPr>
              <w:t>Especial diurno</w:t>
            </w:r>
          </w:p>
        </w:tc>
        <w:tc>
          <w:tcPr>
            <w:tcW w:w="2775" w:type="dxa"/>
          </w:tcPr>
          <w:p>
            <w:pPr>
              <w:pStyle w:val="TableParagraph"/>
              <w:spacing w:before="72"/>
              <w:ind w:left="699" w:right="651"/>
              <w:jc w:val="center"/>
              <w:rPr>
                <w:rFonts w:ascii="Arial"/>
                <w:sz w:val="24"/>
              </w:rPr>
            </w:pPr>
            <w:r>
              <w:rPr>
                <w:rFonts w:ascii="Arial"/>
                <w:sz w:val="24"/>
              </w:rPr>
              <w:t>55</w:t>
            </w:r>
          </w:p>
        </w:tc>
        <w:tc>
          <w:tcPr>
            <w:tcW w:w="2763" w:type="dxa"/>
          </w:tcPr>
          <w:p>
            <w:pPr>
              <w:pStyle w:val="TableParagraph"/>
              <w:spacing w:before="72"/>
              <w:ind w:left="905" w:right="1173"/>
              <w:jc w:val="center"/>
              <w:rPr>
                <w:rFonts w:ascii="Arial"/>
                <w:sz w:val="24"/>
              </w:rPr>
            </w:pPr>
            <w:r>
              <w:rPr>
                <w:rFonts w:ascii="Arial"/>
                <w:sz w:val="24"/>
              </w:rPr>
              <w:t>14.36</w:t>
            </w:r>
          </w:p>
        </w:tc>
      </w:tr>
      <w:tr>
        <w:trPr>
          <w:trHeight w:val="427" w:hRule="exact"/>
        </w:trPr>
        <w:tc>
          <w:tcPr>
            <w:tcW w:w="3253" w:type="dxa"/>
          </w:tcPr>
          <w:p>
            <w:pPr>
              <w:pStyle w:val="TableParagraph"/>
              <w:spacing w:before="58"/>
              <w:ind w:left="48"/>
              <w:rPr>
                <w:rFonts w:ascii="Arial"/>
                <w:sz w:val="24"/>
              </w:rPr>
            </w:pPr>
            <w:r>
              <w:rPr>
                <w:rFonts w:ascii="Arial"/>
                <w:sz w:val="24"/>
              </w:rPr>
              <w:t>Especial nocturno</w:t>
            </w:r>
          </w:p>
        </w:tc>
        <w:tc>
          <w:tcPr>
            <w:tcW w:w="2775" w:type="dxa"/>
          </w:tcPr>
          <w:p>
            <w:pPr>
              <w:pStyle w:val="TableParagraph"/>
              <w:spacing w:before="58"/>
              <w:ind w:left="699" w:right="651"/>
              <w:jc w:val="center"/>
              <w:rPr>
                <w:rFonts w:ascii="Arial"/>
                <w:sz w:val="24"/>
              </w:rPr>
            </w:pPr>
            <w:r>
              <w:rPr>
                <w:rFonts w:ascii="Arial"/>
                <w:sz w:val="24"/>
              </w:rPr>
              <w:t>12</w:t>
            </w:r>
          </w:p>
        </w:tc>
        <w:tc>
          <w:tcPr>
            <w:tcW w:w="2763" w:type="dxa"/>
          </w:tcPr>
          <w:p>
            <w:pPr>
              <w:pStyle w:val="TableParagraph"/>
              <w:spacing w:before="58"/>
              <w:ind w:left="905" w:right="1041"/>
              <w:jc w:val="center"/>
              <w:rPr>
                <w:rFonts w:ascii="Arial"/>
                <w:sz w:val="24"/>
              </w:rPr>
            </w:pPr>
            <w:r>
              <w:rPr>
                <w:rFonts w:ascii="Arial"/>
                <w:sz w:val="24"/>
              </w:rPr>
              <w:t>3.13</w:t>
            </w:r>
          </w:p>
        </w:tc>
      </w:tr>
      <w:tr>
        <w:trPr>
          <w:trHeight w:val="456" w:hRule="exact"/>
        </w:trPr>
        <w:tc>
          <w:tcPr>
            <w:tcW w:w="3253" w:type="dxa"/>
          </w:tcPr>
          <w:p>
            <w:pPr>
              <w:pStyle w:val="TableParagraph"/>
              <w:spacing w:before="72"/>
              <w:ind w:left="48"/>
              <w:rPr>
                <w:rFonts w:ascii="Arial"/>
                <w:b/>
                <w:sz w:val="24"/>
              </w:rPr>
            </w:pPr>
            <w:r>
              <w:rPr>
                <w:rFonts w:ascii="Arial"/>
                <w:b/>
                <w:sz w:val="24"/>
              </w:rPr>
              <w:t>Total</w:t>
            </w:r>
          </w:p>
        </w:tc>
        <w:tc>
          <w:tcPr>
            <w:tcW w:w="2775" w:type="dxa"/>
          </w:tcPr>
          <w:p>
            <w:pPr>
              <w:pStyle w:val="TableParagraph"/>
              <w:spacing w:before="72"/>
              <w:ind w:left="640" w:right="725"/>
              <w:jc w:val="center"/>
              <w:rPr>
                <w:rFonts w:ascii="Arial"/>
                <w:sz w:val="24"/>
              </w:rPr>
            </w:pPr>
            <w:r>
              <w:rPr>
                <w:rFonts w:ascii="Arial"/>
                <w:sz w:val="24"/>
              </w:rPr>
              <w:t>383</w:t>
            </w:r>
          </w:p>
        </w:tc>
        <w:tc>
          <w:tcPr>
            <w:tcW w:w="2763" w:type="dxa"/>
          </w:tcPr>
          <w:p>
            <w:pPr>
              <w:pStyle w:val="TableParagraph"/>
              <w:spacing w:before="72"/>
              <w:ind w:left="790"/>
              <w:rPr>
                <w:rFonts w:ascii="Arial"/>
                <w:sz w:val="24"/>
              </w:rPr>
            </w:pPr>
            <w:r>
              <w:rPr>
                <w:rFonts w:ascii="Arial"/>
                <w:sz w:val="24"/>
              </w:rPr>
              <w:t>100.00</w:t>
            </w:r>
          </w:p>
        </w:tc>
      </w:tr>
    </w:tbl>
    <w:p>
      <w:pPr>
        <w:spacing w:line="227" w:lineRule="exact" w:before="0"/>
        <w:ind w:left="265" w:right="284" w:firstLine="0"/>
        <w:jc w:val="left"/>
        <w:rPr>
          <w:sz w:val="20"/>
        </w:rPr>
      </w:pPr>
      <w:r>
        <w:rPr>
          <w:sz w:val="20"/>
        </w:rPr>
        <w:t>Fuente: Cédula de captación de datos 2012</w:t>
      </w:r>
    </w:p>
    <w:p>
      <w:pPr>
        <w:spacing w:after="0" w:line="227" w:lineRule="exact"/>
        <w:jc w:val="left"/>
        <w:rPr>
          <w:sz w:val="20"/>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584" from="97.823997pt,56.16pt" to="542.643997pt,56.16pt" stroked="true" strokeweight=".48pt" strokecolor="#000000">
            <w10:wrap type="none"/>
          </v:line>
        </w:pict>
      </w:r>
    </w:p>
    <w:p>
      <w:pPr>
        <w:pStyle w:val="BodyText"/>
        <w:rPr>
          <w:sz w:val="20"/>
        </w:rPr>
      </w:pPr>
    </w:p>
    <w:p>
      <w:pPr>
        <w:pStyle w:val="Heading6"/>
        <w:spacing w:before="204"/>
        <w:ind w:left="458" w:right="430"/>
        <w:jc w:val="center"/>
      </w:pPr>
      <w:bookmarkStart w:name="_TOC_250004" w:id="15"/>
      <w:bookmarkEnd w:id="15"/>
      <w:r>
        <w:rPr/>
        <w:t>DISCUSIÓN</w:t>
      </w:r>
    </w:p>
    <w:p>
      <w:pPr>
        <w:pStyle w:val="BodyText"/>
        <w:rPr>
          <w:b/>
        </w:rPr>
      </w:pPr>
    </w:p>
    <w:p>
      <w:pPr>
        <w:pStyle w:val="BodyText"/>
        <w:spacing w:before="11"/>
        <w:rPr>
          <w:b/>
          <w:sz w:val="32"/>
        </w:rPr>
      </w:pPr>
    </w:p>
    <w:p>
      <w:pPr>
        <w:pStyle w:val="BodyText"/>
        <w:spacing w:line="360" w:lineRule="auto"/>
        <w:ind w:left="265" w:right="234"/>
        <w:jc w:val="both"/>
      </w:pPr>
      <w:r>
        <w:rPr/>
        <w:t>Conocer que en todas las unidades de atención a la salud ocurren diariamente eventos adversos derivados de fallas humanas o de sistemas, es el primer paso para la corrección de éstos. Asimismo para mejorar el margen necesario de seguridad de los pacientes, necesitamos previamente entender por qué el equipo tratante comete dichos errores, para a su vez aprender de ellos. Del mismo modo, no basta con tener una visión simplista, aceptando que los eventos adversos ocurren y que probablemente nunca serán eliminados en medicina, sino que debemos de tener una conducta proactiva para efectuar los cambios necesarios al sistema, en búsqueda de la disminución de las posibilidades que éstos ocurran.</w:t>
      </w:r>
    </w:p>
    <w:p>
      <w:pPr>
        <w:pStyle w:val="BodyText"/>
      </w:pPr>
    </w:p>
    <w:p>
      <w:pPr>
        <w:pStyle w:val="BodyText"/>
        <w:spacing w:line="360" w:lineRule="auto" w:before="142"/>
        <w:ind w:left="265" w:right="237"/>
        <w:jc w:val="both"/>
      </w:pPr>
      <w:r>
        <w:rPr/>
        <w:t>Ortega (2009) refiere que la validación de estándares e indicadores del cuidado enfermero permiten hacer mediciones de la calidad de los servicios proporcionados, por lo que es necesario alcanzar altos niveles en el trabajo asistencial e implementar una cultura de calidad basada en experiencias documentadas.</w:t>
      </w:r>
    </w:p>
    <w:p>
      <w:pPr>
        <w:pStyle w:val="BodyText"/>
      </w:pPr>
    </w:p>
    <w:p>
      <w:pPr>
        <w:pStyle w:val="BodyText"/>
        <w:spacing w:line="360" w:lineRule="auto" w:before="142"/>
        <w:ind w:left="265" w:right="233"/>
        <w:jc w:val="both"/>
      </w:pPr>
      <w:r>
        <w:rPr/>
        <w:t>Experiencias internacionales nos dicen que el equipo médico habitualmente conoce poco los eventos adversos que ocurren en su unidad, situación que con toda seguridad también se repite en nuestra realidad.</w:t>
      </w:r>
      <w:r>
        <w:rPr>
          <w:position w:val="8"/>
          <w:sz w:val="16"/>
        </w:rPr>
        <w:t>23 </w:t>
      </w:r>
      <w:r>
        <w:rPr/>
        <w:t>Las razones para esto pueden ser variadas, partiendo por el escaso hábito para reportarlo, como también la resistencia a notificar los errores por el temor a que sean interpretados como acciones negligentes en el cuidado de los pacientes y se utilicen en posibles demandas.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2560;mso-wrap-distance-left:0;mso-wrap-distance-right:0" from="99.264pt,8.858768pt" to="243.284pt,8.858768pt" stroked="true" strokeweight=".72003pt" strokecolor="#000000">
            <w10:wrap type="topAndBottom"/>
          </v:line>
        </w:pict>
      </w:r>
    </w:p>
    <w:p>
      <w:pPr>
        <w:spacing w:before="66"/>
        <w:ind w:left="265" w:right="284" w:firstLine="0"/>
        <w:jc w:val="left"/>
        <w:rPr>
          <w:sz w:val="16"/>
        </w:rPr>
      </w:pPr>
      <w:r>
        <w:rPr>
          <w:position w:val="6"/>
          <w:sz w:val="10"/>
        </w:rPr>
        <w:t>23 </w:t>
      </w:r>
      <w:r>
        <w:rPr>
          <w:sz w:val="16"/>
        </w:rPr>
        <w:t>Conoce la frecuencia de errores en su unidad de cuidados intensivos (2013) Mc Crae T. revista de cuidados críticos de medicina Vol.13 No. 4 32 Pp. [consultado 22 de enero 2014] disponible en: </w:t>
      </w:r>
      <w:hyperlink r:id="rId34">
        <w:r>
          <w:rPr>
            <w:sz w:val="16"/>
          </w:rPr>
          <w:t>http://journalds.www.com.conocelafrecuenciadeerrores</w:t>
        </w:r>
      </w:hyperlink>
    </w:p>
    <w:p>
      <w:pPr>
        <w:spacing w:after="0"/>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632"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rPr>
          <w:sz w:val="16"/>
        </w:rPr>
      </w:pPr>
      <w:r>
        <w:rPr/>
        <w:t>Youngberg (2008) en una clínica de obstetricia y ginecología en Estados Unidos también concuerda en que un aspecto importante para el adecuado  funcionamiento de cualquiera de los diversos sistemas de reportes, es dar la absoluta seguridad de que esta información sólo será analizada con el propósito de auditoría y que la información no podrá ser utilizada con fines jurídicos. Tal es el caso de los sistemas de reporte en Australia y Estado Unidos, los cuales  ofrecen inmunidad legal a este tipo de</w:t>
      </w:r>
      <w:r>
        <w:rPr>
          <w:spacing w:val="-19"/>
        </w:rPr>
        <w:t> </w:t>
      </w:r>
      <w:r>
        <w:rPr/>
        <w:t>documentación.</w:t>
      </w:r>
      <w:r>
        <w:rPr>
          <w:position w:val="8"/>
          <w:sz w:val="16"/>
        </w:rPr>
        <w:t>24</w:t>
      </w:r>
    </w:p>
    <w:p>
      <w:pPr>
        <w:pStyle w:val="BodyText"/>
        <w:rPr>
          <w:sz w:val="36"/>
        </w:rPr>
      </w:pPr>
    </w:p>
    <w:p>
      <w:pPr>
        <w:pStyle w:val="BodyText"/>
        <w:spacing w:line="355" w:lineRule="auto" w:before="1"/>
        <w:ind w:left="265" w:right="244"/>
        <w:jc w:val="both"/>
        <w:rPr>
          <w:sz w:val="16"/>
        </w:rPr>
      </w:pPr>
      <w:r>
        <w:rPr/>
        <w:t>Cuando se sostiene una cultura punitiva limita el desarrollo e impacto de la cultura de reporte.</w:t>
      </w:r>
      <w:r>
        <w:rPr>
          <w:position w:val="8"/>
          <w:sz w:val="16"/>
        </w:rPr>
        <w:t>25</w:t>
      </w:r>
    </w:p>
    <w:p>
      <w:pPr>
        <w:pStyle w:val="BodyText"/>
        <w:spacing w:before="5"/>
        <w:rPr>
          <w:sz w:val="36"/>
        </w:rPr>
      </w:pPr>
    </w:p>
    <w:p>
      <w:pPr>
        <w:pStyle w:val="BodyText"/>
        <w:spacing w:line="360" w:lineRule="auto"/>
        <w:ind w:left="265" w:right="232"/>
        <w:jc w:val="both"/>
      </w:pPr>
      <w:r>
        <w:rPr/>
        <w:t>El reporte de eventos adversos de enfermería del hospital donde realice mi investigación es anónimo, es posible que esto incentive el registro de eventos adversos. Así creemos que para estimular el uso de los sistemas de reportes es necesario mantener el carácter no punitivo, confidencialidad y anonimato de ello. Por lo cual el presente trabajo no cuenta con datos sociodemográficos.</w:t>
      </w:r>
    </w:p>
    <w:p>
      <w:pPr>
        <w:pStyle w:val="BodyText"/>
      </w:pPr>
    </w:p>
    <w:p>
      <w:pPr>
        <w:pStyle w:val="BodyText"/>
        <w:spacing w:line="360" w:lineRule="auto" w:before="142"/>
        <w:ind w:left="265" w:right="231"/>
        <w:jc w:val="both"/>
      </w:pPr>
      <w:r>
        <w:rPr/>
        <w:t>Es evidente que el número de incidentes reportados es pequeño, al compararlo con un estudio realizado por Donoso </w:t>
      </w:r>
      <w:r>
        <w:rPr>
          <w:spacing w:val="3"/>
        </w:rPr>
        <w:t>en </w:t>
      </w:r>
      <w:r>
        <w:rPr/>
        <w:t>un hospital de Santiago Chile donde nos dice que 1.7 errores, por paciente por día que ingresan en un hospital sufrirán un accidente imprevisto e inesperado. Esto es probablemente ocasionado por una subnotificación, lo cual se puede explicar por el ya comentado rechazo del equipo a notificar por miedo a eventuales</w:t>
      </w:r>
      <w:r>
        <w:rPr>
          <w:spacing w:val="-18"/>
        </w:rPr>
        <w:t> </w:t>
      </w:r>
      <w:r>
        <w:rPr/>
        <w:t>sanciones.</w:t>
      </w:r>
    </w:p>
    <w:p>
      <w:pPr>
        <w:pStyle w:val="BodyText"/>
      </w:pPr>
    </w:p>
    <w:p>
      <w:pPr>
        <w:pStyle w:val="BodyText"/>
        <w:spacing w:line="360" w:lineRule="auto" w:before="142"/>
        <w:ind w:left="265" w:right="234"/>
        <w:jc w:val="both"/>
      </w:pPr>
      <w:r>
        <w:rPr/>
        <w:t>Una de las limitantes en la presente investigación fue que al momento de registrar mi trabajo ante el comité de investigación en el hospital de estudio, me asignaron  3</w:t>
      </w:r>
      <w:r>
        <w:rPr>
          <w:spacing w:val="25"/>
        </w:rPr>
        <w:t> </w:t>
      </w:r>
      <w:r>
        <w:rPr/>
        <w:t>revisores,</w:t>
      </w:r>
      <w:r>
        <w:rPr>
          <w:spacing w:val="25"/>
        </w:rPr>
        <w:t> </w:t>
      </w:r>
      <w:r>
        <w:rPr/>
        <w:t>los</w:t>
      </w:r>
      <w:r>
        <w:rPr>
          <w:spacing w:val="24"/>
        </w:rPr>
        <w:t> </w:t>
      </w:r>
      <w:r>
        <w:rPr/>
        <w:t>cuales</w:t>
      </w:r>
      <w:r>
        <w:rPr>
          <w:spacing w:val="22"/>
        </w:rPr>
        <w:t> </w:t>
      </w:r>
      <w:r>
        <w:rPr/>
        <w:t>tenían</w:t>
      </w:r>
      <w:r>
        <w:rPr>
          <w:spacing w:val="23"/>
        </w:rPr>
        <w:t> </w:t>
      </w:r>
      <w:r>
        <w:rPr/>
        <w:t>un</w:t>
      </w:r>
      <w:r>
        <w:rPr>
          <w:spacing w:val="23"/>
        </w:rPr>
        <w:t> </w:t>
      </w:r>
      <w:r>
        <w:rPr/>
        <w:t>enfoque</w:t>
      </w:r>
      <w:r>
        <w:rPr>
          <w:spacing w:val="23"/>
        </w:rPr>
        <w:t> </w:t>
      </w:r>
      <w:r>
        <w:rPr/>
        <w:t>muy</w:t>
      </w:r>
      <w:r>
        <w:rPr>
          <w:spacing w:val="22"/>
        </w:rPr>
        <w:t> </w:t>
      </w:r>
      <w:r>
        <w:rPr/>
        <w:t>diferente</w:t>
      </w:r>
      <w:r>
        <w:rPr>
          <w:spacing w:val="25"/>
        </w:rPr>
        <w:t> </w:t>
      </w:r>
      <w:r>
        <w:rPr/>
        <w:t>sobre</w:t>
      </w:r>
      <w:r>
        <w:rPr>
          <w:spacing w:val="22"/>
        </w:rPr>
        <w:t> </w:t>
      </w:r>
      <w:r>
        <w:rPr/>
        <w:t>mi</w:t>
      </w:r>
      <w:r>
        <w:rPr>
          <w:spacing w:val="21"/>
        </w:rPr>
        <w:t> </w:t>
      </w:r>
      <w:r>
        <w:rPr/>
        <w:t>tema,</w:t>
      </w:r>
      <w:r>
        <w:rPr>
          <w:spacing w:val="22"/>
        </w:rPr>
        <w:t> </w:t>
      </w:r>
      <w:r>
        <w:rPr/>
        <w:t>de</w:t>
      </w:r>
      <w:r>
        <w:rPr>
          <w:spacing w:val="25"/>
        </w:rPr>
        <w:t> </w:t>
      </w:r>
      <w:r>
        <w:rPr/>
        <w:t>inicio</w:t>
      </w:r>
    </w:p>
    <w:p>
      <w:pPr>
        <w:pStyle w:val="BodyText"/>
        <w:spacing w:before="9"/>
        <w:rPr>
          <w:sz w:val="21"/>
        </w:rPr>
      </w:pPr>
      <w:r>
        <w:rPr/>
        <w:pict>
          <v:line style="position:absolute;mso-position-horizontal-relative:page;mso-position-vertical-relative:paragraph;z-index:2608;mso-wrap-distance-left:0;mso-wrap-distance-right:0" from="99.264pt,14.873895pt" to="243.284pt,14.873895pt" stroked="true" strokeweight=".72003pt" strokecolor="#000000">
            <w10:wrap type="topAndBottom"/>
          </v:line>
        </w:pict>
      </w:r>
    </w:p>
    <w:p>
      <w:pPr>
        <w:pStyle w:val="ListParagraph"/>
        <w:numPr>
          <w:ilvl w:val="0"/>
          <w:numId w:val="5"/>
        </w:numPr>
        <w:tabs>
          <w:tab w:pos="441" w:val="left" w:leader="none"/>
        </w:tabs>
        <w:spacing w:line="261" w:lineRule="auto" w:before="69" w:after="0"/>
        <w:ind w:left="265" w:right="297" w:firstLine="0"/>
        <w:jc w:val="left"/>
        <w:rPr>
          <w:sz w:val="16"/>
        </w:rPr>
      </w:pPr>
      <w:r>
        <w:rPr>
          <w:sz w:val="16"/>
        </w:rPr>
        <w:t>Gunning K. Reporte de incidencias en la unidad de cuidados intensivos críticos (2000) Cambrigge. Hospital [consultado 8 de</w:t>
      </w:r>
      <w:r>
        <w:rPr>
          <w:spacing w:val="-8"/>
          <w:sz w:val="16"/>
        </w:rPr>
        <w:t> </w:t>
      </w:r>
      <w:r>
        <w:rPr>
          <w:sz w:val="16"/>
        </w:rPr>
        <w:t>marzo</w:t>
      </w:r>
      <w:r>
        <w:rPr>
          <w:spacing w:val="-7"/>
          <w:sz w:val="16"/>
        </w:rPr>
        <w:t> </w:t>
      </w:r>
      <w:r>
        <w:rPr>
          <w:sz w:val="16"/>
        </w:rPr>
        <w:t>2014]</w:t>
      </w:r>
      <w:r>
        <w:rPr>
          <w:spacing w:val="-6"/>
          <w:sz w:val="16"/>
        </w:rPr>
        <w:t> </w:t>
      </w:r>
      <w:r>
        <w:rPr>
          <w:sz w:val="16"/>
        </w:rPr>
        <w:t>disponible</w:t>
      </w:r>
      <w:r>
        <w:rPr>
          <w:spacing w:val="-7"/>
          <w:sz w:val="16"/>
        </w:rPr>
        <w:t> </w:t>
      </w:r>
      <w:r>
        <w:rPr>
          <w:sz w:val="16"/>
        </w:rPr>
        <w:t>en:</w:t>
      </w:r>
      <w:r>
        <w:rPr>
          <w:spacing w:val="-6"/>
          <w:sz w:val="16"/>
        </w:rPr>
        <w:t> </w:t>
      </w:r>
      <w:r>
        <w:rPr>
          <w:sz w:val="16"/>
        </w:rPr>
        <w:t>http://</w:t>
      </w:r>
      <w:r>
        <w:rPr>
          <w:spacing w:val="-8"/>
          <w:sz w:val="16"/>
        </w:rPr>
        <w:t> </w:t>
      </w:r>
      <w:r>
        <w:rPr>
          <w:sz w:val="16"/>
        </w:rPr>
        <w:t>link.spinger.com/article/10.1007%2fs0013400</w:t>
      </w:r>
    </w:p>
    <w:p>
      <w:pPr>
        <w:pStyle w:val="ListParagraph"/>
        <w:numPr>
          <w:ilvl w:val="0"/>
          <w:numId w:val="5"/>
        </w:numPr>
        <w:tabs>
          <w:tab w:pos="441" w:val="left" w:leader="none"/>
        </w:tabs>
        <w:spacing w:line="202" w:lineRule="exact" w:before="16" w:after="0"/>
        <w:ind w:left="265" w:right="303" w:firstLine="0"/>
        <w:jc w:val="left"/>
        <w:rPr>
          <w:sz w:val="16"/>
        </w:rPr>
      </w:pPr>
      <w:r>
        <w:rPr>
          <w:sz w:val="16"/>
        </w:rPr>
        <w:t>Youngberg B. Reporte de eventos: el valor de un enfoque no punitivo. Clinical Obstetrics and Gynecology 2008; Estados Unidos</w:t>
      </w:r>
      <w:r>
        <w:rPr>
          <w:spacing w:val="-5"/>
          <w:sz w:val="16"/>
        </w:rPr>
        <w:t> </w:t>
      </w:r>
      <w:r>
        <w:rPr>
          <w:sz w:val="16"/>
        </w:rPr>
        <w:t>[consultado</w:t>
      </w:r>
      <w:r>
        <w:rPr>
          <w:spacing w:val="-6"/>
          <w:sz w:val="16"/>
        </w:rPr>
        <w:t> </w:t>
      </w:r>
      <w:r>
        <w:rPr>
          <w:sz w:val="16"/>
        </w:rPr>
        <w:t>13</w:t>
      </w:r>
      <w:r>
        <w:rPr>
          <w:spacing w:val="-8"/>
          <w:sz w:val="16"/>
        </w:rPr>
        <w:t> </w:t>
      </w:r>
      <w:r>
        <w:rPr>
          <w:sz w:val="16"/>
        </w:rPr>
        <w:t>de</w:t>
      </w:r>
      <w:r>
        <w:rPr>
          <w:spacing w:val="-8"/>
          <w:sz w:val="16"/>
        </w:rPr>
        <w:t> </w:t>
      </w:r>
      <w:r>
        <w:rPr>
          <w:sz w:val="16"/>
        </w:rPr>
        <w:t>mayo</w:t>
      </w:r>
      <w:r>
        <w:rPr>
          <w:spacing w:val="-6"/>
          <w:sz w:val="16"/>
        </w:rPr>
        <w:t> </w:t>
      </w:r>
      <w:r>
        <w:rPr>
          <w:sz w:val="16"/>
        </w:rPr>
        <w:t>de</w:t>
      </w:r>
      <w:r>
        <w:rPr>
          <w:spacing w:val="-6"/>
          <w:sz w:val="16"/>
        </w:rPr>
        <w:t> </w:t>
      </w:r>
      <w:r>
        <w:rPr>
          <w:sz w:val="16"/>
        </w:rPr>
        <w:t>2014]disponible</w:t>
      </w:r>
      <w:r>
        <w:rPr>
          <w:spacing w:val="-8"/>
          <w:sz w:val="16"/>
        </w:rPr>
        <w:t> </w:t>
      </w:r>
      <w:r>
        <w:rPr>
          <w:sz w:val="16"/>
        </w:rPr>
        <w:t>en:</w:t>
      </w:r>
      <w:hyperlink r:id="rId35">
        <w:r>
          <w:rPr>
            <w:sz w:val="16"/>
          </w:rPr>
          <w:t>http://www.errorenmedicina.anm.edu.ar/ficha.asp?Id1=314</w:t>
        </w:r>
      </w:hyperlink>
    </w:p>
    <w:p>
      <w:pPr>
        <w:spacing w:after="0" w:line="202" w:lineRule="exact"/>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680"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me sugirieron cambiar el título, el cual no favorecía en nada al gremio de enfermería y no acepte. Cabe mencionar que la cedula de captación de datos no está validada. Sin embargo cabe la posibilidad de que los resultados obtenidos en la investigación sean tomados en cuenta por parte de la coordinación de enseñanza y departamento de gestión de calidad de enfermería para los fines de mejora. Mediante la incorporación de medidas de prevención de errores o eventos adversos en la terapia de infusión intravenosa.</w:t>
      </w:r>
    </w:p>
    <w:p>
      <w:pPr>
        <w:pStyle w:val="BodyText"/>
      </w:pPr>
    </w:p>
    <w:p>
      <w:pPr>
        <w:pStyle w:val="BodyText"/>
        <w:spacing w:line="360" w:lineRule="auto" w:before="142"/>
        <w:ind w:left="265" w:right="232"/>
        <w:jc w:val="both"/>
      </w:pPr>
      <w:r>
        <w:rPr/>
        <w:pict>
          <v:line style="position:absolute;mso-position-horizontal-relative:page;mso-position-vertical-relative:paragraph;z-index:2656;mso-wrap-distance-left:0;mso-wrap-distance-right:0" from="99.264pt,427.365845pt" to="243.284pt,427.365845pt" stroked="true" strokeweight=".72003pt" strokecolor="#000000">
            <w10:wrap type="topAndBottom"/>
          </v:line>
        </w:pict>
      </w:r>
      <w:r>
        <w:rPr/>
        <w:t>De acuerdo a la información derivada de las inconformidades en la CONAMED relacionadas con la práctica de enfermería en el periodo 1996-2011, se observa que el número de éstas no es buen indicador para poder apreciar la calidad del cuidado de enfermería, sin embargo es una muestra de los problemas que se refieren en la literatura internacional tales como la administración errónea de medicamentos, comunicación deficiente enfermera-paciente y caída de pacientes entre otras. El mayor número de quejas recibidas procedieron del Distrito Federal (23 casos, 48.9%), Estado de México (5 casos, 10.5%) y de San Luis Potosí (3 casos, 6.4%). Los restantes 16 casos (34%) fueron atendidos en diferentes estados de la Republica Mexicana.</w:t>
      </w:r>
      <w:r>
        <w:rPr>
          <w:position w:val="8"/>
          <w:sz w:val="16"/>
        </w:rPr>
        <w:t>26 </w:t>
      </w:r>
      <w:r>
        <w:rPr/>
        <w:t>Lo cual coincide con la  presente  investigación respecto a que: En nuestra casuística los eventos adversos en relación a la terapia de infusión intravenosa con catéter venoso periférico fueron los más frecuentes, secundario a la administración de fármacos. A la vez que por diagnóstico de ingreso o gravedad obstétrica el grupo de mayor importancia cursaba el tercer trimestre de embarazo, de 29 a 40 semanas de gestación y segundo semestre de 13 a 28 semanas de gestación. También es de vital importancia mencionar que del 100% de los eventos adversos ocurridos, el 61%  de éstos pudieron haberse prevenido y que 6 casos (1.5%) tuvieron un fin lamentable. La estadística encontrada en cuanto a la presencia de eventos adversos  en  los  diferentes  turnos,  el  de  mayor  incidencia  fue  el     </w:t>
      </w:r>
      <w:r>
        <w:rPr>
          <w:spacing w:val="56"/>
        </w:rPr>
        <w:t> </w:t>
      </w:r>
      <w:r>
        <w:rPr/>
        <w:t>matutino,</w:t>
      </w:r>
    </w:p>
    <w:p>
      <w:pPr>
        <w:pStyle w:val="ListParagraph"/>
        <w:numPr>
          <w:ilvl w:val="0"/>
          <w:numId w:val="5"/>
        </w:numPr>
        <w:tabs>
          <w:tab w:pos="441" w:val="left" w:leader="none"/>
        </w:tabs>
        <w:spacing w:line="252" w:lineRule="auto" w:before="69" w:after="0"/>
        <w:ind w:left="265" w:right="554" w:firstLine="0"/>
        <w:jc w:val="left"/>
        <w:rPr>
          <w:sz w:val="16"/>
        </w:rPr>
      </w:pPr>
      <w:r>
        <w:rPr>
          <w:sz w:val="16"/>
        </w:rPr>
        <w:t>Jiménez J. (2012) Recomendaciones para mejorar la atención en enfermería. Comisión Nacional de Arbitraje Médico, Dirección General de Difusión e Investigación. Dirección de Investigación. México, D.F. disponible en: </w:t>
      </w:r>
      <w:hyperlink r:id="rId36">
        <w:r>
          <w:rPr>
            <w:sz w:val="16"/>
          </w:rPr>
          <w:t>http://www.conamed.gob.mx/recomendaciones.htm1</w:t>
        </w:r>
      </w:hyperlink>
    </w:p>
    <w:p>
      <w:pPr>
        <w:spacing w:after="0" w:line="252" w:lineRule="auto"/>
        <w:jc w:val="left"/>
        <w:rPr>
          <w:sz w:val="16"/>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704" from="97.823997pt,56.16pt" to="542.643997pt,56.16pt" stroked="true" strokeweight=".48pt" strokecolor="#000000">
            <w10:wrap type="none"/>
          </v:line>
        </w:pict>
      </w:r>
    </w:p>
    <w:p>
      <w:pPr>
        <w:pStyle w:val="BodyText"/>
        <w:rPr>
          <w:sz w:val="20"/>
        </w:rPr>
      </w:pPr>
    </w:p>
    <w:p>
      <w:pPr>
        <w:pStyle w:val="BodyText"/>
        <w:spacing w:line="360" w:lineRule="auto" w:before="204"/>
        <w:ind w:left="265" w:right="230"/>
        <w:jc w:val="both"/>
      </w:pPr>
      <w:r>
        <w:rPr/>
        <w:t>obviamente se debe a que los procedimientos de atención al cuidado son más numerosas durante el día (específicamente en el turno matutino), a que la plantilla laboral de enfermería es mayor y que, </w:t>
      </w:r>
      <w:r>
        <w:rPr>
          <w:spacing w:val="2"/>
        </w:rPr>
        <w:t>por </w:t>
      </w:r>
      <w:r>
        <w:rPr/>
        <w:t>supuesto, por tratarse de un hospital- escuela, el riesgo incrementa debido a que es en este turno en donde se concentra el mayor número de estudiantes por ello debemos recordar que hay que poner énfasis en el evento o incidente adverso, los cuales deben ser mirados y analizados cada vez más como situaciones inaceptables, pues evidentemente reflejan una</w:t>
      </w:r>
      <w:r>
        <w:rPr>
          <w:spacing w:val="-7"/>
        </w:rPr>
        <w:t> </w:t>
      </w:r>
      <w:r>
        <w:rPr/>
        <w:t>falla.</w:t>
      </w:r>
    </w:p>
    <w:p>
      <w:pPr>
        <w:pStyle w:val="BodyText"/>
      </w:pPr>
    </w:p>
    <w:p>
      <w:pPr>
        <w:pStyle w:val="BodyText"/>
        <w:spacing w:line="360" w:lineRule="auto" w:before="142"/>
        <w:ind w:left="265" w:right="231"/>
        <w:jc w:val="both"/>
      </w:pPr>
      <w:r>
        <w:rPr/>
        <w:t>Las pacientes obstétricas están más propensas a sufrir errores en la dosis de las drogas empleadas, ya sea en su prescripción, preparación o administración. Este último toma especial importancia, donde errores de puntuación decimal pueden llevar obviamente a significativos errores en la dosis, ya sea por el hecho de agregar un cero u omitirlo. En este sentido, efectuar intervenciones dirigidas y orientadas, como el entrenamiento de personal para asumir funciones específicas es de vital importancia para una práctica libre de errores.</w:t>
      </w:r>
    </w:p>
    <w:p>
      <w:pPr>
        <w:pStyle w:val="BodyText"/>
      </w:pPr>
    </w:p>
    <w:p>
      <w:pPr>
        <w:pStyle w:val="BodyText"/>
        <w:spacing w:line="360" w:lineRule="auto" w:before="142"/>
        <w:ind w:left="265" w:right="233"/>
        <w:jc w:val="both"/>
      </w:pPr>
      <w:r>
        <w:rPr/>
        <w:t>La casi exclusiva predominancia del factor humano como determinante de la ocurrencia del incidente, la falta de estandarización, errores en el tipo de fármaco, dosis, vía de administración, dilución y rotulado. Todo lo anterior nos enfatiza la importancia de la permanente presencia de la capacitación, tanto del área médica como de enfermería, desde el punto de vista de la prevención, obliga a examinar los servicios clínicos y a revisar el nivel del cuidado farmacéutico con el que  cuenta la institución, de manera que la evaluación de reacciones adversas a medicamentos por gravedad, tipo de reacción y tipo de medicamento, brinde un mecanismo para el mejoramiento de la calidad en la farmacia y al comité médico para identificar oportunidades de intervención como fuente de ahorro de recursos en el sistema de</w:t>
      </w:r>
      <w:r>
        <w:rPr>
          <w:spacing w:val="-7"/>
        </w:rPr>
        <w:t> </w:t>
      </w:r>
      <w:r>
        <w:rPr/>
        <w:t>salud</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752" from="97.823997pt,56.16pt" to="542.643997pt,56.16pt" stroked="true" strokeweight=".48pt" strokecolor="#000000">
            <w10:wrap type="none"/>
          </v:line>
        </w:pict>
      </w:r>
    </w:p>
    <w:p>
      <w:pPr>
        <w:pStyle w:val="BodyText"/>
        <w:rPr>
          <w:sz w:val="20"/>
        </w:rPr>
      </w:pPr>
    </w:p>
    <w:p>
      <w:pPr>
        <w:pStyle w:val="BodyText"/>
        <w:spacing w:line="360" w:lineRule="auto" w:before="204"/>
        <w:ind w:left="265" w:right="234"/>
        <w:jc w:val="both"/>
        <w:rPr>
          <w:sz w:val="16"/>
        </w:rPr>
      </w:pPr>
      <w:r>
        <w:rPr/>
        <w:t>A la vez de reportar los eventos adversos, se debe efectuar una permanente notificación de los resultados al equipo de salud (reuniones, normas o guías). Así, si se efectúa el correcto análisis de todos los eslabones involucrados en el  sistema, identificando los puntos susceptibles, sumado a la adecuada retroalimentación, los cambios de prácticas y políticas necesarios serán efectuados y asumidos en propiedad por todos, fomentando de este modo en todo el personal de la salud, una </w:t>
      </w:r>
      <w:r>
        <w:rPr>
          <w:i/>
        </w:rPr>
        <w:t>cultura de seguridad, </w:t>
      </w:r>
      <w:r>
        <w:rPr/>
        <w:t>la cual es fundamental para el éxito en la reducción de errores en</w:t>
      </w:r>
      <w:r>
        <w:rPr>
          <w:spacing w:val="-13"/>
        </w:rPr>
        <w:t> </w:t>
      </w:r>
      <w:r>
        <w:rPr/>
        <w:t>medicina.</w:t>
      </w:r>
      <w:r>
        <w:rPr>
          <w:position w:val="8"/>
          <w:sz w:val="16"/>
        </w:rPr>
        <w:t>27</w:t>
      </w:r>
    </w:p>
    <w:p>
      <w:pPr>
        <w:pStyle w:val="BodyText"/>
        <w:rPr>
          <w:sz w:val="36"/>
        </w:rPr>
      </w:pPr>
    </w:p>
    <w:p>
      <w:pPr>
        <w:pStyle w:val="BodyText"/>
        <w:spacing w:line="360" w:lineRule="auto"/>
        <w:ind w:left="265" w:right="236"/>
        <w:jc w:val="both"/>
        <w:rPr>
          <w:sz w:val="16"/>
        </w:rPr>
      </w:pPr>
      <w:r>
        <w:rPr/>
        <w:t>El Sistema Nacional de Salud ha involucrado la calidad de atención como uno de los pilares fundamentales de la prestación de los servicios de salud. Uno de los expertos más reconocidos, Avedís Donabedian, considera que la calidad es un atributo de la atención que ofrecen las instituciones de salud, la cual puede obtenerse en diversos grados y se define como el logro de los mayores beneficios posibles de la atención médica. Por lo tanto, Donabedian introduce los conceptos de estructura, proceso y resultado que hoy en día son los paradigmas dominantes de la evaluación de la calidad.</w:t>
      </w:r>
      <w:r>
        <w:rPr>
          <w:position w:val="8"/>
          <w:sz w:val="16"/>
        </w:rPr>
        <w:t>28</w:t>
      </w:r>
    </w:p>
    <w:p>
      <w:pPr>
        <w:pStyle w:val="BodyText"/>
        <w:rPr>
          <w:sz w:val="36"/>
        </w:rPr>
      </w:pPr>
    </w:p>
    <w:p>
      <w:pPr>
        <w:pStyle w:val="BodyText"/>
        <w:spacing w:line="360" w:lineRule="auto"/>
        <w:ind w:left="265" w:right="240"/>
        <w:jc w:val="both"/>
      </w:pPr>
      <w:r>
        <w:rPr/>
        <w:t>Debido a que la administración de medicamentos ocasiono mayor índice de eventos adversos derivados de la terapia de infusión considero que la utilidad de  la prevención de los errores en la medicación que se proponen al final del trabajo es solo una iniciativa que invita a que se proporcione un cuidado seguro de enfermería.</w:t>
      </w:r>
    </w:p>
    <w:p>
      <w:pPr>
        <w:pStyle w:val="BodyText"/>
      </w:pPr>
    </w:p>
    <w:p>
      <w:pPr>
        <w:pStyle w:val="BodyText"/>
        <w:spacing w:line="360" w:lineRule="auto" w:before="142"/>
        <w:ind w:left="265" w:right="238"/>
        <w:jc w:val="both"/>
      </w:pPr>
      <w:r>
        <w:rPr/>
        <w:t>Se sugiere que para futuras investigaciones el reporte de eventos adversos que está a cargo del departamento de calidad cuente con más elementos que nos</w:t>
      </w:r>
    </w:p>
    <w:p>
      <w:pPr>
        <w:pStyle w:val="BodyText"/>
        <w:rPr>
          <w:sz w:val="20"/>
        </w:rPr>
      </w:pPr>
    </w:p>
    <w:p>
      <w:pPr>
        <w:pStyle w:val="BodyText"/>
        <w:rPr>
          <w:sz w:val="22"/>
        </w:rPr>
      </w:pPr>
      <w:r>
        <w:rPr/>
        <w:pict>
          <v:line style="position:absolute;mso-position-horizontal-relative:page;mso-position-vertical-relative:paragraph;z-index:2728;mso-wrap-distance-left:0;mso-wrap-distance-right:0" from="99.264pt,15.014865pt" to="243.284pt,15.014865pt" stroked="true" strokeweight=".72003pt" strokecolor="#000000">
            <w10:wrap type="topAndBottom"/>
          </v:line>
        </w:pict>
      </w:r>
    </w:p>
    <w:p>
      <w:pPr>
        <w:pStyle w:val="ListParagraph"/>
        <w:numPr>
          <w:ilvl w:val="0"/>
          <w:numId w:val="5"/>
        </w:numPr>
        <w:tabs>
          <w:tab w:pos="484" w:val="left" w:leader="none"/>
        </w:tabs>
        <w:spacing w:line="259" w:lineRule="auto" w:before="69" w:after="0"/>
        <w:ind w:left="265" w:right="236" w:firstLine="0"/>
        <w:jc w:val="left"/>
        <w:rPr>
          <w:sz w:val="16"/>
        </w:rPr>
      </w:pPr>
      <w:r>
        <w:rPr>
          <w:sz w:val="16"/>
        </w:rPr>
        <w:t>Fernández C. Gills J. Estrategias para la prevención de errores en la medicación. Editorial Mosby disponible en: </w:t>
      </w:r>
      <w:hyperlink r:id="rId38">
        <w:r>
          <w:rPr>
            <w:sz w:val="16"/>
          </w:rPr>
          <w:t>http://scholar.google.com.estrategias</w:t>
        </w:r>
      </w:hyperlink>
      <w:r>
        <w:rPr>
          <w:spacing w:val="-1"/>
          <w:sz w:val="16"/>
        </w:rPr>
        <w:t> </w:t>
      </w:r>
      <w:r>
        <w:rPr>
          <w:sz w:val="16"/>
        </w:rPr>
        <w:t>para</w:t>
      </w:r>
      <w:r>
        <w:rPr>
          <w:spacing w:val="-4"/>
          <w:sz w:val="16"/>
        </w:rPr>
        <w:t> </w:t>
      </w:r>
      <w:r>
        <w:rPr>
          <w:sz w:val="16"/>
        </w:rPr>
        <w:t>la</w:t>
      </w:r>
      <w:r>
        <w:rPr>
          <w:spacing w:val="-6"/>
          <w:sz w:val="16"/>
        </w:rPr>
        <w:t> </w:t>
      </w:r>
      <w:r>
        <w:rPr>
          <w:sz w:val="16"/>
        </w:rPr>
        <w:t>prevención</w:t>
      </w:r>
      <w:r>
        <w:rPr>
          <w:spacing w:val="-4"/>
          <w:sz w:val="16"/>
        </w:rPr>
        <w:t> </w:t>
      </w:r>
      <w:r>
        <w:rPr>
          <w:sz w:val="16"/>
        </w:rPr>
        <w:t>de</w:t>
      </w:r>
      <w:r>
        <w:rPr>
          <w:spacing w:val="-4"/>
          <w:sz w:val="16"/>
        </w:rPr>
        <w:t> </w:t>
      </w:r>
      <w:r>
        <w:rPr>
          <w:sz w:val="16"/>
        </w:rPr>
        <w:t>errores</w:t>
      </w:r>
      <w:r>
        <w:rPr>
          <w:spacing w:val="-5"/>
          <w:sz w:val="16"/>
        </w:rPr>
        <w:t> </w:t>
      </w:r>
      <w:r>
        <w:rPr>
          <w:sz w:val="16"/>
        </w:rPr>
        <w:t>en</w:t>
      </w:r>
      <w:r>
        <w:rPr>
          <w:spacing w:val="-4"/>
          <w:sz w:val="16"/>
        </w:rPr>
        <w:t> </w:t>
      </w:r>
      <w:r>
        <w:rPr>
          <w:sz w:val="16"/>
        </w:rPr>
        <w:t>la</w:t>
      </w:r>
      <w:r>
        <w:rPr>
          <w:spacing w:val="-6"/>
          <w:sz w:val="16"/>
        </w:rPr>
        <w:t> </w:t>
      </w:r>
      <w:r>
        <w:rPr>
          <w:sz w:val="16"/>
        </w:rPr>
        <w:t>medicación.</w:t>
      </w:r>
      <w:r>
        <w:rPr>
          <w:spacing w:val="-3"/>
          <w:sz w:val="16"/>
        </w:rPr>
        <w:t> </w:t>
      </w:r>
      <w:r>
        <w:rPr>
          <w:sz w:val="16"/>
        </w:rPr>
        <w:t>2007.</w:t>
      </w:r>
    </w:p>
    <w:p>
      <w:pPr>
        <w:pStyle w:val="ListParagraph"/>
        <w:numPr>
          <w:ilvl w:val="0"/>
          <w:numId w:val="5"/>
        </w:numPr>
        <w:tabs>
          <w:tab w:pos="470" w:val="left" w:leader="none"/>
        </w:tabs>
        <w:spacing w:line="214" w:lineRule="exact" w:before="0" w:after="0"/>
        <w:ind w:left="469" w:right="0" w:hanging="204"/>
        <w:jc w:val="left"/>
        <w:rPr>
          <w:sz w:val="16"/>
        </w:rPr>
      </w:pPr>
      <w:r>
        <w:rPr>
          <w:sz w:val="16"/>
        </w:rPr>
        <w:t>Albiter</w:t>
      </w:r>
      <w:r>
        <w:rPr>
          <w:spacing w:val="27"/>
          <w:sz w:val="16"/>
        </w:rPr>
        <w:t> </w:t>
      </w:r>
      <w:r>
        <w:rPr>
          <w:sz w:val="16"/>
        </w:rPr>
        <w:t>E.</w:t>
      </w:r>
      <w:r>
        <w:rPr>
          <w:spacing w:val="29"/>
          <w:sz w:val="16"/>
        </w:rPr>
        <w:t> </w:t>
      </w:r>
      <w:r>
        <w:rPr>
          <w:sz w:val="16"/>
        </w:rPr>
        <w:t>Validación</w:t>
      </w:r>
      <w:r>
        <w:rPr>
          <w:spacing w:val="27"/>
          <w:sz w:val="16"/>
        </w:rPr>
        <w:t> </w:t>
      </w:r>
      <w:r>
        <w:rPr>
          <w:sz w:val="16"/>
        </w:rPr>
        <w:t>de</w:t>
      </w:r>
      <w:r>
        <w:rPr>
          <w:spacing w:val="27"/>
          <w:sz w:val="16"/>
        </w:rPr>
        <w:t> </w:t>
      </w:r>
      <w:r>
        <w:rPr>
          <w:sz w:val="16"/>
        </w:rPr>
        <w:t>estándares</w:t>
      </w:r>
      <w:r>
        <w:rPr>
          <w:spacing w:val="29"/>
          <w:sz w:val="16"/>
        </w:rPr>
        <w:t> </w:t>
      </w:r>
      <w:r>
        <w:rPr>
          <w:sz w:val="16"/>
        </w:rPr>
        <w:t>e</w:t>
      </w:r>
      <w:r>
        <w:rPr>
          <w:spacing w:val="27"/>
          <w:sz w:val="16"/>
        </w:rPr>
        <w:t> </w:t>
      </w:r>
      <w:r>
        <w:rPr>
          <w:sz w:val="16"/>
        </w:rPr>
        <w:t>indicadores</w:t>
      </w:r>
      <w:r>
        <w:rPr>
          <w:spacing w:val="29"/>
          <w:sz w:val="16"/>
        </w:rPr>
        <w:t> </w:t>
      </w:r>
      <w:r>
        <w:rPr>
          <w:sz w:val="16"/>
        </w:rPr>
        <w:t>para</w:t>
      </w:r>
      <w:r>
        <w:rPr>
          <w:spacing w:val="27"/>
          <w:sz w:val="16"/>
        </w:rPr>
        <w:t> </w:t>
      </w:r>
      <w:r>
        <w:rPr>
          <w:sz w:val="16"/>
        </w:rPr>
        <w:t>la</w:t>
      </w:r>
      <w:r>
        <w:rPr>
          <w:spacing w:val="28"/>
          <w:sz w:val="16"/>
        </w:rPr>
        <w:t> </w:t>
      </w:r>
      <w:r>
        <w:rPr>
          <w:sz w:val="16"/>
        </w:rPr>
        <w:t>evaluación</w:t>
      </w:r>
      <w:r>
        <w:rPr>
          <w:spacing w:val="27"/>
          <w:sz w:val="16"/>
        </w:rPr>
        <w:t> </w:t>
      </w:r>
      <w:r>
        <w:rPr>
          <w:sz w:val="16"/>
        </w:rPr>
        <w:t>de</w:t>
      </w:r>
      <w:r>
        <w:rPr>
          <w:spacing w:val="27"/>
          <w:sz w:val="16"/>
        </w:rPr>
        <w:t> </w:t>
      </w:r>
      <w:r>
        <w:rPr>
          <w:sz w:val="16"/>
        </w:rPr>
        <w:t>la</w:t>
      </w:r>
      <w:r>
        <w:rPr>
          <w:spacing w:val="28"/>
          <w:sz w:val="16"/>
        </w:rPr>
        <w:t> </w:t>
      </w:r>
      <w:r>
        <w:rPr>
          <w:sz w:val="16"/>
        </w:rPr>
        <w:t>atención</w:t>
      </w:r>
      <w:r>
        <w:rPr>
          <w:spacing w:val="27"/>
          <w:sz w:val="16"/>
        </w:rPr>
        <w:t> </w:t>
      </w:r>
      <w:r>
        <w:rPr>
          <w:sz w:val="16"/>
        </w:rPr>
        <w:t>de</w:t>
      </w:r>
      <w:r>
        <w:rPr>
          <w:spacing w:val="27"/>
          <w:sz w:val="16"/>
        </w:rPr>
        <w:t> </w:t>
      </w:r>
      <w:r>
        <w:rPr>
          <w:sz w:val="16"/>
        </w:rPr>
        <w:t>enfermería</w:t>
      </w:r>
      <w:r>
        <w:rPr>
          <w:spacing w:val="27"/>
          <w:sz w:val="16"/>
        </w:rPr>
        <w:t> </w:t>
      </w:r>
      <w:r>
        <w:rPr>
          <w:sz w:val="16"/>
        </w:rPr>
        <w:t>en</w:t>
      </w:r>
      <w:r>
        <w:rPr>
          <w:spacing w:val="27"/>
          <w:sz w:val="16"/>
        </w:rPr>
        <w:t> </w:t>
      </w:r>
      <w:r>
        <w:rPr>
          <w:sz w:val="16"/>
        </w:rPr>
        <w:t>el</w:t>
      </w:r>
      <w:r>
        <w:rPr>
          <w:spacing w:val="28"/>
          <w:sz w:val="16"/>
        </w:rPr>
        <w:t> </w:t>
      </w:r>
      <w:r>
        <w:rPr>
          <w:sz w:val="16"/>
        </w:rPr>
        <w:t>manejo</w:t>
      </w:r>
      <w:r>
        <w:rPr>
          <w:spacing w:val="28"/>
          <w:sz w:val="16"/>
        </w:rPr>
        <w:t> </w:t>
      </w:r>
      <w:r>
        <w:rPr>
          <w:sz w:val="16"/>
        </w:rPr>
        <w:t>de</w:t>
      </w:r>
    </w:p>
    <w:p>
      <w:pPr>
        <w:spacing w:before="17"/>
        <w:ind w:left="265" w:right="284" w:firstLine="0"/>
        <w:jc w:val="left"/>
        <w:rPr>
          <w:sz w:val="16"/>
        </w:rPr>
      </w:pPr>
      <w:r>
        <w:rPr>
          <w:sz w:val="16"/>
        </w:rPr>
        <w:t>accesos vasculares en neonatos. Tesis de maestría en enfermería perinatal UAEM. Facultad de enfermería y obstetricia, Toluca, México. 2012. 63 Pp</w:t>
      </w:r>
    </w:p>
    <w:p>
      <w:pPr>
        <w:spacing w:after="0"/>
        <w:jc w:val="left"/>
        <w:rPr>
          <w:sz w:val="16"/>
        </w:rPr>
        <w:sectPr>
          <w:footerReference w:type="default" r:id="rId37"/>
          <w:pgSz w:w="12240" w:h="15840"/>
          <w:pgMar w:footer="928" w:header="739" w:top="1300" w:bottom="1120" w:left="1720" w:right="1180"/>
        </w:sectPr>
      </w:pPr>
    </w:p>
    <w:p>
      <w:pPr>
        <w:pStyle w:val="BodyText"/>
        <w:rPr>
          <w:sz w:val="20"/>
        </w:rPr>
      </w:pPr>
      <w:r>
        <w:rPr/>
        <w:pict>
          <v:line style="position:absolute;mso-position-horizontal-relative:page;mso-position-vertical-relative:page;z-index:2776" from="97.823997pt,56.16pt" to="542.643997pt,56.16pt" stroked="true" strokeweight=".48pt" strokecolor="#000000">
            <w10:wrap type="none"/>
          </v:line>
        </w:pict>
      </w:r>
    </w:p>
    <w:p>
      <w:pPr>
        <w:pStyle w:val="BodyText"/>
        <w:rPr>
          <w:sz w:val="20"/>
        </w:rPr>
      </w:pPr>
    </w:p>
    <w:p>
      <w:pPr>
        <w:pStyle w:val="BodyText"/>
        <w:spacing w:line="360" w:lineRule="auto" w:before="204"/>
        <w:ind w:left="265" w:right="235"/>
      </w:pPr>
      <w:r>
        <w:rPr/>
        <w:t>permitan un mejor análisis de los mismos, tales como la edad, nivel de escolaridad y ocupación de la paciente.</w:t>
      </w:r>
    </w:p>
    <w:p>
      <w:pPr>
        <w:pStyle w:val="BodyText"/>
      </w:pPr>
    </w:p>
    <w:p>
      <w:pPr>
        <w:pStyle w:val="BodyText"/>
        <w:spacing w:line="360" w:lineRule="auto" w:before="142"/>
        <w:ind w:left="265" w:right="284"/>
      </w:pPr>
      <w:r>
        <w:rPr/>
        <w:t>Por otra parte, se sugiere implementar, en las instituciones de salud, actividades pedagógicas resaltando el uso racional de medicamentos, enfocadas a posibles repercusiones sobre los pacientes, de esquemas de dosificación, dilución o combinaciones de medicamentos inadecuado</w:t>
      </w:r>
    </w:p>
    <w:p>
      <w:pPr>
        <w:spacing w:after="0" w:line="360" w:lineRule="auto"/>
        <w:sectPr>
          <w:footerReference w:type="default" r:id="rId39"/>
          <w:pgSz w:w="12240" w:h="15840"/>
          <w:pgMar w:footer="928" w:header="739" w:top="1300" w:bottom="1120" w:left="1720" w:right="1180"/>
          <w:pgNumType w:start="51"/>
        </w:sectPr>
      </w:pPr>
    </w:p>
    <w:p>
      <w:pPr>
        <w:pStyle w:val="BodyText"/>
        <w:rPr>
          <w:sz w:val="20"/>
        </w:rPr>
      </w:pPr>
      <w:r>
        <w:rPr/>
        <w:pict>
          <v:line style="position:absolute;mso-position-horizontal-relative:page;mso-position-vertical-relative:page;z-index:2800" from="97.823997pt,56.16pt" to="542.643997pt,56.16pt" stroked="true" strokeweight=".48pt" strokecolor="#000000">
            <w10:wrap type="none"/>
          </v:line>
        </w:pict>
      </w:r>
    </w:p>
    <w:p>
      <w:pPr>
        <w:pStyle w:val="BodyText"/>
        <w:rPr>
          <w:sz w:val="20"/>
        </w:rPr>
      </w:pPr>
    </w:p>
    <w:p>
      <w:pPr>
        <w:pStyle w:val="Heading6"/>
        <w:spacing w:before="204"/>
        <w:ind w:left="456" w:right="430"/>
        <w:jc w:val="center"/>
      </w:pPr>
      <w:bookmarkStart w:name="_TOC_250003" w:id="16"/>
      <w:bookmarkEnd w:id="16"/>
      <w:r>
        <w:rPr/>
        <w:t>CONCLUSIONES</w:t>
      </w:r>
    </w:p>
    <w:p>
      <w:pPr>
        <w:pStyle w:val="BodyText"/>
        <w:rPr>
          <w:b/>
        </w:rPr>
      </w:pPr>
    </w:p>
    <w:p>
      <w:pPr>
        <w:pStyle w:val="BodyText"/>
        <w:rPr>
          <w:b/>
        </w:rPr>
      </w:pPr>
    </w:p>
    <w:p>
      <w:pPr>
        <w:pStyle w:val="BodyText"/>
        <w:spacing w:line="360" w:lineRule="auto"/>
        <w:ind w:left="265" w:right="233"/>
        <w:jc w:val="both"/>
      </w:pPr>
      <w:r>
        <w:rPr/>
        <w:t>La seguridad en la atención de los pacientes es un aspecto prioritario y tiene implicaciones directas en la calidad de atención. Dentro de los procesos de mejora continua para la atención de los pacientes se debe incluir el desarrollo de una cultura de reporte y registro de errores, incidencias o EA, esta cultura permite prevenir los EA de mediano y alto impacto, sacar a la luz y mitigar sus efectos cuando se producen, para ello se requiere capacidad para aprender de los errores, la cual se adquiere informando aquellos sucesos que se presentan y alteran el desarrollo de nuestros procedimientos, investigando todos los incidentes que se detecten y propiciando un intercambio responsable de datos. También es necesario rastrear las debilidades del sistema que pueden dar lugar a un EA y que ameriten la introducción de mejoras en el propio sistema de prestación de atención sanitaria para que se reconfiguren las estructuras y se reajusten los incentivos de calidad. El conocer y reportar los eventos adversos es clave para su corrección y para la seguridad en la atención del paciente lo que permite hablar en términos reales de garantía de calidad en el cuidado de enfermería. Establecer un sistema donde el personal de enfermería pueda reportar y medir el impacto del EA en el usuario sin buscar culpables, establece un buen inicio en el desarrollo de una cultura de calidad, tan necesaria para los profesionales de enfermería.</w:t>
      </w:r>
    </w:p>
    <w:p>
      <w:pPr>
        <w:pStyle w:val="BodyText"/>
      </w:pPr>
    </w:p>
    <w:p>
      <w:pPr>
        <w:pStyle w:val="BodyText"/>
        <w:spacing w:line="360" w:lineRule="auto" w:before="142"/>
        <w:ind w:left="265" w:right="232"/>
        <w:jc w:val="both"/>
      </w:pPr>
      <w:r>
        <w:rPr/>
        <w:t>Enfermería desempeña un papel trascendental en el uso de dispositivos intravasculares tales como: catéter venoso periférico, centrales de estancia prolongada y arterial. En lo que se refiere a los cuidados que proporciona durante la inserción, mantenimiento y retiro de éstos es de vital importancia el  conocimiento que se tenga, debido a su utilización cada vez más frecuente para el diagnóstico curativo o paliativo de ciertos padecimientos. El uso de estos dispositivos se asocia con frecuencia a una variedad de complicaciones relacionadas al manejo del sistema integral de terapia de infusión intravenosa y administración de medicamentos,   </w:t>
      </w:r>
      <w:r>
        <w:rPr>
          <w:spacing w:val="45"/>
        </w:rPr>
        <w:t> </w:t>
      </w:r>
      <w:r>
        <w:rPr/>
        <w:t>mismas que repercuten en la seguridad de los</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824" from="97.823997pt,56.16pt" to="542.643997pt,56.16pt" stroked="true" strokeweight=".48pt" strokecolor="#000000">
            <w10:wrap type="none"/>
          </v:line>
        </w:pict>
      </w:r>
    </w:p>
    <w:p>
      <w:pPr>
        <w:pStyle w:val="BodyText"/>
        <w:rPr>
          <w:sz w:val="20"/>
        </w:rPr>
      </w:pPr>
    </w:p>
    <w:p>
      <w:pPr>
        <w:pStyle w:val="BodyText"/>
        <w:spacing w:line="360" w:lineRule="auto" w:before="204"/>
        <w:ind w:left="265" w:right="232"/>
        <w:jc w:val="both"/>
      </w:pPr>
      <w:r>
        <w:rPr/>
        <w:t>pacientes. Implica por tanto morbilidad y mortalidad elevada, aumento de los tiempos y costos de hospitalización, ya que la administración de medicamentos no se realiza con adecuada dilución y lentitud conforme a las instrucciones del fabricante de los medicamentos, lo cual provoca que la vena se irrite y cause daño tisular o necrosis. Si se administra el medicamento de manera rápida  puede causar reacción tóxica, ya que llegan concentraciones altas del fármaco a órganos con riego sanguíneo abundante, lo que puede ocasionar neuropatía química, daño tisular, quemadura por medicamento quimioterápico, parálisis o incapacidad funcional. Se encontraron errores en la administración de medicamentos con nombre y presentación similar, es decir que se parecen, tal es el caso de la oxitocina y orciprenalina, fármacos de común uso en las pacientes obstétricas, con efecto totalmente opuesto, es decir, la oxitocina induce la contractilidad uterina y la orciprenalina inhibe la contractilidad uterina. Con finales lamentables si no se detecta a tiempo el error. Pacientes alérgicas a determinados medicamentos y que se administraron sin preguntarles si eran alérgicas ha dicho medicamento y el tipo de medicamento que se le iba a administrar.</w:t>
      </w:r>
    </w:p>
    <w:p>
      <w:pPr>
        <w:pStyle w:val="BodyText"/>
      </w:pPr>
    </w:p>
    <w:p>
      <w:pPr>
        <w:pStyle w:val="BodyText"/>
        <w:spacing w:line="360" w:lineRule="auto" w:before="142"/>
        <w:ind w:left="265" w:right="235"/>
        <w:jc w:val="both"/>
      </w:pPr>
      <w:r>
        <w:rPr/>
        <w:t>Cumplir con estas responsabilidades es un aspecto importante, tanto de la calidad técnica como de la interpersonal ya que la atención de enfermería no sólo implica tomar las medidas necesarias para la protección de las personas contra los factores de riesgo (biológicos, químicos, físicos, entre otros), implica también que tengan seguridad y satisfacción del cuidado por parte del gremio de enfermería</w:t>
      </w:r>
    </w:p>
    <w:p>
      <w:pPr>
        <w:pStyle w:val="BodyText"/>
      </w:pPr>
    </w:p>
    <w:p>
      <w:pPr>
        <w:pStyle w:val="BodyText"/>
        <w:spacing w:line="360" w:lineRule="auto" w:before="142"/>
        <w:ind w:left="265" w:right="235"/>
        <w:jc w:val="both"/>
      </w:pPr>
      <w:r>
        <w:rPr/>
        <w:t>En total 383 eventos adversos acontecidos en el año 2012 en un hospital de tercer nivel de Toluca de los cuales el mes de enero tuvo mayor prevalencia con 98  casos (25.5%) y julio con 97 casos (25.3%). Relacionados a la terapia de infusión, la administración de medicamentos ocupo el primer lugar con 335 casos (87.4%). En cuanto al tipo de eventos adversos ocurridos fue de la siguiente manera: eventos adversos prevenibles 234 casos (61%) y evento centinela 6 casos (1.5%). Con</w:t>
      </w:r>
      <w:r>
        <w:rPr>
          <w:spacing w:val="20"/>
        </w:rPr>
        <w:t> </w:t>
      </w:r>
      <w:r>
        <w:rPr/>
        <w:t>mayor</w:t>
      </w:r>
      <w:r>
        <w:rPr>
          <w:spacing w:val="19"/>
        </w:rPr>
        <w:t> </w:t>
      </w:r>
      <w:r>
        <w:rPr/>
        <w:t>incidencia</w:t>
      </w:r>
      <w:r>
        <w:rPr>
          <w:spacing w:val="17"/>
        </w:rPr>
        <w:t> </w:t>
      </w:r>
      <w:r>
        <w:rPr/>
        <w:t>en</w:t>
      </w:r>
      <w:r>
        <w:rPr>
          <w:spacing w:val="20"/>
        </w:rPr>
        <w:t> </w:t>
      </w:r>
      <w:r>
        <w:rPr/>
        <w:t>el</w:t>
      </w:r>
      <w:r>
        <w:rPr>
          <w:spacing w:val="19"/>
        </w:rPr>
        <w:t> </w:t>
      </w:r>
      <w:r>
        <w:rPr/>
        <w:t>turno</w:t>
      </w:r>
      <w:r>
        <w:rPr>
          <w:spacing w:val="19"/>
        </w:rPr>
        <w:t> </w:t>
      </w:r>
      <w:r>
        <w:rPr/>
        <w:t>matutino</w:t>
      </w:r>
      <w:r>
        <w:rPr>
          <w:spacing w:val="27"/>
        </w:rPr>
        <w:t> </w:t>
      </w:r>
      <w:r>
        <w:rPr/>
        <w:t>con</w:t>
      </w:r>
      <w:r>
        <w:rPr>
          <w:spacing w:val="20"/>
        </w:rPr>
        <w:t> </w:t>
      </w:r>
      <w:r>
        <w:rPr/>
        <w:t>162</w:t>
      </w:r>
      <w:r>
        <w:rPr>
          <w:spacing w:val="20"/>
        </w:rPr>
        <w:t> </w:t>
      </w:r>
      <w:r>
        <w:rPr/>
        <w:t>casos</w:t>
      </w:r>
      <w:r>
        <w:rPr>
          <w:spacing w:val="19"/>
        </w:rPr>
        <w:t> </w:t>
      </w:r>
      <w:r>
        <w:rPr/>
        <w:t>(42.3%),</w:t>
      </w:r>
      <w:r>
        <w:rPr>
          <w:spacing w:val="20"/>
        </w:rPr>
        <w:t> </w:t>
      </w:r>
      <w:r>
        <w:rPr/>
        <w:t>debido</w:t>
      </w:r>
      <w:r>
        <w:rPr>
          <w:spacing w:val="20"/>
        </w:rPr>
        <w:t> </w:t>
      </w:r>
      <w:r>
        <w:rPr/>
        <w:t>a</w:t>
      </w:r>
      <w:r>
        <w:rPr>
          <w:spacing w:val="20"/>
        </w:rPr>
        <w:t> </w:t>
      </w:r>
      <w:r>
        <w:rPr/>
        <w:t>que</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848" from="97.823997pt,56.16pt" to="542.643997pt,56.16pt" stroked="true" strokeweight=".48pt" strokecolor="#000000">
            <w10:wrap type="none"/>
          </v:line>
        </w:pict>
      </w:r>
    </w:p>
    <w:p>
      <w:pPr>
        <w:pStyle w:val="BodyText"/>
        <w:rPr>
          <w:sz w:val="20"/>
        </w:rPr>
      </w:pPr>
    </w:p>
    <w:p>
      <w:pPr>
        <w:pStyle w:val="BodyText"/>
        <w:spacing w:line="360" w:lineRule="auto" w:before="204"/>
        <w:ind w:left="265" w:right="235"/>
        <w:jc w:val="both"/>
      </w:pPr>
      <w:r>
        <w:rPr/>
        <w:t>los procedimientos de atención al cuidado son en mayor cantidad y en grado de complejidad, también que la plantilla de enfermeras es mayor respecto a los demás turnos y debido al ingreso de nuevos estudiantes y pasantes del área clínica, los cuales son responsabilidad del gremio de</w:t>
      </w:r>
      <w:r>
        <w:rPr>
          <w:spacing w:val="-28"/>
        </w:rPr>
        <w:t> </w:t>
      </w:r>
      <w:r>
        <w:rPr/>
        <w:t>enfermería.</w:t>
      </w:r>
    </w:p>
    <w:p>
      <w:pPr>
        <w:pStyle w:val="BodyText"/>
      </w:pPr>
    </w:p>
    <w:p>
      <w:pPr>
        <w:pStyle w:val="BodyText"/>
        <w:spacing w:line="360" w:lineRule="auto" w:before="142"/>
        <w:ind w:left="265" w:right="236"/>
        <w:jc w:val="both"/>
      </w:pPr>
      <w:r>
        <w:rPr/>
        <w:t>Cumplir con estas responsabilidades es un aspecto importante, tanto de la calidad técnica como de la interpersonal ya que la atención de enfermería no solo implica tomar las medidas necesarias para la protección de las personas contra los factores de riesgo (biológicos, químicos, físicos, entre otros), implica también que quienes reciben esta atención tengan la seguridad y satisfacción de que al recibir el trato digno que merece, se le ofrece la mayor seguridad en los procedimientos de diagnósticos y tratamiento en el entorno en que los</w:t>
      </w:r>
      <w:r>
        <w:rPr>
          <w:spacing w:val="-19"/>
        </w:rPr>
        <w:t> </w:t>
      </w:r>
      <w:r>
        <w:rPr/>
        <w:t>recibe.</w:t>
      </w:r>
    </w:p>
    <w:p>
      <w:pPr>
        <w:spacing w:after="0" w:line="360" w:lineRule="auto"/>
        <w:jc w:val="both"/>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872" from="97.823997pt,56.16pt" to="542.643997pt,56.16pt" stroked="true" strokeweight=".48pt" strokecolor="#000000">
            <w10:wrap type="none"/>
          </v:line>
        </w:pict>
      </w:r>
    </w:p>
    <w:p>
      <w:pPr>
        <w:pStyle w:val="BodyText"/>
        <w:rPr>
          <w:sz w:val="20"/>
        </w:rPr>
      </w:pPr>
    </w:p>
    <w:p>
      <w:pPr>
        <w:pStyle w:val="Heading6"/>
        <w:spacing w:before="204"/>
        <w:ind w:left="2817" w:right="284"/>
        <w:jc w:val="left"/>
      </w:pPr>
      <w:bookmarkStart w:name="_TOC_250002" w:id="17"/>
      <w:bookmarkEnd w:id="17"/>
      <w:r>
        <w:rPr/>
        <w:t>SUGERENCIAS O PROPUESTAS</w:t>
      </w:r>
    </w:p>
    <w:p>
      <w:pPr>
        <w:pStyle w:val="BodyText"/>
        <w:rPr>
          <w:b/>
        </w:rPr>
      </w:pPr>
    </w:p>
    <w:p>
      <w:pPr>
        <w:pStyle w:val="BodyText"/>
        <w:rPr>
          <w:b/>
        </w:rPr>
      </w:pPr>
    </w:p>
    <w:p>
      <w:pPr>
        <w:pStyle w:val="BodyText"/>
        <w:rPr>
          <w:b/>
        </w:rPr>
      </w:pPr>
    </w:p>
    <w:p>
      <w:pPr>
        <w:pStyle w:val="ListParagraph"/>
        <w:numPr>
          <w:ilvl w:val="0"/>
          <w:numId w:val="6"/>
        </w:numPr>
        <w:tabs>
          <w:tab w:pos="626" w:val="left" w:leader="none"/>
        </w:tabs>
        <w:spacing w:line="350" w:lineRule="auto" w:before="0" w:after="0"/>
        <w:ind w:left="625" w:right="243" w:hanging="360"/>
        <w:jc w:val="both"/>
        <w:rPr>
          <w:sz w:val="24"/>
        </w:rPr>
      </w:pPr>
      <w:r>
        <w:rPr>
          <w:sz w:val="24"/>
        </w:rPr>
        <w:t>Elaborar un folleto o tríptico con información acerca de las sugerencias específicas para el personal de enfermería en la terapia</w:t>
      </w:r>
      <w:r>
        <w:rPr>
          <w:spacing w:val="-26"/>
          <w:sz w:val="24"/>
        </w:rPr>
        <w:t> </w:t>
      </w:r>
      <w:r>
        <w:rPr>
          <w:sz w:val="24"/>
        </w:rPr>
        <w:t>intravenosa.</w:t>
      </w:r>
    </w:p>
    <w:p>
      <w:pPr>
        <w:pStyle w:val="BodyText"/>
      </w:pPr>
    </w:p>
    <w:p>
      <w:pPr>
        <w:pStyle w:val="ListParagraph"/>
        <w:numPr>
          <w:ilvl w:val="0"/>
          <w:numId w:val="6"/>
        </w:numPr>
        <w:tabs>
          <w:tab w:pos="626" w:val="left" w:leader="none"/>
        </w:tabs>
        <w:spacing w:line="357" w:lineRule="auto" w:before="153" w:after="0"/>
        <w:ind w:left="625" w:right="235" w:hanging="360"/>
        <w:jc w:val="both"/>
        <w:rPr>
          <w:sz w:val="24"/>
        </w:rPr>
      </w:pPr>
      <w:r>
        <w:rPr>
          <w:sz w:val="24"/>
        </w:rPr>
        <w:t>Capacitar al personal de enfermería de nuevo ingreso, pasantes y estudiantes sobre la importancia que tiene la terapia de infusión intravenosa, para que desarrollen una cultura de calidad, evitando al mínimo los eventos adversos durante su atención</w:t>
      </w:r>
      <w:r>
        <w:rPr>
          <w:spacing w:val="-9"/>
          <w:sz w:val="24"/>
        </w:rPr>
        <w:t> </w:t>
      </w:r>
      <w:r>
        <w:rPr>
          <w:sz w:val="24"/>
        </w:rPr>
        <w:t>hospitalaria.</w:t>
      </w:r>
    </w:p>
    <w:p>
      <w:pPr>
        <w:pStyle w:val="BodyText"/>
      </w:pPr>
    </w:p>
    <w:p>
      <w:pPr>
        <w:pStyle w:val="ListParagraph"/>
        <w:numPr>
          <w:ilvl w:val="0"/>
          <w:numId w:val="6"/>
        </w:numPr>
        <w:tabs>
          <w:tab w:pos="626" w:val="left" w:leader="none"/>
        </w:tabs>
        <w:spacing w:line="357" w:lineRule="auto" w:before="145" w:after="0"/>
        <w:ind w:left="625" w:right="235" w:hanging="360"/>
        <w:jc w:val="both"/>
        <w:rPr>
          <w:sz w:val="24"/>
        </w:rPr>
      </w:pPr>
      <w:r>
        <w:rPr>
          <w:sz w:val="24"/>
        </w:rPr>
        <w:t>Elaborar una cédula de captación de datos para el registro de eventos adversos de enfermería, que cuente con datos sociodemográficos de la paciente obstétrica, lo cual permitirá para futuros estudios un análisis más completo.</w:t>
      </w:r>
    </w:p>
    <w:p>
      <w:pPr>
        <w:spacing w:after="0" w:line="357"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896" from="97.823997pt,56.16pt" to="542.643997pt,56.16pt" stroked="true" strokeweight=".48pt" strokecolor="#000000">
            <w10:wrap type="none"/>
          </v:line>
        </w:pict>
      </w:r>
    </w:p>
    <w:p>
      <w:pPr>
        <w:pStyle w:val="BodyText"/>
        <w:rPr>
          <w:sz w:val="20"/>
        </w:rPr>
      </w:pPr>
    </w:p>
    <w:p>
      <w:pPr>
        <w:pStyle w:val="Heading6"/>
        <w:spacing w:before="204"/>
        <w:ind w:left="452" w:right="430"/>
        <w:jc w:val="center"/>
      </w:pPr>
      <w:bookmarkStart w:name="_TOC_250001" w:id="18"/>
      <w:bookmarkEnd w:id="18"/>
      <w:r>
        <w:rPr/>
        <w:t>REFERENCIAS</w:t>
      </w:r>
    </w:p>
    <w:p>
      <w:pPr>
        <w:pStyle w:val="BodyText"/>
        <w:rPr>
          <w:b/>
        </w:rPr>
      </w:pPr>
    </w:p>
    <w:p>
      <w:pPr>
        <w:pStyle w:val="BodyText"/>
        <w:rPr>
          <w:b/>
        </w:rPr>
      </w:pPr>
    </w:p>
    <w:p>
      <w:pPr>
        <w:pStyle w:val="BodyText"/>
        <w:spacing w:before="4"/>
        <w:rPr>
          <w:b/>
          <w:sz w:val="29"/>
        </w:rPr>
      </w:pPr>
    </w:p>
    <w:p>
      <w:pPr>
        <w:pStyle w:val="ListParagraph"/>
        <w:numPr>
          <w:ilvl w:val="0"/>
          <w:numId w:val="7"/>
        </w:numPr>
        <w:tabs>
          <w:tab w:pos="623" w:val="left" w:leader="none"/>
        </w:tabs>
        <w:spacing w:line="240" w:lineRule="auto" w:before="1" w:after="0"/>
        <w:ind w:left="622" w:right="0" w:hanging="357"/>
        <w:jc w:val="left"/>
        <w:rPr>
          <w:sz w:val="24"/>
        </w:rPr>
      </w:pPr>
      <w:r>
        <w:rPr>
          <w:sz w:val="24"/>
        </w:rPr>
        <w:t>Akal R. Técnicas básicas de enfermería. 1</w:t>
      </w:r>
      <w:r>
        <w:rPr>
          <w:position w:val="8"/>
          <w:sz w:val="16"/>
        </w:rPr>
        <w:t>era </w:t>
      </w:r>
      <w:r>
        <w:rPr>
          <w:sz w:val="24"/>
        </w:rPr>
        <w:t>edición. España.</w:t>
      </w:r>
      <w:r>
        <w:rPr>
          <w:spacing w:val="1"/>
          <w:sz w:val="24"/>
        </w:rPr>
        <w:t> </w:t>
      </w:r>
      <w:r>
        <w:rPr>
          <w:sz w:val="24"/>
        </w:rPr>
        <w:t>2008.</w:t>
      </w:r>
    </w:p>
    <w:p>
      <w:pPr>
        <w:pStyle w:val="BodyText"/>
        <w:spacing w:before="11"/>
        <w:rPr>
          <w:sz w:val="32"/>
        </w:rPr>
      </w:pPr>
    </w:p>
    <w:p>
      <w:pPr>
        <w:pStyle w:val="ListParagraph"/>
        <w:numPr>
          <w:ilvl w:val="0"/>
          <w:numId w:val="7"/>
        </w:numPr>
        <w:tabs>
          <w:tab w:pos="623" w:val="left" w:leader="none"/>
        </w:tabs>
        <w:spacing w:line="360" w:lineRule="auto" w:before="0" w:after="0"/>
        <w:ind w:left="622" w:right="243" w:hanging="357"/>
        <w:jc w:val="both"/>
        <w:rPr>
          <w:sz w:val="24"/>
        </w:rPr>
      </w:pPr>
      <w:r>
        <w:rPr>
          <w:sz w:val="24"/>
        </w:rPr>
        <w:t>Albiter E. Validación de estándares e indicadores para la evaluación de la atención de enfermería en el manejo de accesos vasculares en neonatos. Tesis de maestría en enfermería perinatal UAEM. Facultad de enfermería y obstetricia, Toluca, México. 2012. 63</w:t>
      </w:r>
      <w:r>
        <w:rPr>
          <w:spacing w:val="-11"/>
          <w:sz w:val="24"/>
        </w:rPr>
        <w:t> </w:t>
      </w:r>
      <w:r>
        <w:rPr>
          <w:sz w:val="24"/>
        </w:rPr>
        <w:t>Pp.</w:t>
      </w:r>
    </w:p>
    <w:p>
      <w:pPr>
        <w:pStyle w:val="BodyText"/>
        <w:spacing w:before="3"/>
        <w:rPr>
          <w:sz w:val="21"/>
        </w:rPr>
      </w:pPr>
    </w:p>
    <w:p>
      <w:pPr>
        <w:pStyle w:val="ListParagraph"/>
        <w:numPr>
          <w:ilvl w:val="0"/>
          <w:numId w:val="7"/>
        </w:numPr>
        <w:tabs>
          <w:tab w:pos="623" w:val="left" w:leader="none"/>
        </w:tabs>
        <w:spacing w:line="360" w:lineRule="auto" w:before="0" w:after="0"/>
        <w:ind w:left="622" w:right="241" w:hanging="357"/>
        <w:jc w:val="both"/>
        <w:rPr>
          <w:sz w:val="24"/>
        </w:rPr>
      </w:pPr>
      <w:r>
        <w:rPr>
          <w:sz w:val="24"/>
        </w:rPr>
        <w:t>Bernal C., Garzón Natalia. Eventos Adversos durante la atención de enfermería en las unidades de cuidados intensivos, especialización en el cuidado critico, Bogotá. 2008. [Consultado en diciembre de 2007] disponible en: </w:t>
      </w:r>
      <w:hyperlink r:id="rId40">
        <w:r>
          <w:rPr>
            <w:sz w:val="24"/>
          </w:rPr>
          <w:t>http://www.javeriana.edu.co/biblos/tesis/enfermeria/tesis44.pdf</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36" w:hanging="357"/>
        <w:jc w:val="both"/>
        <w:rPr>
          <w:sz w:val="24"/>
        </w:rPr>
      </w:pPr>
      <w:r>
        <w:rPr>
          <w:sz w:val="24"/>
        </w:rPr>
        <w:t>Calidad en los servicios de salud. Revista salud pública en México/vol 42 No. 6 Instituto Nacional de salud pública, Cuernavaca México. 2000. [Monografía de internet] referido Noviembre 6 2010. Disponible en </w:t>
      </w:r>
      <w:hyperlink r:id="rId41">
        <w:r>
          <w:rPr>
            <w:sz w:val="24"/>
          </w:rPr>
          <w:t>www.</w:t>
        </w:r>
      </w:hyperlink>
      <w:r>
        <w:rPr>
          <w:sz w:val="24"/>
        </w:rPr>
        <w:t> Scielo.org./scielo. Php?pid=sooo36…sci…</w:t>
      </w:r>
    </w:p>
    <w:p>
      <w:pPr>
        <w:pStyle w:val="BodyText"/>
        <w:spacing w:before="1"/>
        <w:rPr>
          <w:sz w:val="21"/>
        </w:rPr>
      </w:pPr>
    </w:p>
    <w:p>
      <w:pPr>
        <w:pStyle w:val="ListParagraph"/>
        <w:numPr>
          <w:ilvl w:val="0"/>
          <w:numId w:val="7"/>
        </w:numPr>
        <w:tabs>
          <w:tab w:pos="623" w:val="left" w:leader="none"/>
        </w:tabs>
        <w:spacing w:line="360" w:lineRule="auto" w:before="0" w:after="0"/>
        <w:ind w:left="622" w:right="232" w:hanging="357"/>
        <w:jc w:val="both"/>
        <w:rPr>
          <w:sz w:val="24"/>
        </w:rPr>
      </w:pPr>
      <w:r>
        <w:rPr>
          <w:sz w:val="24"/>
        </w:rPr>
        <w:t>Catéteres venosos centrales y las técnicas de inserción, así como la prevención y el tratamiento de las complicaciones (2013) IntraMed.  [Consultado 18 de mayo 2013] disponible en: </w:t>
      </w:r>
      <w:hyperlink r:id="rId42">
        <w:r>
          <w:rPr>
            <w:sz w:val="24"/>
          </w:rPr>
          <w:t>http://intramed.net/contenidover.asp?contenidoID=82177?</w:t>
        </w:r>
      </w:hyperlink>
    </w:p>
    <w:p>
      <w:pPr>
        <w:pStyle w:val="BodyText"/>
        <w:spacing w:before="1"/>
        <w:rPr>
          <w:sz w:val="21"/>
        </w:rPr>
      </w:pPr>
    </w:p>
    <w:p>
      <w:pPr>
        <w:pStyle w:val="ListParagraph"/>
        <w:numPr>
          <w:ilvl w:val="0"/>
          <w:numId w:val="7"/>
        </w:numPr>
        <w:tabs>
          <w:tab w:pos="623" w:val="left" w:leader="none"/>
        </w:tabs>
        <w:spacing w:line="362" w:lineRule="auto" w:before="0" w:after="0"/>
        <w:ind w:left="622" w:right="242" w:hanging="357"/>
        <w:jc w:val="both"/>
        <w:rPr>
          <w:sz w:val="24"/>
        </w:rPr>
      </w:pPr>
      <w:r>
        <w:rPr>
          <w:sz w:val="24"/>
        </w:rPr>
        <w:t>Cateterización de vía venosa centra 107 Pp. [consultado 5 de junio 2014] disponiww.oc.lm.ehu.es/fundamentos/fundamentos/tecnicascm/via</w:t>
      </w:r>
    </w:p>
    <w:p>
      <w:pPr>
        <w:pStyle w:val="BodyText"/>
        <w:spacing w:before="10"/>
        <w:rPr>
          <w:sz w:val="20"/>
        </w:rPr>
      </w:pPr>
    </w:p>
    <w:p>
      <w:pPr>
        <w:pStyle w:val="ListParagraph"/>
        <w:numPr>
          <w:ilvl w:val="0"/>
          <w:numId w:val="7"/>
        </w:numPr>
        <w:tabs>
          <w:tab w:pos="623" w:val="left" w:leader="none"/>
        </w:tabs>
        <w:spacing w:line="360" w:lineRule="auto" w:before="0" w:after="0"/>
        <w:ind w:left="622" w:right="240" w:hanging="357"/>
        <w:jc w:val="both"/>
        <w:rPr>
          <w:sz w:val="24"/>
        </w:rPr>
      </w:pPr>
      <w:r>
        <w:rPr>
          <w:sz w:val="24"/>
        </w:rPr>
        <w:t>Conoce la frecuencia de errores en su unidad de cuidados intensivos (2013)  Mc Crae T. revista de cuidados críticos de medicina Vol.13 No. 4 [consultado 22 de enero 2014] disponible</w:t>
      </w:r>
      <w:r>
        <w:rPr>
          <w:spacing w:val="-13"/>
          <w:sz w:val="24"/>
        </w:rPr>
        <w:t> </w:t>
      </w:r>
      <w:r>
        <w:rPr>
          <w:sz w:val="24"/>
        </w:rPr>
        <w:t>en:</w:t>
      </w:r>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920" from="97.823997pt,56.16pt" to="542.643997pt,56.16pt" stroked="true" strokeweight=".48pt" strokecolor="#000000">
            <w10:wrap type="none"/>
          </v:line>
        </w:pict>
      </w:r>
    </w:p>
    <w:p>
      <w:pPr>
        <w:pStyle w:val="BodyText"/>
        <w:rPr>
          <w:sz w:val="20"/>
        </w:rPr>
      </w:pPr>
    </w:p>
    <w:p>
      <w:pPr>
        <w:pStyle w:val="ListParagraph"/>
        <w:numPr>
          <w:ilvl w:val="0"/>
          <w:numId w:val="7"/>
        </w:numPr>
        <w:tabs>
          <w:tab w:pos="623" w:val="left" w:leader="none"/>
        </w:tabs>
        <w:spacing w:line="360" w:lineRule="auto" w:before="204" w:after="0"/>
        <w:ind w:left="622" w:right="244" w:hanging="357"/>
        <w:jc w:val="both"/>
        <w:rPr>
          <w:sz w:val="24"/>
        </w:rPr>
      </w:pPr>
      <w:r>
        <w:rPr>
          <w:sz w:val="24"/>
        </w:rPr>
        <w:t>Consejo Internacional de Enfermeras Declaración de posición del CIE sobre seguridad de los pacientes, adaptada</w:t>
      </w:r>
      <w:r>
        <w:rPr>
          <w:spacing w:val="-17"/>
          <w:sz w:val="24"/>
        </w:rPr>
        <w:t> </w:t>
      </w:r>
      <w:r>
        <w:rPr>
          <w:sz w:val="24"/>
        </w:rPr>
        <w:t>2002.</w:t>
      </w:r>
    </w:p>
    <w:p>
      <w:pPr>
        <w:pStyle w:val="BodyText"/>
        <w:spacing w:before="1"/>
        <w:rPr>
          <w:sz w:val="21"/>
        </w:rPr>
      </w:pPr>
    </w:p>
    <w:p>
      <w:pPr>
        <w:pStyle w:val="ListParagraph"/>
        <w:numPr>
          <w:ilvl w:val="0"/>
          <w:numId w:val="7"/>
        </w:numPr>
        <w:tabs>
          <w:tab w:pos="623" w:val="left" w:leader="none"/>
          <w:tab w:pos="2633" w:val="left" w:leader="none"/>
          <w:tab w:pos="4296" w:val="left" w:leader="none"/>
          <w:tab w:pos="6292" w:val="left" w:leader="none"/>
          <w:tab w:pos="8769" w:val="left" w:leader="none"/>
        </w:tabs>
        <w:spacing w:line="360" w:lineRule="auto" w:before="0" w:after="0"/>
        <w:ind w:left="622" w:right="235" w:hanging="357"/>
        <w:jc w:val="both"/>
        <w:rPr>
          <w:sz w:val="24"/>
        </w:rPr>
      </w:pPr>
      <w:r>
        <w:rPr>
          <w:sz w:val="24"/>
        </w:rPr>
        <w:t>Dilemas éticos frente a la seguridad del paciente Cuidad es pensar, Gómez, Isabel, Espinoza, Ángela Aquichan volumen 6 del 2006 8 [consultado del 18 de enero</w:t>
        <w:tab/>
        <w:t>de</w:t>
        <w:tab/>
        <w:t>2013]</w:t>
        <w:tab/>
        <w:t>disponible</w:t>
        <w:tab/>
        <w:t>en: </w:t>
      </w:r>
      <w:hyperlink r:id="rId22">
        <w:r>
          <w:rPr>
            <w:sz w:val="24"/>
          </w:rPr>
          <w:t>http://www.google.com.mx/#rlz=1W1SUNC_es&amp;q=dilemas+eticos+frente+a+la</w:t>
        </w:r>
      </w:hyperlink>
    </w:p>
    <w:p>
      <w:pPr>
        <w:pStyle w:val="BodyText"/>
        <w:spacing w:before="2"/>
        <w:ind w:left="622" w:right="284"/>
      </w:pPr>
      <w:hyperlink r:id="rId22">
        <w:r>
          <w:rPr/>
          <w:t>+seguridad+del+paciente.+cuidar+es+pensar</w:t>
        </w:r>
      </w:hyperlink>
    </w:p>
    <w:p>
      <w:pPr>
        <w:pStyle w:val="BodyText"/>
        <w:spacing w:before="9"/>
        <w:rPr>
          <w:sz w:val="32"/>
        </w:rPr>
      </w:pPr>
    </w:p>
    <w:p>
      <w:pPr>
        <w:pStyle w:val="ListParagraph"/>
        <w:numPr>
          <w:ilvl w:val="0"/>
          <w:numId w:val="7"/>
        </w:numPr>
        <w:tabs>
          <w:tab w:pos="623" w:val="left" w:leader="none"/>
        </w:tabs>
        <w:spacing w:line="240" w:lineRule="auto" w:before="0" w:after="0"/>
        <w:ind w:left="622" w:right="0" w:hanging="357"/>
        <w:jc w:val="left"/>
        <w:rPr>
          <w:sz w:val="24"/>
        </w:rPr>
      </w:pPr>
      <w:r>
        <w:rPr>
          <w:sz w:val="24"/>
        </w:rPr>
        <w:t>Donoso A. Fuentes I. (2004). Eventos adversos en UCI, Revista pediátrica</w:t>
      </w:r>
      <w:r>
        <w:rPr>
          <w:spacing w:val="-14"/>
          <w:sz w:val="24"/>
        </w:rPr>
        <w:t> </w:t>
      </w:r>
      <w:r>
        <w:rPr>
          <w:sz w:val="24"/>
        </w:rPr>
        <w:t>V.75</w:t>
      </w:r>
    </w:p>
    <w:p>
      <w:pPr>
        <w:pStyle w:val="BodyText"/>
        <w:tabs>
          <w:tab w:pos="1068" w:val="left" w:leader="none"/>
          <w:tab w:pos="1445" w:val="left" w:leader="none"/>
          <w:tab w:pos="2636" w:val="left" w:leader="none"/>
          <w:tab w:pos="3425" w:val="left" w:leader="none"/>
          <w:tab w:pos="4896" w:val="left" w:leader="none"/>
          <w:tab w:pos="5754" w:val="left" w:leader="none"/>
          <w:tab w:pos="6663" w:val="left" w:leader="none"/>
          <w:tab w:pos="7507" w:val="left" w:leader="none"/>
          <w:tab w:pos="8831" w:val="left" w:leader="none"/>
        </w:tabs>
        <w:spacing w:line="360" w:lineRule="auto" w:before="139"/>
        <w:ind w:left="622" w:right="241"/>
      </w:pPr>
      <w:r>
        <w:rPr/>
        <w:t>n.</w:t>
        <w:tab/>
        <w:t>3</w:t>
        <w:tab/>
        <w:t>Santiago</w:t>
        <w:tab/>
        <w:t>Chile</w:t>
        <w:tab/>
        <w:t>[consultado</w:t>
        <w:tab/>
        <w:t>enero</w:t>
        <w:tab/>
        <w:t>marzo</w:t>
        <w:tab/>
        <w:t>2012]</w:t>
        <w:tab/>
        <w:t>disponible</w:t>
        <w:tab/>
        <w:t>en</w:t>
      </w:r>
      <w:hyperlink r:id="rId12">
        <w:r>
          <w:rPr>
            <w:w w:val="99"/>
          </w:rPr>
          <w:t> </w:t>
        </w:r>
        <w:r>
          <w:rPr/>
          <w:t>http://www.scielo.cl/scielo.php?script=sci_arttext&amp;pid=S0370</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38" w:hanging="357"/>
        <w:jc w:val="both"/>
        <w:rPr>
          <w:sz w:val="24"/>
        </w:rPr>
      </w:pPr>
      <w:r>
        <w:rPr>
          <w:sz w:val="24"/>
        </w:rPr>
        <w:t>Espinoza A. (2006) Dilemas éticos frente a la seguridad del paciente Cuidad es pensar, volumen 6 [consultado 21de marzo de 2013] disponible en: </w:t>
      </w:r>
      <w:hyperlink r:id="rId40">
        <w:r>
          <w:rPr>
            <w:sz w:val="24"/>
          </w:rPr>
          <w:t>http://www.javeriana.edu.co/biblos/tesis/enfermeria/tesis44.pdf</w:t>
        </w:r>
      </w:hyperlink>
    </w:p>
    <w:p>
      <w:pPr>
        <w:pStyle w:val="BodyText"/>
        <w:spacing w:before="1"/>
        <w:rPr>
          <w:sz w:val="21"/>
        </w:rPr>
      </w:pPr>
    </w:p>
    <w:p>
      <w:pPr>
        <w:pStyle w:val="ListParagraph"/>
        <w:numPr>
          <w:ilvl w:val="0"/>
          <w:numId w:val="7"/>
        </w:numPr>
        <w:tabs>
          <w:tab w:pos="623" w:val="left" w:leader="none"/>
        </w:tabs>
        <w:spacing w:line="360" w:lineRule="auto" w:before="0" w:after="0"/>
        <w:ind w:left="622" w:right="241" w:hanging="357"/>
        <w:jc w:val="both"/>
        <w:rPr>
          <w:sz w:val="24"/>
        </w:rPr>
      </w:pPr>
      <w:r>
        <w:rPr>
          <w:sz w:val="24"/>
        </w:rPr>
        <w:t>Fernández C. Gills J. Estrategias para la prevención de errores en la medicación. Editorial Mosby.</w:t>
      </w:r>
      <w:r>
        <w:rPr>
          <w:spacing w:val="-15"/>
          <w:sz w:val="24"/>
        </w:rPr>
        <w:t> </w:t>
      </w:r>
      <w:r>
        <w:rPr>
          <w:sz w:val="24"/>
        </w:rPr>
        <w:t>2003.</w:t>
      </w:r>
    </w:p>
    <w:p>
      <w:pPr>
        <w:pStyle w:val="BodyText"/>
        <w:spacing w:before="7"/>
        <w:rPr>
          <w:sz w:val="20"/>
        </w:rPr>
      </w:pPr>
    </w:p>
    <w:p>
      <w:pPr>
        <w:pStyle w:val="ListParagraph"/>
        <w:numPr>
          <w:ilvl w:val="0"/>
          <w:numId w:val="7"/>
        </w:numPr>
        <w:tabs>
          <w:tab w:pos="623" w:val="left" w:leader="none"/>
        </w:tabs>
        <w:spacing w:line="360" w:lineRule="auto" w:before="1" w:after="0"/>
        <w:ind w:left="622" w:right="236" w:hanging="357"/>
        <w:jc w:val="both"/>
        <w:rPr>
          <w:sz w:val="24"/>
        </w:rPr>
      </w:pPr>
      <w:r>
        <w:rPr>
          <w:sz w:val="24"/>
        </w:rPr>
        <w:t>Gamarra B. Técnicas de enfermería en el paciente crítico. </w:t>
      </w:r>
      <w:r>
        <w:rPr>
          <w:spacing w:val="4"/>
          <w:sz w:val="24"/>
        </w:rPr>
        <w:t>1</w:t>
      </w:r>
      <w:r>
        <w:rPr>
          <w:spacing w:val="4"/>
          <w:position w:val="8"/>
          <w:sz w:val="16"/>
        </w:rPr>
        <w:t>a </w:t>
      </w:r>
      <w:r>
        <w:rPr>
          <w:sz w:val="24"/>
        </w:rPr>
        <w:t>edición. México. Editorial Formación Alcalá. 2006. 326</w:t>
      </w:r>
      <w:r>
        <w:rPr>
          <w:spacing w:val="-18"/>
          <w:sz w:val="24"/>
        </w:rPr>
        <w:t> </w:t>
      </w:r>
      <w:r>
        <w:rPr>
          <w:sz w:val="24"/>
        </w:rPr>
        <w:t>pp.</w:t>
      </w:r>
    </w:p>
    <w:p>
      <w:pPr>
        <w:pStyle w:val="BodyText"/>
        <w:spacing w:before="1"/>
        <w:rPr>
          <w:sz w:val="21"/>
        </w:rPr>
      </w:pPr>
    </w:p>
    <w:p>
      <w:pPr>
        <w:pStyle w:val="ListParagraph"/>
        <w:numPr>
          <w:ilvl w:val="0"/>
          <w:numId w:val="7"/>
        </w:numPr>
        <w:tabs>
          <w:tab w:pos="623" w:val="left" w:leader="none"/>
        </w:tabs>
        <w:spacing w:line="360" w:lineRule="auto" w:before="0" w:after="0"/>
        <w:ind w:left="622" w:right="228" w:hanging="357"/>
        <w:jc w:val="both"/>
        <w:rPr>
          <w:sz w:val="24"/>
        </w:rPr>
      </w:pPr>
      <w:r>
        <w:rPr>
          <w:sz w:val="24"/>
        </w:rPr>
        <w:t>Garzón M. (2009). Indicios de atención segura, errores y eventos adversos ocurridos en el proceso de atención en salud y enfermería en una IPS de 18.- 18.-Bogotá en el periodo Programa Maestría en Enfermería. [Consultado12 de febrero de 2013] disponible en:</w:t>
      </w:r>
      <w:r>
        <w:rPr>
          <w:spacing w:val="-22"/>
          <w:sz w:val="24"/>
        </w:rPr>
        <w:t> </w:t>
      </w:r>
      <w:hyperlink r:id="rId43">
        <w:r>
          <w:rPr>
            <w:sz w:val="24"/>
          </w:rPr>
          <w:t>http://www.bdigital.unal.edu.co/8902/1/5394</w:t>
        </w:r>
      </w:hyperlink>
    </w:p>
    <w:p>
      <w:pPr>
        <w:pStyle w:val="BodyText"/>
        <w:spacing w:before="1"/>
        <w:rPr>
          <w:sz w:val="21"/>
        </w:rPr>
      </w:pPr>
    </w:p>
    <w:p>
      <w:pPr>
        <w:pStyle w:val="ListParagraph"/>
        <w:numPr>
          <w:ilvl w:val="0"/>
          <w:numId w:val="7"/>
        </w:numPr>
        <w:tabs>
          <w:tab w:pos="623" w:val="left" w:leader="none"/>
        </w:tabs>
        <w:spacing w:line="360" w:lineRule="auto" w:before="0" w:after="0"/>
        <w:ind w:left="622" w:right="243" w:hanging="357"/>
        <w:jc w:val="both"/>
        <w:rPr>
          <w:sz w:val="24"/>
        </w:rPr>
      </w:pPr>
      <w:r>
        <w:rPr>
          <w:sz w:val="24"/>
        </w:rPr>
        <w:t>Gunning K. Reporte de incidencias en la unidad de cuidados intensivos críticos (2000) Cambrigge. Hospital [consultado 8 de marzo 2014] disponible en: </w:t>
      </w:r>
      <w:hyperlink r:id="rId44">
        <w:r>
          <w:rPr>
            <w:sz w:val="24"/>
          </w:rPr>
          <w:t>http://link.spinger.com/article/10.1007%2fs0013400</w:t>
        </w:r>
      </w:hyperlink>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944" from="97.823997pt,56.16pt" to="542.643997pt,56.16pt" stroked="true" strokeweight=".48pt" strokecolor="#000000">
            <w10:wrap type="none"/>
          </v:line>
        </w:pict>
      </w:r>
    </w:p>
    <w:p>
      <w:pPr>
        <w:pStyle w:val="BodyText"/>
        <w:rPr>
          <w:sz w:val="20"/>
        </w:rPr>
      </w:pPr>
    </w:p>
    <w:p>
      <w:pPr>
        <w:pStyle w:val="ListParagraph"/>
        <w:numPr>
          <w:ilvl w:val="0"/>
          <w:numId w:val="7"/>
        </w:numPr>
        <w:tabs>
          <w:tab w:pos="623" w:val="left" w:leader="none"/>
        </w:tabs>
        <w:spacing w:line="240" w:lineRule="auto" w:before="204" w:after="0"/>
        <w:ind w:left="622" w:right="0" w:hanging="357"/>
        <w:jc w:val="left"/>
        <w:rPr>
          <w:sz w:val="24"/>
        </w:rPr>
      </w:pPr>
      <w:r>
        <w:rPr>
          <w:sz w:val="24"/>
        </w:rPr>
        <w:t>Gutiérrez</w:t>
      </w:r>
      <w:r>
        <w:rPr>
          <w:spacing w:val="34"/>
          <w:sz w:val="24"/>
        </w:rPr>
        <w:t> </w:t>
      </w:r>
      <w:r>
        <w:rPr>
          <w:sz w:val="24"/>
        </w:rPr>
        <w:t>L.</w:t>
      </w:r>
      <w:r>
        <w:rPr>
          <w:spacing w:val="37"/>
          <w:sz w:val="24"/>
        </w:rPr>
        <w:t> </w:t>
      </w:r>
      <w:r>
        <w:rPr>
          <w:sz w:val="24"/>
        </w:rPr>
        <w:t>Procedimientos</w:t>
      </w:r>
      <w:r>
        <w:rPr>
          <w:spacing w:val="34"/>
          <w:sz w:val="24"/>
        </w:rPr>
        <w:t> </w:t>
      </w:r>
      <w:r>
        <w:rPr>
          <w:sz w:val="24"/>
        </w:rPr>
        <w:t>en</w:t>
      </w:r>
      <w:r>
        <w:rPr>
          <w:spacing w:val="35"/>
          <w:sz w:val="24"/>
        </w:rPr>
        <w:t> </w:t>
      </w:r>
      <w:r>
        <w:rPr>
          <w:sz w:val="24"/>
        </w:rPr>
        <w:t>el</w:t>
      </w:r>
      <w:r>
        <w:rPr>
          <w:spacing w:val="36"/>
          <w:sz w:val="24"/>
        </w:rPr>
        <w:t> </w:t>
      </w:r>
      <w:r>
        <w:rPr>
          <w:sz w:val="24"/>
        </w:rPr>
        <w:t>paciente</w:t>
      </w:r>
      <w:r>
        <w:rPr>
          <w:spacing w:val="35"/>
          <w:sz w:val="24"/>
        </w:rPr>
        <w:t> </w:t>
      </w:r>
      <w:r>
        <w:rPr>
          <w:sz w:val="24"/>
        </w:rPr>
        <w:t>crítico.</w:t>
      </w:r>
      <w:r>
        <w:rPr>
          <w:spacing w:val="37"/>
          <w:sz w:val="24"/>
        </w:rPr>
        <w:t> </w:t>
      </w:r>
      <w:r>
        <w:rPr>
          <w:sz w:val="24"/>
        </w:rPr>
        <w:t>México.</w:t>
      </w:r>
      <w:r>
        <w:rPr>
          <w:spacing w:val="37"/>
          <w:sz w:val="24"/>
        </w:rPr>
        <w:t> </w:t>
      </w:r>
      <w:r>
        <w:rPr>
          <w:sz w:val="24"/>
        </w:rPr>
        <w:t>Ediciones</w:t>
      </w:r>
      <w:r>
        <w:rPr>
          <w:spacing w:val="37"/>
          <w:sz w:val="24"/>
        </w:rPr>
        <w:t> </w:t>
      </w:r>
      <w:r>
        <w:rPr>
          <w:sz w:val="24"/>
        </w:rPr>
        <w:t>Cuellar</w:t>
      </w:r>
    </w:p>
    <w:p>
      <w:pPr>
        <w:pStyle w:val="BodyText"/>
        <w:spacing w:before="139"/>
        <w:ind w:left="622" w:right="284"/>
      </w:pPr>
      <w:r>
        <w:rPr/>
        <w:t>S.A. 2007.</w:t>
      </w:r>
    </w:p>
    <w:p>
      <w:pPr>
        <w:pStyle w:val="BodyText"/>
        <w:spacing w:before="8"/>
        <w:rPr>
          <w:sz w:val="32"/>
        </w:rPr>
      </w:pPr>
    </w:p>
    <w:p>
      <w:pPr>
        <w:pStyle w:val="ListParagraph"/>
        <w:numPr>
          <w:ilvl w:val="0"/>
          <w:numId w:val="7"/>
        </w:numPr>
        <w:tabs>
          <w:tab w:pos="623" w:val="left" w:leader="none"/>
        </w:tabs>
        <w:spacing w:line="360" w:lineRule="auto" w:before="1" w:after="0"/>
        <w:ind w:left="622" w:right="242" w:hanging="357"/>
        <w:jc w:val="both"/>
        <w:rPr>
          <w:sz w:val="24"/>
        </w:rPr>
      </w:pPr>
      <w:r>
        <w:rPr>
          <w:sz w:val="24"/>
        </w:rPr>
        <w:t>Hernández A. Mendoza E. (2006). Eventos adversos en el cuidado de enfermería. Revista mexicana de enfermería. Instituto Nacional de Cardiología Ignacio Chávez [consultado el 5 de noviembre de 2012] disponible en: http</w:t>
      </w:r>
      <w:hyperlink r:id="rId21">
        <w:r>
          <w:rPr>
            <w:sz w:val="24"/>
          </w:rPr>
          <w:t>/www</w:t>
        </w:r>
      </w:hyperlink>
      <w:r>
        <w:rPr>
          <w:sz w:val="24"/>
        </w:rPr>
        <w:t>.</w:t>
      </w:r>
      <w:hyperlink r:id="rId21">
        <w:r>
          <w:rPr>
            <w:sz w:val="24"/>
          </w:rPr>
          <w:t>mediagraphic.com/pdfs/enfe/en-2006/en062g.pdf</w:t>
        </w:r>
      </w:hyperlink>
    </w:p>
    <w:p>
      <w:pPr>
        <w:pStyle w:val="BodyText"/>
        <w:spacing w:before="1"/>
        <w:rPr>
          <w:sz w:val="21"/>
        </w:rPr>
      </w:pPr>
    </w:p>
    <w:p>
      <w:pPr>
        <w:pStyle w:val="ListParagraph"/>
        <w:numPr>
          <w:ilvl w:val="0"/>
          <w:numId w:val="7"/>
        </w:numPr>
        <w:tabs>
          <w:tab w:pos="623" w:val="left" w:leader="none"/>
        </w:tabs>
        <w:spacing w:line="360" w:lineRule="auto" w:before="1" w:after="0"/>
        <w:ind w:left="622" w:right="232" w:hanging="357"/>
        <w:jc w:val="both"/>
        <w:rPr>
          <w:sz w:val="24"/>
        </w:rPr>
      </w:pPr>
      <w:r>
        <w:rPr>
          <w:sz w:val="24"/>
        </w:rPr>
        <w:t>Hernández C. (2006). Eventos Adversos en el Cuidado de Enfermería, Instituto Nacional de Cardiología Ignacio Chávez, Revista Mexicana de Enfermería Cardiológica; 14 [consultado el 5 de noviembre de 2012] disponible en: </w:t>
      </w:r>
      <w:hyperlink r:id="rId45">
        <w:r>
          <w:rPr>
            <w:sz w:val="24"/>
          </w:rPr>
          <w:t>http://www.medigraphic.com/pdfs/enfe/en-2006/en062g.pdf</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30" w:hanging="357"/>
        <w:jc w:val="both"/>
        <w:rPr>
          <w:sz w:val="24"/>
        </w:rPr>
      </w:pPr>
      <w:r>
        <w:rPr>
          <w:sz w:val="24"/>
        </w:rPr>
        <w:t>Hernández E. Gutiérrez A. Cuidar de la salud, con calidad. Revista de enfermería del Instituto Mexicano del Seguro Social. México, D.F. 2009. 121- 122</w:t>
      </w:r>
      <w:r>
        <w:rPr>
          <w:spacing w:val="-3"/>
          <w:sz w:val="24"/>
        </w:rPr>
        <w:t> </w:t>
      </w:r>
      <w:r>
        <w:rPr>
          <w:sz w:val="24"/>
        </w:rPr>
        <w:t>Pp.</w:t>
      </w:r>
    </w:p>
    <w:p>
      <w:pPr>
        <w:pStyle w:val="BodyText"/>
        <w:spacing w:before="1"/>
        <w:rPr>
          <w:sz w:val="21"/>
        </w:rPr>
      </w:pPr>
    </w:p>
    <w:p>
      <w:pPr>
        <w:pStyle w:val="ListParagraph"/>
        <w:numPr>
          <w:ilvl w:val="0"/>
          <w:numId w:val="7"/>
        </w:numPr>
        <w:tabs>
          <w:tab w:pos="623" w:val="left" w:leader="none"/>
        </w:tabs>
        <w:spacing w:line="360" w:lineRule="auto" w:before="0" w:after="0"/>
        <w:ind w:left="622" w:right="241" w:hanging="357"/>
        <w:jc w:val="both"/>
        <w:rPr>
          <w:sz w:val="24"/>
        </w:rPr>
      </w:pPr>
      <w:r>
        <w:rPr>
          <w:sz w:val="24"/>
        </w:rPr>
        <w:t>Hernández M. Cuidar de la Salud con Calidad Revista de enfermería del Instituto Mexicano del Seguro Social. México. Revista en internet [consultada 09 de noviembre de 2012], disponible en</w:t>
      </w:r>
      <w:r>
        <w:rPr>
          <w:spacing w:val="-25"/>
          <w:sz w:val="24"/>
        </w:rPr>
        <w:t> </w:t>
      </w:r>
      <w:hyperlink r:id="rId14">
        <w:r>
          <w:rPr>
            <w:sz w:val="24"/>
          </w:rPr>
          <w:t>http://www.medigraphic.com</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41" w:hanging="357"/>
        <w:jc w:val="both"/>
        <w:rPr>
          <w:sz w:val="24"/>
        </w:rPr>
      </w:pPr>
      <w:r>
        <w:rPr>
          <w:sz w:val="24"/>
        </w:rPr>
        <w:t>Historia de accesos venosos (2009) [monografía de internet] referido en  octubre 20 2010. Disponible en URL w</w:t>
      </w:r>
      <w:hyperlink r:id="rId46">
        <w:r>
          <w:rPr>
            <w:sz w:val="24"/>
          </w:rPr>
          <w:t>www.osakidetza.euskadi.net/</w:t>
        </w:r>
      </w:hyperlink>
      <w:r>
        <w:rPr>
          <w:sz w:val="24"/>
        </w:rPr>
        <w:t>…manual de terapia</w:t>
      </w:r>
      <w:r>
        <w:rPr>
          <w:spacing w:val="-11"/>
          <w:sz w:val="24"/>
        </w:rPr>
        <w:t> </w:t>
      </w:r>
      <w:r>
        <w:rPr>
          <w:sz w:val="24"/>
        </w:rPr>
        <w:t>intravenosa.</w:t>
      </w:r>
    </w:p>
    <w:p>
      <w:pPr>
        <w:pStyle w:val="BodyText"/>
        <w:spacing w:before="1"/>
        <w:rPr>
          <w:sz w:val="21"/>
        </w:rPr>
      </w:pPr>
    </w:p>
    <w:p>
      <w:pPr>
        <w:pStyle w:val="ListParagraph"/>
        <w:numPr>
          <w:ilvl w:val="0"/>
          <w:numId w:val="7"/>
        </w:numPr>
        <w:tabs>
          <w:tab w:pos="623" w:val="left" w:leader="none"/>
        </w:tabs>
        <w:spacing w:line="360" w:lineRule="auto" w:before="0" w:after="0"/>
        <w:ind w:left="622" w:right="234" w:hanging="357"/>
        <w:jc w:val="both"/>
        <w:rPr>
          <w:sz w:val="24"/>
        </w:rPr>
      </w:pPr>
      <w:r>
        <w:rPr>
          <w:sz w:val="24"/>
        </w:rPr>
        <w:t>Jiménez J. (2012). Recomendaciones para mejorar la atención en enfermería. Comisión nacional de arbitraje medico, dirección general de difusión e investigación. Dirección de investigación. México, D.F. disponible en: </w:t>
      </w:r>
      <w:hyperlink r:id="rId36">
        <w:r>
          <w:rPr>
            <w:sz w:val="24"/>
          </w:rPr>
          <w:t>http://www.conamed.gob.mx/recomendaciones.htm1</w:t>
        </w:r>
      </w:hyperlink>
    </w:p>
    <w:p>
      <w:pPr>
        <w:pStyle w:val="BodyText"/>
        <w:spacing w:before="1"/>
        <w:rPr>
          <w:sz w:val="21"/>
        </w:rPr>
      </w:pPr>
    </w:p>
    <w:p>
      <w:pPr>
        <w:pStyle w:val="ListParagraph"/>
        <w:numPr>
          <w:ilvl w:val="0"/>
          <w:numId w:val="7"/>
        </w:numPr>
        <w:tabs>
          <w:tab w:pos="623" w:val="left" w:leader="none"/>
        </w:tabs>
        <w:spacing w:line="360" w:lineRule="auto" w:before="0" w:after="0"/>
        <w:ind w:left="622" w:right="237" w:hanging="357"/>
        <w:jc w:val="both"/>
        <w:rPr>
          <w:sz w:val="24"/>
        </w:rPr>
      </w:pPr>
      <w:r>
        <w:rPr>
          <w:sz w:val="24"/>
        </w:rPr>
        <w:t>Luengas A. Seguridad del paciente: Concepto y análisis de eventos adversos. Centro de gestión hospitalaria, vía salud. Número 48.</w:t>
      </w:r>
      <w:r>
        <w:rPr>
          <w:spacing w:val="-16"/>
          <w:sz w:val="24"/>
        </w:rPr>
        <w:t> </w:t>
      </w:r>
      <w:r>
        <w:rPr>
          <w:sz w:val="24"/>
        </w:rPr>
        <w:t>2009.</w:t>
      </w:r>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968" from="97.823997pt,56.16pt" to="542.643997pt,56.16pt" stroked="true" strokeweight=".48pt" strokecolor="#000000">
            <w10:wrap type="none"/>
          </v:line>
        </w:pict>
      </w:r>
    </w:p>
    <w:p>
      <w:pPr>
        <w:pStyle w:val="BodyText"/>
        <w:rPr>
          <w:sz w:val="20"/>
        </w:rPr>
      </w:pPr>
    </w:p>
    <w:p>
      <w:pPr>
        <w:pStyle w:val="ListParagraph"/>
        <w:numPr>
          <w:ilvl w:val="0"/>
          <w:numId w:val="7"/>
        </w:numPr>
        <w:tabs>
          <w:tab w:pos="623" w:val="left" w:leader="none"/>
        </w:tabs>
        <w:spacing w:line="360" w:lineRule="auto" w:before="204" w:after="0"/>
        <w:ind w:left="622" w:right="245" w:hanging="357"/>
        <w:jc w:val="both"/>
        <w:rPr>
          <w:sz w:val="24"/>
        </w:rPr>
      </w:pPr>
      <w:r>
        <w:rPr>
          <w:sz w:val="24"/>
        </w:rPr>
        <w:t>Luengas S. Seguridad del paciente: conceptos y análisis de eventos adversos. Centro de Gestión Hospitalaria, vía salud | número 48 |</w:t>
      </w:r>
      <w:r>
        <w:rPr>
          <w:spacing w:val="-14"/>
          <w:sz w:val="24"/>
        </w:rPr>
        <w:t> </w:t>
      </w:r>
      <w:r>
        <w:rPr>
          <w:sz w:val="24"/>
        </w:rPr>
        <w:t>2012.</w:t>
      </w:r>
    </w:p>
    <w:p>
      <w:pPr>
        <w:pStyle w:val="BodyText"/>
        <w:spacing w:before="1"/>
        <w:rPr>
          <w:sz w:val="21"/>
        </w:rPr>
      </w:pPr>
    </w:p>
    <w:p>
      <w:pPr>
        <w:pStyle w:val="ListParagraph"/>
        <w:numPr>
          <w:ilvl w:val="0"/>
          <w:numId w:val="7"/>
        </w:numPr>
        <w:tabs>
          <w:tab w:pos="623" w:val="left" w:leader="none"/>
        </w:tabs>
        <w:spacing w:line="360" w:lineRule="auto" w:before="0" w:after="0"/>
        <w:ind w:left="622" w:right="237" w:hanging="357"/>
        <w:jc w:val="both"/>
        <w:rPr>
          <w:sz w:val="24"/>
        </w:rPr>
      </w:pPr>
      <w:r>
        <w:rPr>
          <w:sz w:val="24"/>
        </w:rPr>
        <w:t>Lynn-Machale, D. Cuidados intensivos; procedimiento de la American Association of critical-care nurses. 4ª edición. Buenos Aires. Editorial Médica Panamericana. 2003. 1083</w:t>
      </w:r>
      <w:r>
        <w:rPr>
          <w:spacing w:val="-17"/>
          <w:sz w:val="24"/>
        </w:rPr>
        <w:t> </w:t>
      </w:r>
      <w:r>
        <w:rPr>
          <w:sz w:val="24"/>
        </w:rPr>
        <w:t>Pp.</w:t>
      </w:r>
    </w:p>
    <w:p>
      <w:pPr>
        <w:pStyle w:val="BodyText"/>
        <w:spacing w:before="10"/>
        <w:rPr>
          <w:sz w:val="20"/>
        </w:rPr>
      </w:pPr>
    </w:p>
    <w:p>
      <w:pPr>
        <w:pStyle w:val="ListParagraph"/>
        <w:numPr>
          <w:ilvl w:val="0"/>
          <w:numId w:val="7"/>
        </w:numPr>
        <w:tabs>
          <w:tab w:pos="623" w:val="left" w:leader="none"/>
        </w:tabs>
        <w:spacing w:line="360" w:lineRule="auto" w:before="0" w:after="0"/>
        <w:ind w:left="622" w:right="233" w:hanging="357"/>
        <w:jc w:val="both"/>
        <w:rPr>
          <w:sz w:val="24"/>
        </w:rPr>
      </w:pPr>
      <w:r>
        <w:rPr>
          <w:sz w:val="24"/>
        </w:rPr>
        <w:t>Malagón L. Galán M. Pontón L. Garantía de calidad en salud. </w:t>
      </w:r>
      <w:r>
        <w:rPr>
          <w:spacing w:val="5"/>
          <w:sz w:val="24"/>
        </w:rPr>
        <w:t>2</w:t>
      </w:r>
      <w:r>
        <w:rPr>
          <w:spacing w:val="5"/>
          <w:position w:val="8"/>
          <w:sz w:val="16"/>
        </w:rPr>
        <w:t>a </w:t>
      </w:r>
      <w:r>
        <w:rPr>
          <w:sz w:val="24"/>
        </w:rPr>
        <w:t>edición. Bogotá. Editorial Médica Panamericana. 2006. 129</w:t>
      </w:r>
      <w:r>
        <w:rPr>
          <w:spacing w:val="-23"/>
          <w:sz w:val="24"/>
        </w:rPr>
        <w:t> </w:t>
      </w:r>
      <w:r>
        <w:rPr>
          <w:sz w:val="24"/>
        </w:rPr>
        <w:t>Pp.</w:t>
      </w:r>
    </w:p>
    <w:p>
      <w:pPr>
        <w:pStyle w:val="BodyText"/>
        <w:spacing w:before="1"/>
        <w:rPr>
          <w:sz w:val="21"/>
        </w:rPr>
      </w:pPr>
    </w:p>
    <w:p>
      <w:pPr>
        <w:pStyle w:val="ListParagraph"/>
        <w:numPr>
          <w:ilvl w:val="0"/>
          <w:numId w:val="7"/>
        </w:numPr>
        <w:tabs>
          <w:tab w:pos="623" w:val="left" w:leader="none"/>
        </w:tabs>
        <w:spacing w:line="360" w:lineRule="auto" w:before="0" w:after="0"/>
        <w:ind w:left="622" w:right="242" w:hanging="357"/>
        <w:jc w:val="both"/>
        <w:rPr>
          <w:sz w:val="24"/>
        </w:rPr>
      </w:pPr>
      <w:r>
        <w:rPr>
          <w:sz w:val="24"/>
        </w:rPr>
        <w:t>Manejo de catéteres periféricos (2013). Hospital general universitario Gregorio Marañón. Comunidad de Madrid. Versión 3. 1 Pp. [consultado 21 de marzo 2013] disponible en:</w:t>
      </w:r>
      <w:r>
        <w:rPr>
          <w:spacing w:val="-21"/>
          <w:sz w:val="24"/>
        </w:rPr>
        <w:t> </w:t>
      </w:r>
      <w:r>
        <w:rPr>
          <w:sz w:val="24"/>
        </w:rPr>
        <w:t>http://www.madrid.org/cs/satellite?biobcal=ur/data.</w:t>
      </w:r>
    </w:p>
    <w:p>
      <w:pPr>
        <w:pStyle w:val="BodyText"/>
        <w:spacing w:before="3"/>
        <w:rPr>
          <w:sz w:val="21"/>
        </w:rPr>
      </w:pPr>
    </w:p>
    <w:p>
      <w:pPr>
        <w:pStyle w:val="ListParagraph"/>
        <w:numPr>
          <w:ilvl w:val="0"/>
          <w:numId w:val="7"/>
        </w:numPr>
        <w:tabs>
          <w:tab w:pos="623" w:val="left" w:leader="none"/>
        </w:tabs>
        <w:spacing w:line="360" w:lineRule="auto" w:before="0" w:after="0"/>
        <w:ind w:left="622" w:right="236" w:hanging="357"/>
        <w:jc w:val="both"/>
        <w:rPr>
          <w:sz w:val="24"/>
        </w:rPr>
      </w:pPr>
      <w:r>
        <w:rPr>
          <w:sz w:val="24"/>
        </w:rPr>
        <w:t>Metodología de la Investigación, Roberto Hernández Sampieri, Carlos Fernández Collado, Pilar Baptista Lucio, 2ª edición, Editorial McGraw-Hill,  2000, México</w:t>
      </w:r>
      <w:r>
        <w:rPr>
          <w:spacing w:val="-7"/>
          <w:sz w:val="24"/>
        </w:rPr>
        <w:t> </w:t>
      </w:r>
      <w:r>
        <w:rPr>
          <w:sz w:val="24"/>
        </w:rPr>
        <w:t>D.F.</w:t>
      </w:r>
    </w:p>
    <w:p>
      <w:pPr>
        <w:pStyle w:val="BodyText"/>
        <w:spacing w:before="1"/>
        <w:rPr>
          <w:sz w:val="21"/>
        </w:rPr>
      </w:pPr>
    </w:p>
    <w:p>
      <w:pPr>
        <w:pStyle w:val="ListParagraph"/>
        <w:numPr>
          <w:ilvl w:val="0"/>
          <w:numId w:val="7"/>
        </w:numPr>
        <w:tabs>
          <w:tab w:pos="623" w:val="left" w:leader="none"/>
        </w:tabs>
        <w:spacing w:line="360" w:lineRule="auto" w:before="0" w:after="0"/>
        <w:ind w:left="622" w:right="237" w:hanging="357"/>
        <w:jc w:val="both"/>
        <w:rPr>
          <w:sz w:val="24"/>
        </w:rPr>
      </w:pPr>
      <w:r>
        <w:rPr>
          <w:sz w:val="24"/>
        </w:rPr>
        <w:t>Milena D. (2011). Manual programa de seguridad del paciente, clínica la están versión número 1 [consultado 3 de diciembre de 2012] disponible en: </w:t>
      </w:r>
      <w:hyperlink r:id="rId47">
        <w:r>
          <w:rPr>
            <w:sz w:val="24"/>
          </w:rPr>
          <w:t>http://www.facultadsalud.unicauca.edu.co/Convenios/Manual_Seguridad_Pacie</w:t>
        </w:r>
      </w:hyperlink>
      <w:r>
        <w:rPr>
          <w:sz w:val="24"/>
        </w:rPr>
        <w:t> </w:t>
      </w:r>
      <w:hyperlink r:id="rId47">
        <w:r>
          <w:rPr>
            <w:sz w:val="24"/>
          </w:rPr>
          <w:t>nte_LaEstancia.pdf</w:t>
        </w:r>
      </w:hyperlink>
    </w:p>
    <w:p>
      <w:pPr>
        <w:pStyle w:val="BodyText"/>
        <w:spacing w:before="1"/>
        <w:rPr>
          <w:sz w:val="21"/>
        </w:rPr>
      </w:pPr>
    </w:p>
    <w:p>
      <w:pPr>
        <w:pStyle w:val="ListParagraph"/>
        <w:numPr>
          <w:ilvl w:val="0"/>
          <w:numId w:val="7"/>
        </w:numPr>
        <w:tabs>
          <w:tab w:pos="623" w:val="left" w:leader="none"/>
        </w:tabs>
        <w:spacing w:line="360" w:lineRule="auto" w:before="0" w:after="0"/>
        <w:ind w:left="622" w:right="234" w:hanging="357"/>
        <w:jc w:val="both"/>
        <w:rPr>
          <w:sz w:val="24"/>
        </w:rPr>
      </w:pPr>
      <w:r>
        <w:rPr>
          <w:sz w:val="24"/>
        </w:rPr>
        <w:t>Norma Oficial Mexicana NOM-007 SSA2-1993, Para la atención de la mujer durante el embarazo, parto y puerperio y del recién nacido. Criterios y procedimientos para la prestación del servicio [consultada 10 de marzo 2014] Disponible en:</w:t>
      </w:r>
      <w:r>
        <w:rPr>
          <w:spacing w:val="-10"/>
          <w:sz w:val="24"/>
        </w:rPr>
        <w:t> </w:t>
      </w:r>
      <w:hyperlink r:id="rId48">
        <w:r>
          <w:rPr>
            <w:sz w:val="24"/>
          </w:rPr>
          <w:t>http://dof.gob.mx</w:t>
        </w:r>
      </w:hyperlink>
    </w:p>
    <w:p>
      <w:pPr>
        <w:pStyle w:val="BodyText"/>
        <w:spacing w:before="1"/>
        <w:rPr>
          <w:sz w:val="21"/>
        </w:rPr>
      </w:pPr>
    </w:p>
    <w:p>
      <w:pPr>
        <w:pStyle w:val="ListParagraph"/>
        <w:numPr>
          <w:ilvl w:val="0"/>
          <w:numId w:val="7"/>
        </w:numPr>
        <w:tabs>
          <w:tab w:pos="623" w:val="left" w:leader="none"/>
          <w:tab w:pos="8768" w:val="left" w:leader="none"/>
        </w:tabs>
        <w:spacing w:line="360" w:lineRule="auto" w:before="0" w:after="0"/>
        <w:ind w:left="622" w:right="230" w:hanging="357"/>
        <w:jc w:val="both"/>
        <w:rPr>
          <w:sz w:val="24"/>
        </w:rPr>
      </w:pPr>
      <w:r>
        <w:rPr>
          <w:sz w:val="24"/>
        </w:rPr>
        <w:t>Norma Oficial Mexicana NOM-022-SSA3-2012, Que instituye las condiciones para la administración de la terapia de infusión en los Estados Unidos Mexicanos .Diario Oficial de la Federación, Subsecretario de Integración y Desarrollo del Sector Salud. Fajardo D. [Consultada el 13 de marzo de 2014] Disponible</w:t>
        <w:tab/>
        <w:t>en:</w:t>
      </w:r>
    </w:p>
    <w:p>
      <w:pPr>
        <w:spacing w:after="0" w:line="360" w:lineRule="auto"/>
        <w:jc w:val="both"/>
        <w:rPr>
          <w:sz w:val="24"/>
        </w:rPr>
        <w:sectPr>
          <w:pgSz w:w="12240" w:h="15840"/>
          <w:pgMar w:header="739" w:footer="928" w:top="1300" w:bottom="1120" w:left="1720" w:right="1180"/>
        </w:sectPr>
      </w:pPr>
    </w:p>
    <w:p>
      <w:pPr>
        <w:pStyle w:val="BodyText"/>
        <w:rPr>
          <w:sz w:val="20"/>
        </w:rPr>
      </w:pPr>
      <w:r>
        <w:rPr/>
        <w:pict>
          <v:line style="position:absolute;mso-position-horizontal-relative:page;mso-position-vertical-relative:page;z-index:2992" from="97.823997pt,56.16pt" to="542.643997pt,56.16pt" stroked="true" strokeweight=".48pt" strokecolor="#000000">
            <w10:wrap type="none"/>
          </v:line>
        </w:pict>
      </w:r>
    </w:p>
    <w:p>
      <w:pPr>
        <w:pStyle w:val="BodyText"/>
        <w:rPr>
          <w:sz w:val="20"/>
        </w:rPr>
      </w:pPr>
    </w:p>
    <w:p>
      <w:pPr>
        <w:pStyle w:val="BodyText"/>
        <w:spacing w:line="360" w:lineRule="auto" w:before="204"/>
        <w:ind w:left="622" w:right="287"/>
        <w:jc w:val="both"/>
      </w:pPr>
      <w:hyperlink r:id="rId50">
        <w:r>
          <w:rPr>
            <w:spacing w:val="-1"/>
          </w:rPr>
          <w:t>http://salud.edomexico.gob.mx/html/transparencia/informacion/leyesreglamento</w:t>
        </w:r>
      </w:hyperlink>
      <w:r>
        <w:rPr>
          <w:spacing w:val="-1"/>
        </w:rPr>
        <w:t> </w:t>
      </w:r>
      <w:r>
        <w:rPr/>
        <w:t>s/reglamento/norma_007_SSA/nota_detalle.php?codigo=5268977&amp;fecha=18/0 9/2012</w:t>
      </w:r>
    </w:p>
    <w:p>
      <w:pPr>
        <w:pStyle w:val="BodyText"/>
        <w:spacing w:before="3"/>
        <w:rPr>
          <w:sz w:val="21"/>
        </w:rPr>
      </w:pPr>
    </w:p>
    <w:p>
      <w:pPr>
        <w:pStyle w:val="ListParagraph"/>
        <w:numPr>
          <w:ilvl w:val="0"/>
          <w:numId w:val="7"/>
        </w:numPr>
        <w:tabs>
          <w:tab w:pos="623" w:val="left" w:leader="none"/>
        </w:tabs>
        <w:spacing w:line="360" w:lineRule="auto" w:before="0" w:after="0"/>
        <w:ind w:left="622" w:right="238" w:hanging="357"/>
        <w:jc w:val="both"/>
        <w:rPr>
          <w:sz w:val="24"/>
        </w:rPr>
      </w:pPr>
      <w:r>
        <w:rPr>
          <w:sz w:val="24"/>
        </w:rPr>
        <w:t>Ochoa V. (2005) Recomendaciones específicas para enfermería en el proceso de terapia endovenosa. Revista mexicana de enfermería cardiológica. Vol.13 Nums. 1-2 53-60 Pp. [consultado junio 2014] disponible en: </w:t>
      </w:r>
      <w:hyperlink r:id="rId51">
        <w:r>
          <w:rPr>
            <w:sz w:val="24"/>
          </w:rPr>
          <w:t>http://www.medigraphic.com/pdfs/enfe/en-2005/en051_2k.pdf</w:t>
        </w:r>
      </w:hyperlink>
    </w:p>
    <w:p>
      <w:pPr>
        <w:pStyle w:val="BodyText"/>
        <w:spacing w:before="1"/>
        <w:rPr>
          <w:sz w:val="21"/>
        </w:rPr>
      </w:pPr>
    </w:p>
    <w:p>
      <w:pPr>
        <w:pStyle w:val="ListParagraph"/>
        <w:numPr>
          <w:ilvl w:val="0"/>
          <w:numId w:val="7"/>
        </w:numPr>
        <w:tabs>
          <w:tab w:pos="623" w:val="left" w:leader="none"/>
          <w:tab w:pos="1099" w:val="left" w:leader="none"/>
          <w:tab w:pos="1495" w:val="left" w:leader="none"/>
          <w:tab w:pos="2382" w:val="left" w:leader="none"/>
          <w:tab w:pos="3816" w:val="left" w:leader="none"/>
          <w:tab w:pos="4420" w:val="left" w:leader="none"/>
          <w:tab w:pos="4900" w:val="left" w:leader="none"/>
          <w:tab w:pos="5372" w:val="left" w:leader="none"/>
          <w:tab w:pos="6195" w:val="left" w:leader="none"/>
          <w:tab w:pos="6669" w:val="left" w:leader="none"/>
          <w:tab w:pos="7479" w:val="left" w:leader="none"/>
          <w:tab w:pos="8767" w:val="left" w:leader="none"/>
        </w:tabs>
        <w:spacing w:line="360" w:lineRule="auto" w:before="1" w:after="0"/>
        <w:ind w:left="622" w:right="237" w:hanging="357"/>
        <w:jc w:val="left"/>
        <w:rPr>
          <w:sz w:val="24"/>
        </w:rPr>
      </w:pPr>
      <w:r>
        <w:rPr>
          <w:sz w:val="24"/>
        </w:rPr>
        <w:t>Ordoñez E (2013) Ministerio de la Protección Social Republica de Colombia, libertad y orden, Paquetes Obstrucciónales Buenas Practicas para la Atención de</w:t>
        <w:tab/>
        <w:t>la</w:t>
        <w:tab/>
        <w:t>Salud,</w:t>
        <w:tab/>
        <w:t>[consultado</w:t>
        <w:tab/>
        <w:t>el</w:t>
        <w:tab/>
        <w:t>23</w:t>
        <w:tab/>
        <w:t>de</w:t>
        <w:tab/>
        <w:t>enero</w:t>
        <w:tab/>
        <w:t>de</w:t>
        <w:tab/>
        <w:t>2013]</w:t>
        <w:tab/>
        <w:t>disponible</w:t>
        <w:tab/>
        <w:t>en: </w:t>
      </w:r>
      <w:hyperlink r:id="rId52">
        <w:r>
          <w:rPr>
            <w:sz w:val="24"/>
          </w:rPr>
          <w:t>http://www.minsalud.gov.com/Publicaciones/Guia_promocion_seguridad_pacie</w:t>
        </w:r>
      </w:hyperlink>
      <w:r>
        <w:rPr>
          <w:sz w:val="24"/>
        </w:rPr>
        <w:t> </w:t>
      </w:r>
      <w:hyperlink r:id="rId52">
        <w:r>
          <w:rPr>
            <w:sz w:val="24"/>
          </w:rPr>
          <w:t>nte.pdf</w:t>
        </w:r>
      </w:hyperlink>
    </w:p>
    <w:p>
      <w:pPr>
        <w:pStyle w:val="BodyText"/>
        <w:spacing w:before="3"/>
        <w:rPr>
          <w:sz w:val="21"/>
        </w:rPr>
      </w:pPr>
    </w:p>
    <w:p>
      <w:pPr>
        <w:pStyle w:val="ListParagraph"/>
        <w:numPr>
          <w:ilvl w:val="0"/>
          <w:numId w:val="7"/>
        </w:numPr>
        <w:tabs>
          <w:tab w:pos="623" w:val="left" w:leader="none"/>
        </w:tabs>
        <w:spacing w:line="357" w:lineRule="auto" w:before="0" w:after="0"/>
        <w:ind w:left="622" w:right="236" w:hanging="357"/>
        <w:jc w:val="both"/>
        <w:rPr>
          <w:sz w:val="24"/>
        </w:rPr>
      </w:pPr>
      <w:r>
        <w:rPr>
          <w:sz w:val="24"/>
        </w:rPr>
        <w:t>Ortega V. Suarez V. Manual de evaluación de la calidad de los servicios de enfermería (Estrategias para su aplicación) 2</w:t>
      </w:r>
      <w:r>
        <w:rPr>
          <w:position w:val="8"/>
          <w:sz w:val="16"/>
        </w:rPr>
        <w:t>a </w:t>
      </w:r>
      <w:r>
        <w:rPr>
          <w:sz w:val="24"/>
        </w:rPr>
        <w:t>edición. México. Editorial Médica Panamericana. 2009. 249</w:t>
      </w:r>
      <w:r>
        <w:rPr>
          <w:spacing w:val="-14"/>
          <w:sz w:val="24"/>
        </w:rPr>
        <w:t> </w:t>
      </w:r>
      <w:r>
        <w:rPr>
          <w:sz w:val="24"/>
        </w:rPr>
        <w:t>Pp.</w:t>
      </w:r>
    </w:p>
    <w:p>
      <w:pPr>
        <w:pStyle w:val="BodyText"/>
        <w:spacing w:before="1"/>
        <w:rPr>
          <w:sz w:val="21"/>
        </w:rPr>
      </w:pPr>
    </w:p>
    <w:p>
      <w:pPr>
        <w:pStyle w:val="ListParagraph"/>
        <w:numPr>
          <w:ilvl w:val="0"/>
          <w:numId w:val="7"/>
        </w:numPr>
        <w:tabs>
          <w:tab w:pos="623" w:val="left" w:leader="none"/>
        </w:tabs>
        <w:spacing w:line="360" w:lineRule="auto" w:before="0" w:after="0"/>
        <w:ind w:left="622" w:right="238" w:hanging="357"/>
        <w:jc w:val="both"/>
        <w:rPr>
          <w:sz w:val="24"/>
        </w:rPr>
      </w:pPr>
      <w:r>
        <w:rPr>
          <w:sz w:val="24"/>
        </w:rPr>
        <w:t>Pabon L. </w:t>
      </w:r>
      <w:r>
        <w:rPr>
          <w:i/>
          <w:sz w:val="24"/>
        </w:rPr>
        <w:t>Evaluación de los Servicios de Salud, conceptos, indicadores, </w:t>
      </w:r>
      <w:r>
        <w:rPr>
          <w:i/>
          <w:sz w:val="24"/>
        </w:rPr>
        <w:t>ejemplo de análisis cuantitativo</w:t>
      </w:r>
      <w:r>
        <w:rPr>
          <w:sz w:val="24"/>
        </w:rPr>
        <w:t>. Universidad de Valle. Facultad de salud, departamento de medicina social</w:t>
      </w:r>
      <w:r>
        <w:rPr>
          <w:spacing w:val="-11"/>
          <w:sz w:val="24"/>
        </w:rPr>
        <w:t> </w:t>
      </w:r>
      <w:r>
        <w:rPr>
          <w:sz w:val="24"/>
        </w:rPr>
        <w:t>Cali.</w:t>
      </w:r>
    </w:p>
    <w:p>
      <w:pPr>
        <w:pStyle w:val="BodyText"/>
        <w:spacing w:before="3"/>
        <w:rPr>
          <w:sz w:val="21"/>
        </w:rPr>
      </w:pPr>
    </w:p>
    <w:p>
      <w:pPr>
        <w:pStyle w:val="ListParagraph"/>
        <w:numPr>
          <w:ilvl w:val="0"/>
          <w:numId w:val="7"/>
        </w:numPr>
        <w:tabs>
          <w:tab w:pos="623" w:val="left" w:leader="none"/>
        </w:tabs>
        <w:spacing w:line="360" w:lineRule="auto" w:before="0" w:after="0"/>
        <w:ind w:left="622" w:right="241" w:hanging="357"/>
        <w:jc w:val="both"/>
        <w:rPr>
          <w:sz w:val="24"/>
        </w:rPr>
      </w:pPr>
      <w:r>
        <w:rPr>
          <w:sz w:val="24"/>
        </w:rPr>
        <w:t>Plan Nacional de Salud (2001 Programa de Acción: Cruzada Nacional por la Calidad de los Servicios de Salud [consultada 22 de octubre de 2012] disponible en:</w:t>
      </w:r>
      <w:r>
        <w:rPr>
          <w:spacing w:val="-13"/>
          <w:sz w:val="24"/>
        </w:rPr>
        <w:t> </w:t>
      </w:r>
      <w:hyperlink r:id="rId53">
        <w:r>
          <w:rPr>
            <w:sz w:val="24"/>
          </w:rPr>
          <w:t>http://www.salu.gob.mx</w:t>
        </w:r>
      </w:hyperlink>
    </w:p>
    <w:p>
      <w:pPr>
        <w:pStyle w:val="BodyText"/>
        <w:spacing w:before="1"/>
        <w:rPr>
          <w:sz w:val="21"/>
        </w:rPr>
      </w:pPr>
    </w:p>
    <w:p>
      <w:pPr>
        <w:pStyle w:val="ListParagraph"/>
        <w:numPr>
          <w:ilvl w:val="0"/>
          <w:numId w:val="7"/>
        </w:numPr>
        <w:tabs>
          <w:tab w:pos="623" w:val="left" w:leader="none"/>
        </w:tabs>
        <w:spacing w:line="360" w:lineRule="auto" w:before="1" w:after="0"/>
        <w:ind w:left="622" w:right="234" w:hanging="357"/>
        <w:jc w:val="both"/>
        <w:rPr>
          <w:sz w:val="24"/>
        </w:rPr>
      </w:pPr>
      <w:r>
        <w:rPr>
          <w:sz w:val="24"/>
        </w:rPr>
        <w:t>Plan Nacional de Salud 2001-2006, Programa de Acción: Cruzada Nacional por la Calidad de los Servicios de Salud [consultada 22 de octubre de 2012] disponible en:</w:t>
      </w:r>
      <w:r>
        <w:rPr>
          <w:spacing w:val="-11"/>
          <w:sz w:val="24"/>
        </w:rPr>
        <w:t> </w:t>
      </w:r>
      <w:hyperlink r:id="rId17">
        <w:r>
          <w:rPr>
            <w:sz w:val="24"/>
          </w:rPr>
          <w:t>http://www.salud.gob.mx</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42" w:hanging="357"/>
        <w:jc w:val="both"/>
        <w:rPr>
          <w:sz w:val="24"/>
        </w:rPr>
      </w:pPr>
      <w:r>
        <w:rPr>
          <w:sz w:val="24"/>
        </w:rPr>
        <w:t>Potter P. Guía clínica de enfermería; técnica y procedimientos básicos. 4ª edición. España, Editorial Harcourt Brace Mosby. 2003. 567</w:t>
      </w:r>
      <w:r>
        <w:rPr>
          <w:spacing w:val="-26"/>
          <w:sz w:val="24"/>
        </w:rPr>
        <w:t> </w:t>
      </w:r>
      <w:r>
        <w:rPr>
          <w:sz w:val="24"/>
        </w:rPr>
        <w:t>Pp.</w:t>
      </w:r>
    </w:p>
    <w:p>
      <w:pPr>
        <w:spacing w:after="0" w:line="360" w:lineRule="auto"/>
        <w:jc w:val="both"/>
        <w:rPr>
          <w:sz w:val="24"/>
        </w:rPr>
        <w:sectPr>
          <w:footerReference w:type="default" r:id="rId49"/>
          <w:pgSz w:w="12240" w:h="15840"/>
          <w:pgMar w:footer="928" w:header="739" w:top="1300" w:bottom="1120" w:left="1720" w:right="1180"/>
        </w:sectPr>
      </w:pPr>
    </w:p>
    <w:p>
      <w:pPr>
        <w:pStyle w:val="BodyText"/>
        <w:rPr>
          <w:sz w:val="20"/>
        </w:rPr>
      </w:pPr>
      <w:r>
        <w:rPr/>
        <w:pict>
          <v:line style="position:absolute;mso-position-horizontal-relative:page;mso-position-vertical-relative:page;z-index:3016" from="97.823997pt,56.16pt" to="542.643997pt,56.16pt" stroked="true" strokeweight=".48pt" strokecolor="#000000">
            <w10:wrap type="none"/>
          </v:line>
        </w:pict>
      </w:r>
    </w:p>
    <w:p>
      <w:pPr>
        <w:pStyle w:val="BodyText"/>
        <w:rPr>
          <w:sz w:val="20"/>
        </w:rPr>
      </w:pPr>
    </w:p>
    <w:p>
      <w:pPr>
        <w:pStyle w:val="ListParagraph"/>
        <w:numPr>
          <w:ilvl w:val="0"/>
          <w:numId w:val="7"/>
        </w:numPr>
        <w:tabs>
          <w:tab w:pos="623" w:val="left" w:leader="none"/>
        </w:tabs>
        <w:spacing w:line="360" w:lineRule="auto" w:before="204" w:after="0"/>
        <w:ind w:left="622" w:right="243" w:hanging="357"/>
        <w:jc w:val="both"/>
        <w:rPr>
          <w:sz w:val="24"/>
        </w:rPr>
      </w:pPr>
      <w:r>
        <w:rPr>
          <w:sz w:val="24"/>
        </w:rPr>
        <w:t>Programa Nacional de Salud, Cruzada Nacional por la Calidad de los Servicios de Salud, A Donde Queremos Llegar, 2001-2006, pp.</w:t>
      </w:r>
      <w:r>
        <w:rPr>
          <w:spacing w:val="-18"/>
          <w:sz w:val="24"/>
        </w:rPr>
        <w:t> </w:t>
      </w:r>
      <w:r>
        <w:rPr>
          <w:sz w:val="24"/>
        </w:rPr>
        <w:t>204.</w:t>
      </w:r>
    </w:p>
    <w:p>
      <w:pPr>
        <w:pStyle w:val="BodyText"/>
        <w:spacing w:before="1"/>
        <w:rPr>
          <w:sz w:val="21"/>
        </w:rPr>
      </w:pPr>
    </w:p>
    <w:p>
      <w:pPr>
        <w:pStyle w:val="ListParagraph"/>
        <w:numPr>
          <w:ilvl w:val="0"/>
          <w:numId w:val="7"/>
        </w:numPr>
        <w:tabs>
          <w:tab w:pos="623" w:val="left" w:leader="none"/>
        </w:tabs>
        <w:spacing w:line="360" w:lineRule="auto" w:before="0" w:after="0"/>
        <w:ind w:left="622" w:right="232" w:hanging="357"/>
        <w:jc w:val="both"/>
        <w:rPr>
          <w:sz w:val="24"/>
        </w:rPr>
      </w:pPr>
      <w:r>
        <w:rPr>
          <w:sz w:val="24"/>
        </w:rPr>
        <w:t>Recomendaciones para mejorar la atención en enfermería, Monografía, CONAMED, L.E.O Rebeca Victoria Ochoa, Comisión Nacional de Enfermería 2003,</w:t>
      </w:r>
      <w:r>
        <w:rPr>
          <w:spacing w:val="-18"/>
          <w:sz w:val="24"/>
        </w:rPr>
        <w:t> </w:t>
      </w:r>
      <w:hyperlink r:id="rId55">
        <w:r>
          <w:rPr>
            <w:sz w:val="24"/>
          </w:rPr>
          <w:t>www.conamed.gob.mx/recomendaciones.html</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32" w:hanging="357"/>
        <w:jc w:val="both"/>
        <w:rPr>
          <w:sz w:val="24"/>
        </w:rPr>
      </w:pPr>
      <w:r>
        <w:rPr>
          <w:sz w:val="24"/>
        </w:rPr>
        <w:t>Revista de la Asociación Mexicana de Medicina crítica y terapia intensiva. Vol. XXVl. Número 1/ Enero-marzo</w:t>
      </w:r>
      <w:r>
        <w:rPr>
          <w:spacing w:val="-11"/>
          <w:sz w:val="24"/>
        </w:rPr>
        <w:t> </w:t>
      </w:r>
      <w:r>
        <w:rPr>
          <w:sz w:val="24"/>
        </w:rPr>
        <w:t>2012.</w:t>
      </w:r>
    </w:p>
    <w:p>
      <w:pPr>
        <w:pStyle w:val="BodyText"/>
        <w:spacing w:before="1"/>
        <w:rPr>
          <w:sz w:val="21"/>
        </w:rPr>
      </w:pPr>
    </w:p>
    <w:p>
      <w:pPr>
        <w:pStyle w:val="ListParagraph"/>
        <w:numPr>
          <w:ilvl w:val="0"/>
          <w:numId w:val="7"/>
        </w:numPr>
        <w:tabs>
          <w:tab w:pos="623" w:val="left" w:leader="none"/>
          <w:tab w:pos="2323" w:val="left" w:leader="none"/>
          <w:tab w:pos="4299" w:val="left" w:leader="none"/>
          <w:tab w:pos="5515" w:val="left" w:leader="none"/>
          <w:tab w:pos="6882" w:val="left" w:leader="none"/>
          <w:tab w:pos="8765" w:val="left" w:leader="none"/>
        </w:tabs>
        <w:spacing w:line="360" w:lineRule="auto" w:before="0" w:after="0"/>
        <w:ind w:left="622" w:right="239" w:hanging="357"/>
        <w:jc w:val="both"/>
        <w:rPr>
          <w:sz w:val="24"/>
        </w:rPr>
      </w:pPr>
      <w:r>
        <w:rPr>
          <w:sz w:val="24"/>
        </w:rPr>
        <w:t>Secretaría de Salud. México (2007). Ley General de Salud. [Monografía en internet].</w:t>
        <w:tab/>
        <w:t>Consultado</w:t>
        <w:tab/>
        <w:t>abril</w:t>
        <w:tab/>
        <w:t>2014.</w:t>
        <w:tab/>
        <w:t>Disponible</w:t>
        <w:tab/>
        <w:t>en: </w:t>
      </w:r>
      <w:hyperlink r:id="rId56">
        <w:r>
          <w:rPr>
            <w:sz w:val="24"/>
          </w:rPr>
          <w:t>www.salud.gob.mx/unidades/cdi</w:t>
        </w:r>
      </w:hyperlink>
      <w:r>
        <w:rPr>
          <w:sz w:val="24"/>
        </w:rPr>
        <w:t>.</w:t>
      </w:r>
    </w:p>
    <w:p>
      <w:pPr>
        <w:pStyle w:val="BodyText"/>
        <w:spacing w:before="3"/>
        <w:rPr>
          <w:sz w:val="21"/>
        </w:rPr>
      </w:pPr>
    </w:p>
    <w:p>
      <w:pPr>
        <w:pStyle w:val="ListParagraph"/>
        <w:numPr>
          <w:ilvl w:val="0"/>
          <w:numId w:val="7"/>
        </w:numPr>
        <w:tabs>
          <w:tab w:pos="623" w:val="left" w:leader="none"/>
        </w:tabs>
        <w:spacing w:line="360" w:lineRule="auto" w:before="0" w:after="0"/>
        <w:ind w:left="622" w:right="232" w:hanging="357"/>
        <w:jc w:val="both"/>
        <w:rPr>
          <w:sz w:val="24"/>
        </w:rPr>
      </w:pPr>
      <w:r>
        <w:rPr>
          <w:sz w:val="24"/>
        </w:rPr>
        <w:t>Seguridad del paciente: conceptos y análisis de eventos adversos, Sergio Luengas Amaya, MD. Asesor </w:t>
      </w:r>
      <w:r>
        <w:rPr>
          <w:i/>
          <w:sz w:val="24"/>
        </w:rPr>
        <w:t>senior</w:t>
      </w:r>
      <w:r>
        <w:rPr>
          <w:sz w:val="24"/>
        </w:rPr>
        <w:t>, Centro de Gestión Hospitalaria, vía salud | número 48 | Julio de 2009 [consultado 10 de febrero de 2013] disponible en: </w:t>
      </w:r>
      <w:hyperlink r:id="rId19">
        <w:r>
          <w:rPr>
            <w:sz w:val="24"/>
          </w:rPr>
          <w:t>http://www.cgh.org.co/imagenes/calidad1.pdf</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43" w:hanging="357"/>
        <w:jc w:val="both"/>
        <w:rPr>
          <w:sz w:val="24"/>
        </w:rPr>
      </w:pPr>
      <w:r>
        <w:rPr>
          <w:sz w:val="24"/>
        </w:rPr>
        <w:t>Terapia intravenosa (2004). [Monografía en internet]. Consultado abril 2014. Disponible en URL</w:t>
      </w:r>
      <w:r>
        <w:rPr>
          <w:spacing w:val="-19"/>
          <w:sz w:val="24"/>
        </w:rPr>
        <w:t> </w:t>
      </w:r>
      <w:hyperlink r:id="rId57">
        <w:r>
          <w:rPr>
            <w:sz w:val="24"/>
          </w:rPr>
          <w:t>www.Es.Wikipedia.org/wiki/terapia_intravenosa</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39" w:hanging="357"/>
        <w:jc w:val="both"/>
        <w:rPr>
          <w:sz w:val="24"/>
        </w:rPr>
      </w:pPr>
      <w:r>
        <w:rPr>
          <w:sz w:val="24"/>
        </w:rPr>
        <w:t>Villareal C. (2007.) Seguridad de los pacientes. Un compromiso de todos para un cuidado de calidad. Colombia [consultado enero 2012] disponible en </w:t>
      </w:r>
      <w:hyperlink r:id="rId13">
        <w:r>
          <w:rPr>
            <w:sz w:val="24"/>
          </w:rPr>
          <w:t>http://rcientificas.uninorte.edu.co/index.php/salud/article/view/4057/2492</w:t>
        </w:r>
      </w:hyperlink>
    </w:p>
    <w:p>
      <w:pPr>
        <w:pStyle w:val="BodyText"/>
        <w:spacing w:before="1"/>
        <w:rPr>
          <w:sz w:val="21"/>
        </w:rPr>
      </w:pPr>
    </w:p>
    <w:p>
      <w:pPr>
        <w:pStyle w:val="ListParagraph"/>
        <w:numPr>
          <w:ilvl w:val="0"/>
          <w:numId w:val="7"/>
        </w:numPr>
        <w:tabs>
          <w:tab w:pos="623" w:val="left" w:leader="none"/>
        </w:tabs>
        <w:spacing w:line="360" w:lineRule="auto" w:before="0" w:after="0"/>
        <w:ind w:left="622" w:right="240" w:hanging="357"/>
        <w:jc w:val="both"/>
        <w:rPr>
          <w:sz w:val="24"/>
        </w:rPr>
      </w:pPr>
      <w:r>
        <w:rPr>
          <w:sz w:val="24"/>
        </w:rPr>
        <w:t>Youngberg B. Reporte de eventos: el valor de un enfoque no punitivo. Clinical Obstetrics and Gynecology 2008; Estados Unidos [consultado 13 de mayo de 2014] disponible</w:t>
      </w:r>
      <w:r>
        <w:rPr>
          <w:spacing w:val="-32"/>
          <w:sz w:val="24"/>
        </w:rPr>
        <w:t> </w:t>
      </w:r>
      <w:r>
        <w:rPr>
          <w:sz w:val="24"/>
        </w:rPr>
        <w:t>en</w:t>
      </w:r>
      <w:hyperlink r:id="rId35">
        <w:r>
          <w:rPr>
            <w:sz w:val="24"/>
          </w:rPr>
          <w:t>:h</w:t>
        </w:r>
      </w:hyperlink>
      <w:r>
        <w:rPr>
          <w:sz w:val="24"/>
        </w:rPr>
        <w:t>t</w:t>
      </w:r>
      <w:hyperlink r:id="rId35">
        <w:r>
          <w:rPr>
            <w:sz w:val="24"/>
          </w:rPr>
          <w:t>tp://www.errorenmedicina.anm.edu.ar/ficha.asp?Id1=314</w:t>
        </w:r>
      </w:hyperlink>
    </w:p>
    <w:p>
      <w:pPr>
        <w:pStyle w:val="BodyText"/>
        <w:spacing w:before="3"/>
        <w:rPr>
          <w:sz w:val="21"/>
        </w:rPr>
      </w:pPr>
    </w:p>
    <w:p>
      <w:pPr>
        <w:pStyle w:val="ListParagraph"/>
        <w:numPr>
          <w:ilvl w:val="0"/>
          <w:numId w:val="7"/>
        </w:numPr>
        <w:tabs>
          <w:tab w:pos="623" w:val="left" w:leader="none"/>
        </w:tabs>
        <w:spacing w:line="360" w:lineRule="auto" w:before="0" w:after="0"/>
        <w:ind w:left="622" w:right="240" w:hanging="357"/>
        <w:jc w:val="both"/>
        <w:rPr>
          <w:sz w:val="24"/>
        </w:rPr>
      </w:pPr>
      <w:r>
        <w:rPr>
          <w:sz w:val="24"/>
        </w:rPr>
        <w:t>Zárate R. (2007) La gestión del cuidado de enfermería Índex de enfermería v. 13 n. 44-45 versión impresa ISSN II [monografía de internet] Referido julio 20 2010 URL Disponible en</w:t>
      </w:r>
      <w:r>
        <w:rPr>
          <w:spacing w:val="-13"/>
          <w:sz w:val="24"/>
        </w:rPr>
        <w:t> </w:t>
      </w:r>
      <w:hyperlink r:id="rId58">
        <w:r>
          <w:rPr>
            <w:sz w:val="24"/>
          </w:rPr>
          <w:t>www.scielo.isciii.es/scielo.php</w:t>
        </w:r>
      </w:hyperlink>
    </w:p>
    <w:p>
      <w:pPr>
        <w:spacing w:after="0" w:line="360" w:lineRule="auto"/>
        <w:jc w:val="both"/>
        <w:rPr>
          <w:sz w:val="24"/>
        </w:rPr>
        <w:sectPr>
          <w:footerReference w:type="default" r:id="rId54"/>
          <w:pgSz w:w="12240" w:h="15840"/>
          <w:pgMar w:footer="928" w:header="739" w:top="1300" w:bottom="1120" w:left="1720" w:right="1180"/>
          <w:pgNumType w:start="61"/>
        </w:sectPr>
      </w:pPr>
    </w:p>
    <w:p>
      <w:pPr>
        <w:pStyle w:val="BodyText"/>
        <w:rPr>
          <w:sz w:val="20"/>
        </w:rPr>
      </w:pPr>
      <w:r>
        <w:rPr/>
        <w:pict>
          <v:line style="position:absolute;mso-position-horizontal-relative:page;mso-position-vertical-relative:page;z-index:3040" from="97.823997pt,56.16pt" to="542.643997pt,56.16pt" stroked="true" strokeweight=".48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jc w:val="center"/>
      </w:pPr>
      <w:bookmarkStart w:name="_TOC_250000" w:id="19"/>
      <w:bookmarkEnd w:id="19"/>
      <w:r>
        <w:rPr/>
        <w:t>ANEXOS</w:t>
      </w:r>
    </w:p>
    <w:p>
      <w:pPr>
        <w:spacing w:after="0"/>
        <w:jc w:val="center"/>
        <w:sectPr>
          <w:pgSz w:w="12240" w:h="15840"/>
          <w:pgMar w:header="739" w:footer="928" w:top="1300" w:bottom="1120" w:left="1720" w:right="1180"/>
        </w:sectPr>
      </w:pPr>
    </w:p>
    <w:p>
      <w:pPr>
        <w:pStyle w:val="BodyText"/>
        <w:rPr>
          <w:b/>
          <w:sz w:val="20"/>
        </w:rPr>
      </w:pPr>
      <w:r>
        <w:rPr/>
        <w:pict>
          <v:line style="position:absolute;mso-position-horizontal-relative:page;mso-position-vertical-relative:page;z-index:3064" from="97.823997pt,56.16pt" to="542.643997pt,56.16pt" stroked="true" strokeweight=".48pt" strokecolor="#000000">
            <w10:wrap type="none"/>
          </v:line>
        </w:pict>
      </w:r>
    </w:p>
    <w:p>
      <w:pPr>
        <w:pStyle w:val="BodyText"/>
        <w:rPr>
          <w:b/>
          <w:sz w:val="20"/>
        </w:rPr>
      </w:pPr>
    </w:p>
    <w:p>
      <w:pPr>
        <w:pStyle w:val="Heading6"/>
        <w:spacing w:before="204"/>
        <w:ind w:left="3255"/>
        <w:jc w:val="left"/>
      </w:pPr>
      <w:r>
        <w:rPr/>
        <w:t>CRONOGRAMA DE ACTIVIDADES</w:t>
      </w:r>
    </w:p>
    <w:p>
      <w:pPr>
        <w:pStyle w:val="BodyText"/>
        <w:rPr>
          <w:b/>
          <w:sz w:val="20"/>
        </w:rPr>
      </w:pPr>
    </w:p>
    <w:p>
      <w:pPr>
        <w:pStyle w:val="BodyText"/>
        <w:rPr>
          <w:b/>
          <w:sz w:val="20"/>
        </w:rPr>
      </w:pPr>
    </w:p>
    <w:p>
      <w:pPr>
        <w:pStyle w:val="BodyText"/>
        <w:rPr>
          <w:b/>
          <w:sz w:val="20"/>
        </w:rPr>
      </w:pPr>
    </w:p>
    <w:p>
      <w:pPr>
        <w:pStyle w:val="BodyText"/>
        <w:spacing w:before="3"/>
        <w:rPr>
          <w:b/>
        </w:rPr>
      </w:pPr>
    </w:p>
    <w:tbl>
      <w:tblPr>
        <w:tblW w:w="0" w:type="auto"/>
        <w:jc w:val="left"/>
        <w:tblInd w:w="10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46"/>
        <w:gridCol w:w="2835"/>
        <w:gridCol w:w="1651"/>
        <w:gridCol w:w="1172"/>
        <w:gridCol w:w="1289"/>
        <w:gridCol w:w="1371"/>
      </w:tblGrid>
      <w:tr>
        <w:trPr>
          <w:trHeight w:val="739" w:hRule="exact"/>
        </w:trPr>
        <w:tc>
          <w:tcPr>
            <w:tcW w:w="1846" w:type="dxa"/>
            <w:shd w:val="clear" w:color="auto" w:fill="B1A0C6"/>
          </w:tcPr>
          <w:p>
            <w:pPr>
              <w:pStyle w:val="TableParagraph"/>
              <w:spacing w:before="4"/>
              <w:ind w:left="0"/>
              <w:rPr>
                <w:rFonts w:ascii="Arial"/>
                <w:b/>
                <w:sz w:val="20"/>
              </w:rPr>
            </w:pPr>
          </w:p>
          <w:p>
            <w:pPr>
              <w:pStyle w:val="TableParagraph"/>
              <w:spacing w:before="1"/>
              <w:ind w:left="357" w:right="310"/>
              <w:rPr>
                <w:rFonts w:ascii="Arial"/>
                <w:b/>
                <w:sz w:val="20"/>
              </w:rPr>
            </w:pPr>
            <w:r>
              <w:rPr>
                <w:rFonts w:ascii="Arial"/>
                <w:b/>
                <w:sz w:val="20"/>
              </w:rPr>
              <w:t>SEMESTRE</w:t>
            </w:r>
          </w:p>
        </w:tc>
        <w:tc>
          <w:tcPr>
            <w:tcW w:w="2835" w:type="dxa"/>
            <w:shd w:val="clear" w:color="auto" w:fill="B1A0C6"/>
          </w:tcPr>
          <w:p>
            <w:pPr>
              <w:pStyle w:val="TableParagraph"/>
              <w:spacing w:before="4"/>
              <w:ind w:left="0"/>
              <w:rPr>
                <w:rFonts w:ascii="Arial"/>
                <w:b/>
                <w:sz w:val="20"/>
              </w:rPr>
            </w:pPr>
          </w:p>
          <w:p>
            <w:pPr>
              <w:pStyle w:val="TableParagraph"/>
              <w:spacing w:before="1"/>
              <w:ind w:left="339" w:right="340"/>
              <w:jc w:val="center"/>
              <w:rPr>
                <w:rFonts w:ascii="Arial"/>
                <w:b/>
                <w:sz w:val="20"/>
              </w:rPr>
            </w:pPr>
            <w:r>
              <w:rPr>
                <w:rFonts w:ascii="Arial"/>
                <w:b/>
                <w:sz w:val="20"/>
              </w:rPr>
              <w:t>TRABAJO FINAL</w:t>
            </w:r>
          </w:p>
        </w:tc>
        <w:tc>
          <w:tcPr>
            <w:tcW w:w="5483" w:type="dxa"/>
            <w:gridSpan w:val="4"/>
            <w:shd w:val="clear" w:color="auto" w:fill="B1A0C6"/>
          </w:tcPr>
          <w:p>
            <w:pPr>
              <w:pStyle w:val="TableParagraph"/>
              <w:spacing w:before="4"/>
              <w:ind w:left="0"/>
              <w:rPr>
                <w:rFonts w:ascii="Arial"/>
                <w:b/>
                <w:sz w:val="20"/>
              </w:rPr>
            </w:pPr>
          </w:p>
          <w:p>
            <w:pPr>
              <w:pStyle w:val="TableParagraph"/>
              <w:spacing w:before="1"/>
              <w:ind w:left="1324"/>
              <w:rPr>
                <w:rFonts w:ascii="Arial" w:hAnsi="Arial"/>
                <w:b/>
                <w:sz w:val="20"/>
              </w:rPr>
            </w:pPr>
            <w:r>
              <w:rPr>
                <w:rFonts w:ascii="Arial" w:hAnsi="Arial"/>
                <w:b/>
                <w:sz w:val="20"/>
              </w:rPr>
              <w:t>PERIODO DE ELABORACIÓN</w:t>
            </w:r>
          </w:p>
        </w:tc>
      </w:tr>
      <w:tr>
        <w:trPr>
          <w:trHeight w:val="1201" w:hRule="exact"/>
        </w:trPr>
        <w:tc>
          <w:tcPr>
            <w:tcW w:w="1846" w:type="dxa"/>
          </w:tcPr>
          <w:p>
            <w:pPr>
              <w:pStyle w:val="TableParagraph"/>
              <w:ind w:left="0"/>
              <w:rPr>
                <w:rFonts w:ascii="Arial"/>
                <w:b/>
                <w:sz w:val="20"/>
              </w:rPr>
            </w:pPr>
          </w:p>
          <w:p>
            <w:pPr>
              <w:pStyle w:val="TableParagraph"/>
              <w:spacing w:before="122"/>
              <w:ind w:left="386" w:right="310" w:firstLine="163"/>
              <w:rPr>
                <w:rFonts w:ascii="Arial"/>
                <w:sz w:val="20"/>
              </w:rPr>
            </w:pPr>
            <w:r>
              <w:rPr>
                <w:rFonts w:ascii="Arial"/>
                <w:sz w:val="20"/>
              </w:rPr>
              <w:t>PRIMER SEMESTRE</w:t>
            </w:r>
          </w:p>
        </w:tc>
        <w:tc>
          <w:tcPr>
            <w:tcW w:w="2835" w:type="dxa"/>
          </w:tcPr>
          <w:p>
            <w:pPr>
              <w:pStyle w:val="TableParagraph"/>
              <w:ind w:left="0"/>
              <w:rPr>
                <w:rFonts w:ascii="Arial"/>
                <w:b/>
                <w:sz w:val="20"/>
              </w:rPr>
            </w:pPr>
          </w:p>
          <w:p>
            <w:pPr>
              <w:pStyle w:val="TableParagraph"/>
              <w:spacing w:before="122"/>
              <w:ind w:left="787" w:right="471" w:hanging="250"/>
              <w:rPr>
                <w:rFonts w:ascii="Arial" w:hAnsi="Arial"/>
                <w:sz w:val="20"/>
              </w:rPr>
            </w:pPr>
            <w:r>
              <w:rPr>
                <w:rFonts w:ascii="Arial" w:hAnsi="Arial"/>
                <w:sz w:val="20"/>
              </w:rPr>
              <w:t>ELABORACIÓN DE PROTOCOLO</w:t>
            </w:r>
          </w:p>
        </w:tc>
        <w:tc>
          <w:tcPr>
            <w:tcW w:w="1651" w:type="dxa"/>
            <w:shd w:val="clear" w:color="auto" w:fill="FFFF00"/>
          </w:tcPr>
          <w:p>
            <w:pPr>
              <w:pStyle w:val="TableParagraph"/>
              <w:spacing w:line="364" w:lineRule="auto" w:before="115"/>
              <w:ind w:left="238" w:right="193"/>
              <w:jc w:val="center"/>
              <w:rPr>
                <w:rFonts w:ascii="Arial"/>
                <w:b/>
                <w:sz w:val="20"/>
              </w:rPr>
            </w:pPr>
            <w:r>
              <w:rPr>
                <w:rFonts w:ascii="Arial"/>
                <w:b/>
                <w:sz w:val="20"/>
              </w:rPr>
              <w:t>AGOSTO </w:t>
            </w:r>
            <w:r>
              <w:rPr>
                <w:rFonts w:ascii="Arial"/>
                <w:b/>
                <w:w w:val="95"/>
                <w:sz w:val="20"/>
              </w:rPr>
              <w:t>NOVIEMBRE </w:t>
            </w:r>
            <w:r>
              <w:rPr>
                <w:rFonts w:ascii="Arial"/>
                <w:b/>
                <w:sz w:val="20"/>
              </w:rPr>
              <w:t>2012</w:t>
            </w:r>
          </w:p>
        </w:tc>
        <w:tc>
          <w:tcPr>
            <w:tcW w:w="1172" w:type="dxa"/>
            <w:tcBorders>
              <w:bottom w:val="single" w:sz="4" w:space="0" w:color="000000"/>
            </w:tcBorders>
          </w:tcPr>
          <w:p>
            <w:pPr/>
          </w:p>
        </w:tc>
        <w:tc>
          <w:tcPr>
            <w:tcW w:w="1289" w:type="dxa"/>
          </w:tcPr>
          <w:p>
            <w:pPr/>
          </w:p>
        </w:tc>
        <w:tc>
          <w:tcPr>
            <w:tcW w:w="1371" w:type="dxa"/>
          </w:tcPr>
          <w:p>
            <w:pPr/>
          </w:p>
        </w:tc>
      </w:tr>
      <w:tr>
        <w:trPr>
          <w:trHeight w:val="1068" w:hRule="exact"/>
        </w:trPr>
        <w:tc>
          <w:tcPr>
            <w:tcW w:w="1846" w:type="dxa"/>
          </w:tcPr>
          <w:p>
            <w:pPr>
              <w:pStyle w:val="TableParagraph"/>
              <w:ind w:left="0"/>
              <w:rPr>
                <w:rFonts w:ascii="Arial"/>
                <w:b/>
                <w:sz w:val="25"/>
              </w:rPr>
            </w:pPr>
          </w:p>
          <w:p>
            <w:pPr>
              <w:pStyle w:val="TableParagraph"/>
              <w:ind w:left="381" w:right="315" w:firstLine="43"/>
              <w:rPr>
                <w:rFonts w:ascii="Arial"/>
                <w:sz w:val="20"/>
              </w:rPr>
            </w:pPr>
            <w:r>
              <w:rPr>
                <w:rFonts w:ascii="Arial"/>
                <w:sz w:val="20"/>
              </w:rPr>
              <w:t>SEGUNDO SEMESTRE</w:t>
            </w:r>
          </w:p>
        </w:tc>
        <w:tc>
          <w:tcPr>
            <w:tcW w:w="2835" w:type="dxa"/>
          </w:tcPr>
          <w:p>
            <w:pPr>
              <w:pStyle w:val="TableParagraph"/>
              <w:ind w:left="0"/>
              <w:rPr>
                <w:rFonts w:ascii="Arial"/>
                <w:b/>
                <w:sz w:val="25"/>
              </w:rPr>
            </w:pPr>
          </w:p>
          <w:p>
            <w:pPr>
              <w:pStyle w:val="TableParagraph"/>
              <w:ind w:left="694" w:right="335" w:hanging="288"/>
              <w:rPr>
                <w:rFonts w:ascii="Arial"/>
                <w:sz w:val="20"/>
              </w:rPr>
            </w:pPr>
            <w:r>
              <w:rPr>
                <w:rFonts w:ascii="Arial"/>
                <w:sz w:val="20"/>
              </w:rPr>
              <w:t>ESTADO DEL ARTE E INSTRUMENTO</w:t>
            </w:r>
          </w:p>
        </w:tc>
        <w:tc>
          <w:tcPr>
            <w:tcW w:w="1651" w:type="dxa"/>
          </w:tcPr>
          <w:p>
            <w:pPr/>
          </w:p>
        </w:tc>
        <w:tc>
          <w:tcPr>
            <w:tcW w:w="1172" w:type="dxa"/>
            <w:shd w:val="clear" w:color="auto" w:fill="D5E2BB"/>
          </w:tcPr>
          <w:p>
            <w:pPr>
              <w:pStyle w:val="TableParagraph"/>
              <w:spacing w:before="170"/>
              <w:ind w:left="109" w:right="64"/>
              <w:jc w:val="center"/>
              <w:rPr>
                <w:rFonts w:ascii="Arial"/>
                <w:b/>
                <w:sz w:val="20"/>
              </w:rPr>
            </w:pPr>
            <w:r>
              <w:rPr>
                <w:rFonts w:ascii="Arial"/>
                <w:b/>
                <w:w w:val="95"/>
                <w:sz w:val="20"/>
              </w:rPr>
              <w:t>FEBRERO </w:t>
            </w:r>
            <w:r>
              <w:rPr>
                <w:rFonts w:ascii="Arial"/>
                <w:b/>
                <w:sz w:val="20"/>
              </w:rPr>
              <w:t>JUNIO 2013</w:t>
            </w:r>
          </w:p>
        </w:tc>
        <w:tc>
          <w:tcPr>
            <w:tcW w:w="1289" w:type="dxa"/>
            <w:tcBorders>
              <w:bottom w:val="single" w:sz="4" w:space="0" w:color="000000"/>
            </w:tcBorders>
          </w:tcPr>
          <w:p>
            <w:pPr/>
          </w:p>
        </w:tc>
        <w:tc>
          <w:tcPr>
            <w:tcW w:w="1371" w:type="dxa"/>
          </w:tcPr>
          <w:p>
            <w:pPr/>
          </w:p>
        </w:tc>
      </w:tr>
      <w:tr>
        <w:trPr>
          <w:trHeight w:val="1147" w:hRule="exact"/>
        </w:trPr>
        <w:tc>
          <w:tcPr>
            <w:tcW w:w="1846" w:type="dxa"/>
          </w:tcPr>
          <w:p>
            <w:pPr>
              <w:pStyle w:val="TableParagraph"/>
              <w:spacing w:before="4"/>
              <w:ind w:left="0"/>
              <w:rPr>
                <w:rFonts w:ascii="Arial"/>
                <w:b/>
                <w:sz w:val="28"/>
              </w:rPr>
            </w:pPr>
          </w:p>
          <w:p>
            <w:pPr>
              <w:pStyle w:val="TableParagraph"/>
              <w:ind w:left="381" w:right="315" w:firstLine="139"/>
              <w:rPr>
                <w:rFonts w:ascii="Arial"/>
                <w:sz w:val="20"/>
              </w:rPr>
            </w:pPr>
            <w:r>
              <w:rPr>
                <w:rFonts w:ascii="Arial"/>
                <w:sz w:val="20"/>
              </w:rPr>
              <w:t>TERCER SEMESTRE</w:t>
            </w:r>
          </w:p>
        </w:tc>
        <w:tc>
          <w:tcPr>
            <w:tcW w:w="2835" w:type="dxa"/>
          </w:tcPr>
          <w:p>
            <w:pPr>
              <w:pStyle w:val="TableParagraph"/>
              <w:ind w:left="0"/>
              <w:rPr>
                <w:rFonts w:ascii="Arial"/>
                <w:b/>
                <w:sz w:val="20"/>
              </w:rPr>
            </w:pPr>
          </w:p>
          <w:p>
            <w:pPr>
              <w:pStyle w:val="TableParagraph"/>
              <w:spacing w:before="4"/>
              <w:ind w:left="0"/>
              <w:rPr>
                <w:rFonts w:ascii="Arial"/>
                <w:b/>
                <w:sz w:val="18"/>
              </w:rPr>
            </w:pPr>
          </w:p>
          <w:p>
            <w:pPr>
              <w:pStyle w:val="TableParagraph"/>
              <w:ind w:left="381" w:right="340"/>
              <w:jc w:val="center"/>
              <w:rPr>
                <w:rFonts w:ascii="Arial"/>
                <w:sz w:val="20"/>
              </w:rPr>
            </w:pPr>
            <w:r>
              <w:rPr>
                <w:rFonts w:ascii="Arial"/>
                <w:sz w:val="20"/>
              </w:rPr>
              <w:t>TRABAJO DE CAMPO</w:t>
            </w:r>
          </w:p>
        </w:tc>
        <w:tc>
          <w:tcPr>
            <w:tcW w:w="1651" w:type="dxa"/>
          </w:tcPr>
          <w:p>
            <w:pPr/>
          </w:p>
        </w:tc>
        <w:tc>
          <w:tcPr>
            <w:tcW w:w="1172" w:type="dxa"/>
          </w:tcPr>
          <w:p>
            <w:pPr/>
          </w:p>
        </w:tc>
        <w:tc>
          <w:tcPr>
            <w:tcW w:w="1289" w:type="dxa"/>
            <w:shd w:val="clear" w:color="auto" w:fill="DBE4F0"/>
          </w:tcPr>
          <w:p>
            <w:pPr>
              <w:pStyle w:val="TableParagraph"/>
              <w:spacing w:before="3"/>
              <w:ind w:left="0"/>
              <w:rPr>
                <w:rFonts w:ascii="Arial"/>
                <w:b/>
                <w:sz w:val="18"/>
              </w:rPr>
            </w:pPr>
          </w:p>
          <w:p>
            <w:pPr>
              <w:pStyle w:val="TableParagraph"/>
              <w:spacing w:before="1"/>
              <w:ind w:left="93" w:right="43" w:hanging="2"/>
              <w:jc w:val="center"/>
              <w:rPr>
                <w:rFonts w:ascii="Arial"/>
                <w:b/>
                <w:sz w:val="20"/>
              </w:rPr>
            </w:pPr>
            <w:r>
              <w:rPr>
                <w:rFonts w:ascii="Arial"/>
                <w:b/>
                <w:sz w:val="20"/>
              </w:rPr>
              <w:t>AGOSTO </w:t>
            </w:r>
            <w:r>
              <w:rPr>
                <w:rFonts w:ascii="Arial"/>
                <w:b/>
                <w:w w:val="95"/>
                <w:sz w:val="20"/>
              </w:rPr>
              <w:t>DICIEMBRE </w:t>
            </w:r>
            <w:r>
              <w:rPr>
                <w:rFonts w:ascii="Arial"/>
                <w:b/>
                <w:sz w:val="20"/>
              </w:rPr>
              <w:t>2013</w:t>
            </w:r>
          </w:p>
        </w:tc>
        <w:tc>
          <w:tcPr>
            <w:tcW w:w="1371" w:type="dxa"/>
            <w:tcBorders>
              <w:bottom w:val="single" w:sz="4" w:space="0" w:color="000000"/>
            </w:tcBorders>
          </w:tcPr>
          <w:p>
            <w:pPr/>
          </w:p>
        </w:tc>
      </w:tr>
      <w:tr>
        <w:trPr>
          <w:trHeight w:val="1308" w:hRule="exact"/>
        </w:trPr>
        <w:tc>
          <w:tcPr>
            <w:tcW w:w="1846" w:type="dxa"/>
          </w:tcPr>
          <w:p>
            <w:pPr>
              <w:pStyle w:val="TableParagraph"/>
              <w:ind w:left="0"/>
              <w:rPr>
                <w:rFonts w:ascii="Arial"/>
                <w:b/>
                <w:sz w:val="20"/>
              </w:rPr>
            </w:pPr>
          </w:p>
          <w:p>
            <w:pPr>
              <w:pStyle w:val="TableParagraph"/>
              <w:spacing w:before="177"/>
              <w:ind w:left="381" w:right="315" w:firstLine="127"/>
              <w:rPr>
                <w:rFonts w:ascii="Arial"/>
                <w:sz w:val="20"/>
              </w:rPr>
            </w:pPr>
            <w:r>
              <w:rPr>
                <w:rFonts w:ascii="Arial"/>
                <w:sz w:val="20"/>
              </w:rPr>
              <w:t>CUARTO SEMESTRE</w:t>
            </w:r>
          </w:p>
        </w:tc>
        <w:tc>
          <w:tcPr>
            <w:tcW w:w="2835" w:type="dxa"/>
          </w:tcPr>
          <w:p>
            <w:pPr>
              <w:pStyle w:val="TableParagraph"/>
              <w:spacing w:before="2"/>
              <w:ind w:left="0"/>
              <w:rPr>
                <w:rFonts w:ascii="Arial"/>
                <w:b/>
                <w:sz w:val="20"/>
              </w:rPr>
            </w:pPr>
          </w:p>
          <w:p>
            <w:pPr>
              <w:pStyle w:val="TableParagraph"/>
              <w:ind w:left="381" w:right="335"/>
              <w:jc w:val="center"/>
              <w:rPr>
                <w:rFonts w:ascii="Arial" w:hAnsi="Arial"/>
                <w:sz w:val="20"/>
              </w:rPr>
            </w:pPr>
            <w:r>
              <w:rPr>
                <w:rFonts w:ascii="Arial" w:hAnsi="Arial"/>
                <w:sz w:val="20"/>
              </w:rPr>
              <w:t>PRESENTACIÓN DE TRABAJO FINAL</w:t>
            </w:r>
          </w:p>
          <w:p>
            <w:pPr>
              <w:pStyle w:val="TableParagraph"/>
              <w:spacing w:before="118"/>
              <w:ind w:left="381" w:right="337"/>
              <w:jc w:val="center"/>
              <w:rPr>
                <w:rFonts w:ascii="Arial"/>
                <w:sz w:val="20"/>
              </w:rPr>
            </w:pPr>
            <w:r>
              <w:rPr>
                <w:rFonts w:ascii="Arial"/>
                <w:sz w:val="20"/>
              </w:rPr>
              <w:t>(TESIS IMPRESA)</w:t>
            </w:r>
          </w:p>
        </w:tc>
        <w:tc>
          <w:tcPr>
            <w:tcW w:w="1651" w:type="dxa"/>
          </w:tcPr>
          <w:p>
            <w:pPr/>
          </w:p>
        </w:tc>
        <w:tc>
          <w:tcPr>
            <w:tcW w:w="1172" w:type="dxa"/>
          </w:tcPr>
          <w:p>
            <w:pPr/>
          </w:p>
        </w:tc>
        <w:tc>
          <w:tcPr>
            <w:tcW w:w="1289" w:type="dxa"/>
          </w:tcPr>
          <w:p>
            <w:pPr/>
          </w:p>
        </w:tc>
        <w:tc>
          <w:tcPr>
            <w:tcW w:w="1371" w:type="dxa"/>
            <w:shd w:val="clear" w:color="auto" w:fill="B1A0C6"/>
          </w:tcPr>
          <w:p>
            <w:pPr>
              <w:pStyle w:val="TableParagraph"/>
              <w:ind w:left="0"/>
              <w:rPr>
                <w:rFonts w:ascii="Arial"/>
                <w:b/>
                <w:sz w:val="20"/>
              </w:rPr>
            </w:pPr>
          </w:p>
          <w:p>
            <w:pPr>
              <w:pStyle w:val="TableParagraph"/>
              <w:spacing w:before="175"/>
              <w:ind w:left="139" w:firstLine="67"/>
              <w:rPr>
                <w:rFonts w:ascii="Arial"/>
                <w:b/>
                <w:sz w:val="20"/>
              </w:rPr>
            </w:pPr>
            <w:r>
              <w:rPr>
                <w:rFonts w:ascii="Arial"/>
                <w:b/>
                <w:sz w:val="20"/>
              </w:rPr>
              <w:t>FEBRERO JUNIO 2014</w:t>
            </w:r>
          </w:p>
        </w:tc>
      </w:tr>
    </w:tbl>
    <w:p>
      <w:pPr>
        <w:spacing w:after="0"/>
        <w:rPr>
          <w:rFonts w:ascii="Arial"/>
          <w:sz w:val="20"/>
        </w:rPr>
        <w:sectPr>
          <w:pgSz w:w="12240" w:h="15840"/>
          <w:pgMar w:header="739" w:footer="928" w:top="1300" w:bottom="1120" w:left="1200" w:right="620"/>
        </w:sectPr>
      </w:pPr>
    </w:p>
    <w:p>
      <w:pPr>
        <w:pStyle w:val="BodyText"/>
        <w:rPr>
          <w:b/>
          <w:sz w:val="20"/>
        </w:rPr>
      </w:pPr>
      <w:r>
        <w:rPr/>
        <w:pict>
          <v:line style="position:absolute;mso-position-horizontal-relative:page;mso-position-vertical-relative:page;z-index:3112" from="97.823997pt,56.16pt" to="542.643997pt,56.16pt" stroked="true" strokeweight=".48pt" strokecolor="#000000">
            <w10:wrap type="none"/>
          </v:line>
        </w:pict>
      </w:r>
    </w:p>
    <w:p>
      <w:pPr>
        <w:pStyle w:val="BodyText"/>
        <w:rPr>
          <w:b/>
          <w:sz w:val="20"/>
        </w:rPr>
      </w:pPr>
    </w:p>
    <w:p>
      <w:pPr>
        <w:pStyle w:val="BodyText"/>
        <w:spacing w:before="5"/>
        <w:rPr>
          <w:b/>
          <w:sz w:val="17"/>
        </w:rPr>
      </w:pPr>
    </w:p>
    <w:p>
      <w:pPr>
        <w:spacing w:before="0"/>
        <w:ind w:left="2058" w:right="2112" w:firstLine="0"/>
        <w:jc w:val="center"/>
        <w:rPr>
          <w:b/>
          <w:sz w:val="22"/>
        </w:rPr>
      </w:pPr>
      <w:r>
        <w:rPr/>
        <w:drawing>
          <wp:anchor distT="0" distB="0" distL="0" distR="0" allowOverlap="1" layoutInCell="1" locked="0" behindDoc="0" simplePos="0" relativeHeight="3136">
            <wp:simplePos x="0" y="0"/>
            <wp:positionH relativeFrom="page">
              <wp:posOffset>6129528</wp:posOffset>
            </wp:positionH>
            <wp:positionV relativeFrom="paragraph">
              <wp:posOffset>-27713</wp:posOffset>
            </wp:positionV>
            <wp:extent cx="1013459" cy="818388"/>
            <wp:effectExtent l="0" t="0" r="0" b="0"/>
            <wp:wrapNone/>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59" cstate="print"/>
                    <a:stretch>
                      <a:fillRect/>
                    </a:stretch>
                  </pic:blipFill>
                  <pic:spPr>
                    <a:xfrm>
                      <a:off x="0" y="0"/>
                      <a:ext cx="1013459" cy="818388"/>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1021841</wp:posOffset>
            </wp:positionH>
            <wp:positionV relativeFrom="paragraph">
              <wp:posOffset>-47813</wp:posOffset>
            </wp:positionV>
            <wp:extent cx="1053421" cy="803915"/>
            <wp:effectExtent l="0" t="0" r="0" b="0"/>
            <wp:wrapNone/>
            <wp:docPr id="21" name="image12.png" descr=""/>
            <wp:cNvGraphicFramePr>
              <a:graphicFrameLocks noChangeAspect="1"/>
            </wp:cNvGraphicFramePr>
            <a:graphic>
              <a:graphicData uri="http://schemas.openxmlformats.org/drawingml/2006/picture">
                <pic:pic>
                  <pic:nvPicPr>
                    <pic:cNvPr id="22" name="image12.png"/>
                    <pic:cNvPicPr/>
                  </pic:nvPicPr>
                  <pic:blipFill>
                    <a:blip r:embed="rId60" cstate="print"/>
                    <a:stretch>
                      <a:fillRect/>
                    </a:stretch>
                  </pic:blipFill>
                  <pic:spPr>
                    <a:xfrm>
                      <a:off x="0" y="0"/>
                      <a:ext cx="1053421" cy="803915"/>
                    </a:xfrm>
                    <a:prstGeom prst="rect">
                      <a:avLst/>
                    </a:prstGeom>
                  </pic:spPr>
                </pic:pic>
              </a:graphicData>
            </a:graphic>
          </wp:anchor>
        </w:drawing>
      </w:r>
      <w:r>
        <w:rPr>
          <w:b/>
          <w:sz w:val="22"/>
        </w:rPr>
        <w:t>UNIVERSIDAD AUTÓNOMA DEL ESTADO DE MÉXICO</w:t>
      </w:r>
    </w:p>
    <w:p>
      <w:pPr>
        <w:pStyle w:val="BodyText"/>
        <w:rPr>
          <w:b/>
          <w:sz w:val="22"/>
        </w:rPr>
      </w:pPr>
    </w:p>
    <w:p>
      <w:pPr>
        <w:pStyle w:val="BodyText"/>
        <w:spacing w:before="10"/>
        <w:rPr>
          <w:b/>
          <w:sz w:val="21"/>
        </w:rPr>
      </w:pPr>
    </w:p>
    <w:p>
      <w:pPr>
        <w:spacing w:before="1"/>
        <w:ind w:left="2058" w:right="2112" w:firstLine="0"/>
        <w:jc w:val="center"/>
        <w:rPr>
          <w:b/>
          <w:sz w:val="22"/>
        </w:rPr>
      </w:pPr>
      <w:r>
        <w:rPr>
          <w:b/>
          <w:sz w:val="22"/>
        </w:rPr>
        <w:t>FACULTAD DE ENFERMERÍA Y OBSTETRICIA</w:t>
      </w:r>
    </w:p>
    <w:p>
      <w:pPr>
        <w:spacing w:before="128"/>
        <w:ind w:left="2058" w:right="2110" w:firstLine="0"/>
        <w:jc w:val="center"/>
        <w:rPr>
          <w:sz w:val="22"/>
        </w:rPr>
      </w:pPr>
      <w:r>
        <w:rPr>
          <w:sz w:val="22"/>
        </w:rPr>
        <w:t>MAESTRÍA EN TERAPIA INTENSIVA</w:t>
      </w:r>
    </w:p>
    <w:p>
      <w:pPr>
        <w:pStyle w:val="BodyText"/>
        <w:rPr>
          <w:sz w:val="22"/>
        </w:rPr>
      </w:pPr>
    </w:p>
    <w:p>
      <w:pPr>
        <w:pStyle w:val="BodyText"/>
        <w:spacing w:before="10"/>
        <w:rPr>
          <w:sz w:val="21"/>
        </w:rPr>
      </w:pPr>
    </w:p>
    <w:p>
      <w:pPr>
        <w:spacing w:before="1"/>
        <w:ind w:left="2058" w:right="2111" w:firstLine="0"/>
        <w:jc w:val="center"/>
        <w:rPr>
          <w:b/>
          <w:sz w:val="22"/>
        </w:rPr>
      </w:pPr>
      <w:r>
        <w:rPr>
          <w:b/>
          <w:sz w:val="22"/>
          <w:u w:val="thick"/>
        </w:rPr>
        <w:t>CÉDULA DE CAPTACION DE DATOS</w:t>
      </w:r>
    </w:p>
    <w:p>
      <w:pPr>
        <w:pStyle w:val="BodyText"/>
        <w:rPr>
          <w:b/>
          <w:sz w:val="20"/>
        </w:rPr>
      </w:pPr>
    </w:p>
    <w:p>
      <w:pPr>
        <w:pStyle w:val="BodyText"/>
        <w:spacing w:before="9"/>
        <w:rPr>
          <w:b/>
          <w:sz w:val="20"/>
        </w:rPr>
      </w:pPr>
    </w:p>
    <w:p>
      <w:pPr>
        <w:spacing w:line="362" w:lineRule="auto" w:before="0"/>
        <w:ind w:left="485" w:right="533" w:firstLine="0"/>
        <w:jc w:val="both"/>
        <w:rPr>
          <w:sz w:val="20"/>
        </w:rPr>
      </w:pPr>
      <w:r>
        <w:rPr>
          <w:b/>
          <w:sz w:val="20"/>
        </w:rPr>
        <w:t>OBJETIVO DE SU APLICACIÓN: </w:t>
      </w:r>
      <w:r>
        <w:rPr>
          <w:sz w:val="20"/>
        </w:rPr>
        <w:t>La presenta cédula de CAPTACIÓN DE DATOS tiene como objetivo conocer la incidencia de eventos adversos relacionados a terapia de infusión intravenosa, los tipos y los factores que interviene para que se presenten durante la atención de enfermería en pacientes obstétricas en un hospital de tercer nivel de Toluca</w:t>
      </w:r>
    </w:p>
    <w:p>
      <w:pPr>
        <w:pStyle w:val="BodyText"/>
        <w:spacing w:before="9"/>
        <w:rPr>
          <w:sz w:val="29"/>
        </w:rPr>
      </w:pPr>
    </w:p>
    <w:p>
      <w:pPr>
        <w:spacing w:line="360" w:lineRule="auto" w:before="0"/>
        <w:ind w:left="485" w:right="537" w:firstLine="0"/>
        <w:jc w:val="both"/>
        <w:rPr>
          <w:sz w:val="20"/>
        </w:rPr>
      </w:pPr>
      <w:r>
        <w:rPr>
          <w:b/>
          <w:sz w:val="20"/>
        </w:rPr>
        <w:t>JUSTIFICACIÓN: </w:t>
      </w:r>
      <w:r>
        <w:rPr>
          <w:sz w:val="20"/>
        </w:rPr>
        <w:t>La información obtenida es este estudio será utilizada para mejorar la calidad de atención de enfermería en cuanto a seguridad del paciente, se refiere mediante la prevención de eventos adversos relacionados a terapia de infusión intravenosa en pacientes obstétricas de un hospital de tercer nivel de Toluca. Cabe mencionar que la información recabada será estrictamente confidencial.</w:t>
      </w:r>
    </w:p>
    <w:p>
      <w:pPr>
        <w:pStyle w:val="BodyText"/>
        <w:rPr>
          <w:sz w:val="20"/>
        </w:rPr>
      </w:pPr>
    </w:p>
    <w:p>
      <w:pPr>
        <w:pStyle w:val="BodyText"/>
        <w:spacing w:before="7"/>
        <w:rPr>
          <w:sz w:val="10"/>
        </w:rPr>
      </w:pPr>
    </w:p>
    <w:tbl>
      <w:tblPr>
        <w:tblW w:w="0" w:type="auto"/>
        <w:jc w:val="left"/>
        <w:tblInd w:w="36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708"/>
        <w:gridCol w:w="850"/>
        <w:gridCol w:w="819"/>
        <w:gridCol w:w="1015"/>
        <w:gridCol w:w="852"/>
        <w:gridCol w:w="715"/>
        <w:gridCol w:w="794"/>
        <w:gridCol w:w="202"/>
        <w:gridCol w:w="533"/>
        <w:gridCol w:w="852"/>
        <w:gridCol w:w="1133"/>
        <w:gridCol w:w="708"/>
      </w:tblGrid>
      <w:tr>
        <w:trPr>
          <w:trHeight w:val="2136" w:hRule="exact"/>
        </w:trPr>
        <w:tc>
          <w:tcPr>
            <w:tcW w:w="708" w:type="dxa"/>
            <w:tcBorders>
              <w:right w:val="single" w:sz="4" w:space="0" w:color="000000"/>
            </w:tcBorders>
            <w:textDirection w:val="btLr"/>
          </w:tcPr>
          <w:p>
            <w:pPr>
              <w:pStyle w:val="TableParagraph"/>
              <w:spacing w:before="8"/>
              <w:ind w:left="0"/>
              <w:rPr>
                <w:rFonts w:ascii="Arial"/>
                <w:sz w:val="24"/>
              </w:rPr>
            </w:pPr>
          </w:p>
          <w:p>
            <w:pPr>
              <w:pStyle w:val="TableParagraph"/>
              <w:ind w:left="319"/>
              <w:rPr>
                <w:rFonts w:ascii="Arial" w:hAnsi="Arial"/>
                <w:b/>
                <w:sz w:val="18"/>
              </w:rPr>
            </w:pPr>
            <w:r>
              <w:rPr>
                <w:rFonts w:ascii="Arial" w:hAnsi="Arial"/>
                <w:b/>
                <w:w w:val="99"/>
                <w:sz w:val="18"/>
              </w:rPr>
              <w:t>Núm</w:t>
            </w:r>
            <w:r>
              <w:rPr>
                <w:rFonts w:ascii="Arial" w:hAnsi="Arial"/>
                <w:b/>
                <w:w w:val="99"/>
                <w:sz w:val="18"/>
              </w:rPr>
              <w:t>e</w:t>
            </w:r>
            <w:r>
              <w:rPr>
                <w:rFonts w:ascii="Arial" w:hAnsi="Arial"/>
                <w:b/>
                <w:sz w:val="18"/>
              </w:rPr>
              <w:t>ro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99"/>
                <w:sz w:val="18"/>
              </w:rPr>
              <w:t>cas</w:t>
            </w:r>
            <w:r>
              <w:rPr>
                <w:rFonts w:ascii="Arial" w:hAnsi="Arial"/>
                <w:b/>
                <w:w w:val="100"/>
                <w:sz w:val="18"/>
              </w:rPr>
              <w:t>o</w:t>
            </w:r>
          </w:p>
        </w:tc>
        <w:tc>
          <w:tcPr>
            <w:tcW w:w="850" w:type="dxa"/>
            <w:tcBorders>
              <w:left w:val="single" w:sz="4" w:space="0" w:color="000000"/>
              <w:right w:val="single" w:sz="4" w:space="0" w:color="000000"/>
            </w:tcBorders>
            <w:textDirection w:val="btLr"/>
          </w:tcPr>
          <w:p>
            <w:pPr>
              <w:pStyle w:val="TableParagraph"/>
              <w:ind w:left="0"/>
              <w:rPr>
                <w:rFonts w:ascii="Arial"/>
                <w:sz w:val="18"/>
              </w:rPr>
            </w:pPr>
          </w:p>
          <w:p>
            <w:pPr>
              <w:pStyle w:val="TableParagraph"/>
              <w:spacing w:before="157"/>
              <w:ind w:left="55"/>
              <w:rPr>
                <w:rFonts w:ascii="Arial" w:hAnsi="Arial"/>
                <w:b/>
                <w:sz w:val="18"/>
              </w:rPr>
            </w:pPr>
            <w:r>
              <w:rPr>
                <w:rFonts w:ascii="Arial" w:hAnsi="Arial"/>
                <w:b/>
                <w:w w:val="99"/>
                <w:sz w:val="18"/>
              </w:rPr>
              <w:t>Núm</w:t>
            </w:r>
            <w:r>
              <w:rPr>
                <w:rFonts w:ascii="Arial" w:hAnsi="Arial"/>
                <w:b/>
                <w:w w:val="99"/>
                <w:sz w:val="18"/>
              </w:rPr>
              <w:t>e</w:t>
            </w:r>
            <w:r>
              <w:rPr>
                <w:rFonts w:ascii="Arial" w:hAnsi="Arial"/>
                <w:b/>
                <w:sz w:val="18"/>
              </w:rPr>
              <w:t>ro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99"/>
                <w:sz w:val="18"/>
              </w:rPr>
              <w:t>ex</w:t>
            </w:r>
            <w:r>
              <w:rPr>
                <w:rFonts w:ascii="Arial" w:hAnsi="Arial"/>
                <w:b/>
                <w:sz w:val="18"/>
              </w:rPr>
              <w:t>p</w:t>
            </w:r>
            <w:r>
              <w:rPr>
                <w:rFonts w:ascii="Arial" w:hAnsi="Arial"/>
                <w:b/>
                <w:spacing w:val="-2"/>
                <w:sz w:val="18"/>
              </w:rPr>
              <w:t>e</w:t>
            </w:r>
            <w:r>
              <w:rPr>
                <w:rFonts w:ascii="Arial" w:hAnsi="Arial"/>
                <w:b/>
                <w:w w:val="100"/>
                <w:sz w:val="18"/>
              </w:rPr>
              <w:t>di</w:t>
            </w:r>
            <w:r>
              <w:rPr>
                <w:rFonts w:ascii="Arial" w:hAnsi="Arial"/>
                <w:b/>
                <w:w w:val="99"/>
                <w:sz w:val="18"/>
              </w:rPr>
              <w:t>e</w:t>
            </w:r>
            <w:r>
              <w:rPr>
                <w:rFonts w:ascii="Arial" w:hAnsi="Arial"/>
                <w:b/>
                <w:w w:val="100"/>
                <w:sz w:val="18"/>
              </w:rPr>
              <w:t>n</w:t>
            </w:r>
            <w:r>
              <w:rPr>
                <w:rFonts w:ascii="Arial" w:hAnsi="Arial"/>
                <w:b/>
                <w:spacing w:val="-2"/>
                <w:w w:val="100"/>
                <w:sz w:val="18"/>
              </w:rPr>
              <w:t>t</w:t>
            </w:r>
            <w:r>
              <w:rPr>
                <w:rFonts w:ascii="Arial" w:hAnsi="Arial"/>
                <w:b/>
                <w:w w:val="99"/>
                <w:sz w:val="18"/>
              </w:rPr>
              <w:t>e</w:t>
            </w:r>
          </w:p>
        </w:tc>
        <w:tc>
          <w:tcPr>
            <w:tcW w:w="819" w:type="dxa"/>
            <w:tcBorders>
              <w:left w:val="single" w:sz="4" w:space="0" w:color="000000"/>
              <w:right w:val="single" w:sz="4" w:space="0" w:color="000000"/>
            </w:tcBorders>
            <w:textDirection w:val="btLr"/>
          </w:tcPr>
          <w:p>
            <w:pPr>
              <w:pStyle w:val="TableParagraph"/>
              <w:ind w:left="0"/>
              <w:rPr>
                <w:rFonts w:ascii="Arial"/>
                <w:sz w:val="21"/>
              </w:rPr>
            </w:pPr>
          </w:p>
          <w:p>
            <w:pPr>
              <w:pStyle w:val="TableParagraph"/>
              <w:spacing w:line="247" w:lineRule="auto"/>
              <w:ind w:left="564" w:right="227" w:hanging="401"/>
              <w:rPr>
                <w:rFonts w:ascii="Arial" w:hAnsi="Arial"/>
                <w:b/>
                <w:sz w:val="18"/>
              </w:rPr>
            </w:pPr>
            <w:r>
              <w:rPr>
                <w:rFonts w:ascii="Arial" w:hAnsi="Arial"/>
                <w:b/>
                <w:w w:val="99"/>
                <w:sz w:val="18"/>
              </w:rPr>
              <w:t>Dia</w:t>
            </w:r>
            <w:r>
              <w:rPr>
                <w:rFonts w:ascii="Arial" w:hAnsi="Arial"/>
                <w:b/>
                <w:w w:val="100"/>
                <w:sz w:val="18"/>
              </w:rPr>
              <w:t>gn</w:t>
            </w:r>
            <w:r>
              <w:rPr>
                <w:rFonts w:ascii="Arial" w:hAnsi="Arial"/>
                <w:b/>
                <w:sz w:val="18"/>
              </w:rPr>
              <w:t>ós</w:t>
            </w:r>
            <w:r>
              <w:rPr>
                <w:rFonts w:ascii="Arial" w:hAnsi="Arial"/>
                <w:b/>
                <w:w w:val="100"/>
                <w:sz w:val="18"/>
              </w:rPr>
              <w:t>t</w:t>
            </w:r>
            <w:r>
              <w:rPr>
                <w:rFonts w:ascii="Arial" w:hAnsi="Arial"/>
                <w:b/>
                <w:spacing w:val="-2"/>
                <w:w w:val="100"/>
                <w:sz w:val="18"/>
              </w:rPr>
              <w:t>i</w:t>
            </w:r>
            <w:r>
              <w:rPr>
                <w:rFonts w:ascii="Arial" w:hAnsi="Arial"/>
                <w:b/>
                <w:w w:val="99"/>
                <w:sz w:val="18"/>
              </w:rPr>
              <w:t>c</w:t>
            </w:r>
            <w:r>
              <w:rPr>
                <w:rFonts w:ascii="Arial" w:hAnsi="Arial"/>
                <w:b/>
                <w:w w:val="100"/>
                <w:sz w:val="18"/>
              </w:rPr>
              <w:t>o</w:t>
            </w:r>
            <w:r>
              <w:rPr>
                <w:rFonts w:ascii="Arial" w:hAnsi="Arial"/>
                <w:b/>
                <w:sz w:val="18"/>
              </w:rPr>
              <w:t> </w:t>
            </w:r>
            <w:r>
              <w:rPr>
                <w:rFonts w:ascii="Arial" w:hAnsi="Arial"/>
                <w:b/>
                <w:spacing w:val="-2"/>
                <w:w w:val="99"/>
                <w:sz w:val="18"/>
              </w:rPr>
              <w:t>m</w:t>
            </w:r>
            <w:r>
              <w:rPr>
                <w:rFonts w:ascii="Arial" w:hAnsi="Arial"/>
                <w:b/>
                <w:w w:val="99"/>
                <w:sz w:val="18"/>
              </w:rPr>
              <w:t>é</w:t>
            </w:r>
            <w:r>
              <w:rPr>
                <w:rFonts w:ascii="Arial" w:hAnsi="Arial"/>
                <w:b/>
                <w:w w:val="100"/>
                <w:sz w:val="18"/>
              </w:rPr>
              <w:t>di</w:t>
            </w:r>
            <w:r>
              <w:rPr>
                <w:rFonts w:ascii="Arial" w:hAnsi="Arial"/>
                <w:b/>
                <w:w w:val="99"/>
                <w:sz w:val="18"/>
              </w:rPr>
              <w:t>c</w:t>
            </w:r>
            <w:r>
              <w:rPr>
                <w:rFonts w:ascii="Arial" w:hAnsi="Arial"/>
                <w:b/>
                <w:w w:val="100"/>
                <w:sz w:val="18"/>
              </w:rPr>
              <w:t>o </w:t>
            </w:r>
            <w:r>
              <w:rPr>
                <w:rFonts w:ascii="Arial" w:hAnsi="Arial"/>
                <w:b/>
                <w:sz w:val="18"/>
              </w:rPr>
              <w:t>de </w:t>
            </w:r>
            <w:r>
              <w:rPr>
                <w:rFonts w:ascii="Arial" w:hAnsi="Arial"/>
                <w:b/>
                <w:w w:val="100"/>
                <w:sz w:val="18"/>
              </w:rPr>
              <w:t>i</w:t>
            </w:r>
            <w:r>
              <w:rPr>
                <w:rFonts w:ascii="Arial" w:hAnsi="Arial"/>
                <w:b/>
                <w:w w:val="100"/>
                <w:sz w:val="18"/>
              </w:rPr>
              <w:t>ng</w:t>
            </w:r>
            <w:r>
              <w:rPr>
                <w:rFonts w:ascii="Arial" w:hAnsi="Arial"/>
                <w:b/>
                <w:w w:val="99"/>
                <w:sz w:val="18"/>
              </w:rPr>
              <w:t>r</w:t>
            </w:r>
            <w:r>
              <w:rPr>
                <w:rFonts w:ascii="Arial" w:hAnsi="Arial"/>
                <w:b/>
                <w:spacing w:val="-3"/>
                <w:w w:val="99"/>
                <w:sz w:val="18"/>
              </w:rPr>
              <w:t>e</w:t>
            </w:r>
            <w:r>
              <w:rPr>
                <w:rFonts w:ascii="Arial" w:hAnsi="Arial"/>
                <w:b/>
                <w:w w:val="99"/>
                <w:sz w:val="18"/>
              </w:rPr>
              <w:t>s</w:t>
            </w:r>
            <w:r>
              <w:rPr>
                <w:rFonts w:ascii="Arial" w:hAnsi="Arial"/>
                <w:b/>
                <w:w w:val="100"/>
                <w:sz w:val="18"/>
              </w:rPr>
              <w:t>o</w:t>
            </w:r>
          </w:p>
        </w:tc>
        <w:tc>
          <w:tcPr>
            <w:tcW w:w="1015" w:type="dxa"/>
            <w:tcBorders>
              <w:left w:val="single" w:sz="4" w:space="0" w:color="000000"/>
              <w:right w:val="single" w:sz="4" w:space="0" w:color="000000"/>
            </w:tcBorders>
            <w:textDirection w:val="btLr"/>
          </w:tcPr>
          <w:p>
            <w:pPr>
              <w:pStyle w:val="TableParagraph"/>
              <w:spacing w:before="4"/>
              <w:ind w:left="0"/>
              <w:rPr>
                <w:rFonts w:ascii="Arial"/>
                <w:sz w:val="20"/>
              </w:rPr>
            </w:pPr>
          </w:p>
          <w:p>
            <w:pPr>
              <w:pStyle w:val="TableParagraph"/>
              <w:spacing w:line="247" w:lineRule="auto"/>
              <w:ind w:left="482" w:right="551"/>
              <w:jc w:val="center"/>
              <w:rPr>
                <w:rFonts w:ascii="Arial" w:hAnsi="Arial"/>
                <w:b/>
                <w:sz w:val="18"/>
              </w:rPr>
            </w:pPr>
            <w:r>
              <w:rPr>
                <w:rFonts w:ascii="Arial" w:hAnsi="Arial"/>
                <w:b/>
                <w:w w:val="100"/>
                <w:sz w:val="18"/>
              </w:rPr>
              <w:t>In</w:t>
            </w:r>
            <w:r>
              <w:rPr>
                <w:rFonts w:ascii="Arial" w:hAnsi="Arial"/>
                <w:b/>
                <w:w w:val="99"/>
                <w:sz w:val="18"/>
              </w:rPr>
              <w:t>te</w:t>
            </w:r>
            <w:r>
              <w:rPr>
                <w:rFonts w:ascii="Arial" w:hAnsi="Arial"/>
                <w:b/>
                <w:w w:val="99"/>
                <w:sz w:val="18"/>
              </w:rPr>
              <w:t>rve</w:t>
            </w:r>
            <w:r>
              <w:rPr>
                <w:rFonts w:ascii="Arial" w:hAnsi="Arial"/>
                <w:b/>
                <w:spacing w:val="-2"/>
                <w:w w:val="100"/>
                <w:sz w:val="18"/>
              </w:rPr>
              <w:t>n</w:t>
            </w:r>
            <w:r>
              <w:rPr>
                <w:rFonts w:ascii="Arial" w:hAnsi="Arial"/>
                <w:b/>
                <w:w w:val="99"/>
                <w:sz w:val="18"/>
              </w:rPr>
              <w:t>c</w:t>
            </w:r>
            <w:r>
              <w:rPr>
                <w:rFonts w:ascii="Arial" w:hAnsi="Arial"/>
                <w:b/>
                <w:w w:val="100"/>
                <w:sz w:val="18"/>
              </w:rPr>
              <w:t>ión qu</w:t>
            </w:r>
            <w:r>
              <w:rPr>
                <w:rFonts w:ascii="Arial" w:hAnsi="Arial"/>
                <w:b/>
                <w:w w:val="100"/>
                <w:sz w:val="18"/>
              </w:rPr>
              <w:t>irúrgi</w:t>
            </w:r>
            <w:r>
              <w:rPr>
                <w:rFonts w:ascii="Arial" w:hAnsi="Arial"/>
                <w:b/>
                <w:w w:val="99"/>
                <w:sz w:val="18"/>
              </w:rPr>
              <w:t>ca rea</w:t>
            </w:r>
            <w:r>
              <w:rPr>
                <w:rFonts w:ascii="Arial" w:hAnsi="Arial"/>
                <w:b/>
                <w:w w:val="100"/>
                <w:sz w:val="18"/>
              </w:rPr>
              <w:t>li</w:t>
            </w:r>
            <w:r>
              <w:rPr>
                <w:rFonts w:ascii="Arial" w:hAnsi="Arial"/>
                <w:b/>
                <w:spacing w:val="1"/>
                <w:sz w:val="18"/>
              </w:rPr>
              <w:t>z</w:t>
            </w:r>
            <w:r>
              <w:rPr>
                <w:rFonts w:ascii="Arial" w:hAnsi="Arial"/>
                <w:b/>
                <w:spacing w:val="-2"/>
                <w:w w:val="99"/>
                <w:sz w:val="18"/>
              </w:rPr>
              <w:t>a</w:t>
            </w:r>
            <w:r>
              <w:rPr>
                <w:rFonts w:ascii="Arial" w:hAnsi="Arial"/>
                <w:b/>
                <w:sz w:val="18"/>
              </w:rPr>
              <w:t>da</w:t>
            </w:r>
          </w:p>
        </w:tc>
        <w:tc>
          <w:tcPr>
            <w:tcW w:w="852" w:type="dxa"/>
            <w:tcBorders>
              <w:left w:val="single" w:sz="4" w:space="0" w:color="000000"/>
              <w:right w:val="single" w:sz="4" w:space="0" w:color="000000"/>
            </w:tcBorders>
            <w:textDirection w:val="btLr"/>
          </w:tcPr>
          <w:p>
            <w:pPr>
              <w:pStyle w:val="TableParagraph"/>
              <w:spacing w:before="5"/>
              <w:ind w:left="0"/>
              <w:rPr>
                <w:rFonts w:ascii="Arial"/>
                <w:sz w:val="22"/>
              </w:rPr>
            </w:pPr>
          </w:p>
          <w:p>
            <w:pPr>
              <w:pStyle w:val="TableParagraph"/>
              <w:spacing w:line="247" w:lineRule="auto"/>
              <w:ind w:left="544" w:right="411" w:hanging="197"/>
              <w:rPr>
                <w:rFonts w:ascii="Arial"/>
                <w:b/>
                <w:sz w:val="18"/>
              </w:rPr>
            </w:pPr>
            <w:r>
              <w:rPr>
                <w:rFonts w:ascii="Arial"/>
                <w:b/>
                <w:w w:val="99"/>
                <w:sz w:val="18"/>
              </w:rPr>
              <w:t>Ev</w:t>
            </w:r>
            <w:r>
              <w:rPr>
                <w:rFonts w:ascii="Arial"/>
                <w:b/>
                <w:w w:val="99"/>
                <w:sz w:val="18"/>
              </w:rPr>
              <w:t>e</w:t>
            </w:r>
            <w:r>
              <w:rPr>
                <w:rFonts w:ascii="Arial"/>
                <w:b/>
                <w:w w:val="100"/>
                <w:sz w:val="18"/>
              </w:rPr>
              <w:t>nto</w:t>
            </w:r>
            <w:r>
              <w:rPr>
                <w:rFonts w:ascii="Arial"/>
                <w:b/>
                <w:sz w:val="18"/>
              </w:rPr>
              <w:t> </w:t>
            </w:r>
            <w:r>
              <w:rPr>
                <w:rFonts w:ascii="Arial"/>
                <w:b/>
                <w:spacing w:val="-2"/>
                <w:w w:val="99"/>
                <w:sz w:val="18"/>
              </w:rPr>
              <w:t>a</w:t>
            </w:r>
            <w:r>
              <w:rPr>
                <w:rFonts w:ascii="Arial"/>
                <w:b/>
                <w:sz w:val="18"/>
              </w:rPr>
              <w:t>dv</w:t>
            </w:r>
            <w:r>
              <w:rPr>
                <w:rFonts w:ascii="Arial"/>
                <w:b/>
                <w:w w:val="99"/>
                <w:sz w:val="18"/>
              </w:rPr>
              <w:t>e</w:t>
            </w:r>
            <w:r>
              <w:rPr>
                <w:rFonts w:ascii="Arial"/>
                <w:b/>
                <w:w w:val="99"/>
                <w:sz w:val="18"/>
              </w:rPr>
              <w:t>rso </w:t>
            </w:r>
            <w:r>
              <w:rPr>
                <w:rFonts w:ascii="Arial"/>
                <w:b/>
                <w:w w:val="99"/>
                <w:sz w:val="18"/>
              </w:rPr>
              <w:t>ac</w:t>
            </w:r>
            <w:r>
              <w:rPr>
                <w:rFonts w:ascii="Arial"/>
                <w:b/>
                <w:w w:val="100"/>
                <w:sz w:val="18"/>
              </w:rPr>
              <w:t>on</w:t>
            </w:r>
            <w:r>
              <w:rPr>
                <w:rFonts w:ascii="Arial"/>
                <w:b/>
                <w:w w:val="99"/>
                <w:sz w:val="18"/>
              </w:rPr>
              <w:t>t</w:t>
            </w:r>
            <w:r>
              <w:rPr>
                <w:rFonts w:ascii="Arial"/>
                <w:b/>
                <w:spacing w:val="-2"/>
                <w:w w:val="99"/>
                <w:sz w:val="18"/>
              </w:rPr>
              <w:t>e</w:t>
            </w:r>
            <w:r>
              <w:rPr>
                <w:rFonts w:ascii="Arial"/>
                <w:b/>
                <w:w w:val="99"/>
                <w:sz w:val="18"/>
              </w:rPr>
              <w:t>c</w:t>
            </w:r>
            <w:r>
              <w:rPr>
                <w:rFonts w:ascii="Arial"/>
                <w:b/>
                <w:w w:val="100"/>
                <w:sz w:val="18"/>
              </w:rPr>
              <w:t>ido</w:t>
            </w:r>
          </w:p>
        </w:tc>
        <w:tc>
          <w:tcPr>
            <w:tcW w:w="715" w:type="dxa"/>
            <w:tcBorders>
              <w:left w:val="single" w:sz="4" w:space="0" w:color="000000"/>
              <w:right w:val="single" w:sz="4" w:space="0" w:color="000000"/>
            </w:tcBorders>
            <w:textDirection w:val="btLr"/>
          </w:tcPr>
          <w:p>
            <w:pPr>
              <w:pStyle w:val="TableParagraph"/>
              <w:spacing w:before="7"/>
              <w:ind w:left="0"/>
              <w:rPr>
                <w:rFonts w:ascii="Arial"/>
                <w:sz w:val="16"/>
              </w:rPr>
            </w:pPr>
          </w:p>
          <w:p>
            <w:pPr>
              <w:pStyle w:val="TableParagraph"/>
              <w:spacing w:line="247" w:lineRule="auto"/>
              <w:ind w:left="360" w:right="272" w:hanging="152"/>
              <w:rPr>
                <w:rFonts w:ascii="Arial"/>
                <w:b/>
                <w:sz w:val="18"/>
              </w:rPr>
            </w:pPr>
            <w:r>
              <w:rPr>
                <w:rFonts w:ascii="Arial"/>
                <w:b/>
                <w:sz w:val="18"/>
              </w:rPr>
              <w:t>Fe</w:t>
            </w:r>
            <w:r>
              <w:rPr>
                <w:rFonts w:ascii="Arial"/>
                <w:b/>
                <w:w w:val="99"/>
                <w:sz w:val="18"/>
              </w:rPr>
              <w:t>c</w:t>
            </w:r>
            <w:r>
              <w:rPr>
                <w:rFonts w:ascii="Arial"/>
                <w:b/>
                <w:sz w:val="18"/>
              </w:rPr>
              <w:t>h</w:t>
            </w:r>
            <w:r>
              <w:rPr>
                <w:rFonts w:ascii="Arial"/>
                <w:b/>
                <w:spacing w:val="-2"/>
                <w:sz w:val="18"/>
              </w:rPr>
              <w:t>a</w:t>
            </w:r>
            <w:r>
              <w:rPr>
                <w:rFonts w:ascii="Arial"/>
                <w:b/>
                <w:w w:val="99"/>
                <w:sz w:val="18"/>
              </w:rPr>
              <w:t>s</w:t>
            </w:r>
            <w:r>
              <w:rPr>
                <w:rFonts w:ascii="Arial"/>
                <w:b/>
                <w:sz w:val="18"/>
              </w:rPr>
              <w:t> </w:t>
            </w:r>
            <w:r>
              <w:rPr>
                <w:rFonts w:ascii="Arial"/>
                <w:b/>
                <w:spacing w:val="1"/>
                <w:sz w:val="18"/>
              </w:rPr>
              <w:t> </w:t>
            </w:r>
            <w:r>
              <w:rPr>
                <w:rFonts w:ascii="Arial"/>
                <w:b/>
                <w:w w:val="99"/>
                <w:sz w:val="18"/>
              </w:rPr>
              <w:t>y</w:t>
            </w:r>
            <w:r>
              <w:rPr>
                <w:rFonts w:ascii="Arial"/>
                <w:b/>
                <w:sz w:val="18"/>
              </w:rPr>
              <w:t> </w:t>
            </w:r>
            <w:r>
              <w:rPr>
                <w:rFonts w:ascii="Arial"/>
                <w:b/>
                <w:spacing w:val="-2"/>
                <w:w w:val="100"/>
                <w:sz w:val="18"/>
              </w:rPr>
              <w:t>h</w:t>
            </w:r>
            <w:r>
              <w:rPr>
                <w:rFonts w:ascii="Arial"/>
                <w:b/>
                <w:w w:val="99"/>
                <w:sz w:val="18"/>
              </w:rPr>
              <w:t>ora</w:t>
            </w:r>
            <w:r>
              <w:rPr>
                <w:rFonts w:ascii="Arial"/>
                <w:b/>
                <w:sz w:val="18"/>
              </w:rPr>
              <w:t> </w:t>
            </w:r>
            <w:r>
              <w:rPr>
                <w:rFonts w:ascii="Arial"/>
                <w:b/>
                <w:spacing w:val="1"/>
                <w:sz w:val="18"/>
              </w:rPr>
              <w:t> </w:t>
            </w:r>
            <w:r>
              <w:rPr>
                <w:rFonts w:ascii="Arial"/>
                <w:b/>
                <w:spacing w:val="-2"/>
                <w:w w:val="100"/>
                <w:sz w:val="18"/>
              </w:rPr>
              <w:t>d</w:t>
            </w:r>
            <w:r>
              <w:rPr>
                <w:rFonts w:ascii="Arial"/>
                <w:b/>
                <w:w w:val="99"/>
                <w:sz w:val="18"/>
              </w:rPr>
              <w:t>e</w:t>
            </w:r>
            <w:r>
              <w:rPr>
                <w:rFonts w:ascii="Arial"/>
                <w:b/>
                <w:w w:val="100"/>
                <w:sz w:val="18"/>
              </w:rPr>
              <w:t>l </w:t>
            </w:r>
            <w:r>
              <w:rPr>
                <w:rFonts w:ascii="Arial"/>
                <w:b/>
                <w:w w:val="99"/>
                <w:sz w:val="18"/>
              </w:rPr>
              <w:t>eve</w:t>
            </w:r>
            <w:r>
              <w:rPr>
                <w:rFonts w:ascii="Arial"/>
                <w:b/>
                <w:w w:val="100"/>
                <w:sz w:val="18"/>
              </w:rPr>
              <w:t>nto</w:t>
            </w:r>
            <w:r>
              <w:rPr>
                <w:rFonts w:ascii="Arial"/>
                <w:b/>
                <w:spacing w:val="-2"/>
                <w:sz w:val="18"/>
              </w:rPr>
              <w:t> </w:t>
            </w:r>
            <w:r>
              <w:rPr>
                <w:rFonts w:ascii="Arial"/>
                <w:b/>
                <w:w w:val="99"/>
                <w:sz w:val="18"/>
              </w:rPr>
              <w:t>a</w:t>
            </w:r>
            <w:r>
              <w:rPr>
                <w:rFonts w:ascii="Arial"/>
                <w:b/>
                <w:sz w:val="18"/>
              </w:rPr>
              <w:t>dv</w:t>
            </w:r>
            <w:r>
              <w:rPr>
                <w:rFonts w:ascii="Arial"/>
                <w:b/>
                <w:w w:val="99"/>
                <w:sz w:val="18"/>
              </w:rPr>
              <w:t>e</w:t>
            </w:r>
            <w:r>
              <w:rPr>
                <w:rFonts w:ascii="Arial"/>
                <w:b/>
                <w:spacing w:val="-3"/>
                <w:w w:val="99"/>
                <w:sz w:val="18"/>
              </w:rPr>
              <w:t>r</w:t>
            </w:r>
            <w:r>
              <w:rPr>
                <w:rFonts w:ascii="Arial"/>
                <w:b/>
                <w:w w:val="99"/>
                <w:sz w:val="18"/>
              </w:rPr>
              <w:t>s</w:t>
            </w:r>
            <w:r>
              <w:rPr>
                <w:rFonts w:ascii="Arial"/>
                <w:b/>
                <w:w w:val="100"/>
                <w:sz w:val="18"/>
              </w:rPr>
              <w:t>o</w:t>
            </w:r>
          </w:p>
        </w:tc>
        <w:tc>
          <w:tcPr>
            <w:tcW w:w="794" w:type="dxa"/>
            <w:tcBorders>
              <w:left w:val="single" w:sz="4" w:space="0" w:color="000000"/>
              <w:right w:val="single" w:sz="4" w:space="0" w:color="000000"/>
            </w:tcBorders>
            <w:textDirection w:val="btLr"/>
          </w:tcPr>
          <w:p>
            <w:pPr>
              <w:pStyle w:val="TableParagraph"/>
              <w:spacing w:before="8"/>
              <w:ind w:left="0"/>
              <w:rPr>
                <w:rFonts w:ascii="Arial"/>
                <w:sz w:val="19"/>
              </w:rPr>
            </w:pPr>
          </w:p>
          <w:p>
            <w:pPr>
              <w:pStyle w:val="TableParagraph"/>
              <w:spacing w:line="210" w:lineRule="atLeast"/>
              <w:ind w:left="158" w:right="227" w:firstLine="1"/>
              <w:jc w:val="center"/>
              <w:rPr>
                <w:rFonts w:ascii="Arial" w:hAnsi="Arial"/>
                <w:b/>
                <w:sz w:val="18"/>
              </w:rPr>
            </w:pPr>
            <w:r>
              <w:rPr>
                <w:rFonts w:ascii="Arial" w:hAnsi="Arial"/>
                <w:b/>
                <w:w w:val="100"/>
                <w:sz w:val="18"/>
              </w:rPr>
              <w:t>Tu</w:t>
            </w:r>
            <w:r>
              <w:rPr>
                <w:rFonts w:ascii="Arial" w:hAnsi="Arial"/>
                <w:b/>
                <w:w w:val="100"/>
                <w:sz w:val="18"/>
              </w:rPr>
              <w:t>rno </w:t>
            </w:r>
            <w:r>
              <w:rPr>
                <w:rFonts w:ascii="Arial" w:hAnsi="Arial"/>
                <w:b/>
                <w:w w:val="99"/>
                <w:sz w:val="18"/>
              </w:rPr>
              <w:t>e</w:t>
            </w:r>
            <w:r>
              <w:rPr>
                <w:rFonts w:ascii="Arial" w:hAnsi="Arial"/>
                <w:b/>
                <w:w w:val="100"/>
                <w:sz w:val="18"/>
              </w:rPr>
              <w:t>n</w:t>
            </w:r>
            <w:r>
              <w:rPr>
                <w:rFonts w:ascii="Arial" w:hAnsi="Arial"/>
                <w:b/>
                <w:spacing w:val="-2"/>
                <w:sz w:val="18"/>
              </w:rPr>
              <w:t> </w:t>
            </w:r>
            <w:r>
              <w:rPr>
                <w:rFonts w:ascii="Arial" w:hAnsi="Arial"/>
                <w:b/>
                <w:w w:val="100"/>
                <w:sz w:val="18"/>
              </w:rPr>
              <w:t>qu</w:t>
            </w:r>
            <w:r>
              <w:rPr>
                <w:rFonts w:ascii="Arial" w:hAnsi="Arial"/>
                <w:b/>
                <w:w w:val="99"/>
                <w:sz w:val="18"/>
              </w:rPr>
              <w:t>e ac</w:t>
            </w:r>
            <w:r>
              <w:rPr>
                <w:rFonts w:ascii="Arial" w:hAnsi="Arial"/>
                <w:b/>
                <w:w w:val="100"/>
                <w:sz w:val="18"/>
              </w:rPr>
              <w:t>on</w:t>
            </w:r>
            <w:r>
              <w:rPr>
                <w:rFonts w:ascii="Arial" w:hAnsi="Arial"/>
                <w:b/>
                <w:w w:val="99"/>
                <w:sz w:val="18"/>
              </w:rPr>
              <w:t>t</w:t>
            </w:r>
            <w:r>
              <w:rPr>
                <w:rFonts w:ascii="Arial" w:hAnsi="Arial"/>
                <w:b/>
                <w:spacing w:val="-2"/>
                <w:w w:val="99"/>
                <w:sz w:val="18"/>
              </w:rPr>
              <w:t>e</w:t>
            </w:r>
            <w:r>
              <w:rPr>
                <w:rFonts w:ascii="Arial" w:hAnsi="Arial"/>
                <w:b/>
                <w:w w:val="99"/>
                <w:sz w:val="18"/>
              </w:rPr>
              <w:t>c</w:t>
            </w:r>
            <w:r>
              <w:rPr>
                <w:rFonts w:ascii="Arial" w:hAnsi="Arial"/>
                <w:b/>
                <w:w w:val="100"/>
                <w:sz w:val="18"/>
              </w:rPr>
              <w:t>ió</w:t>
            </w:r>
            <w:r>
              <w:rPr>
                <w:rFonts w:ascii="Arial" w:hAnsi="Arial"/>
                <w:b/>
                <w:sz w:val="18"/>
              </w:rPr>
              <w:t> </w:t>
            </w:r>
            <w:r>
              <w:rPr>
                <w:rFonts w:ascii="Arial" w:hAnsi="Arial"/>
                <w:b/>
                <w:spacing w:val="1"/>
                <w:sz w:val="18"/>
              </w:rPr>
              <w:t> </w:t>
            </w:r>
            <w:r>
              <w:rPr>
                <w:rFonts w:ascii="Arial" w:hAnsi="Arial"/>
                <w:b/>
                <w:spacing w:val="-2"/>
                <w:w w:val="99"/>
                <w:sz w:val="18"/>
              </w:rPr>
              <w:t>e</w:t>
            </w:r>
            <w:r>
              <w:rPr>
                <w:rFonts w:ascii="Arial" w:hAnsi="Arial"/>
                <w:b/>
                <w:w w:val="100"/>
                <w:sz w:val="18"/>
              </w:rPr>
              <w:t>l</w:t>
            </w:r>
            <w:r>
              <w:rPr>
                <w:rFonts w:ascii="Arial" w:hAnsi="Arial"/>
                <w:b/>
                <w:sz w:val="18"/>
              </w:rPr>
              <w:t> </w:t>
            </w:r>
            <w:r>
              <w:rPr>
                <w:rFonts w:ascii="Arial" w:hAnsi="Arial"/>
                <w:b/>
                <w:w w:val="99"/>
                <w:sz w:val="18"/>
              </w:rPr>
              <w:t>e</w:t>
            </w:r>
            <w:r>
              <w:rPr>
                <w:rFonts w:ascii="Arial" w:hAnsi="Arial"/>
                <w:b/>
                <w:spacing w:val="-2"/>
                <w:w w:val="99"/>
                <w:sz w:val="18"/>
              </w:rPr>
              <w:t>v</w:t>
            </w:r>
            <w:r>
              <w:rPr>
                <w:rFonts w:ascii="Arial" w:hAnsi="Arial"/>
                <w:b/>
                <w:w w:val="99"/>
                <w:sz w:val="18"/>
              </w:rPr>
              <w:t>e</w:t>
            </w:r>
            <w:r>
              <w:rPr>
                <w:rFonts w:ascii="Arial" w:hAnsi="Arial"/>
                <w:b/>
                <w:w w:val="100"/>
                <w:sz w:val="18"/>
              </w:rPr>
              <w:t>nto </w:t>
            </w:r>
            <w:r>
              <w:rPr>
                <w:rFonts w:ascii="Arial" w:hAnsi="Arial"/>
                <w:b/>
                <w:w w:val="99"/>
                <w:sz w:val="18"/>
              </w:rPr>
              <w:t>a</w:t>
            </w:r>
            <w:r>
              <w:rPr>
                <w:rFonts w:ascii="Arial" w:hAnsi="Arial"/>
                <w:b/>
                <w:sz w:val="18"/>
              </w:rPr>
              <w:t>dv</w:t>
            </w:r>
            <w:r>
              <w:rPr>
                <w:rFonts w:ascii="Arial" w:hAnsi="Arial"/>
                <w:b/>
                <w:w w:val="99"/>
                <w:sz w:val="18"/>
              </w:rPr>
              <w:t>e</w:t>
            </w:r>
            <w:r>
              <w:rPr>
                <w:rFonts w:ascii="Arial" w:hAnsi="Arial"/>
                <w:b/>
                <w:w w:val="99"/>
                <w:sz w:val="18"/>
              </w:rPr>
              <w:t>rso</w:t>
            </w:r>
          </w:p>
        </w:tc>
        <w:tc>
          <w:tcPr>
            <w:tcW w:w="202" w:type="dxa"/>
            <w:tcBorders>
              <w:left w:val="single" w:sz="4" w:space="0" w:color="000000"/>
              <w:right w:val="nil"/>
            </w:tcBorders>
          </w:tcPr>
          <w:p>
            <w:pPr/>
          </w:p>
        </w:tc>
        <w:tc>
          <w:tcPr>
            <w:tcW w:w="533" w:type="dxa"/>
            <w:tcBorders>
              <w:left w:val="nil"/>
              <w:right w:val="single" w:sz="4" w:space="0" w:color="000000"/>
            </w:tcBorders>
            <w:textDirection w:val="btLr"/>
          </w:tcPr>
          <w:p>
            <w:pPr>
              <w:pStyle w:val="TableParagraph"/>
              <w:spacing w:before="109"/>
              <w:ind w:left="69"/>
              <w:rPr>
                <w:rFonts w:ascii="Arial" w:hAnsi="Arial"/>
                <w:b/>
                <w:sz w:val="18"/>
              </w:rPr>
            </w:pPr>
            <w:r>
              <w:rPr>
                <w:rFonts w:ascii="Arial" w:hAnsi="Arial"/>
                <w:b/>
                <w:w w:val="100"/>
                <w:sz w:val="18"/>
              </w:rPr>
              <w:t>Tipo</w:t>
            </w:r>
            <w:r>
              <w:rPr>
                <w:rFonts w:ascii="Arial" w:hAnsi="Arial"/>
                <w:b/>
                <w:sz w:val="18"/>
              </w:rPr>
              <w:t>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100"/>
                <w:sz w:val="18"/>
              </w:rPr>
              <w:t>d</w:t>
            </w:r>
            <w:r>
              <w:rPr>
                <w:rFonts w:ascii="Arial" w:hAnsi="Arial"/>
                <w:b/>
                <w:w w:val="99"/>
                <w:sz w:val="18"/>
              </w:rPr>
              <w:t>a</w:t>
            </w:r>
            <w:r>
              <w:rPr>
                <w:rFonts w:ascii="Arial" w:hAnsi="Arial"/>
                <w:b/>
                <w:w w:val="100"/>
                <w:sz w:val="18"/>
              </w:rPr>
              <w:t>ño</w:t>
            </w:r>
            <w:r>
              <w:rPr>
                <w:rFonts w:ascii="Arial" w:hAnsi="Arial"/>
                <w:b/>
                <w:spacing w:val="-2"/>
                <w:sz w:val="18"/>
              </w:rPr>
              <w:t> </w:t>
            </w:r>
            <w:r>
              <w:rPr>
                <w:rFonts w:ascii="Arial" w:hAnsi="Arial"/>
                <w:b/>
                <w:w w:val="99"/>
                <w:sz w:val="18"/>
              </w:rPr>
              <w:t>ca</w:t>
            </w:r>
            <w:r>
              <w:rPr>
                <w:rFonts w:ascii="Arial" w:hAnsi="Arial"/>
                <w:b/>
                <w:spacing w:val="-2"/>
                <w:w w:val="100"/>
                <w:sz w:val="18"/>
              </w:rPr>
              <w:t>u</w:t>
            </w:r>
            <w:r>
              <w:rPr>
                <w:rFonts w:ascii="Arial" w:hAnsi="Arial"/>
                <w:b/>
                <w:w w:val="99"/>
                <w:sz w:val="18"/>
              </w:rPr>
              <w:t>sa</w:t>
            </w:r>
            <w:r>
              <w:rPr>
                <w:rFonts w:ascii="Arial" w:hAnsi="Arial"/>
                <w:b/>
                <w:w w:val="100"/>
                <w:sz w:val="18"/>
              </w:rPr>
              <w:t>do</w:t>
            </w:r>
          </w:p>
        </w:tc>
        <w:tc>
          <w:tcPr>
            <w:tcW w:w="852" w:type="dxa"/>
            <w:tcBorders>
              <w:left w:val="single" w:sz="4" w:space="0" w:color="000000"/>
              <w:right w:val="single" w:sz="4" w:space="0" w:color="000000"/>
            </w:tcBorders>
            <w:textDirection w:val="btLr"/>
          </w:tcPr>
          <w:p>
            <w:pPr>
              <w:pStyle w:val="TableParagraph"/>
              <w:spacing w:before="5"/>
              <w:ind w:left="0"/>
              <w:rPr>
                <w:rFonts w:ascii="Arial"/>
                <w:sz w:val="22"/>
              </w:rPr>
            </w:pPr>
          </w:p>
          <w:p>
            <w:pPr>
              <w:pStyle w:val="TableParagraph"/>
              <w:spacing w:line="247" w:lineRule="auto"/>
              <w:ind w:right="168" w:firstLine="456"/>
              <w:rPr>
                <w:rFonts w:ascii="Arial" w:hAnsi="Arial"/>
                <w:b/>
                <w:sz w:val="18"/>
              </w:rPr>
            </w:pPr>
            <w:r>
              <w:rPr>
                <w:rFonts w:ascii="Arial" w:hAnsi="Arial"/>
                <w:b/>
                <w:sz w:val="18"/>
              </w:rPr>
              <w:t>Fa</w:t>
            </w:r>
            <w:r>
              <w:rPr>
                <w:rFonts w:ascii="Arial" w:hAnsi="Arial"/>
                <w:b/>
                <w:w w:val="99"/>
                <w:sz w:val="18"/>
              </w:rPr>
              <w:t>c</w:t>
            </w:r>
            <w:r>
              <w:rPr>
                <w:rFonts w:ascii="Arial" w:hAnsi="Arial"/>
                <w:b/>
                <w:w w:val="99"/>
                <w:sz w:val="18"/>
              </w:rPr>
              <w:t>tor </w:t>
            </w:r>
            <w:r>
              <w:rPr>
                <w:rFonts w:ascii="Arial" w:hAnsi="Arial"/>
                <w:b/>
                <w:w w:val="100"/>
                <w:sz w:val="18"/>
              </w:rPr>
              <w:t>q</w:t>
            </w:r>
            <w:r>
              <w:rPr>
                <w:rFonts w:ascii="Arial" w:hAnsi="Arial"/>
                <w:b/>
                <w:spacing w:val="-2"/>
                <w:w w:val="100"/>
                <w:sz w:val="18"/>
              </w:rPr>
              <w:t>u</w:t>
            </w:r>
            <w:r>
              <w:rPr>
                <w:rFonts w:ascii="Arial" w:hAnsi="Arial"/>
                <w:b/>
                <w:w w:val="99"/>
                <w:sz w:val="18"/>
              </w:rPr>
              <w:t>e </w:t>
            </w:r>
            <w:r>
              <w:rPr>
                <w:rFonts w:ascii="Arial" w:hAnsi="Arial"/>
                <w:b/>
                <w:sz w:val="18"/>
              </w:rPr>
              <w:t>de</w:t>
            </w:r>
            <w:r>
              <w:rPr>
                <w:rFonts w:ascii="Arial" w:hAnsi="Arial"/>
                <w:b/>
                <w:w w:val="99"/>
                <w:sz w:val="18"/>
              </w:rPr>
              <w:t>se</w:t>
            </w:r>
            <w:r>
              <w:rPr>
                <w:rFonts w:ascii="Arial" w:hAnsi="Arial"/>
                <w:b/>
                <w:spacing w:val="-2"/>
                <w:w w:val="100"/>
                <w:sz w:val="18"/>
              </w:rPr>
              <w:t>n</w:t>
            </w:r>
            <w:r>
              <w:rPr>
                <w:rFonts w:ascii="Arial" w:hAnsi="Arial"/>
                <w:b/>
                <w:w w:val="99"/>
                <w:sz w:val="18"/>
              </w:rPr>
              <w:t>c</w:t>
            </w:r>
            <w:r>
              <w:rPr>
                <w:rFonts w:ascii="Arial" w:hAnsi="Arial"/>
                <w:b/>
                <w:spacing w:val="1"/>
                <w:w w:val="99"/>
                <w:sz w:val="18"/>
              </w:rPr>
              <w:t>a</w:t>
            </w:r>
            <w:r>
              <w:rPr>
                <w:rFonts w:ascii="Arial" w:hAnsi="Arial"/>
                <w:b/>
                <w:sz w:val="18"/>
              </w:rPr>
              <w:t>de</w:t>
            </w:r>
            <w:r>
              <w:rPr>
                <w:rFonts w:ascii="Arial" w:hAnsi="Arial"/>
                <w:b/>
                <w:spacing w:val="-2"/>
                <w:w w:val="100"/>
                <w:sz w:val="18"/>
              </w:rPr>
              <w:t>n</w:t>
            </w:r>
            <w:r>
              <w:rPr>
                <w:rFonts w:ascii="Arial" w:hAnsi="Arial"/>
                <w:b/>
                <w:w w:val="100"/>
                <w:sz w:val="18"/>
              </w:rPr>
              <w:t>o</w:t>
            </w:r>
            <w:r>
              <w:rPr>
                <w:rFonts w:ascii="Arial" w:hAnsi="Arial"/>
                <w:b/>
                <w:sz w:val="18"/>
              </w:rPr>
              <w:t> </w:t>
            </w:r>
            <w:r>
              <w:rPr>
                <w:rFonts w:ascii="Arial" w:hAnsi="Arial"/>
                <w:b/>
                <w:w w:val="99"/>
                <w:sz w:val="18"/>
              </w:rPr>
              <w:t>e</w:t>
            </w:r>
            <w:r>
              <w:rPr>
                <w:rFonts w:ascii="Arial" w:hAnsi="Arial"/>
                <w:b/>
                <w:w w:val="100"/>
                <w:sz w:val="18"/>
              </w:rPr>
              <w:t>l</w:t>
            </w:r>
            <w:r>
              <w:rPr>
                <w:rFonts w:ascii="Arial" w:hAnsi="Arial"/>
                <w:b/>
                <w:spacing w:val="-2"/>
                <w:sz w:val="18"/>
              </w:rPr>
              <w:t> </w:t>
            </w:r>
            <w:r>
              <w:rPr>
                <w:rFonts w:ascii="Arial" w:hAnsi="Arial"/>
                <w:b/>
                <w:sz w:val="18"/>
              </w:rPr>
              <w:t>da</w:t>
            </w:r>
            <w:r>
              <w:rPr>
                <w:rFonts w:ascii="Arial" w:hAnsi="Arial"/>
                <w:b/>
                <w:w w:val="100"/>
                <w:sz w:val="18"/>
              </w:rPr>
              <w:t>ño</w:t>
            </w:r>
          </w:p>
        </w:tc>
        <w:tc>
          <w:tcPr>
            <w:tcW w:w="1133" w:type="dxa"/>
            <w:tcBorders>
              <w:left w:val="single" w:sz="4" w:space="0" w:color="000000"/>
              <w:right w:val="single" w:sz="4" w:space="0" w:color="000000"/>
            </w:tcBorders>
            <w:textDirection w:val="btLr"/>
          </w:tcPr>
          <w:p>
            <w:pPr>
              <w:pStyle w:val="TableParagraph"/>
              <w:spacing w:before="2"/>
              <w:ind w:left="0"/>
              <w:rPr>
                <w:rFonts w:ascii="Arial"/>
                <w:sz w:val="16"/>
              </w:rPr>
            </w:pPr>
          </w:p>
          <w:p>
            <w:pPr>
              <w:pStyle w:val="TableParagraph"/>
              <w:spacing w:line="247" w:lineRule="auto"/>
              <w:ind w:left="660" w:right="191" w:hanging="533"/>
              <w:rPr>
                <w:rFonts w:ascii="Arial" w:hAnsi="Arial"/>
                <w:b/>
                <w:sz w:val="18"/>
              </w:rPr>
            </w:pPr>
            <w:r>
              <w:rPr>
                <w:rFonts w:ascii="Arial" w:hAnsi="Arial"/>
                <w:b/>
                <w:w w:val="99"/>
                <w:sz w:val="18"/>
              </w:rPr>
              <w:t>Día</w:t>
            </w:r>
            <w:r>
              <w:rPr>
                <w:rFonts w:ascii="Arial" w:hAnsi="Arial"/>
                <w:b/>
                <w:w w:val="99"/>
                <w:sz w:val="18"/>
              </w:rPr>
              <w:t>s</w:t>
            </w:r>
            <w:r>
              <w:rPr>
                <w:rFonts w:ascii="Arial" w:hAnsi="Arial"/>
                <w:b/>
                <w:sz w:val="18"/>
              </w:rPr>
              <w:t> </w:t>
            </w:r>
            <w:r>
              <w:rPr>
                <w:rFonts w:ascii="Arial" w:hAnsi="Arial"/>
                <w:b/>
                <w:w w:val="100"/>
                <w:sz w:val="18"/>
              </w:rPr>
              <w:t>q</w:t>
            </w:r>
            <w:r>
              <w:rPr>
                <w:rFonts w:ascii="Arial" w:hAnsi="Arial"/>
                <w:b/>
                <w:sz w:val="18"/>
              </w:rPr>
              <w:t>ue</w:t>
            </w:r>
            <w:r>
              <w:rPr>
                <w:rFonts w:ascii="Arial" w:hAnsi="Arial"/>
                <w:b/>
                <w:spacing w:val="-1"/>
                <w:sz w:val="18"/>
              </w:rPr>
              <w:t> </w:t>
            </w:r>
            <w:r>
              <w:rPr>
                <w:rFonts w:ascii="Arial" w:hAnsi="Arial"/>
                <w:b/>
                <w:w w:val="100"/>
                <w:sz w:val="18"/>
              </w:rPr>
              <w:t>prolon</w:t>
            </w:r>
            <w:r>
              <w:rPr>
                <w:rFonts w:ascii="Arial" w:hAnsi="Arial"/>
                <w:b/>
                <w:spacing w:val="-2"/>
                <w:w w:val="100"/>
                <w:sz w:val="18"/>
              </w:rPr>
              <w:t>g</w:t>
            </w:r>
            <w:r>
              <w:rPr>
                <w:rFonts w:ascii="Arial" w:hAnsi="Arial"/>
                <w:b/>
                <w:w w:val="100"/>
                <w:sz w:val="18"/>
              </w:rPr>
              <w:t>ó</w:t>
            </w:r>
            <w:r>
              <w:rPr>
                <w:rFonts w:ascii="Arial" w:hAnsi="Arial"/>
                <w:b/>
                <w:spacing w:val="1"/>
                <w:sz w:val="18"/>
              </w:rPr>
              <w:t> </w:t>
            </w:r>
            <w:r>
              <w:rPr>
                <w:rFonts w:ascii="Arial" w:hAnsi="Arial"/>
                <w:b/>
                <w:sz w:val="18"/>
              </w:rPr>
              <w:t>la </w:t>
            </w:r>
            <w:r>
              <w:rPr>
                <w:rFonts w:ascii="Arial" w:hAnsi="Arial"/>
                <w:b/>
                <w:w w:val="99"/>
                <w:sz w:val="18"/>
              </w:rPr>
              <w:t>es</w:t>
            </w:r>
            <w:r>
              <w:rPr>
                <w:rFonts w:ascii="Arial" w:hAnsi="Arial"/>
                <w:b/>
                <w:w w:val="99"/>
                <w:sz w:val="18"/>
              </w:rPr>
              <w:t>ta</w:t>
            </w:r>
            <w:r>
              <w:rPr>
                <w:rFonts w:ascii="Arial" w:hAnsi="Arial"/>
                <w:b/>
                <w:sz w:val="18"/>
              </w:rPr>
              <w:t>n</w:t>
            </w:r>
            <w:r>
              <w:rPr>
                <w:rFonts w:ascii="Arial" w:hAnsi="Arial"/>
                <w:b/>
                <w:spacing w:val="-2"/>
                <w:sz w:val="18"/>
              </w:rPr>
              <w:t>c</w:t>
            </w:r>
            <w:r>
              <w:rPr>
                <w:rFonts w:ascii="Arial" w:hAnsi="Arial"/>
                <w:b/>
                <w:sz w:val="18"/>
              </w:rPr>
              <w:t>ia</w:t>
            </w:r>
          </w:p>
          <w:p>
            <w:pPr>
              <w:pStyle w:val="TableParagraph"/>
              <w:spacing w:line="247" w:lineRule="auto"/>
              <w:ind w:left="674" w:right="140" w:hanging="603"/>
              <w:rPr>
                <w:rFonts w:ascii="Arial"/>
                <w:b/>
                <w:sz w:val="18"/>
              </w:rPr>
            </w:pPr>
            <w:r>
              <w:rPr>
                <w:rFonts w:ascii="Arial"/>
                <w:b/>
                <w:w w:val="100"/>
                <w:sz w:val="18"/>
              </w:rPr>
              <w:t>h</w:t>
            </w:r>
            <w:r>
              <w:rPr>
                <w:rFonts w:ascii="Arial"/>
                <w:b/>
                <w:sz w:val="18"/>
              </w:rPr>
              <w:t>os</w:t>
            </w:r>
            <w:r>
              <w:rPr>
                <w:rFonts w:ascii="Arial"/>
                <w:b/>
                <w:w w:val="100"/>
                <w:sz w:val="18"/>
              </w:rPr>
              <w:t>pi</w:t>
            </w:r>
            <w:r>
              <w:rPr>
                <w:rFonts w:ascii="Arial"/>
                <w:b/>
                <w:w w:val="99"/>
                <w:sz w:val="18"/>
              </w:rPr>
              <w:t>ta</w:t>
            </w:r>
            <w:r>
              <w:rPr>
                <w:rFonts w:ascii="Arial"/>
                <w:b/>
                <w:spacing w:val="-2"/>
                <w:w w:val="100"/>
                <w:sz w:val="18"/>
              </w:rPr>
              <w:t>l</w:t>
            </w:r>
            <w:r>
              <w:rPr>
                <w:rFonts w:ascii="Arial"/>
                <w:b/>
                <w:w w:val="99"/>
                <w:sz w:val="18"/>
              </w:rPr>
              <w:t>a</w:t>
            </w:r>
            <w:r>
              <w:rPr>
                <w:rFonts w:ascii="Arial"/>
                <w:b/>
                <w:w w:val="99"/>
                <w:sz w:val="18"/>
              </w:rPr>
              <w:t>ria</w:t>
            </w:r>
            <w:r>
              <w:rPr>
                <w:rFonts w:ascii="Arial"/>
                <w:b/>
                <w:sz w:val="18"/>
              </w:rPr>
              <w:t> </w:t>
            </w:r>
            <w:r>
              <w:rPr>
                <w:rFonts w:ascii="Arial"/>
                <w:b/>
                <w:spacing w:val="-1"/>
                <w:sz w:val="18"/>
              </w:rPr>
              <w:t> </w:t>
            </w:r>
            <w:r>
              <w:rPr>
                <w:rFonts w:ascii="Arial"/>
                <w:b/>
                <w:w w:val="99"/>
                <w:sz w:val="18"/>
              </w:rPr>
              <w:t>e</w:t>
            </w:r>
            <w:r>
              <w:rPr>
                <w:rFonts w:ascii="Arial"/>
                <w:b/>
                <w:w w:val="100"/>
                <w:sz w:val="18"/>
              </w:rPr>
              <w:t>l</w:t>
            </w:r>
            <w:r>
              <w:rPr>
                <w:rFonts w:ascii="Arial"/>
                <w:b/>
                <w:sz w:val="18"/>
              </w:rPr>
              <w:t> </w:t>
            </w:r>
            <w:r>
              <w:rPr>
                <w:rFonts w:ascii="Arial"/>
                <w:b/>
                <w:spacing w:val="-2"/>
                <w:w w:val="99"/>
                <w:sz w:val="18"/>
              </w:rPr>
              <w:t>e</w:t>
            </w:r>
            <w:r>
              <w:rPr>
                <w:rFonts w:ascii="Arial"/>
                <w:b/>
                <w:w w:val="99"/>
                <w:sz w:val="18"/>
              </w:rPr>
              <w:t>ve</w:t>
            </w:r>
            <w:r>
              <w:rPr>
                <w:rFonts w:ascii="Arial"/>
                <w:b/>
                <w:w w:val="100"/>
                <w:sz w:val="18"/>
              </w:rPr>
              <w:t>nto </w:t>
            </w:r>
            <w:r>
              <w:rPr>
                <w:rFonts w:ascii="Arial"/>
                <w:b/>
                <w:w w:val="99"/>
                <w:sz w:val="18"/>
              </w:rPr>
              <w:t>a</w:t>
            </w:r>
            <w:r>
              <w:rPr>
                <w:rFonts w:ascii="Arial"/>
                <w:b/>
                <w:sz w:val="18"/>
              </w:rPr>
              <w:t>dv</w:t>
            </w:r>
            <w:r>
              <w:rPr>
                <w:rFonts w:ascii="Arial"/>
                <w:b/>
                <w:w w:val="99"/>
                <w:sz w:val="18"/>
              </w:rPr>
              <w:t>e</w:t>
            </w:r>
            <w:r>
              <w:rPr>
                <w:rFonts w:ascii="Arial"/>
                <w:b/>
                <w:w w:val="99"/>
                <w:sz w:val="18"/>
              </w:rPr>
              <w:t>rso</w:t>
            </w:r>
          </w:p>
        </w:tc>
        <w:tc>
          <w:tcPr>
            <w:tcW w:w="708" w:type="dxa"/>
            <w:tcBorders>
              <w:left w:val="single" w:sz="4" w:space="0" w:color="000000"/>
            </w:tcBorders>
            <w:textDirection w:val="btLr"/>
          </w:tcPr>
          <w:p>
            <w:pPr>
              <w:pStyle w:val="TableParagraph"/>
              <w:spacing w:before="9"/>
              <w:ind w:left="0"/>
              <w:rPr>
                <w:rFonts w:ascii="Arial"/>
                <w:sz w:val="15"/>
              </w:rPr>
            </w:pPr>
          </w:p>
          <w:p>
            <w:pPr>
              <w:pStyle w:val="TableParagraph"/>
              <w:spacing w:line="247" w:lineRule="auto"/>
              <w:ind w:left="835" w:right="227" w:hanging="672"/>
              <w:rPr>
                <w:rFonts w:ascii="Arial" w:hAnsi="Arial"/>
                <w:b/>
                <w:sz w:val="18"/>
              </w:rPr>
            </w:pPr>
            <w:r>
              <w:rPr>
                <w:rFonts w:ascii="Arial" w:hAnsi="Arial"/>
                <w:b/>
                <w:w w:val="99"/>
                <w:sz w:val="18"/>
              </w:rPr>
              <w:t>Dia</w:t>
            </w:r>
            <w:r>
              <w:rPr>
                <w:rFonts w:ascii="Arial" w:hAnsi="Arial"/>
                <w:b/>
                <w:w w:val="100"/>
                <w:sz w:val="18"/>
              </w:rPr>
              <w:t>gn</w:t>
            </w:r>
            <w:r>
              <w:rPr>
                <w:rFonts w:ascii="Arial" w:hAnsi="Arial"/>
                <w:b/>
                <w:sz w:val="18"/>
              </w:rPr>
              <w:t>ós</w:t>
            </w:r>
            <w:r>
              <w:rPr>
                <w:rFonts w:ascii="Arial" w:hAnsi="Arial"/>
                <w:b/>
                <w:w w:val="100"/>
                <w:sz w:val="18"/>
              </w:rPr>
              <w:t>t</w:t>
            </w:r>
            <w:r>
              <w:rPr>
                <w:rFonts w:ascii="Arial" w:hAnsi="Arial"/>
                <w:b/>
                <w:spacing w:val="-2"/>
                <w:w w:val="100"/>
                <w:sz w:val="18"/>
              </w:rPr>
              <w:t>i</w:t>
            </w:r>
            <w:r>
              <w:rPr>
                <w:rFonts w:ascii="Arial" w:hAnsi="Arial"/>
                <w:b/>
                <w:w w:val="99"/>
                <w:sz w:val="18"/>
              </w:rPr>
              <w:t>c</w:t>
            </w:r>
            <w:r>
              <w:rPr>
                <w:rFonts w:ascii="Arial" w:hAnsi="Arial"/>
                <w:b/>
                <w:w w:val="100"/>
                <w:sz w:val="18"/>
              </w:rPr>
              <w:t>o</w:t>
            </w:r>
            <w:r>
              <w:rPr>
                <w:rFonts w:ascii="Arial" w:hAnsi="Arial"/>
                <w:b/>
                <w:sz w:val="18"/>
              </w:rPr>
              <w:t> </w:t>
            </w:r>
            <w:r>
              <w:rPr>
                <w:rFonts w:ascii="Arial" w:hAnsi="Arial"/>
                <w:b/>
                <w:spacing w:val="-2"/>
                <w:w w:val="99"/>
                <w:sz w:val="18"/>
              </w:rPr>
              <w:t>m</w:t>
            </w:r>
            <w:r>
              <w:rPr>
                <w:rFonts w:ascii="Arial" w:hAnsi="Arial"/>
                <w:b/>
                <w:w w:val="99"/>
                <w:sz w:val="18"/>
              </w:rPr>
              <w:t>é</w:t>
            </w:r>
            <w:r>
              <w:rPr>
                <w:rFonts w:ascii="Arial" w:hAnsi="Arial"/>
                <w:b/>
                <w:w w:val="100"/>
                <w:sz w:val="18"/>
              </w:rPr>
              <w:t>di</w:t>
            </w:r>
            <w:r>
              <w:rPr>
                <w:rFonts w:ascii="Arial" w:hAnsi="Arial"/>
                <w:b/>
                <w:w w:val="99"/>
                <w:sz w:val="18"/>
              </w:rPr>
              <w:t>c</w:t>
            </w:r>
            <w:r>
              <w:rPr>
                <w:rFonts w:ascii="Arial" w:hAnsi="Arial"/>
                <w:b/>
                <w:w w:val="100"/>
                <w:sz w:val="18"/>
              </w:rPr>
              <w:t>o fin</w:t>
            </w:r>
            <w:r>
              <w:rPr>
                <w:rFonts w:ascii="Arial" w:hAnsi="Arial"/>
                <w:b/>
                <w:w w:val="99"/>
                <w:sz w:val="18"/>
              </w:rPr>
              <w:t>a</w:t>
            </w:r>
            <w:r>
              <w:rPr>
                <w:rFonts w:ascii="Arial" w:hAnsi="Arial"/>
                <w:b/>
                <w:w w:val="100"/>
                <w:sz w:val="18"/>
              </w:rPr>
              <w:t>l</w:t>
            </w:r>
          </w:p>
        </w:tc>
      </w:tr>
      <w:tr>
        <w:trPr>
          <w:trHeight w:val="451" w:hRule="exact"/>
        </w:trPr>
        <w:tc>
          <w:tcPr>
            <w:tcW w:w="708" w:type="dxa"/>
            <w:tcBorders>
              <w:bottom w:val="single" w:sz="4" w:space="0" w:color="000000"/>
              <w:right w:val="single" w:sz="4" w:space="0" w:color="000000"/>
            </w:tcBorders>
          </w:tcPr>
          <w:p>
            <w:pPr/>
          </w:p>
        </w:tc>
        <w:tc>
          <w:tcPr>
            <w:tcW w:w="850" w:type="dxa"/>
            <w:tcBorders>
              <w:left w:val="single" w:sz="4" w:space="0" w:color="000000"/>
              <w:bottom w:val="single" w:sz="4" w:space="0" w:color="000000"/>
              <w:right w:val="single" w:sz="4" w:space="0" w:color="000000"/>
            </w:tcBorders>
          </w:tcPr>
          <w:p>
            <w:pPr/>
          </w:p>
        </w:tc>
        <w:tc>
          <w:tcPr>
            <w:tcW w:w="819" w:type="dxa"/>
            <w:tcBorders>
              <w:left w:val="single" w:sz="4" w:space="0" w:color="000000"/>
              <w:bottom w:val="single" w:sz="4" w:space="0" w:color="000000"/>
              <w:right w:val="single" w:sz="4" w:space="0" w:color="000000"/>
            </w:tcBorders>
          </w:tcPr>
          <w:p>
            <w:pPr/>
          </w:p>
        </w:tc>
        <w:tc>
          <w:tcPr>
            <w:tcW w:w="1015" w:type="dxa"/>
            <w:tcBorders>
              <w:left w:val="single" w:sz="4" w:space="0" w:color="000000"/>
              <w:bottom w:val="single" w:sz="4" w:space="0" w:color="000000"/>
              <w:right w:val="single" w:sz="4" w:space="0" w:color="000000"/>
            </w:tcBorders>
          </w:tcPr>
          <w:p>
            <w:pPr/>
          </w:p>
        </w:tc>
        <w:tc>
          <w:tcPr>
            <w:tcW w:w="852" w:type="dxa"/>
            <w:tcBorders>
              <w:left w:val="single" w:sz="4" w:space="0" w:color="000000"/>
              <w:bottom w:val="single" w:sz="4" w:space="0" w:color="000000"/>
              <w:right w:val="single" w:sz="4" w:space="0" w:color="000000"/>
            </w:tcBorders>
          </w:tcPr>
          <w:p>
            <w:pPr/>
          </w:p>
        </w:tc>
        <w:tc>
          <w:tcPr>
            <w:tcW w:w="715" w:type="dxa"/>
            <w:tcBorders>
              <w:left w:val="single" w:sz="4" w:space="0" w:color="000000"/>
              <w:bottom w:val="single" w:sz="4" w:space="0" w:color="000000"/>
              <w:right w:val="single" w:sz="4" w:space="0" w:color="000000"/>
            </w:tcBorders>
          </w:tcPr>
          <w:p>
            <w:pPr/>
          </w:p>
        </w:tc>
        <w:tc>
          <w:tcPr>
            <w:tcW w:w="794" w:type="dxa"/>
            <w:tcBorders>
              <w:left w:val="single" w:sz="4" w:space="0" w:color="000000"/>
              <w:bottom w:val="single" w:sz="4" w:space="0" w:color="000000"/>
              <w:right w:val="single" w:sz="4" w:space="0" w:color="000000"/>
            </w:tcBorders>
          </w:tcPr>
          <w:p>
            <w:pPr/>
          </w:p>
        </w:tc>
        <w:tc>
          <w:tcPr>
            <w:tcW w:w="735" w:type="dxa"/>
            <w:gridSpan w:val="2"/>
            <w:tcBorders>
              <w:left w:val="single" w:sz="4" w:space="0" w:color="000000"/>
              <w:bottom w:val="single" w:sz="4" w:space="0" w:color="000000"/>
              <w:right w:val="single" w:sz="4" w:space="0" w:color="000000"/>
            </w:tcBorders>
          </w:tcPr>
          <w:p>
            <w:pPr/>
          </w:p>
        </w:tc>
        <w:tc>
          <w:tcPr>
            <w:tcW w:w="852" w:type="dxa"/>
            <w:tcBorders>
              <w:left w:val="single" w:sz="4" w:space="0" w:color="000000"/>
              <w:bottom w:val="single" w:sz="4" w:space="0" w:color="000000"/>
              <w:right w:val="single" w:sz="4" w:space="0" w:color="000000"/>
            </w:tcBorders>
          </w:tcPr>
          <w:p>
            <w:pPr/>
          </w:p>
        </w:tc>
        <w:tc>
          <w:tcPr>
            <w:tcW w:w="1133" w:type="dxa"/>
            <w:tcBorders>
              <w:left w:val="single" w:sz="4" w:space="0" w:color="000000"/>
              <w:bottom w:val="single" w:sz="4" w:space="0" w:color="000000"/>
              <w:right w:val="single" w:sz="4" w:space="0" w:color="000000"/>
            </w:tcBorders>
          </w:tcPr>
          <w:p>
            <w:pPr/>
          </w:p>
        </w:tc>
        <w:tc>
          <w:tcPr>
            <w:tcW w:w="708" w:type="dxa"/>
            <w:tcBorders>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
        </w:tc>
        <w:tc>
          <w:tcPr>
            <w:tcW w:w="819" w:type="dxa"/>
            <w:tcBorders>
              <w:top w:val="single" w:sz="4" w:space="0" w:color="000000"/>
              <w:left w:val="single" w:sz="4" w:space="0" w:color="000000"/>
              <w:bottom w:val="single" w:sz="4" w:space="0" w:color="000000"/>
              <w:right w:val="single" w:sz="4" w:space="0" w:color="000000"/>
            </w:tcBorders>
          </w:tcPr>
          <w:p>
            <w:pPr/>
          </w:p>
        </w:tc>
        <w:tc>
          <w:tcPr>
            <w:tcW w:w="101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715" w:type="dxa"/>
            <w:tcBorders>
              <w:top w:val="single" w:sz="4" w:space="0" w:color="000000"/>
              <w:left w:val="single" w:sz="4" w:space="0" w:color="000000"/>
              <w:bottom w:val="single" w:sz="4" w:space="0" w:color="000000"/>
              <w:right w:val="single" w:sz="4" w:space="0" w:color="000000"/>
            </w:tcBorders>
          </w:tcPr>
          <w:p>
            <w:pPr/>
          </w:p>
        </w:tc>
        <w:tc>
          <w:tcPr>
            <w:tcW w:w="794" w:type="dxa"/>
            <w:tcBorders>
              <w:top w:val="single" w:sz="4" w:space="0" w:color="000000"/>
              <w:left w:val="single" w:sz="4" w:space="0" w:color="000000"/>
              <w:bottom w:val="single" w:sz="4" w:space="0" w:color="000000"/>
              <w:right w:val="single" w:sz="4" w:space="0" w:color="000000"/>
            </w:tcBorders>
          </w:tcPr>
          <w:p>
            <w:pPr/>
          </w:p>
        </w:tc>
        <w:tc>
          <w:tcPr>
            <w:tcW w:w="735" w:type="dxa"/>
            <w:gridSpan w:val="2"/>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1133"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tcBorders>
          </w:tcPr>
          <w:p>
            <w:pPr/>
          </w:p>
        </w:tc>
      </w:tr>
      <w:tr>
        <w:trPr>
          <w:trHeight w:val="442" w:hRule="exact"/>
        </w:trPr>
        <w:tc>
          <w:tcPr>
            <w:tcW w:w="708" w:type="dxa"/>
            <w:tcBorders>
              <w:top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
        </w:tc>
        <w:tc>
          <w:tcPr>
            <w:tcW w:w="819" w:type="dxa"/>
            <w:tcBorders>
              <w:top w:val="single" w:sz="4" w:space="0" w:color="000000"/>
              <w:left w:val="single" w:sz="4" w:space="0" w:color="000000"/>
              <w:bottom w:val="single" w:sz="4" w:space="0" w:color="000000"/>
              <w:right w:val="single" w:sz="4" w:space="0" w:color="000000"/>
            </w:tcBorders>
          </w:tcPr>
          <w:p>
            <w:pPr/>
          </w:p>
        </w:tc>
        <w:tc>
          <w:tcPr>
            <w:tcW w:w="101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715" w:type="dxa"/>
            <w:tcBorders>
              <w:top w:val="single" w:sz="4" w:space="0" w:color="000000"/>
              <w:left w:val="single" w:sz="4" w:space="0" w:color="000000"/>
              <w:bottom w:val="single" w:sz="4" w:space="0" w:color="000000"/>
              <w:right w:val="single" w:sz="4" w:space="0" w:color="000000"/>
            </w:tcBorders>
          </w:tcPr>
          <w:p>
            <w:pPr/>
          </w:p>
        </w:tc>
        <w:tc>
          <w:tcPr>
            <w:tcW w:w="794" w:type="dxa"/>
            <w:tcBorders>
              <w:top w:val="single" w:sz="4" w:space="0" w:color="000000"/>
              <w:left w:val="single" w:sz="4" w:space="0" w:color="000000"/>
              <w:bottom w:val="single" w:sz="4" w:space="0" w:color="000000"/>
              <w:right w:val="single" w:sz="4" w:space="0" w:color="000000"/>
            </w:tcBorders>
          </w:tcPr>
          <w:p>
            <w:pPr/>
          </w:p>
        </w:tc>
        <w:tc>
          <w:tcPr>
            <w:tcW w:w="735" w:type="dxa"/>
            <w:gridSpan w:val="2"/>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1133"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
        </w:tc>
        <w:tc>
          <w:tcPr>
            <w:tcW w:w="819" w:type="dxa"/>
            <w:tcBorders>
              <w:top w:val="single" w:sz="4" w:space="0" w:color="000000"/>
              <w:left w:val="single" w:sz="4" w:space="0" w:color="000000"/>
              <w:bottom w:val="single" w:sz="4" w:space="0" w:color="000000"/>
              <w:right w:val="single" w:sz="4" w:space="0" w:color="000000"/>
            </w:tcBorders>
          </w:tcPr>
          <w:p>
            <w:pPr/>
          </w:p>
        </w:tc>
        <w:tc>
          <w:tcPr>
            <w:tcW w:w="101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715" w:type="dxa"/>
            <w:tcBorders>
              <w:top w:val="single" w:sz="4" w:space="0" w:color="000000"/>
              <w:left w:val="single" w:sz="4" w:space="0" w:color="000000"/>
              <w:bottom w:val="single" w:sz="4" w:space="0" w:color="000000"/>
              <w:right w:val="single" w:sz="4" w:space="0" w:color="000000"/>
            </w:tcBorders>
          </w:tcPr>
          <w:p>
            <w:pPr/>
          </w:p>
        </w:tc>
        <w:tc>
          <w:tcPr>
            <w:tcW w:w="794" w:type="dxa"/>
            <w:tcBorders>
              <w:top w:val="single" w:sz="4" w:space="0" w:color="000000"/>
              <w:left w:val="single" w:sz="4" w:space="0" w:color="000000"/>
              <w:bottom w:val="single" w:sz="4" w:space="0" w:color="000000"/>
              <w:right w:val="single" w:sz="4" w:space="0" w:color="000000"/>
            </w:tcBorders>
          </w:tcPr>
          <w:p>
            <w:pPr/>
          </w:p>
        </w:tc>
        <w:tc>
          <w:tcPr>
            <w:tcW w:w="735" w:type="dxa"/>
            <w:gridSpan w:val="2"/>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1133"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
        </w:tc>
        <w:tc>
          <w:tcPr>
            <w:tcW w:w="819" w:type="dxa"/>
            <w:tcBorders>
              <w:top w:val="single" w:sz="4" w:space="0" w:color="000000"/>
              <w:left w:val="single" w:sz="4" w:space="0" w:color="000000"/>
              <w:bottom w:val="single" w:sz="4" w:space="0" w:color="000000"/>
              <w:right w:val="single" w:sz="4" w:space="0" w:color="000000"/>
            </w:tcBorders>
          </w:tcPr>
          <w:p>
            <w:pPr/>
          </w:p>
        </w:tc>
        <w:tc>
          <w:tcPr>
            <w:tcW w:w="101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715" w:type="dxa"/>
            <w:tcBorders>
              <w:top w:val="single" w:sz="4" w:space="0" w:color="000000"/>
              <w:left w:val="single" w:sz="4" w:space="0" w:color="000000"/>
              <w:bottom w:val="single" w:sz="4" w:space="0" w:color="000000"/>
              <w:right w:val="single" w:sz="4" w:space="0" w:color="000000"/>
            </w:tcBorders>
          </w:tcPr>
          <w:p>
            <w:pPr/>
          </w:p>
        </w:tc>
        <w:tc>
          <w:tcPr>
            <w:tcW w:w="794" w:type="dxa"/>
            <w:tcBorders>
              <w:top w:val="single" w:sz="4" w:space="0" w:color="000000"/>
              <w:left w:val="single" w:sz="4" w:space="0" w:color="000000"/>
              <w:bottom w:val="single" w:sz="4" w:space="0" w:color="000000"/>
              <w:right w:val="single" w:sz="4" w:space="0" w:color="000000"/>
            </w:tcBorders>
          </w:tcPr>
          <w:p>
            <w:pPr/>
          </w:p>
        </w:tc>
        <w:tc>
          <w:tcPr>
            <w:tcW w:w="735" w:type="dxa"/>
            <w:gridSpan w:val="2"/>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1133"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tcBorders>
          </w:tcPr>
          <w:p>
            <w:pPr/>
          </w:p>
        </w:tc>
      </w:tr>
      <w:tr>
        <w:trPr>
          <w:trHeight w:val="442" w:hRule="exact"/>
        </w:trPr>
        <w:tc>
          <w:tcPr>
            <w:tcW w:w="708" w:type="dxa"/>
            <w:tcBorders>
              <w:top w:val="single" w:sz="4" w:space="0" w:color="000000"/>
              <w:bottom w:val="single" w:sz="4" w:space="0" w:color="000000"/>
              <w:right w:val="single" w:sz="4" w:space="0" w:color="000000"/>
            </w:tcBorders>
          </w:tcPr>
          <w:p>
            <w:pPr/>
          </w:p>
        </w:tc>
        <w:tc>
          <w:tcPr>
            <w:tcW w:w="850" w:type="dxa"/>
            <w:tcBorders>
              <w:top w:val="single" w:sz="4" w:space="0" w:color="000000"/>
              <w:left w:val="single" w:sz="4" w:space="0" w:color="000000"/>
              <w:bottom w:val="single" w:sz="4" w:space="0" w:color="000000"/>
              <w:right w:val="single" w:sz="4" w:space="0" w:color="000000"/>
            </w:tcBorders>
          </w:tcPr>
          <w:p>
            <w:pPr/>
          </w:p>
        </w:tc>
        <w:tc>
          <w:tcPr>
            <w:tcW w:w="819" w:type="dxa"/>
            <w:tcBorders>
              <w:top w:val="single" w:sz="4" w:space="0" w:color="000000"/>
              <w:left w:val="single" w:sz="4" w:space="0" w:color="000000"/>
              <w:bottom w:val="single" w:sz="4" w:space="0" w:color="000000"/>
              <w:right w:val="single" w:sz="4" w:space="0" w:color="000000"/>
            </w:tcBorders>
          </w:tcPr>
          <w:p>
            <w:pPr/>
          </w:p>
        </w:tc>
        <w:tc>
          <w:tcPr>
            <w:tcW w:w="101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715" w:type="dxa"/>
            <w:tcBorders>
              <w:top w:val="single" w:sz="4" w:space="0" w:color="000000"/>
              <w:left w:val="single" w:sz="4" w:space="0" w:color="000000"/>
              <w:bottom w:val="single" w:sz="4" w:space="0" w:color="000000"/>
              <w:right w:val="single" w:sz="4" w:space="0" w:color="000000"/>
            </w:tcBorders>
          </w:tcPr>
          <w:p>
            <w:pPr/>
          </w:p>
        </w:tc>
        <w:tc>
          <w:tcPr>
            <w:tcW w:w="794" w:type="dxa"/>
            <w:tcBorders>
              <w:top w:val="single" w:sz="4" w:space="0" w:color="000000"/>
              <w:left w:val="single" w:sz="4" w:space="0" w:color="000000"/>
              <w:bottom w:val="single" w:sz="4" w:space="0" w:color="000000"/>
              <w:right w:val="single" w:sz="4" w:space="0" w:color="000000"/>
            </w:tcBorders>
          </w:tcPr>
          <w:p>
            <w:pPr/>
          </w:p>
        </w:tc>
        <w:tc>
          <w:tcPr>
            <w:tcW w:w="735" w:type="dxa"/>
            <w:gridSpan w:val="2"/>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1133"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tcBorders>
          </w:tcPr>
          <w:p>
            <w:pPr/>
          </w:p>
        </w:tc>
      </w:tr>
      <w:tr>
        <w:trPr>
          <w:trHeight w:val="451" w:hRule="exact"/>
        </w:trPr>
        <w:tc>
          <w:tcPr>
            <w:tcW w:w="708" w:type="dxa"/>
            <w:tcBorders>
              <w:top w:val="single" w:sz="4" w:space="0" w:color="000000"/>
              <w:right w:val="single" w:sz="4" w:space="0" w:color="000000"/>
            </w:tcBorders>
          </w:tcPr>
          <w:p>
            <w:pPr/>
          </w:p>
        </w:tc>
        <w:tc>
          <w:tcPr>
            <w:tcW w:w="850" w:type="dxa"/>
            <w:tcBorders>
              <w:top w:val="single" w:sz="4" w:space="0" w:color="000000"/>
              <w:left w:val="single" w:sz="4" w:space="0" w:color="000000"/>
              <w:right w:val="single" w:sz="4" w:space="0" w:color="000000"/>
            </w:tcBorders>
          </w:tcPr>
          <w:p>
            <w:pPr/>
          </w:p>
        </w:tc>
        <w:tc>
          <w:tcPr>
            <w:tcW w:w="819" w:type="dxa"/>
            <w:tcBorders>
              <w:top w:val="single" w:sz="4" w:space="0" w:color="000000"/>
              <w:left w:val="single" w:sz="4" w:space="0" w:color="000000"/>
              <w:right w:val="single" w:sz="4" w:space="0" w:color="000000"/>
            </w:tcBorders>
          </w:tcPr>
          <w:p>
            <w:pPr/>
          </w:p>
        </w:tc>
        <w:tc>
          <w:tcPr>
            <w:tcW w:w="1015" w:type="dxa"/>
            <w:tcBorders>
              <w:top w:val="single" w:sz="4" w:space="0" w:color="000000"/>
              <w:left w:val="single" w:sz="4" w:space="0" w:color="000000"/>
              <w:right w:val="single" w:sz="4" w:space="0" w:color="000000"/>
            </w:tcBorders>
          </w:tcPr>
          <w:p>
            <w:pPr/>
          </w:p>
        </w:tc>
        <w:tc>
          <w:tcPr>
            <w:tcW w:w="852" w:type="dxa"/>
            <w:tcBorders>
              <w:top w:val="single" w:sz="4" w:space="0" w:color="000000"/>
              <w:left w:val="single" w:sz="4" w:space="0" w:color="000000"/>
              <w:right w:val="single" w:sz="4" w:space="0" w:color="000000"/>
            </w:tcBorders>
          </w:tcPr>
          <w:p>
            <w:pPr/>
          </w:p>
        </w:tc>
        <w:tc>
          <w:tcPr>
            <w:tcW w:w="715" w:type="dxa"/>
            <w:tcBorders>
              <w:top w:val="single" w:sz="4" w:space="0" w:color="000000"/>
              <w:left w:val="single" w:sz="4" w:space="0" w:color="000000"/>
              <w:right w:val="single" w:sz="4" w:space="0" w:color="000000"/>
            </w:tcBorders>
          </w:tcPr>
          <w:p>
            <w:pPr/>
          </w:p>
        </w:tc>
        <w:tc>
          <w:tcPr>
            <w:tcW w:w="794" w:type="dxa"/>
            <w:tcBorders>
              <w:top w:val="single" w:sz="4" w:space="0" w:color="000000"/>
              <w:left w:val="single" w:sz="4" w:space="0" w:color="000000"/>
              <w:right w:val="single" w:sz="4" w:space="0" w:color="000000"/>
            </w:tcBorders>
          </w:tcPr>
          <w:p>
            <w:pPr/>
          </w:p>
        </w:tc>
        <w:tc>
          <w:tcPr>
            <w:tcW w:w="735" w:type="dxa"/>
            <w:gridSpan w:val="2"/>
            <w:tcBorders>
              <w:top w:val="single" w:sz="4" w:space="0" w:color="000000"/>
              <w:left w:val="single" w:sz="4" w:space="0" w:color="000000"/>
              <w:right w:val="single" w:sz="4" w:space="0" w:color="000000"/>
            </w:tcBorders>
          </w:tcPr>
          <w:p>
            <w:pPr/>
          </w:p>
        </w:tc>
        <w:tc>
          <w:tcPr>
            <w:tcW w:w="852" w:type="dxa"/>
            <w:tcBorders>
              <w:top w:val="single" w:sz="4" w:space="0" w:color="000000"/>
              <w:left w:val="single" w:sz="4" w:space="0" w:color="000000"/>
              <w:right w:val="single" w:sz="4" w:space="0" w:color="000000"/>
            </w:tcBorders>
          </w:tcPr>
          <w:p>
            <w:pPr/>
          </w:p>
        </w:tc>
        <w:tc>
          <w:tcPr>
            <w:tcW w:w="1133" w:type="dxa"/>
            <w:tcBorders>
              <w:top w:val="single" w:sz="4" w:space="0" w:color="000000"/>
              <w:left w:val="single" w:sz="4" w:space="0" w:color="000000"/>
              <w:right w:val="single" w:sz="4" w:space="0" w:color="000000"/>
            </w:tcBorders>
          </w:tcPr>
          <w:p>
            <w:pPr/>
          </w:p>
        </w:tc>
        <w:tc>
          <w:tcPr>
            <w:tcW w:w="708" w:type="dxa"/>
            <w:tcBorders>
              <w:top w:val="single" w:sz="4" w:space="0" w:color="000000"/>
              <w:left w:val="single" w:sz="4" w:space="0" w:color="000000"/>
            </w:tcBorders>
          </w:tcPr>
          <w:p>
            <w:pPr/>
          </w:p>
        </w:tc>
      </w:tr>
    </w:tbl>
    <w:p>
      <w:pPr>
        <w:spacing w:line="227" w:lineRule="exact" w:before="0"/>
        <w:ind w:left="2180" w:right="0" w:firstLine="0"/>
        <w:jc w:val="left"/>
        <w:rPr>
          <w:sz w:val="20"/>
        </w:rPr>
      </w:pPr>
      <w:r>
        <w:rPr>
          <w:sz w:val="20"/>
        </w:rPr>
        <w:t>Nombre y firma de la responsable del levantamiento de datos</w:t>
      </w:r>
    </w:p>
    <w:p>
      <w:pPr>
        <w:pStyle w:val="BodyText"/>
        <w:spacing w:before="1"/>
        <w:rPr>
          <w:sz w:val="25"/>
        </w:rPr>
      </w:pPr>
      <w:r>
        <w:rPr/>
        <w:pict>
          <v:group style="position:absolute;margin-left:189.085007pt;margin-top:16.384155pt;width:261.8pt;height:.65pt;mso-position-horizontal-relative:page;mso-position-vertical-relative:paragraph;z-index:3088;mso-wrap-distance-left:0;mso-wrap-distance-right:0" coordorigin="3782,328" coordsize="5236,13">
            <v:line style="position:absolute" from="3788,334" to="4563,334" stroked="true" strokeweight=".627480pt" strokecolor="#000000"/>
            <v:line style="position:absolute" from="4566,334" to="9011,334" stroked="true" strokeweight=".627480pt" strokecolor="#000000"/>
            <w10:wrap type="topAndBottom"/>
          </v:group>
        </w:pict>
      </w:r>
    </w:p>
    <w:p>
      <w:pPr>
        <w:spacing w:after="0"/>
        <w:rPr>
          <w:sz w:val="25"/>
        </w:rPr>
        <w:sectPr>
          <w:pgSz w:w="12240" w:h="15840"/>
          <w:pgMar w:header="739" w:footer="928" w:top="1300" w:bottom="1120" w:left="1500" w:right="880"/>
        </w:sectPr>
      </w:pPr>
    </w:p>
    <w:p>
      <w:pPr>
        <w:pStyle w:val="BodyText"/>
        <w:rPr>
          <w:sz w:val="20"/>
        </w:rPr>
      </w:pPr>
      <w:r>
        <w:rPr/>
        <w:pict>
          <v:line style="position:absolute;mso-position-horizontal-relative:page;mso-position-vertical-relative:page;z-index:3208" from="97.823997pt,56.16pt" to="542.643997pt,56.16pt" stroked="true" strokeweight=".48pt" strokecolor="#000000">
            <w10:wrap type="none"/>
          </v:line>
        </w:pict>
      </w:r>
    </w:p>
    <w:p>
      <w:pPr>
        <w:pStyle w:val="BodyText"/>
        <w:rPr>
          <w:sz w:val="20"/>
        </w:rPr>
      </w:pPr>
    </w:p>
    <w:p>
      <w:pPr>
        <w:pStyle w:val="BodyText"/>
        <w:spacing w:before="5"/>
        <w:rPr>
          <w:sz w:val="17"/>
        </w:rPr>
      </w:pPr>
    </w:p>
    <w:p>
      <w:pPr>
        <w:spacing w:before="0"/>
        <w:ind w:left="2058" w:right="2112" w:firstLine="0"/>
        <w:jc w:val="center"/>
        <w:rPr>
          <w:b/>
          <w:sz w:val="22"/>
        </w:rPr>
      </w:pPr>
      <w:r>
        <w:rPr/>
        <w:drawing>
          <wp:anchor distT="0" distB="0" distL="0" distR="0" allowOverlap="1" layoutInCell="1" locked="0" behindDoc="0" simplePos="0" relativeHeight="3232">
            <wp:simplePos x="0" y="0"/>
            <wp:positionH relativeFrom="page">
              <wp:posOffset>6129528</wp:posOffset>
            </wp:positionH>
            <wp:positionV relativeFrom="paragraph">
              <wp:posOffset>-27713</wp:posOffset>
            </wp:positionV>
            <wp:extent cx="1013459" cy="818388"/>
            <wp:effectExtent l="0" t="0" r="0" b="0"/>
            <wp:wrapNone/>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59" cstate="print"/>
                    <a:stretch>
                      <a:fillRect/>
                    </a:stretch>
                  </pic:blipFill>
                  <pic:spPr>
                    <a:xfrm>
                      <a:off x="0" y="0"/>
                      <a:ext cx="1013459" cy="818388"/>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1021841</wp:posOffset>
            </wp:positionH>
            <wp:positionV relativeFrom="paragraph">
              <wp:posOffset>-47813</wp:posOffset>
            </wp:positionV>
            <wp:extent cx="1053421" cy="803915"/>
            <wp:effectExtent l="0" t="0" r="0" b="0"/>
            <wp:wrapNone/>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60" cstate="print"/>
                    <a:stretch>
                      <a:fillRect/>
                    </a:stretch>
                  </pic:blipFill>
                  <pic:spPr>
                    <a:xfrm>
                      <a:off x="0" y="0"/>
                      <a:ext cx="1053421" cy="803915"/>
                    </a:xfrm>
                    <a:prstGeom prst="rect">
                      <a:avLst/>
                    </a:prstGeom>
                  </pic:spPr>
                </pic:pic>
              </a:graphicData>
            </a:graphic>
          </wp:anchor>
        </w:drawing>
      </w:r>
      <w:r>
        <w:rPr>
          <w:b/>
          <w:sz w:val="22"/>
        </w:rPr>
        <w:t>UNIVERSIDAD AUTÓNOMA DEL ESTADO DE MÉXICO</w:t>
      </w:r>
    </w:p>
    <w:p>
      <w:pPr>
        <w:pStyle w:val="BodyText"/>
        <w:rPr>
          <w:b/>
          <w:sz w:val="22"/>
        </w:rPr>
      </w:pPr>
    </w:p>
    <w:p>
      <w:pPr>
        <w:pStyle w:val="BodyText"/>
        <w:spacing w:before="10"/>
        <w:rPr>
          <w:b/>
          <w:sz w:val="21"/>
        </w:rPr>
      </w:pPr>
    </w:p>
    <w:p>
      <w:pPr>
        <w:spacing w:before="1"/>
        <w:ind w:left="2058" w:right="2112" w:firstLine="0"/>
        <w:jc w:val="center"/>
        <w:rPr>
          <w:b/>
          <w:sz w:val="22"/>
        </w:rPr>
      </w:pPr>
      <w:r>
        <w:rPr>
          <w:b/>
          <w:sz w:val="22"/>
        </w:rPr>
        <w:t>FACULTAD DE ENFERMERÍA Y OBSTETRICIA</w:t>
      </w:r>
    </w:p>
    <w:p>
      <w:pPr>
        <w:spacing w:before="128"/>
        <w:ind w:left="2058" w:right="2110" w:firstLine="0"/>
        <w:jc w:val="center"/>
        <w:rPr>
          <w:sz w:val="22"/>
        </w:rPr>
      </w:pPr>
      <w:r>
        <w:rPr>
          <w:sz w:val="22"/>
        </w:rPr>
        <w:t>MAESTRÍA EN TERAPIA INTENSIVA</w:t>
      </w:r>
    </w:p>
    <w:p>
      <w:pPr>
        <w:pStyle w:val="BodyText"/>
        <w:rPr>
          <w:sz w:val="22"/>
        </w:rPr>
      </w:pPr>
    </w:p>
    <w:p>
      <w:pPr>
        <w:pStyle w:val="BodyText"/>
        <w:spacing w:before="10"/>
        <w:rPr>
          <w:sz w:val="21"/>
        </w:rPr>
      </w:pPr>
    </w:p>
    <w:p>
      <w:pPr>
        <w:spacing w:before="1"/>
        <w:ind w:left="2057" w:right="2113" w:firstLine="0"/>
        <w:jc w:val="center"/>
        <w:rPr>
          <w:b/>
          <w:sz w:val="22"/>
        </w:rPr>
      </w:pPr>
      <w:r>
        <w:rPr>
          <w:b/>
          <w:sz w:val="22"/>
          <w:u w:val="thick"/>
        </w:rPr>
        <w:t>PROPUESTA DE CÉDULA DE CAPTACION DE DATOS</w:t>
      </w:r>
    </w:p>
    <w:p>
      <w:pPr>
        <w:pStyle w:val="BodyText"/>
        <w:rPr>
          <w:b/>
          <w:sz w:val="20"/>
        </w:rPr>
      </w:pPr>
    </w:p>
    <w:p>
      <w:pPr>
        <w:pStyle w:val="BodyText"/>
        <w:spacing w:before="9"/>
        <w:rPr>
          <w:b/>
          <w:sz w:val="20"/>
        </w:rPr>
      </w:pPr>
    </w:p>
    <w:p>
      <w:pPr>
        <w:spacing w:line="362" w:lineRule="auto" w:before="0"/>
        <w:ind w:left="485" w:right="532" w:firstLine="0"/>
        <w:jc w:val="both"/>
        <w:rPr>
          <w:sz w:val="20"/>
        </w:rPr>
      </w:pPr>
      <w:r>
        <w:rPr>
          <w:b/>
          <w:sz w:val="20"/>
        </w:rPr>
        <w:t>OBJETIVO DE SU APLICACIÓN: </w:t>
      </w:r>
      <w:r>
        <w:rPr>
          <w:sz w:val="20"/>
        </w:rPr>
        <w:t>La presenta cédula de CAPTACIÓN DE DATOS tiene como objetivo conocer la incidencia de eventos adversos relacionados a terapia de infusión intravenosa, los tipos y los factores que interviene para que se presenten durante la atención de enfermería en pacientes obstétricas en un hospital de tercer nivel de Toluca</w:t>
      </w:r>
    </w:p>
    <w:p>
      <w:pPr>
        <w:pStyle w:val="BodyText"/>
        <w:spacing w:before="9"/>
        <w:rPr>
          <w:sz w:val="29"/>
        </w:rPr>
      </w:pPr>
    </w:p>
    <w:p>
      <w:pPr>
        <w:spacing w:line="360" w:lineRule="auto" w:before="0"/>
        <w:ind w:left="485" w:right="541" w:firstLine="0"/>
        <w:jc w:val="both"/>
        <w:rPr>
          <w:sz w:val="20"/>
        </w:rPr>
      </w:pPr>
      <w:r>
        <w:rPr>
          <w:b/>
          <w:sz w:val="20"/>
        </w:rPr>
        <w:t>JUSTIFICACIÓN: </w:t>
      </w:r>
      <w:r>
        <w:rPr>
          <w:sz w:val="20"/>
        </w:rPr>
        <w:t>La información obtenida es este estudio será utilizada para mejorar la calidad de atención de enfermería en cuanto a seguridad del paciente, se refiere mediante la prevención de eventos adversos relacionados a terapia de infusión intravenosa en pacientes obstétricas de un hospital de tercer nivel de Toluca. Cabe mencionar que la información recabada será estrictamente confidencial.</w:t>
      </w:r>
    </w:p>
    <w:p>
      <w:pPr>
        <w:pStyle w:val="BodyText"/>
        <w:rPr>
          <w:sz w:val="20"/>
        </w:rPr>
      </w:pPr>
    </w:p>
    <w:p>
      <w:pPr>
        <w:pStyle w:val="BodyText"/>
        <w:spacing w:before="7"/>
        <w:rPr>
          <w:sz w:val="10"/>
        </w:rPr>
      </w:pPr>
    </w:p>
    <w:tbl>
      <w:tblPr>
        <w:tblW w:w="0" w:type="auto"/>
        <w:jc w:val="left"/>
        <w:tblInd w:w="36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708"/>
        <w:gridCol w:w="677"/>
        <w:gridCol w:w="425"/>
        <w:gridCol w:w="425"/>
        <w:gridCol w:w="569"/>
        <w:gridCol w:w="566"/>
        <w:gridCol w:w="425"/>
        <w:gridCol w:w="708"/>
        <w:gridCol w:w="569"/>
        <w:gridCol w:w="566"/>
        <w:gridCol w:w="567"/>
        <w:gridCol w:w="566"/>
        <w:gridCol w:w="425"/>
        <w:gridCol w:w="852"/>
        <w:gridCol w:w="574"/>
      </w:tblGrid>
      <w:tr>
        <w:trPr>
          <w:trHeight w:val="2136" w:hRule="exact"/>
        </w:trPr>
        <w:tc>
          <w:tcPr>
            <w:tcW w:w="708" w:type="dxa"/>
            <w:tcBorders>
              <w:right w:val="single" w:sz="4" w:space="0" w:color="000000"/>
            </w:tcBorders>
            <w:textDirection w:val="btLr"/>
          </w:tcPr>
          <w:p>
            <w:pPr>
              <w:pStyle w:val="TableParagraph"/>
              <w:spacing w:before="8"/>
              <w:ind w:left="0"/>
              <w:rPr>
                <w:rFonts w:ascii="Arial"/>
                <w:sz w:val="24"/>
              </w:rPr>
            </w:pPr>
          </w:p>
          <w:p>
            <w:pPr>
              <w:pStyle w:val="TableParagraph"/>
              <w:ind w:left="319"/>
              <w:rPr>
                <w:rFonts w:ascii="Arial" w:hAnsi="Arial"/>
                <w:b/>
                <w:sz w:val="18"/>
              </w:rPr>
            </w:pPr>
            <w:r>
              <w:rPr>
                <w:rFonts w:ascii="Arial" w:hAnsi="Arial"/>
                <w:b/>
                <w:w w:val="99"/>
                <w:sz w:val="18"/>
              </w:rPr>
              <w:t>Núm</w:t>
            </w:r>
            <w:r>
              <w:rPr>
                <w:rFonts w:ascii="Arial" w:hAnsi="Arial"/>
                <w:b/>
                <w:w w:val="99"/>
                <w:sz w:val="18"/>
              </w:rPr>
              <w:t>e</w:t>
            </w:r>
            <w:r>
              <w:rPr>
                <w:rFonts w:ascii="Arial" w:hAnsi="Arial"/>
                <w:b/>
                <w:sz w:val="18"/>
              </w:rPr>
              <w:t>ro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99"/>
                <w:sz w:val="18"/>
              </w:rPr>
              <w:t>cas</w:t>
            </w:r>
            <w:r>
              <w:rPr>
                <w:rFonts w:ascii="Arial" w:hAnsi="Arial"/>
                <w:b/>
                <w:w w:val="100"/>
                <w:sz w:val="18"/>
              </w:rPr>
              <w:t>o</w:t>
            </w:r>
          </w:p>
        </w:tc>
        <w:tc>
          <w:tcPr>
            <w:tcW w:w="677" w:type="dxa"/>
            <w:tcBorders>
              <w:left w:val="single" w:sz="4" w:space="0" w:color="000000"/>
              <w:right w:val="single" w:sz="4" w:space="0" w:color="000000"/>
            </w:tcBorders>
            <w:textDirection w:val="btLr"/>
          </w:tcPr>
          <w:p>
            <w:pPr>
              <w:pStyle w:val="TableParagraph"/>
              <w:spacing w:line="244" w:lineRule="auto" w:before="66"/>
              <w:ind w:left="564" w:right="227" w:hanging="401"/>
              <w:rPr>
                <w:rFonts w:ascii="Arial" w:hAnsi="Arial"/>
                <w:b/>
                <w:sz w:val="18"/>
              </w:rPr>
            </w:pPr>
            <w:r>
              <w:rPr>
                <w:rFonts w:ascii="Arial" w:hAnsi="Arial"/>
                <w:b/>
                <w:w w:val="99"/>
                <w:sz w:val="18"/>
              </w:rPr>
              <w:t>Dia</w:t>
            </w:r>
            <w:r>
              <w:rPr>
                <w:rFonts w:ascii="Arial" w:hAnsi="Arial"/>
                <w:b/>
                <w:w w:val="100"/>
                <w:sz w:val="18"/>
              </w:rPr>
              <w:t>gn</w:t>
            </w:r>
            <w:r>
              <w:rPr>
                <w:rFonts w:ascii="Arial" w:hAnsi="Arial"/>
                <w:b/>
                <w:sz w:val="18"/>
              </w:rPr>
              <w:t>ós</w:t>
            </w:r>
            <w:r>
              <w:rPr>
                <w:rFonts w:ascii="Arial" w:hAnsi="Arial"/>
                <w:b/>
                <w:w w:val="100"/>
                <w:sz w:val="18"/>
              </w:rPr>
              <w:t>t</w:t>
            </w:r>
            <w:r>
              <w:rPr>
                <w:rFonts w:ascii="Arial" w:hAnsi="Arial"/>
                <w:b/>
                <w:spacing w:val="-2"/>
                <w:w w:val="100"/>
                <w:sz w:val="18"/>
              </w:rPr>
              <w:t>i</w:t>
            </w:r>
            <w:r>
              <w:rPr>
                <w:rFonts w:ascii="Arial" w:hAnsi="Arial"/>
                <w:b/>
                <w:w w:val="99"/>
                <w:sz w:val="18"/>
              </w:rPr>
              <w:t>c</w:t>
            </w:r>
            <w:r>
              <w:rPr>
                <w:rFonts w:ascii="Arial" w:hAnsi="Arial"/>
                <w:b/>
                <w:w w:val="100"/>
                <w:sz w:val="18"/>
              </w:rPr>
              <w:t>o</w:t>
            </w:r>
            <w:r>
              <w:rPr>
                <w:rFonts w:ascii="Arial" w:hAnsi="Arial"/>
                <w:b/>
                <w:sz w:val="18"/>
              </w:rPr>
              <w:t> </w:t>
            </w:r>
            <w:r>
              <w:rPr>
                <w:rFonts w:ascii="Arial" w:hAnsi="Arial"/>
                <w:b/>
                <w:spacing w:val="-2"/>
                <w:w w:val="99"/>
                <w:sz w:val="18"/>
              </w:rPr>
              <w:t>m</w:t>
            </w:r>
            <w:r>
              <w:rPr>
                <w:rFonts w:ascii="Arial" w:hAnsi="Arial"/>
                <w:b/>
                <w:w w:val="99"/>
                <w:sz w:val="18"/>
              </w:rPr>
              <w:t>é</w:t>
            </w:r>
            <w:r>
              <w:rPr>
                <w:rFonts w:ascii="Arial" w:hAnsi="Arial"/>
                <w:b/>
                <w:w w:val="100"/>
                <w:sz w:val="18"/>
              </w:rPr>
              <w:t>di</w:t>
            </w:r>
            <w:r>
              <w:rPr>
                <w:rFonts w:ascii="Arial" w:hAnsi="Arial"/>
                <w:b/>
                <w:w w:val="99"/>
                <w:sz w:val="18"/>
              </w:rPr>
              <w:t>c</w:t>
            </w:r>
            <w:r>
              <w:rPr>
                <w:rFonts w:ascii="Arial" w:hAnsi="Arial"/>
                <w:b/>
                <w:w w:val="100"/>
                <w:sz w:val="18"/>
              </w:rPr>
              <w:t>o </w:t>
            </w:r>
            <w:r>
              <w:rPr>
                <w:rFonts w:ascii="Arial" w:hAnsi="Arial"/>
                <w:b/>
                <w:sz w:val="18"/>
              </w:rPr>
              <w:t>de </w:t>
            </w:r>
            <w:r>
              <w:rPr>
                <w:rFonts w:ascii="Arial" w:hAnsi="Arial"/>
                <w:b/>
                <w:w w:val="100"/>
                <w:sz w:val="18"/>
              </w:rPr>
              <w:t>i</w:t>
            </w:r>
            <w:r>
              <w:rPr>
                <w:rFonts w:ascii="Arial" w:hAnsi="Arial"/>
                <w:b/>
                <w:w w:val="100"/>
                <w:sz w:val="18"/>
              </w:rPr>
              <w:t>ng</w:t>
            </w:r>
            <w:r>
              <w:rPr>
                <w:rFonts w:ascii="Arial" w:hAnsi="Arial"/>
                <w:b/>
                <w:w w:val="99"/>
                <w:sz w:val="18"/>
              </w:rPr>
              <w:t>r</w:t>
            </w:r>
            <w:r>
              <w:rPr>
                <w:rFonts w:ascii="Arial" w:hAnsi="Arial"/>
                <w:b/>
                <w:spacing w:val="-3"/>
                <w:w w:val="99"/>
                <w:sz w:val="18"/>
              </w:rPr>
              <w:t>e</w:t>
            </w:r>
            <w:r>
              <w:rPr>
                <w:rFonts w:ascii="Arial" w:hAnsi="Arial"/>
                <w:b/>
                <w:w w:val="99"/>
                <w:sz w:val="18"/>
              </w:rPr>
              <w:t>s</w:t>
            </w:r>
            <w:r>
              <w:rPr>
                <w:rFonts w:ascii="Arial" w:hAnsi="Arial"/>
                <w:b/>
                <w:w w:val="100"/>
                <w:sz w:val="18"/>
              </w:rPr>
              <w:t>o</w:t>
            </w:r>
          </w:p>
        </w:tc>
        <w:tc>
          <w:tcPr>
            <w:tcW w:w="425" w:type="dxa"/>
            <w:tcBorders>
              <w:left w:val="single" w:sz="4" w:space="0" w:color="000000"/>
              <w:right w:val="single" w:sz="4" w:space="0" w:color="000000"/>
            </w:tcBorders>
            <w:textDirection w:val="btLr"/>
          </w:tcPr>
          <w:p>
            <w:pPr>
              <w:pStyle w:val="TableParagraph"/>
              <w:spacing w:before="103"/>
              <w:ind w:left="482" w:right="547"/>
              <w:jc w:val="center"/>
              <w:rPr>
                <w:rFonts w:ascii="Arial"/>
                <w:b/>
                <w:sz w:val="18"/>
              </w:rPr>
            </w:pPr>
            <w:r>
              <w:rPr>
                <w:rFonts w:ascii="Arial"/>
                <w:b/>
                <w:sz w:val="18"/>
              </w:rPr>
              <w:t>Eda</w:t>
            </w:r>
            <w:r>
              <w:rPr>
                <w:rFonts w:ascii="Arial"/>
                <w:b/>
                <w:w w:val="100"/>
                <w:sz w:val="18"/>
              </w:rPr>
              <w:t>d</w:t>
            </w:r>
          </w:p>
        </w:tc>
        <w:tc>
          <w:tcPr>
            <w:tcW w:w="425" w:type="dxa"/>
            <w:tcBorders>
              <w:left w:val="single" w:sz="4" w:space="0" w:color="000000"/>
              <w:right w:val="single" w:sz="4" w:space="0" w:color="000000"/>
            </w:tcBorders>
            <w:textDirection w:val="btLr"/>
          </w:tcPr>
          <w:p>
            <w:pPr>
              <w:pStyle w:val="TableParagraph"/>
              <w:spacing w:before="102"/>
              <w:ind w:left="518"/>
              <w:rPr>
                <w:rFonts w:ascii="Arial"/>
                <w:b/>
                <w:sz w:val="18"/>
              </w:rPr>
            </w:pPr>
            <w:r>
              <w:rPr>
                <w:rFonts w:ascii="Arial"/>
                <w:b/>
                <w:w w:val="99"/>
                <w:sz w:val="18"/>
              </w:rPr>
              <w:t>Esta</w:t>
            </w:r>
            <w:r>
              <w:rPr>
                <w:rFonts w:ascii="Arial"/>
                <w:b/>
                <w:w w:val="100"/>
                <w:sz w:val="18"/>
              </w:rPr>
              <w:t>do</w:t>
            </w:r>
            <w:r>
              <w:rPr>
                <w:rFonts w:ascii="Arial"/>
                <w:b/>
                <w:sz w:val="18"/>
              </w:rPr>
              <w:t> </w:t>
            </w:r>
            <w:r>
              <w:rPr>
                <w:rFonts w:ascii="Arial"/>
                <w:b/>
                <w:spacing w:val="-2"/>
                <w:w w:val="99"/>
                <w:sz w:val="18"/>
              </w:rPr>
              <w:t>c</w:t>
            </w:r>
            <w:r>
              <w:rPr>
                <w:rFonts w:ascii="Arial"/>
                <w:b/>
                <w:w w:val="100"/>
                <w:sz w:val="18"/>
              </w:rPr>
              <w:t>iv</w:t>
            </w:r>
            <w:r>
              <w:rPr>
                <w:rFonts w:ascii="Arial"/>
                <w:b/>
                <w:w w:val="100"/>
                <w:sz w:val="18"/>
              </w:rPr>
              <w:t>il</w:t>
            </w:r>
          </w:p>
        </w:tc>
        <w:tc>
          <w:tcPr>
            <w:tcW w:w="569" w:type="dxa"/>
            <w:tcBorders>
              <w:left w:val="single" w:sz="4" w:space="0" w:color="000000"/>
              <w:right w:val="single" w:sz="4" w:space="0" w:color="000000"/>
            </w:tcBorders>
            <w:textDirection w:val="btLr"/>
          </w:tcPr>
          <w:p>
            <w:pPr>
              <w:pStyle w:val="TableParagraph"/>
              <w:spacing w:before="6"/>
              <w:ind w:left="0"/>
              <w:rPr>
                <w:rFonts w:ascii="Arial"/>
                <w:sz w:val="19"/>
              </w:rPr>
            </w:pPr>
          </w:p>
          <w:p>
            <w:pPr>
              <w:pStyle w:val="TableParagraph"/>
              <w:ind w:left="508"/>
              <w:rPr>
                <w:rFonts w:ascii="Arial"/>
                <w:b/>
                <w:sz w:val="18"/>
              </w:rPr>
            </w:pPr>
            <w:r>
              <w:rPr>
                <w:rFonts w:ascii="Arial"/>
                <w:b/>
                <w:w w:val="99"/>
                <w:sz w:val="18"/>
              </w:rPr>
              <w:t>Es</w:t>
            </w:r>
            <w:r>
              <w:rPr>
                <w:rFonts w:ascii="Arial"/>
                <w:b/>
                <w:w w:val="99"/>
                <w:sz w:val="18"/>
              </w:rPr>
              <w:t>c</w:t>
            </w:r>
            <w:r>
              <w:rPr>
                <w:rFonts w:ascii="Arial"/>
                <w:b/>
                <w:w w:val="100"/>
                <w:sz w:val="18"/>
              </w:rPr>
              <w:t>ol</w:t>
            </w:r>
            <w:r>
              <w:rPr>
                <w:rFonts w:ascii="Arial"/>
                <w:b/>
                <w:w w:val="99"/>
                <w:sz w:val="18"/>
              </w:rPr>
              <w:t>a</w:t>
            </w:r>
            <w:r>
              <w:rPr>
                <w:rFonts w:ascii="Arial"/>
                <w:b/>
                <w:w w:val="100"/>
                <w:sz w:val="18"/>
              </w:rPr>
              <w:t>ri</w:t>
            </w:r>
            <w:r>
              <w:rPr>
                <w:rFonts w:ascii="Arial"/>
                <w:b/>
                <w:spacing w:val="-2"/>
                <w:w w:val="100"/>
                <w:sz w:val="18"/>
              </w:rPr>
              <w:t>d</w:t>
            </w:r>
            <w:r>
              <w:rPr>
                <w:rFonts w:ascii="Arial"/>
                <w:b/>
                <w:w w:val="99"/>
                <w:sz w:val="18"/>
              </w:rPr>
              <w:t>a</w:t>
            </w:r>
            <w:r>
              <w:rPr>
                <w:rFonts w:ascii="Arial"/>
                <w:b/>
                <w:w w:val="100"/>
                <w:sz w:val="18"/>
              </w:rPr>
              <w:t>d</w:t>
            </w:r>
          </w:p>
        </w:tc>
        <w:tc>
          <w:tcPr>
            <w:tcW w:w="566" w:type="dxa"/>
            <w:tcBorders>
              <w:left w:val="single" w:sz="4" w:space="0" w:color="000000"/>
              <w:right w:val="single" w:sz="4" w:space="0" w:color="000000"/>
            </w:tcBorders>
            <w:textDirection w:val="btLr"/>
          </w:tcPr>
          <w:p>
            <w:pPr>
              <w:pStyle w:val="TableParagraph"/>
              <w:spacing w:before="102"/>
              <w:ind w:left="554"/>
              <w:rPr>
                <w:rFonts w:ascii="Arial" w:hAnsi="Arial"/>
                <w:b/>
                <w:sz w:val="18"/>
              </w:rPr>
            </w:pPr>
            <w:r>
              <w:rPr>
                <w:rFonts w:ascii="Arial" w:hAnsi="Arial"/>
                <w:b/>
                <w:spacing w:val="-1"/>
                <w:w w:val="100"/>
                <w:sz w:val="18"/>
              </w:rPr>
              <w:t>O</w:t>
            </w:r>
            <w:r>
              <w:rPr>
                <w:rFonts w:ascii="Arial" w:hAnsi="Arial"/>
                <w:b/>
                <w:w w:val="99"/>
                <w:sz w:val="18"/>
              </w:rPr>
              <w:t>c</w:t>
            </w:r>
            <w:r>
              <w:rPr>
                <w:rFonts w:ascii="Arial" w:hAnsi="Arial"/>
                <w:b/>
                <w:w w:val="100"/>
                <w:sz w:val="18"/>
              </w:rPr>
              <w:t>up</w:t>
            </w:r>
            <w:r>
              <w:rPr>
                <w:rFonts w:ascii="Arial" w:hAnsi="Arial"/>
                <w:b/>
                <w:w w:val="99"/>
                <w:sz w:val="18"/>
              </w:rPr>
              <w:t>ac</w:t>
            </w:r>
            <w:r>
              <w:rPr>
                <w:rFonts w:ascii="Arial" w:hAnsi="Arial"/>
                <w:b/>
                <w:w w:val="100"/>
                <w:sz w:val="18"/>
              </w:rPr>
              <w:t>ión</w:t>
            </w:r>
          </w:p>
        </w:tc>
        <w:tc>
          <w:tcPr>
            <w:tcW w:w="425" w:type="dxa"/>
            <w:tcBorders>
              <w:left w:val="single" w:sz="4" w:space="0" w:color="000000"/>
              <w:right w:val="single" w:sz="4" w:space="0" w:color="000000"/>
            </w:tcBorders>
            <w:textDirection w:val="btLr"/>
          </w:tcPr>
          <w:p>
            <w:pPr>
              <w:pStyle w:val="TableParagraph"/>
              <w:spacing w:before="102"/>
              <w:ind w:left="314"/>
              <w:rPr>
                <w:rFonts w:ascii="Arial" w:hAnsi="Arial"/>
                <w:b/>
                <w:sz w:val="18"/>
              </w:rPr>
            </w:pPr>
            <w:r>
              <w:rPr>
                <w:rFonts w:ascii="Arial" w:hAnsi="Arial"/>
                <w:b/>
                <w:w w:val="99"/>
                <w:sz w:val="18"/>
              </w:rPr>
              <w:t>Núm</w:t>
            </w:r>
            <w:r>
              <w:rPr>
                <w:rFonts w:ascii="Arial" w:hAnsi="Arial"/>
                <w:b/>
                <w:w w:val="99"/>
                <w:sz w:val="18"/>
              </w:rPr>
              <w:t>e</w:t>
            </w:r>
            <w:r>
              <w:rPr>
                <w:rFonts w:ascii="Arial" w:hAnsi="Arial"/>
                <w:b/>
                <w:sz w:val="18"/>
              </w:rPr>
              <w:t>ro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100"/>
                <w:sz w:val="18"/>
              </w:rPr>
              <w:t>hijo</w:t>
            </w:r>
            <w:r>
              <w:rPr>
                <w:rFonts w:ascii="Arial" w:hAnsi="Arial"/>
                <w:b/>
                <w:w w:val="99"/>
                <w:sz w:val="18"/>
              </w:rPr>
              <w:t>s</w:t>
            </w:r>
          </w:p>
        </w:tc>
        <w:tc>
          <w:tcPr>
            <w:tcW w:w="708" w:type="dxa"/>
            <w:tcBorders>
              <w:left w:val="single" w:sz="4" w:space="0" w:color="000000"/>
              <w:right w:val="single" w:sz="4" w:space="0" w:color="000000"/>
            </w:tcBorders>
            <w:textDirection w:val="btLr"/>
          </w:tcPr>
          <w:p>
            <w:pPr>
              <w:pStyle w:val="TableParagraph"/>
              <w:spacing w:line="247" w:lineRule="auto" w:before="81"/>
              <w:ind w:left="482" w:right="551"/>
              <w:jc w:val="center"/>
              <w:rPr>
                <w:rFonts w:ascii="Arial" w:hAnsi="Arial"/>
                <w:b/>
                <w:sz w:val="18"/>
              </w:rPr>
            </w:pPr>
            <w:r>
              <w:rPr>
                <w:rFonts w:ascii="Arial" w:hAnsi="Arial"/>
                <w:b/>
                <w:w w:val="100"/>
                <w:sz w:val="18"/>
              </w:rPr>
              <w:t>In</w:t>
            </w:r>
            <w:r>
              <w:rPr>
                <w:rFonts w:ascii="Arial" w:hAnsi="Arial"/>
                <w:b/>
                <w:w w:val="99"/>
                <w:sz w:val="18"/>
              </w:rPr>
              <w:t>te</w:t>
            </w:r>
            <w:r>
              <w:rPr>
                <w:rFonts w:ascii="Arial" w:hAnsi="Arial"/>
                <w:b/>
                <w:w w:val="99"/>
                <w:sz w:val="18"/>
              </w:rPr>
              <w:t>rve</w:t>
            </w:r>
            <w:r>
              <w:rPr>
                <w:rFonts w:ascii="Arial" w:hAnsi="Arial"/>
                <w:b/>
                <w:spacing w:val="-2"/>
                <w:w w:val="100"/>
                <w:sz w:val="18"/>
              </w:rPr>
              <w:t>n</w:t>
            </w:r>
            <w:r>
              <w:rPr>
                <w:rFonts w:ascii="Arial" w:hAnsi="Arial"/>
                <w:b/>
                <w:w w:val="99"/>
                <w:sz w:val="18"/>
              </w:rPr>
              <w:t>c</w:t>
            </w:r>
            <w:r>
              <w:rPr>
                <w:rFonts w:ascii="Arial" w:hAnsi="Arial"/>
                <w:b/>
                <w:w w:val="100"/>
                <w:sz w:val="18"/>
              </w:rPr>
              <w:t>ión qu</w:t>
            </w:r>
            <w:r>
              <w:rPr>
                <w:rFonts w:ascii="Arial" w:hAnsi="Arial"/>
                <w:b/>
                <w:w w:val="100"/>
                <w:sz w:val="18"/>
              </w:rPr>
              <w:t>irúrgi</w:t>
            </w:r>
            <w:r>
              <w:rPr>
                <w:rFonts w:ascii="Arial" w:hAnsi="Arial"/>
                <w:b/>
                <w:w w:val="99"/>
                <w:sz w:val="18"/>
              </w:rPr>
              <w:t>ca rea</w:t>
            </w:r>
            <w:r>
              <w:rPr>
                <w:rFonts w:ascii="Arial" w:hAnsi="Arial"/>
                <w:b/>
                <w:w w:val="100"/>
                <w:sz w:val="18"/>
              </w:rPr>
              <w:t>li</w:t>
            </w:r>
            <w:r>
              <w:rPr>
                <w:rFonts w:ascii="Arial" w:hAnsi="Arial"/>
                <w:b/>
                <w:spacing w:val="1"/>
                <w:sz w:val="18"/>
              </w:rPr>
              <w:t>z</w:t>
            </w:r>
            <w:r>
              <w:rPr>
                <w:rFonts w:ascii="Arial" w:hAnsi="Arial"/>
                <w:b/>
                <w:spacing w:val="-2"/>
                <w:w w:val="99"/>
                <w:sz w:val="18"/>
              </w:rPr>
              <w:t>a</w:t>
            </w:r>
            <w:r>
              <w:rPr>
                <w:rFonts w:ascii="Arial" w:hAnsi="Arial"/>
                <w:b/>
                <w:sz w:val="18"/>
              </w:rPr>
              <w:t>da</w:t>
            </w:r>
          </w:p>
        </w:tc>
        <w:tc>
          <w:tcPr>
            <w:tcW w:w="569" w:type="dxa"/>
            <w:tcBorders>
              <w:left w:val="single" w:sz="4" w:space="0" w:color="000000"/>
              <w:right w:val="single" w:sz="4" w:space="0" w:color="000000"/>
            </w:tcBorders>
            <w:textDirection w:val="btLr"/>
          </w:tcPr>
          <w:p>
            <w:pPr>
              <w:pStyle w:val="TableParagraph"/>
              <w:spacing w:line="247" w:lineRule="auto" w:before="116"/>
              <w:ind w:left="544" w:right="411" w:hanging="197"/>
              <w:rPr>
                <w:rFonts w:ascii="Arial"/>
                <w:b/>
                <w:sz w:val="18"/>
              </w:rPr>
            </w:pPr>
            <w:r>
              <w:rPr>
                <w:rFonts w:ascii="Arial"/>
                <w:b/>
                <w:w w:val="99"/>
                <w:sz w:val="18"/>
              </w:rPr>
              <w:t>Ev</w:t>
            </w:r>
            <w:r>
              <w:rPr>
                <w:rFonts w:ascii="Arial"/>
                <w:b/>
                <w:w w:val="99"/>
                <w:sz w:val="18"/>
              </w:rPr>
              <w:t>e</w:t>
            </w:r>
            <w:r>
              <w:rPr>
                <w:rFonts w:ascii="Arial"/>
                <w:b/>
                <w:w w:val="100"/>
                <w:sz w:val="18"/>
              </w:rPr>
              <w:t>nto</w:t>
            </w:r>
            <w:r>
              <w:rPr>
                <w:rFonts w:ascii="Arial"/>
                <w:b/>
                <w:sz w:val="18"/>
              </w:rPr>
              <w:t> </w:t>
            </w:r>
            <w:r>
              <w:rPr>
                <w:rFonts w:ascii="Arial"/>
                <w:b/>
                <w:spacing w:val="-2"/>
                <w:w w:val="99"/>
                <w:sz w:val="18"/>
              </w:rPr>
              <w:t>a</w:t>
            </w:r>
            <w:r>
              <w:rPr>
                <w:rFonts w:ascii="Arial"/>
                <w:b/>
                <w:sz w:val="18"/>
              </w:rPr>
              <w:t>dv</w:t>
            </w:r>
            <w:r>
              <w:rPr>
                <w:rFonts w:ascii="Arial"/>
                <w:b/>
                <w:w w:val="99"/>
                <w:sz w:val="18"/>
              </w:rPr>
              <w:t>e</w:t>
            </w:r>
            <w:r>
              <w:rPr>
                <w:rFonts w:ascii="Arial"/>
                <w:b/>
                <w:w w:val="99"/>
                <w:sz w:val="18"/>
              </w:rPr>
              <w:t>rso </w:t>
            </w:r>
            <w:r>
              <w:rPr>
                <w:rFonts w:ascii="Arial"/>
                <w:b/>
                <w:w w:val="99"/>
                <w:sz w:val="18"/>
              </w:rPr>
              <w:t>ac</w:t>
            </w:r>
            <w:r>
              <w:rPr>
                <w:rFonts w:ascii="Arial"/>
                <w:b/>
                <w:w w:val="100"/>
                <w:sz w:val="18"/>
              </w:rPr>
              <w:t>on</w:t>
            </w:r>
            <w:r>
              <w:rPr>
                <w:rFonts w:ascii="Arial"/>
                <w:b/>
                <w:w w:val="99"/>
                <w:sz w:val="18"/>
              </w:rPr>
              <w:t>t</w:t>
            </w:r>
            <w:r>
              <w:rPr>
                <w:rFonts w:ascii="Arial"/>
                <w:b/>
                <w:spacing w:val="-2"/>
                <w:w w:val="99"/>
                <w:sz w:val="18"/>
              </w:rPr>
              <w:t>e</w:t>
            </w:r>
            <w:r>
              <w:rPr>
                <w:rFonts w:ascii="Arial"/>
                <w:b/>
                <w:w w:val="99"/>
                <w:sz w:val="18"/>
              </w:rPr>
              <w:t>c</w:t>
            </w:r>
            <w:r>
              <w:rPr>
                <w:rFonts w:ascii="Arial"/>
                <w:b/>
                <w:w w:val="100"/>
                <w:sz w:val="18"/>
              </w:rPr>
              <w:t>ido</w:t>
            </w:r>
          </w:p>
        </w:tc>
        <w:tc>
          <w:tcPr>
            <w:tcW w:w="566" w:type="dxa"/>
            <w:tcBorders>
              <w:left w:val="single" w:sz="4" w:space="0" w:color="000000"/>
              <w:right w:val="single" w:sz="4" w:space="0" w:color="000000"/>
            </w:tcBorders>
            <w:textDirection w:val="btLr"/>
          </w:tcPr>
          <w:p>
            <w:pPr>
              <w:pStyle w:val="TableParagraph"/>
              <w:spacing w:line="244" w:lineRule="auto" w:before="116"/>
              <w:ind w:left="360" w:right="272" w:hanging="152"/>
              <w:rPr>
                <w:rFonts w:ascii="Arial"/>
                <w:b/>
                <w:sz w:val="18"/>
              </w:rPr>
            </w:pPr>
            <w:r>
              <w:rPr>
                <w:rFonts w:ascii="Arial"/>
                <w:b/>
                <w:sz w:val="18"/>
              </w:rPr>
              <w:t>Fe</w:t>
            </w:r>
            <w:r>
              <w:rPr>
                <w:rFonts w:ascii="Arial"/>
                <w:b/>
                <w:w w:val="99"/>
                <w:sz w:val="18"/>
              </w:rPr>
              <w:t>c</w:t>
            </w:r>
            <w:r>
              <w:rPr>
                <w:rFonts w:ascii="Arial"/>
                <w:b/>
                <w:sz w:val="18"/>
              </w:rPr>
              <w:t>h</w:t>
            </w:r>
            <w:r>
              <w:rPr>
                <w:rFonts w:ascii="Arial"/>
                <w:b/>
                <w:spacing w:val="-2"/>
                <w:sz w:val="18"/>
              </w:rPr>
              <w:t>a</w:t>
            </w:r>
            <w:r>
              <w:rPr>
                <w:rFonts w:ascii="Arial"/>
                <w:b/>
                <w:w w:val="99"/>
                <w:sz w:val="18"/>
              </w:rPr>
              <w:t>s</w:t>
            </w:r>
            <w:r>
              <w:rPr>
                <w:rFonts w:ascii="Arial"/>
                <w:b/>
                <w:sz w:val="18"/>
              </w:rPr>
              <w:t> </w:t>
            </w:r>
            <w:r>
              <w:rPr>
                <w:rFonts w:ascii="Arial"/>
                <w:b/>
                <w:spacing w:val="1"/>
                <w:sz w:val="18"/>
              </w:rPr>
              <w:t> </w:t>
            </w:r>
            <w:r>
              <w:rPr>
                <w:rFonts w:ascii="Arial"/>
                <w:b/>
                <w:w w:val="99"/>
                <w:sz w:val="18"/>
              </w:rPr>
              <w:t>y</w:t>
            </w:r>
            <w:r>
              <w:rPr>
                <w:rFonts w:ascii="Arial"/>
                <w:b/>
                <w:sz w:val="18"/>
              </w:rPr>
              <w:t> </w:t>
            </w:r>
            <w:r>
              <w:rPr>
                <w:rFonts w:ascii="Arial"/>
                <w:b/>
                <w:spacing w:val="-2"/>
                <w:w w:val="100"/>
                <w:sz w:val="18"/>
              </w:rPr>
              <w:t>h</w:t>
            </w:r>
            <w:r>
              <w:rPr>
                <w:rFonts w:ascii="Arial"/>
                <w:b/>
                <w:w w:val="99"/>
                <w:sz w:val="18"/>
              </w:rPr>
              <w:t>ora</w:t>
            </w:r>
            <w:r>
              <w:rPr>
                <w:rFonts w:ascii="Arial"/>
                <w:b/>
                <w:sz w:val="18"/>
              </w:rPr>
              <w:t> </w:t>
            </w:r>
            <w:r>
              <w:rPr>
                <w:rFonts w:ascii="Arial"/>
                <w:b/>
                <w:spacing w:val="1"/>
                <w:sz w:val="18"/>
              </w:rPr>
              <w:t> </w:t>
            </w:r>
            <w:r>
              <w:rPr>
                <w:rFonts w:ascii="Arial"/>
                <w:b/>
                <w:spacing w:val="-2"/>
                <w:w w:val="100"/>
                <w:sz w:val="18"/>
              </w:rPr>
              <w:t>d</w:t>
            </w:r>
            <w:r>
              <w:rPr>
                <w:rFonts w:ascii="Arial"/>
                <w:b/>
                <w:w w:val="99"/>
                <w:sz w:val="18"/>
              </w:rPr>
              <w:t>e</w:t>
            </w:r>
            <w:r>
              <w:rPr>
                <w:rFonts w:ascii="Arial"/>
                <w:b/>
                <w:w w:val="100"/>
                <w:sz w:val="18"/>
              </w:rPr>
              <w:t>l </w:t>
            </w:r>
            <w:r>
              <w:rPr>
                <w:rFonts w:ascii="Arial"/>
                <w:b/>
                <w:w w:val="99"/>
                <w:sz w:val="18"/>
              </w:rPr>
              <w:t>eve</w:t>
            </w:r>
            <w:r>
              <w:rPr>
                <w:rFonts w:ascii="Arial"/>
                <w:b/>
                <w:w w:val="100"/>
                <w:sz w:val="18"/>
              </w:rPr>
              <w:t>nto</w:t>
            </w:r>
            <w:r>
              <w:rPr>
                <w:rFonts w:ascii="Arial"/>
                <w:b/>
                <w:spacing w:val="-2"/>
                <w:sz w:val="18"/>
              </w:rPr>
              <w:t> </w:t>
            </w:r>
            <w:r>
              <w:rPr>
                <w:rFonts w:ascii="Arial"/>
                <w:b/>
                <w:w w:val="99"/>
                <w:sz w:val="18"/>
              </w:rPr>
              <w:t>a</w:t>
            </w:r>
            <w:r>
              <w:rPr>
                <w:rFonts w:ascii="Arial"/>
                <w:b/>
                <w:sz w:val="18"/>
              </w:rPr>
              <w:t>dv</w:t>
            </w:r>
            <w:r>
              <w:rPr>
                <w:rFonts w:ascii="Arial"/>
                <w:b/>
                <w:w w:val="99"/>
                <w:sz w:val="18"/>
              </w:rPr>
              <w:t>e</w:t>
            </w:r>
            <w:r>
              <w:rPr>
                <w:rFonts w:ascii="Arial"/>
                <w:b/>
                <w:spacing w:val="-3"/>
                <w:w w:val="99"/>
                <w:sz w:val="18"/>
              </w:rPr>
              <w:t>r</w:t>
            </w:r>
            <w:r>
              <w:rPr>
                <w:rFonts w:ascii="Arial"/>
                <w:b/>
                <w:w w:val="99"/>
                <w:sz w:val="18"/>
              </w:rPr>
              <w:t>s</w:t>
            </w:r>
            <w:r>
              <w:rPr>
                <w:rFonts w:ascii="Arial"/>
                <w:b/>
                <w:w w:val="100"/>
                <w:sz w:val="18"/>
              </w:rPr>
              <w:t>o</w:t>
            </w:r>
          </w:p>
        </w:tc>
        <w:tc>
          <w:tcPr>
            <w:tcW w:w="567" w:type="dxa"/>
            <w:tcBorders>
              <w:left w:val="single" w:sz="4" w:space="0" w:color="000000"/>
              <w:right w:val="single" w:sz="4" w:space="0" w:color="000000"/>
            </w:tcBorders>
            <w:textDirection w:val="btLr"/>
          </w:tcPr>
          <w:p>
            <w:pPr>
              <w:pStyle w:val="TableParagraph"/>
              <w:spacing w:line="244" w:lineRule="auto" w:before="116"/>
              <w:ind w:left="158" w:right="223" w:firstLine="290"/>
              <w:rPr>
                <w:rFonts w:ascii="Arial" w:hAnsi="Arial"/>
                <w:b/>
                <w:sz w:val="18"/>
              </w:rPr>
            </w:pPr>
            <w:r>
              <w:rPr>
                <w:rFonts w:ascii="Arial" w:hAnsi="Arial"/>
                <w:b/>
                <w:w w:val="100"/>
                <w:sz w:val="18"/>
              </w:rPr>
              <w:t>Tu</w:t>
            </w:r>
            <w:r>
              <w:rPr>
                <w:rFonts w:ascii="Arial" w:hAnsi="Arial"/>
                <w:b/>
                <w:w w:val="100"/>
                <w:sz w:val="18"/>
              </w:rPr>
              <w:t>rno </w:t>
            </w:r>
            <w:r>
              <w:rPr>
                <w:rFonts w:ascii="Arial" w:hAnsi="Arial"/>
                <w:b/>
                <w:w w:val="99"/>
                <w:sz w:val="18"/>
              </w:rPr>
              <w:t>e</w:t>
            </w:r>
            <w:r>
              <w:rPr>
                <w:rFonts w:ascii="Arial" w:hAnsi="Arial"/>
                <w:b/>
                <w:w w:val="100"/>
                <w:sz w:val="18"/>
              </w:rPr>
              <w:t>n</w:t>
            </w:r>
            <w:r>
              <w:rPr>
                <w:rFonts w:ascii="Arial" w:hAnsi="Arial"/>
                <w:b/>
                <w:spacing w:val="-2"/>
                <w:sz w:val="18"/>
              </w:rPr>
              <w:t> </w:t>
            </w:r>
            <w:r>
              <w:rPr>
                <w:rFonts w:ascii="Arial" w:hAnsi="Arial"/>
                <w:b/>
                <w:w w:val="100"/>
                <w:sz w:val="18"/>
              </w:rPr>
              <w:t>qu</w:t>
            </w:r>
            <w:r>
              <w:rPr>
                <w:rFonts w:ascii="Arial" w:hAnsi="Arial"/>
                <w:b/>
                <w:w w:val="99"/>
                <w:sz w:val="18"/>
              </w:rPr>
              <w:t>e ac</w:t>
            </w:r>
            <w:r>
              <w:rPr>
                <w:rFonts w:ascii="Arial" w:hAnsi="Arial"/>
                <w:b/>
                <w:w w:val="100"/>
                <w:sz w:val="18"/>
              </w:rPr>
              <w:t>on</w:t>
            </w:r>
            <w:r>
              <w:rPr>
                <w:rFonts w:ascii="Arial" w:hAnsi="Arial"/>
                <w:b/>
                <w:w w:val="99"/>
                <w:sz w:val="18"/>
              </w:rPr>
              <w:t>t</w:t>
            </w:r>
            <w:r>
              <w:rPr>
                <w:rFonts w:ascii="Arial" w:hAnsi="Arial"/>
                <w:b/>
                <w:spacing w:val="-2"/>
                <w:w w:val="99"/>
                <w:sz w:val="18"/>
              </w:rPr>
              <w:t>e</w:t>
            </w:r>
            <w:r>
              <w:rPr>
                <w:rFonts w:ascii="Arial" w:hAnsi="Arial"/>
                <w:b/>
                <w:w w:val="99"/>
                <w:sz w:val="18"/>
              </w:rPr>
              <w:t>c</w:t>
            </w:r>
            <w:r>
              <w:rPr>
                <w:rFonts w:ascii="Arial" w:hAnsi="Arial"/>
                <w:b/>
                <w:w w:val="100"/>
                <w:sz w:val="18"/>
              </w:rPr>
              <w:t>ió</w:t>
            </w:r>
            <w:r>
              <w:rPr>
                <w:rFonts w:ascii="Arial" w:hAnsi="Arial"/>
                <w:b/>
                <w:sz w:val="18"/>
              </w:rPr>
              <w:t> </w:t>
            </w:r>
            <w:r>
              <w:rPr>
                <w:rFonts w:ascii="Arial" w:hAnsi="Arial"/>
                <w:b/>
                <w:spacing w:val="1"/>
                <w:sz w:val="18"/>
              </w:rPr>
              <w:t> </w:t>
            </w:r>
            <w:r>
              <w:rPr>
                <w:rFonts w:ascii="Arial" w:hAnsi="Arial"/>
                <w:b/>
                <w:spacing w:val="-2"/>
                <w:w w:val="99"/>
                <w:sz w:val="18"/>
              </w:rPr>
              <w:t>e</w:t>
            </w:r>
            <w:r>
              <w:rPr>
                <w:rFonts w:ascii="Arial" w:hAnsi="Arial"/>
                <w:b/>
                <w:w w:val="100"/>
                <w:sz w:val="18"/>
              </w:rPr>
              <w:t>l</w:t>
            </w:r>
            <w:r>
              <w:rPr>
                <w:rFonts w:ascii="Arial" w:hAnsi="Arial"/>
                <w:b/>
                <w:sz w:val="18"/>
              </w:rPr>
              <w:t> </w:t>
            </w:r>
            <w:r>
              <w:rPr>
                <w:rFonts w:ascii="Arial" w:hAnsi="Arial"/>
                <w:b/>
                <w:w w:val="99"/>
                <w:sz w:val="18"/>
              </w:rPr>
              <w:t>e</w:t>
            </w:r>
            <w:r>
              <w:rPr>
                <w:rFonts w:ascii="Arial" w:hAnsi="Arial"/>
                <w:b/>
                <w:spacing w:val="-2"/>
                <w:w w:val="99"/>
                <w:sz w:val="18"/>
              </w:rPr>
              <w:t>v</w:t>
            </w:r>
            <w:r>
              <w:rPr>
                <w:rFonts w:ascii="Arial" w:hAnsi="Arial"/>
                <w:b/>
                <w:w w:val="99"/>
                <w:sz w:val="18"/>
              </w:rPr>
              <w:t>e</w:t>
            </w:r>
            <w:r>
              <w:rPr>
                <w:rFonts w:ascii="Arial" w:hAnsi="Arial"/>
                <w:b/>
                <w:w w:val="100"/>
                <w:sz w:val="18"/>
              </w:rPr>
              <w:t>nto</w:t>
            </w:r>
          </w:p>
        </w:tc>
        <w:tc>
          <w:tcPr>
            <w:tcW w:w="566" w:type="dxa"/>
            <w:tcBorders>
              <w:left w:val="single" w:sz="4" w:space="0" w:color="000000"/>
              <w:right w:val="single" w:sz="4" w:space="0" w:color="000000"/>
            </w:tcBorders>
            <w:textDirection w:val="btLr"/>
          </w:tcPr>
          <w:p>
            <w:pPr>
              <w:pStyle w:val="TableParagraph"/>
              <w:spacing w:before="3"/>
              <w:ind w:left="0"/>
              <w:rPr>
                <w:rFonts w:ascii="Arial"/>
                <w:sz w:val="19"/>
              </w:rPr>
            </w:pPr>
          </w:p>
          <w:p>
            <w:pPr>
              <w:pStyle w:val="TableParagraph"/>
              <w:spacing w:before="1"/>
              <w:ind w:left="69"/>
              <w:rPr>
                <w:rFonts w:ascii="Arial" w:hAnsi="Arial"/>
                <w:b/>
                <w:sz w:val="18"/>
              </w:rPr>
            </w:pPr>
            <w:r>
              <w:rPr>
                <w:rFonts w:ascii="Arial" w:hAnsi="Arial"/>
                <w:b/>
                <w:w w:val="100"/>
                <w:sz w:val="18"/>
              </w:rPr>
              <w:t>Tipo</w:t>
            </w:r>
            <w:r>
              <w:rPr>
                <w:rFonts w:ascii="Arial" w:hAnsi="Arial"/>
                <w:b/>
                <w:sz w:val="18"/>
              </w:rPr>
              <w:t> </w:t>
            </w:r>
            <w:r>
              <w:rPr>
                <w:rFonts w:ascii="Arial" w:hAnsi="Arial"/>
                <w:b/>
                <w:w w:val="100"/>
                <w:sz w:val="18"/>
              </w:rPr>
              <w:t>d</w:t>
            </w:r>
            <w:r>
              <w:rPr>
                <w:rFonts w:ascii="Arial" w:hAnsi="Arial"/>
                <w:b/>
                <w:w w:val="99"/>
                <w:sz w:val="18"/>
              </w:rPr>
              <w:t>e</w:t>
            </w:r>
            <w:r>
              <w:rPr>
                <w:rFonts w:ascii="Arial" w:hAnsi="Arial"/>
                <w:b/>
                <w:spacing w:val="-2"/>
                <w:sz w:val="18"/>
              </w:rPr>
              <w:t> </w:t>
            </w:r>
            <w:r>
              <w:rPr>
                <w:rFonts w:ascii="Arial" w:hAnsi="Arial"/>
                <w:b/>
                <w:w w:val="100"/>
                <w:sz w:val="18"/>
              </w:rPr>
              <w:t>d</w:t>
            </w:r>
            <w:r>
              <w:rPr>
                <w:rFonts w:ascii="Arial" w:hAnsi="Arial"/>
                <w:b/>
                <w:w w:val="99"/>
                <w:sz w:val="18"/>
              </w:rPr>
              <w:t>a</w:t>
            </w:r>
            <w:r>
              <w:rPr>
                <w:rFonts w:ascii="Arial" w:hAnsi="Arial"/>
                <w:b/>
                <w:w w:val="100"/>
                <w:sz w:val="18"/>
              </w:rPr>
              <w:t>ño</w:t>
            </w:r>
            <w:r>
              <w:rPr>
                <w:rFonts w:ascii="Arial" w:hAnsi="Arial"/>
                <w:b/>
                <w:spacing w:val="-2"/>
                <w:sz w:val="18"/>
              </w:rPr>
              <w:t> </w:t>
            </w:r>
            <w:r>
              <w:rPr>
                <w:rFonts w:ascii="Arial" w:hAnsi="Arial"/>
                <w:b/>
                <w:w w:val="99"/>
                <w:sz w:val="18"/>
              </w:rPr>
              <w:t>ca</w:t>
            </w:r>
            <w:r>
              <w:rPr>
                <w:rFonts w:ascii="Arial" w:hAnsi="Arial"/>
                <w:b/>
                <w:spacing w:val="-2"/>
                <w:w w:val="100"/>
                <w:sz w:val="18"/>
              </w:rPr>
              <w:t>u</w:t>
            </w:r>
            <w:r>
              <w:rPr>
                <w:rFonts w:ascii="Arial" w:hAnsi="Arial"/>
                <w:b/>
                <w:w w:val="99"/>
                <w:sz w:val="18"/>
              </w:rPr>
              <w:t>sa</w:t>
            </w:r>
            <w:r>
              <w:rPr>
                <w:rFonts w:ascii="Arial" w:hAnsi="Arial"/>
                <w:b/>
                <w:w w:val="100"/>
                <w:sz w:val="18"/>
              </w:rPr>
              <w:t>do</w:t>
            </w:r>
          </w:p>
        </w:tc>
        <w:tc>
          <w:tcPr>
            <w:tcW w:w="425" w:type="dxa"/>
            <w:tcBorders>
              <w:left w:val="single" w:sz="4" w:space="0" w:color="000000"/>
              <w:right w:val="single" w:sz="4" w:space="0" w:color="000000"/>
            </w:tcBorders>
            <w:textDirection w:val="btLr"/>
          </w:tcPr>
          <w:p>
            <w:pPr>
              <w:pStyle w:val="TableParagraph"/>
              <w:spacing w:line="244" w:lineRule="auto" w:before="47"/>
              <w:ind w:right="169" w:firstLine="456"/>
              <w:rPr>
                <w:rFonts w:ascii="Arial" w:hAnsi="Arial"/>
                <w:b/>
                <w:sz w:val="18"/>
              </w:rPr>
            </w:pPr>
            <w:r>
              <w:rPr>
                <w:rFonts w:ascii="Arial" w:hAnsi="Arial"/>
                <w:b/>
                <w:sz w:val="18"/>
              </w:rPr>
              <w:t>Fa</w:t>
            </w:r>
            <w:r>
              <w:rPr>
                <w:rFonts w:ascii="Arial" w:hAnsi="Arial"/>
                <w:b/>
                <w:w w:val="99"/>
                <w:sz w:val="18"/>
              </w:rPr>
              <w:t>c</w:t>
            </w:r>
            <w:r>
              <w:rPr>
                <w:rFonts w:ascii="Arial" w:hAnsi="Arial"/>
                <w:b/>
                <w:w w:val="99"/>
                <w:sz w:val="18"/>
              </w:rPr>
              <w:t>tor </w:t>
            </w:r>
            <w:r>
              <w:rPr>
                <w:rFonts w:ascii="Arial" w:hAnsi="Arial"/>
                <w:b/>
                <w:w w:val="100"/>
                <w:sz w:val="18"/>
              </w:rPr>
              <w:t>q</w:t>
            </w:r>
            <w:r>
              <w:rPr>
                <w:rFonts w:ascii="Arial" w:hAnsi="Arial"/>
                <w:b/>
                <w:spacing w:val="-2"/>
                <w:w w:val="100"/>
                <w:sz w:val="18"/>
              </w:rPr>
              <w:t>u</w:t>
            </w:r>
            <w:r>
              <w:rPr>
                <w:rFonts w:ascii="Arial" w:hAnsi="Arial"/>
                <w:b/>
                <w:w w:val="99"/>
                <w:sz w:val="18"/>
              </w:rPr>
              <w:t>e </w:t>
            </w:r>
            <w:r>
              <w:rPr>
                <w:rFonts w:ascii="Arial" w:hAnsi="Arial"/>
                <w:b/>
                <w:sz w:val="18"/>
              </w:rPr>
              <w:t>de</w:t>
            </w:r>
            <w:r>
              <w:rPr>
                <w:rFonts w:ascii="Arial" w:hAnsi="Arial"/>
                <w:b/>
                <w:w w:val="99"/>
                <w:sz w:val="18"/>
              </w:rPr>
              <w:t>se</w:t>
            </w:r>
            <w:r>
              <w:rPr>
                <w:rFonts w:ascii="Arial" w:hAnsi="Arial"/>
                <w:b/>
                <w:spacing w:val="-2"/>
                <w:w w:val="100"/>
                <w:sz w:val="18"/>
              </w:rPr>
              <w:t>n</w:t>
            </w:r>
            <w:r>
              <w:rPr>
                <w:rFonts w:ascii="Arial" w:hAnsi="Arial"/>
                <w:b/>
                <w:w w:val="99"/>
                <w:sz w:val="18"/>
              </w:rPr>
              <w:t>ca</w:t>
            </w:r>
            <w:r>
              <w:rPr>
                <w:rFonts w:ascii="Arial" w:hAnsi="Arial"/>
                <w:b/>
                <w:sz w:val="18"/>
              </w:rPr>
              <w:t>de</w:t>
            </w:r>
            <w:r>
              <w:rPr>
                <w:rFonts w:ascii="Arial" w:hAnsi="Arial"/>
                <w:b/>
                <w:spacing w:val="-2"/>
                <w:w w:val="100"/>
                <w:sz w:val="18"/>
              </w:rPr>
              <w:t>n</w:t>
            </w:r>
            <w:r>
              <w:rPr>
                <w:rFonts w:ascii="Arial" w:hAnsi="Arial"/>
                <w:b/>
                <w:w w:val="100"/>
                <w:sz w:val="18"/>
              </w:rPr>
              <w:t>o</w:t>
            </w:r>
            <w:r>
              <w:rPr>
                <w:rFonts w:ascii="Arial" w:hAnsi="Arial"/>
                <w:b/>
                <w:sz w:val="18"/>
              </w:rPr>
              <w:t> </w:t>
            </w:r>
            <w:r>
              <w:rPr>
                <w:rFonts w:ascii="Arial" w:hAnsi="Arial"/>
                <w:b/>
                <w:w w:val="99"/>
                <w:sz w:val="18"/>
              </w:rPr>
              <w:t>e</w:t>
            </w:r>
            <w:r>
              <w:rPr>
                <w:rFonts w:ascii="Arial" w:hAnsi="Arial"/>
                <w:b/>
                <w:w w:val="100"/>
                <w:sz w:val="18"/>
              </w:rPr>
              <w:t>l</w:t>
            </w:r>
            <w:r>
              <w:rPr>
                <w:rFonts w:ascii="Arial" w:hAnsi="Arial"/>
                <w:b/>
                <w:spacing w:val="-2"/>
                <w:sz w:val="18"/>
              </w:rPr>
              <w:t> </w:t>
            </w:r>
            <w:r>
              <w:rPr>
                <w:rFonts w:ascii="Arial" w:hAnsi="Arial"/>
                <w:b/>
                <w:sz w:val="18"/>
              </w:rPr>
              <w:t>da</w:t>
            </w:r>
            <w:r>
              <w:rPr>
                <w:rFonts w:ascii="Arial" w:hAnsi="Arial"/>
                <w:b/>
                <w:w w:val="100"/>
                <w:sz w:val="18"/>
              </w:rPr>
              <w:t>ño</w:t>
            </w:r>
          </w:p>
        </w:tc>
        <w:tc>
          <w:tcPr>
            <w:tcW w:w="852" w:type="dxa"/>
            <w:tcBorders>
              <w:left w:val="single" w:sz="4" w:space="0" w:color="000000"/>
              <w:right w:val="single" w:sz="4" w:space="0" w:color="000000"/>
            </w:tcBorders>
            <w:textDirection w:val="btLr"/>
          </w:tcPr>
          <w:p>
            <w:pPr>
              <w:pStyle w:val="TableParagraph"/>
              <w:spacing w:line="244" w:lineRule="auto" w:before="47"/>
              <w:ind w:left="660" w:right="193" w:hanging="533"/>
              <w:rPr>
                <w:rFonts w:ascii="Arial" w:hAnsi="Arial"/>
                <w:b/>
                <w:sz w:val="18"/>
              </w:rPr>
            </w:pPr>
            <w:r>
              <w:rPr>
                <w:rFonts w:ascii="Arial" w:hAnsi="Arial"/>
                <w:b/>
                <w:w w:val="99"/>
                <w:sz w:val="18"/>
              </w:rPr>
              <w:t>Día</w:t>
            </w:r>
            <w:r>
              <w:rPr>
                <w:rFonts w:ascii="Arial" w:hAnsi="Arial"/>
                <w:b/>
                <w:w w:val="99"/>
                <w:sz w:val="18"/>
              </w:rPr>
              <w:t>s</w:t>
            </w:r>
            <w:r>
              <w:rPr>
                <w:rFonts w:ascii="Arial" w:hAnsi="Arial"/>
                <w:b/>
                <w:sz w:val="18"/>
              </w:rPr>
              <w:t> </w:t>
            </w:r>
            <w:r>
              <w:rPr>
                <w:rFonts w:ascii="Arial" w:hAnsi="Arial"/>
                <w:b/>
                <w:w w:val="100"/>
                <w:sz w:val="18"/>
              </w:rPr>
              <w:t>q</w:t>
            </w:r>
            <w:r>
              <w:rPr>
                <w:rFonts w:ascii="Arial" w:hAnsi="Arial"/>
                <w:b/>
                <w:sz w:val="18"/>
              </w:rPr>
              <w:t>ue</w:t>
            </w:r>
            <w:r>
              <w:rPr>
                <w:rFonts w:ascii="Arial" w:hAnsi="Arial"/>
                <w:b/>
                <w:spacing w:val="-2"/>
                <w:sz w:val="18"/>
              </w:rPr>
              <w:t> </w:t>
            </w:r>
            <w:r>
              <w:rPr>
                <w:rFonts w:ascii="Arial" w:hAnsi="Arial"/>
                <w:b/>
                <w:w w:val="100"/>
                <w:sz w:val="18"/>
              </w:rPr>
              <w:t>prolon</w:t>
            </w:r>
            <w:r>
              <w:rPr>
                <w:rFonts w:ascii="Arial" w:hAnsi="Arial"/>
                <w:b/>
                <w:spacing w:val="-2"/>
                <w:w w:val="100"/>
                <w:sz w:val="18"/>
              </w:rPr>
              <w:t>g</w:t>
            </w:r>
            <w:r>
              <w:rPr>
                <w:rFonts w:ascii="Arial" w:hAnsi="Arial"/>
                <w:b/>
                <w:w w:val="100"/>
                <w:sz w:val="18"/>
              </w:rPr>
              <w:t>ó</w:t>
            </w:r>
            <w:r>
              <w:rPr>
                <w:rFonts w:ascii="Arial" w:hAnsi="Arial"/>
                <w:b/>
                <w:sz w:val="18"/>
              </w:rPr>
              <w:t> la </w:t>
            </w:r>
            <w:r>
              <w:rPr>
                <w:rFonts w:ascii="Arial" w:hAnsi="Arial"/>
                <w:b/>
                <w:w w:val="99"/>
                <w:sz w:val="18"/>
              </w:rPr>
              <w:t>es</w:t>
            </w:r>
            <w:r>
              <w:rPr>
                <w:rFonts w:ascii="Arial" w:hAnsi="Arial"/>
                <w:b/>
                <w:w w:val="99"/>
                <w:sz w:val="18"/>
              </w:rPr>
              <w:t>ta</w:t>
            </w:r>
            <w:r>
              <w:rPr>
                <w:rFonts w:ascii="Arial" w:hAnsi="Arial"/>
                <w:b/>
                <w:sz w:val="18"/>
              </w:rPr>
              <w:t>n</w:t>
            </w:r>
            <w:r>
              <w:rPr>
                <w:rFonts w:ascii="Arial" w:hAnsi="Arial"/>
                <w:b/>
                <w:spacing w:val="-2"/>
                <w:sz w:val="18"/>
              </w:rPr>
              <w:t>c</w:t>
            </w:r>
            <w:r>
              <w:rPr>
                <w:rFonts w:ascii="Arial" w:hAnsi="Arial"/>
                <w:b/>
                <w:sz w:val="18"/>
              </w:rPr>
              <w:t>ia</w:t>
            </w:r>
          </w:p>
          <w:p>
            <w:pPr>
              <w:pStyle w:val="TableParagraph"/>
              <w:spacing w:line="247" w:lineRule="auto" w:before="2"/>
              <w:ind w:left="674" w:right="140" w:hanging="603"/>
              <w:rPr>
                <w:rFonts w:ascii="Arial"/>
                <w:b/>
                <w:sz w:val="18"/>
              </w:rPr>
            </w:pPr>
            <w:r>
              <w:rPr>
                <w:rFonts w:ascii="Arial"/>
                <w:b/>
                <w:w w:val="100"/>
                <w:sz w:val="18"/>
              </w:rPr>
              <w:t>ho</w:t>
            </w:r>
            <w:r>
              <w:rPr>
                <w:rFonts w:ascii="Arial"/>
                <w:b/>
                <w:w w:val="99"/>
                <w:sz w:val="18"/>
              </w:rPr>
              <w:t>s</w:t>
            </w:r>
            <w:r>
              <w:rPr>
                <w:rFonts w:ascii="Arial"/>
                <w:b/>
                <w:w w:val="100"/>
                <w:sz w:val="18"/>
              </w:rPr>
              <w:t>pi</w:t>
            </w:r>
            <w:r>
              <w:rPr>
                <w:rFonts w:ascii="Arial"/>
                <w:b/>
                <w:w w:val="99"/>
                <w:sz w:val="18"/>
              </w:rPr>
              <w:t>ta</w:t>
            </w:r>
            <w:r>
              <w:rPr>
                <w:rFonts w:ascii="Arial"/>
                <w:b/>
                <w:spacing w:val="-2"/>
                <w:w w:val="100"/>
                <w:sz w:val="18"/>
              </w:rPr>
              <w:t>l</w:t>
            </w:r>
            <w:r>
              <w:rPr>
                <w:rFonts w:ascii="Arial"/>
                <w:b/>
                <w:w w:val="99"/>
                <w:sz w:val="18"/>
              </w:rPr>
              <w:t>a</w:t>
            </w:r>
            <w:r>
              <w:rPr>
                <w:rFonts w:ascii="Arial"/>
                <w:b/>
                <w:w w:val="99"/>
                <w:sz w:val="18"/>
              </w:rPr>
              <w:t>ria</w:t>
            </w:r>
            <w:r>
              <w:rPr>
                <w:rFonts w:ascii="Arial"/>
                <w:b/>
                <w:sz w:val="18"/>
              </w:rPr>
              <w:t> </w:t>
            </w:r>
            <w:r>
              <w:rPr>
                <w:rFonts w:ascii="Arial"/>
                <w:b/>
                <w:spacing w:val="-1"/>
                <w:sz w:val="18"/>
              </w:rPr>
              <w:t> </w:t>
            </w:r>
            <w:r>
              <w:rPr>
                <w:rFonts w:ascii="Arial"/>
                <w:b/>
                <w:w w:val="99"/>
                <w:sz w:val="18"/>
              </w:rPr>
              <w:t>e</w:t>
            </w:r>
            <w:r>
              <w:rPr>
                <w:rFonts w:ascii="Arial"/>
                <w:b/>
                <w:w w:val="100"/>
                <w:sz w:val="18"/>
              </w:rPr>
              <w:t>l</w:t>
            </w:r>
            <w:r>
              <w:rPr>
                <w:rFonts w:ascii="Arial"/>
                <w:b/>
                <w:sz w:val="18"/>
              </w:rPr>
              <w:t> </w:t>
            </w:r>
            <w:r>
              <w:rPr>
                <w:rFonts w:ascii="Arial"/>
                <w:b/>
                <w:spacing w:val="-2"/>
                <w:w w:val="99"/>
                <w:sz w:val="18"/>
              </w:rPr>
              <w:t>e</w:t>
            </w:r>
            <w:r>
              <w:rPr>
                <w:rFonts w:ascii="Arial"/>
                <w:b/>
                <w:w w:val="99"/>
                <w:sz w:val="18"/>
              </w:rPr>
              <w:t>ve</w:t>
            </w:r>
            <w:r>
              <w:rPr>
                <w:rFonts w:ascii="Arial"/>
                <w:b/>
                <w:w w:val="100"/>
                <w:sz w:val="18"/>
              </w:rPr>
              <w:t>nto </w:t>
            </w:r>
            <w:r>
              <w:rPr>
                <w:rFonts w:ascii="Arial"/>
                <w:b/>
                <w:w w:val="99"/>
                <w:sz w:val="18"/>
              </w:rPr>
              <w:t>a</w:t>
            </w:r>
            <w:r>
              <w:rPr>
                <w:rFonts w:ascii="Arial"/>
                <w:b/>
                <w:sz w:val="18"/>
              </w:rPr>
              <w:t>dv</w:t>
            </w:r>
            <w:r>
              <w:rPr>
                <w:rFonts w:ascii="Arial"/>
                <w:b/>
                <w:w w:val="99"/>
                <w:sz w:val="18"/>
              </w:rPr>
              <w:t>e</w:t>
            </w:r>
            <w:r>
              <w:rPr>
                <w:rFonts w:ascii="Arial"/>
                <w:b/>
                <w:w w:val="99"/>
                <w:sz w:val="18"/>
              </w:rPr>
              <w:t>rso</w:t>
            </w:r>
          </w:p>
        </w:tc>
        <w:tc>
          <w:tcPr>
            <w:tcW w:w="574" w:type="dxa"/>
            <w:tcBorders>
              <w:left w:val="single" w:sz="4" w:space="0" w:color="000000"/>
            </w:tcBorders>
            <w:textDirection w:val="btLr"/>
          </w:tcPr>
          <w:p>
            <w:pPr>
              <w:pStyle w:val="TableParagraph"/>
              <w:spacing w:line="247" w:lineRule="auto" w:before="109"/>
              <w:ind w:left="835" w:right="227" w:hanging="672"/>
              <w:rPr>
                <w:rFonts w:ascii="Arial" w:hAnsi="Arial"/>
                <w:b/>
                <w:sz w:val="18"/>
              </w:rPr>
            </w:pPr>
            <w:r>
              <w:rPr>
                <w:rFonts w:ascii="Arial" w:hAnsi="Arial"/>
                <w:b/>
                <w:w w:val="99"/>
                <w:sz w:val="18"/>
              </w:rPr>
              <w:t>Dia</w:t>
            </w:r>
            <w:r>
              <w:rPr>
                <w:rFonts w:ascii="Arial" w:hAnsi="Arial"/>
                <w:b/>
                <w:w w:val="100"/>
                <w:sz w:val="18"/>
              </w:rPr>
              <w:t>gn</w:t>
            </w:r>
            <w:r>
              <w:rPr>
                <w:rFonts w:ascii="Arial" w:hAnsi="Arial"/>
                <w:b/>
                <w:sz w:val="18"/>
              </w:rPr>
              <w:t>ós</w:t>
            </w:r>
            <w:r>
              <w:rPr>
                <w:rFonts w:ascii="Arial" w:hAnsi="Arial"/>
                <w:b/>
                <w:w w:val="100"/>
                <w:sz w:val="18"/>
              </w:rPr>
              <w:t>t</w:t>
            </w:r>
            <w:r>
              <w:rPr>
                <w:rFonts w:ascii="Arial" w:hAnsi="Arial"/>
                <w:b/>
                <w:spacing w:val="-2"/>
                <w:w w:val="100"/>
                <w:sz w:val="18"/>
              </w:rPr>
              <w:t>i</w:t>
            </w:r>
            <w:r>
              <w:rPr>
                <w:rFonts w:ascii="Arial" w:hAnsi="Arial"/>
                <w:b/>
                <w:w w:val="99"/>
                <w:sz w:val="18"/>
              </w:rPr>
              <w:t>c</w:t>
            </w:r>
            <w:r>
              <w:rPr>
                <w:rFonts w:ascii="Arial" w:hAnsi="Arial"/>
                <w:b/>
                <w:w w:val="100"/>
                <w:sz w:val="18"/>
              </w:rPr>
              <w:t>o</w:t>
            </w:r>
            <w:r>
              <w:rPr>
                <w:rFonts w:ascii="Arial" w:hAnsi="Arial"/>
                <w:b/>
                <w:sz w:val="18"/>
              </w:rPr>
              <w:t> </w:t>
            </w:r>
            <w:r>
              <w:rPr>
                <w:rFonts w:ascii="Arial" w:hAnsi="Arial"/>
                <w:b/>
                <w:spacing w:val="-2"/>
                <w:w w:val="99"/>
                <w:sz w:val="18"/>
              </w:rPr>
              <w:t>m</w:t>
            </w:r>
            <w:r>
              <w:rPr>
                <w:rFonts w:ascii="Arial" w:hAnsi="Arial"/>
                <w:b/>
                <w:w w:val="99"/>
                <w:sz w:val="18"/>
              </w:rPr>
              <w:t>é</w:t>
            </w:r>
            <w:r>
              <w:rPr>
                <w:rFonts w:ascii="Arial" w:hAnsi="Arial"/>
                <w:b/>
                <w:w w:val="100"/>
                <w:sz w:val="18"/>
              </w:rPr>
              <w:t>di</w:t>
            </w:r>
            <w:r>
              <w:rPr>
                <w:rFonts w:ascii="Arial" w:hAnsi="Arial"/>
                <w:b/>
                <w:w w:val="99"/>
                <w:sz w:val="18"/>
              </w:rPr>
              <w:t>c</w:t>
            </w:r>
            <w:r>
              <w:rPr>
                <w:rFonts w:ascii="Arial" w:hAnsi="Arial"/>
                <w:b/>
                <w:w w:val="100"/>
                <w:sz w:val="18"/>
              </w:rPr>
              <w:t>o fin</w:t>
            </w:r>
            <w:r>
              <w:rPr>
                <w:rFonts w:ascii="Arial" w:hAnsi="Arial"/>
                <w:b/>
                <w:w w:val="99"/>
                <w:sz w:val="18"/>
              </w:rPr>
              <w:t>a</w:t>
            </w:r>
            <w:r>
              <w:rPr>
                <w:rFonts w:ascii="Arial" w:hAnsi="Arial"/>
                <w:b/>
                <w:w w:val="100"/>
                <w:sz w:val="18"/>
              </w:rPr>
              <w:t>l</w:t>
            </w:r>
          </w:p>
        </w:tc>
      </w:tr>
      <w:tr>
        <w:trPr>
          <w:trHeight w:val="451" w:hRule="exact"/>
        </w:trPr>
        <w:tc>
          <w:tcPr>
            <w:tcW w:w="708" w:type="dxa"/>
            <w:tcBorders>
              <w:bottom w:val="single" w:sz="4" w:space="0" w:color="000000"/>
              <w:right w:val="single" w:sz="4" w:space="0" w:color="000000"/>
            </w:tcBorders>
          </w:tcPr>
          <w:p>
            <w:pPr/>
          </w:p>
        </w:tc>
        <w:tc>
          <w:tcPr>
            <w:tcW w:w="677" w:type="dxa"/>
            <w:tcBorders>
              <w:left w:val="single" w:sz="4" w:space="0" w:color="000000"/>
              <w:bottom w:val="single" w:sz="4" w:space="0" w:color="000000"/>
              <w:right w:val="single" w:sz="4" w:space="0" w:color="000000"/>
            </w:tcBorders>
          </w:tcPr>
          <w:p>
            <w:pPr/>
          </w:p>
        </w:tc>
        <w:tc>
          <w:tcPr>
            <w:tcW w:w="425" w:type="dxa"/>
            <w:tcBorders>
              <w:left w:val="single" w:sz="4" w:space="0" w:color="000000"/>
              <w:bottom w:val="single" w:sz="4" w:space="0" w:color="000000"/>
              <w:right w:val="single" w:sz="4" w:space="0" w:color="000000"/>
            </w:tcBorders>
          </w:tcPr>
          <w:p>
            <w:pPr/>
          </w:p>
        </w:tc>
        <w:tc>
          <w:tcPr>
            <w:tcW w:w="425" w:type="dxa"/>
            <w:tcBorders>
              <w:left w:val="single" w:sz="4" w:space="0" w:color="000000"/>
              <w:bottom w:val="single" w:sz="4" w:space="0" w:color="000000"/>
              <w:right w:val="single" w:sz="4" w:space="0" w:color="000000"/>
            </w:tcBorders>
          </w:tcPr>
          <w:p>
            <w:pPr/>
          </w:p>
        </w:tc>
        <w:tc>
          <w:tcPr>
            <w:tcW w:w="569" w:type="dxa"/>
            <w:tcBorders>
              <w:left w:val="single" w:sz="4" w:space="0" w:color="000000"/>
              <w:bottom w:val="single" w:sz="4" w:space="0" w:color="000000"/>
              <w:right w:val="single" w:sz="4" w:space="0" w:color="000000"/>
            </w:tcBorders>
          </w:tcPr>
          <w:p>
            <w:pPr/>
          </w:p>
        </w:tc>
        <w:tc>
          <w:tcPr>
            <w:tcW w:w="566" w:type="dxa"/>
            <w:tcBorders>
              <w:left w:val="single" w:sz="4" w:space="0" w:color="000000"/>
              <w:bottom w:val="single" w:sz="4" w:space="0" w:color="000000"/>
              <w:right w:val="single" w:sz="4" w:space="0" w:color="000000"/>
            </w:tcBorders>
          </w:tcPr>
          <w:p>
            <w:pPr/>
          </w:p>
        </w:tc>
        <w:tc>
          <w:tcPr>
            <w:tcW w:w="425" w:type="dxa"/>
            <w:tcBorders>
              <w:left w:val="single" w:sz="4" w:space="0" w:color="000000"/>
              <w:bottom w:val="single" w:sz="4" w:space="0" w:color="000000"/>
              <w:right w:val="single" w:sz="4" w:space="0" w:color="000000"/>
            </w:tcBorders>
          </w:tcPr>
          <w:p>
            <w:pPr/>
          </w:p>
        </w:tc>
        <w:tc>
          <w:tcPr>
            <w:tcW w:w="708" w:type="dxa"/>
            <w:tcBorders>
              <w:left w:val="single" w:sz="4" w:space="0" w:color="000000"/>
              <w:bottom w:val="single" w:sz="4" w:space="0" w:color="000000"/>
              <w:right w:val="single" w:sz="4" w:space="0" w:color="000000"/>
            </w:tcBorders>
          </w:tcPr>
          <w:p>
            <w:pPr/>
          </w:p>
        </w:tc>
        <w:tc>
          <w:tcPr>
            <w:tcW w:w="569" w:type="dxa"/>
            <w:tcBorders>
              <w:left w:val="single" w:sz="4" w:space="0" w:color="000000"/>
              <w:bottom w:val="single" w:sz="4" w:space="0" w:color="000000"/>
              <w:right w:val="single" w:sz="4" w:space="0" w:color="000000"/>
            </w:tcBorders>
          </w:tcPr>
          <w:p>
            <w:pPr/>
          </w:p>
        </w:tc>
        <w:tc>
          <w:tcPr>
            <w:tcW w:w="566" w:type="dxa"/>
            <w:tcBorders>
              <w:left w:val="single" w:sz="4" w:space="0" w:color="000000"/>
              <w:bottom w:val="single" w:sz="4" w:space="0" w:color="000000"/>
              <w:right w:val="single" w:sz="4" w:space="0" w:color="000000"/>
            </w:tcBorders>
          </w:tcPr>
          <w:p>
            <w:pPr/>
          </w:p>
        </w:tc>
        <w:tc>
          <w:tcPr>
            <w:tcW w:w="567" w:type="dxa"/>
            <w:tcBorders>
              <w:left w:val="single" w:sz="4" w:space="0" w:color="000000"/>
              <w:bottom w:val="single" w:sz="4" w:space="0" w:color="000000"/>
              <w:right w:val="single" w:sz="4" w:space="0" w:color="000000"/>
            </w:tcBorders>
          </w:tcPr>
          <w:p>
            <w:pPr/>
          </w:p>
        </w:tc>
        <w:tc>
          <w:tcPr>
            <w:tcW w:w="566" w:type="dxa"/>
            <w:tcBorders>
              <w:left w:val="single" w:sz="4" w:space="0" w:color="000000"/>
              <w:bottom w:val="single" w:sz="4" w:space="0" w:color="000000"/>
              <w:right w:val="single" w:sz="4" w:space="0" w:color="000000"/>
            </w:tcBorders>
          </w:tcPr>
          <w:p>
            <w:pPr/>
          </w:p>
        </w:tc>
        <w:tc>
          <w:tcPr>
            <w:tcW w:w="425" w:type="dxa"/>
            <w:tcBorders>
              <w:left w:val="single" w:sz="4" w:space="0" w:color="000000"/>
              <w:bottom w:val="single" w:sz="4" w:space="0" w:color="000000"/>
              <w:right w:val="single" w:sz="4" w:space="0" w:color="000000"/>
            </w:tcBorders>
          </w:tcPr>
          <w:p>
            <w:pPr/>
          </w:p>
        </w:tc>
        <w:tc>
          <w:tcPr>
            <w:tcW w:w="852" w:type="dxa"/>
            <w:tcBorders>
              <w:left w:val="single" w:sz="4" w:space="0" w:color="000000"/>
              <w:bottom w:val="single" w:sz="4" w:space="0" w:color="000000"/>
              <w:right w:val="single" w:sz="4" w:space="0" w:color="000000"/>
            </w:tcBorders>
          </w:tcPr>
          <w:p>
            <w:pPr/>
          </w:p>
        </w:tc>
        <w:tc>
          <w:tcPr>
            <w:tcW w:w="574" w:type="dxa"/>
            <w:tcBorders>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677"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tcBorders>
          </w:tcPr>
          <w:p>
            <w:pPr/>
          </w:p>
        </w:tc>
      </w:tr>
      <w:tr>
        <w:trPr>
          <w:trHeight w:val="442" w:hRule="exact"/>
        </w:trPr>
        <w:tc>
          <w:tcPr>
            <w:tcW w:w="708" w:type="dxa"/>
            <w:tcBorders>
              <w:top w:val="single" w:sz="4" w:space="0" w:color="000000"/>
              <w:bottom w:val="single" w:sz="4" w:space="0" w:color="000000"/>
              <w:right w:val="single" w:sz="4" w:space="0" w:color="000000"/>
            </w:tcBorders>
          </w:tcPr>
          <w:p>
            <w:pPr/>
          </w:p>
        </w:tc>
        <w:tc>
          <w:tcPr>
            <w:tcW w:w="677"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677"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tcBorders>
          </w:tcPr>
          <w:p>
            <w:pPr/>
          </w:p>
        </w:tc>
      </w:tr>
      <w:tr>
        <w:trPr>
          <w:trHeight w:val="439" w:hRule="exact"/>
        </w:trPr>
        <w:tc>
          <w:tcPr>
            <w:tcW w:w="708" w:type="dxa"/>
            <w:tcBorders>
              <w:top w:val="single" w:sz="4" w:space="0" w:color="000000"/>
              <w:bottom w:val="single" w:sz="4" w:space="0" w:color="000000"/>
              <w:right w:val="single" w:sz="4" w:space="0" w:color="000000"/>
            </w:tcBorders>
          </w:tcPr>
          <w:p>
            <w:pPr/>
          </w:p>
        </w:tc>
        <w:tc>
          <w:tcPr>
            <w:tcW w:w="677"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tcBorders>
          </w:tcPr>
          <w:p>
            <w:pPr/>
          </w:p>
        </w:tc>
      </w:tr>
      <w:tr>
        <w:trPr>
          <w:trHeight w:val="442" w:hRule="exact"/>
        </w:trPr>
        <w:tc>
          <w:tcPr>
            <w:tcW w:w="708" w:type="dxa"/>
            <w:tcBorders>
              <w:top w:val="single" w:sz="4" w:space="0" w:color="000000"/>
              <w:bottom w:val="single" w:sz="4" w:space="0" w:color="000000"/>
              <w:right w:val="single" w:sz="4" w:space="0" w:color="000000"/>
            </w:tcBorders>
          </w:tcPr>
          <w:p>
            <w:pPr/>
          </w:p>
        </w:tc>
        <w:tc>
          <w:tcPr>
            <w:tcW w:w="677"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708" w:type="dxa"/>
            <w:tcBorders>
              <w:top w:val="single" w:sz="4" w:space="0" w:color="000000"/>
              <w:left w:val="single" w:sz="4" w:space="0" w:color="000000"/>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852"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tcBorders>
          </w:tcPr>
          <w:p>
            <w:pPr/>
          </w:p>
        </w:tc>
      </w:tr>
      <w:tr>
        <w:trPr>
          <w:trHeight w:val="365" w:hRule="exact"/>
        </w:trPr>
        <w:tc>
          <w:tcPr>
            <w:tcW w:w="708" w:type="dxa"/>
            <w:tcBorders>
              <w:top w:val="single" w:sz="4" w:space="0" w:color="000000"/>
              <w:right w:val="single" w:sz="4" w:space="0" w:color="000000"/>
            </w:tcBorders>
          </w:tcPr>
          <w:p>
            <w:pPr/>
          </w:p>
        </w:tc>
        <w:tc>
          <w:tcPr>
            <w:tcW w:w="677" w:type="dxa"/>
            <w:tcBorders>
              <w:top w:val="single" w:sz="4" w:space="0" w:color="000000"/>
              <w:left w:val="single" w:sz="4" w:space="0" w:color="000000"/>
              <w:right w:val="single" w:sz="4" w:space="0" w:color="000000"/>
            </w:tcBorders>
          </w:tcPr>
          <w:p>
            <w:pPr/>
          </w:p>
        </w:tc>
        <w:tc>
          <w:tcPr>
            <w:tcW w:w="425" w:type="dxa"/>
            <w:tcBorders>
              <w:top w:val="single" w:sz="4" w:space="0" w:color="000000"/>
              <w:left w:val="single" w:sz="4" w:space="0" w:color="000000"/>
              <w:right w:val="single" w:sz="4" w:space="0" w:color="000000"/>
            </w:tcBorders>
          </w:tcPr>
          <w:p>
            <w:pPr/>
          </w:p>
        </w:tc>
        <w:tc>
          <w:tcPr>
            <w:tcW w:w="425" w:type="dxa"/>
            <w:tcBorders>
              <w:top w:val="single" w:sz="4" w:space="0" w:color="000000"/>
              <w:left w:val="single" w:sz="4" w:space="0" w:color="000000"/>
              <w:right w:val="single" w:sz="4" w:space="0" w:color="000000"/>
            </w:tcBorders>
          </w:tcPr>
          <w:p>
            <w:pPr/>
          </w:p>
        </w:tc>
        <w:tc>
          <w:tcPr>
            <w:tcW w:w="569" w:type="dxa"/>
            <w:tcBorders>
              <w:top w:val="single" w:sz="4" w:space="0" w:color="000000"/>
              <w:left w:val="single" w:sz="4" w:space="0" w:color="000000"/>
              <w:right w:val="single" w:sz="4" w:space="0" w:color="000000"/>
            </w:tcBorders>
          </w:tcPr>
          <w:p>
            <w:pPr/>
          </w:p>
        </w:tc>
        <w:tc>
          <w:tcPr>
            <w:tcW w:w="566" w:type="dxa"/>
            <w:tcBorders>
              <w:top w:val="single" w:sz="4" w:space="0" w:color="000000"/>
              <w:left w:val="single" w:sz="4" w:space="0" w:color="000000"/>
              <w:right w:val="single" w:sz="4" w:space="0" w:color="000000"/>
            </w:tcBorders>
          </w:tcPr>
          <w:p>
            <w:pPr/>
          </w:p>
        </w:tc>
        <w:tc>
          <w:tcPr>
            <w:tcW w:w="425" w:type="dxa"/>
            <w:tcBorders>
              <w:top w:val="single" w:sz="4" w:space="0" w:color="000000"/>
              <w:left w:val="single" w:sz="4" w:space="0" w:color="000000"/>
              <w:right w:val="single" w:sz="4" w:space="0" w:color="000000"/>
            </w:tcBorders>
          </w:tcPr>
          <w:p>
            <w:pPr/>
          </w:p>
        </w:tc>
        <w:tc>
          <w:tcPr>
            <w:tcW w:w="708" w:type="dxa"/>
            <w:tcBorders>
              <w:top w:val="single" w:sz="4" w:space="0" w:color="000000"/>
              <w:left w:val="single" w:sz="4" w:space="0" w:color="000000"/>
              <w:right w:val="single" w:sz="4" w:space="0" w:color="000000"/>
            </w:tcBorders>
          </w:tcPr>
          <w:p>
            <w:pPr/>
          </w:p>
        </w:tc>
        <w:tc>
          <w:tcPr>
            <w:tcW w:w="569" w:type="dxa"/>
            <w:tcBorders>
              <w:top w:val="single" w:sz="4" w:space="0" w:color="000000"/>
              <w:left w:val="single" w:sz="4" w:space="0" w:color="000000"/>
              <w:right w:val="single" w:sz="4" w:space="0" w:color="000000"/>
            </w:tcBorders>
          </w:tcPr>
          <w:p>
            <w:pPr/>
          </w:p>
        </w:tc>
        <w:tc>
          <w:tcPr>
            <w:tcW w:w="566" w:type="dxa"/>
            <w:tcBorders>
              <w:top w:val="single" w:sz="4" w:space="0" w:color="000000"/>
              <w:left w:val="single" w:sz="4" w:space="0" w:color="000000"/>
              <w:right w:val="single" w:sz="4" w:space="0" w:color="000000"/>
            </w:tcBorders>
          </w:tcPr>
          <w:p>
            <w:pPr/>
          </w:p>
        </w:tc>
        <w:tc>
          <w:tcPr>
            <w:tcW w:w="567" w:type="dxa"/>
            <w:tcBorders>
              <w:top w:val="single" w:sz="4" w:space="0" w:color="000000"/>
              <w:left w:val="single" w:sz="4" w:space="0" w:color="000000"/>
              <w:right w:val="single" w:sz="4" w:space="0" w:color="000000"/>
            </w:tcBorders>
          </w:tcPr>
          <w:p>
            <w:pPr/>
          </w:p>
        </w:tc>
        <w:tc>
          <w:tcPr>
            <w:tcW w:w="566" w:type="dxa"/>
            <w:tcBorders>
              <w:top w:val="single" w:sz="4" w:space="0" w:color="000000"/>
              <w:left w:val="single" w:sz="4" w:space="0" w:color="000000"/>
              <w:right w:val="single" w:sz="4" w:space="0" w:color="000000"/>
            </w:tcBorders>
          </w:tcPr>
          <w:p>
            <w:pPr/>
          </w:p>
        </w:tc>
        <w:tc>
          <w:tcPr>
            <w:tcW w:w="425" w:type="dxa"/>
            <w:tcBorders>
              <w:top w:val="single" w:sz="4" w:space="0" w:color="000000"/>
              <w:left w:val="single" w:sz="4" w:space="0" w:color="000000"/>
              <w:right w:val="single" w:sz="4" w:space="0" w:color="000000"/>
            </w:tcBorders>
          </w:tcPr>
          <w:p>
            <w:pPr/>
          </w:p>
        </w:tc>
        <w:tc>
          <w:tcPr>
            <w:tcW w:w="852" w:type="dxa"/>
            <w:tcBorders>
              <w:top w:val="single" w:sz="4" w:space="0" w:color="000000"/>
              <w:left w:val="single" w:sz="4" w:space="0" w:color="000000"/>
              <w:right w:val="single" w:sz="4" w:space="0" w:color="000000"/>
            </w:tcBorders>
          </w:tcPr>
          <w:p>
            <w:pPr/>
          </w:p>
        </w:tc>
        <w:tc>
          <w:tcPr>
            <w:tcW w:w="574" w:type="dxa"/>
            <w:tcBorders>
              <w:top w:val="single" w:sz="4" w:space="0" w:color="000000"/>
              <w:left w:val="single" w:sz="4" w:space="0" w:color="000000"/>
            </w:tcBorders>
          </w:tcPr>
          <w:p>
            <w:pPr/>
          </w:p>
        </w:tc>
      </w:tr>
    </w:tbl>
    <w:p>
      <w:pPr>
        <w:spacing w:line="230" w:lineRule="exact" w:before="0"/>
        <w:ind w:left="2180" w:right="0" w:firstLine="0"/>
        <w:jc w:val="left"/>
        <w:rPr>
          <w:sz w:val="20"/>
        </w:rPr>
      </w:pPr>
      <w:r>
        <w:rPr/>
        <w:pict>
          <v:line style="position:absolute;mso-position-horizontal-relative:page;mso-position-vertical-relative:paragraph;z-index:3184;mso-wrap-distance-left:0;mso-wrap-distance-right:0" from="97.823997pt,19.076pt" to="542.643997pt,19.076pt" stroked="true" strokeweight="1.44pt" strokecolor="#000000">
            <w10:wrap type="topAndBottom"/>
          </v:line>
        </w:pict>
      </w:r>
      <w:r>
        <w:rPr>
          <w:sz w:val="20"/>
        </w:rPr>
        <w:t>Nombre y firma de la responsable del levantamiento de datos</w:t>
      </w:r>
    </w:p>
    <w:p>
      <w:pPr>
        <w:spacing w:after="0" w:line="230" w:lineRule="exact"/>
        <w:jc w:val="left"/>
        <w:rPr>
          <w:sz w:val="20"/>
        </w:rPr>
        <w:sectPr>
          <w:pgSz w:w="12240" w:h="15840"/>
          <w:pgMar w:header="739" w:footer="928" w:top="1300" w:bottom="1120" w:left="1500" w:right="880"/>
        </w:sectPr>
      </w:pPr>
    </w:p>
    <w:p>
      <w:pPr>
        <w:spacing w:before="33"/>
        <w:ind w:left="5999" w:right="0" w:firstLine="0"/>
        <w:jc w:val="left"/>
        <w:rPr>
          <w:rFonts w:ascii="Calibri" w:hAnsi="Calibri"/>
          <w:b/>
          <w:sz w:val="16"/>
        </w:rPr>
      </w:pPr>
      <w:r>
        <w:rPr/>
        <w:pict>
          <v:group style="position:absolute;margin-left:97.573997pt;margin-top:1.217165pt;width:445.35pt;height:480.25pt;mso-position-horizontal-relative:page;mso-position-vertical-relative:paragraph;z-index:-76912" coordorigin="1951,24" coordsize="8907,9605">
            <v:line style="position:absolute" from="1956,29" to="10853,29" stroked="true" strokeweight=".48pt" strokecolor="#000000"/>
            <v:shape style="position:absolute;left:5306;top:34;width:5194;height:9596" coordorigin="5306,34" coordsize="5194,9596" path="m10054,34l5753,34,5680,40,5612,57,5548,84,5489,120,5437,165,5393,217,5356,275,5329,339,5312,408,5306,481,5306,9183,5312,9255,5329,9324,5356,9388,5393,9447,5437,9499,5489,9543,5548,9580,5612,9607,5680,9624,5753,9629,10054,9629,10126,9624,10195,9607,10259,9580,10317,9543,10369,9499,10414,9447,10450,9388,10477,9324,10494,9255,10500,9183,10500,481,10494,408,10477,339,10450,275,10414,217,10369,165,10317,120,10259,84,10195,57,10126,40,10054,34xe" filled="true" fillcolor="#ececec" stroked="false">
              <v:path arrowok="t"/>
              <v:fill type="solid"/>
            </v:shape>
            <v:shape style="position:absolute;left:5306;top:34;width:5194;height:9595" type="#_x0000_t75" stroked="false">
              <v:imagedata r:id="rId62" o:title=""/>
            </v:shape>
            <w10:wrap type="none"/>
          </v:group>
        </w:pict>
      </w:r>
      <w:r>
        <w:rPr>
          <w:rFonts w:ascii="Calibri" w:hAnsi="Calibri"/>
          <w:b/>
          <w:sz w:val="16"/>
        </w:rPr>
        <w:t>Maestría en Enfermería con Opción Terminal en Terapia Intensiva</w:t>
      </w:r>
    </w:p>
    <w:p>
      <w:pPr>
        <w:pStyle w:val="BodyText"/>
        <w:rPr>
          <w:rFonts w:ascii="Calibri"/>
          <w:b/>
          <w:sz w:val="20"/>
        </w:rPr>
      </w:pPr>
    </w:p>
    <w:p>
      <w:pPr>
        <w:pStyle w:val="BodyText"/>
        <w:rPr>
          <w:rFonts w:ascii="Calibri"/>
          <w:b/>
          <w:sz w:val="20"/>
        </w:rPr>
      </w:pPr>
    </w:p>
    <w:p>
      <w:pPr>
        <w:spacing w:line="242" w:lineRule="auto" w:before="169"/>
        <w:ind w:left="2091" w:right="6693" w:firstLine="0"/>
        <w:jc w:val="left"/>
        <w:rPr>
          <w:rFonts w:ascii="Palatino Linotype" w:hAnsi="Palatino Linotype"/>
          <w:b/>
          <w:i/>
          <w:sz w:val="36"/>
        </w:rPr>
      </w:pPr>
      <w:r>
        <w:rPr/>
        <w:pict>
          <v:shape style="position:absolute;margin-left:28.799999pt;margin-top:41.737732pt;width:80.95pt;height:110.1pt;mso-position-horizontal-relative:page;mso-position-vertical-relative:paragraph;z-index:3424" type="#_x0000_t202" filled="false" stroked="false">
            <v:textbox inset="0,0,0,0">
              <w:txbxContent>
                <w:p>
                  <w:pPr>
                    <w:spacing w:line="2201" w:lineRule="exact" w:before="0"/>
                    <w:ind w:left="0" w:right="0" w:firstLine="0"/>
                    <w:jc w:val="left"/>
                    <w:rPr>
                      <w:rFonts w:ascii="Palatino Linotype"/>
                      <w:b/>
                      <w:i/>
                      <w:sz w:val="220"/>
                    </w:rPr>
                  </w:pPr>
                  <w:r>
                    <w:rPr>
                      <w:rFonts w:ascii="Palatino Linotype"/>
                      <w:b/>
                      <w:i/>
                      <w:color w:val="365F91"/>
                      <w:w w:val="120"/>
                      <w:sz w:val="220"/>
                    </w:rPr>
                    <w:t>E</w:t>
                  </w:r>
                </w:p>
              </w:txbxContent>
            </v:textbox>
            <w10:wrap type="none"/>
          </v:shape>
        </w:pict>
      </w:r>
      <w:r>
        <w:rPr>
          <w:rFonts w:ascii="Palatino Linotype" w:hAnsi="Palatino Linotype"/>
          <w:b/>
          <w:i/>
          <w:w w:val="120"/>
          <w:sz w:val="36"/>
        </w:rPr>
        <w:t>Sugerencias </w:t>
      </w:r>
      <w:r>
        <w:rPr>
          <w:rFonts w:ascii="Palatino Linotype" w:hAnsi="Palatino Linotype"/>
          <w:b/>
          <w:i/>
          <w:w w:val="120"/>
          <w:sz w:val="36"/>
        </w:rPr>
        <w:t>specíficas para</w:t>
      </w:r>
    </w:p>
    <w:p>
      <w:pPr>
        <w:tabs>
          <w:tab w:pos="2453" w:val="left" w:leader="none"/>
        </w:tabs>
        <w:spacing w:line="242" w:lineRule="auto" w:before="1"/>
        <w:ind w:left="2091" w:right="6975" w:firstLine="0"/>
        <w:jc w:val="left"/>
        <w:rPr>
          <w:rFonts w:ascii="Palatino Linotype"/>
          <w:b/>
          <w:i/>
          <w:sz w:val="36"/>
        </w:rPr>
      </w:pPr>
      <w:r>
        <w:rPr>
          <w:rFonts w:ascii="Palatino Linotype"/>
          <w:b/>
          <w:i/>
          <w:w w:val="115"/>
          <w:sz w:val="36"/>
        </w:rPr>
        <w:t>l</w:t>
        <w:tab/>
      </w:r>
      <w:r>
        <w:rPr>
          <w:rFonts w:ascii="Palatino Linotype"/>
          <w:b/>
          <w:i/>
          <w:spacing w:val="-1"/>
          <w:w w:val="115"/>
          <w:sz w:val="36"/>
        </w:rPr>
        <w:t>personal </w:t>
      </w:r>
      <w:r>
        <w:rPr>
          <w:rFonts w:ascii="Palatino Linotype"/>
          <w:b/>
          <w:i/>
          <w:w w:val="115"/>
          <w:sz w:val="36"/>
        </w:rPr>
        <w:t>de</w:t>
      </w:r>
    </w:p>
    <w:p>
      <w:pPr>
        <w:spacing w:line="242" w:lineRule="auto" w:before="0"/>
        <w:ind w:left="2091" w:right="6217" w:firstLine="0"/>
        <w:jc w:val="left"/>
        <w:rPr>
          <w:rFonts w:ascii="Palatino Linotype" w:hAnsi="Palatino Linotype"/>
          <w:b/>
          <w:i/>
          <w:sz w:val="36"/>
        </w:rPr>
      </w:pPr>
      <w:r>
        <w:rPr>
          <w:rFonts w:ascii="Palatino Linotype" w:hAnsi="Palatino Linotype"/>
          <w:b/>
          <w:i/>
          <w:w w:val="120"/>
          <w:sz w:val="36"/>
        </w:rPr>
        <w:t>nfermería en </w:t>
      </w:r>
      <w:r>
        <w:rPr>
          <w:rFonts w:ascii="Palatino Linotype" w:hAnsi="Palatino Linotype"/>
          <w:b/>
          <w:i/>
          <w:w w:val="120"/>
          <w:sz w:val="36"/>
        </w:rPr>
        <w:t>la terapia endovenosa</w:t>
      </w: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spacing w:before="9"/>
        <w:rPr>
          <w:rFonts w:ascii="Palatino Linotype"/>
          <w:b/>
          <w:i/>
          <w:sz w:val="10"/>
        </w:rPr>
      </w:pPr>
      <w:r>
        <w:rPr/>
        <w:drawing>
          <wp:anchor distT="0" distB="0" distL="0" distR="0" allowOverlap="1" layoutInCell="1" locked="0" behindDoc="0" simplePos="0" relativeHeight="3280">
            <wp:simplePos x="0" y="0"/>
            <wp:positionH relativeFrom="page">
              <wp:posOffset>1260347</wp:posOffset>
            </wp:positionH>
            <wp:positionV relativeFrom="paragraph">
              <wp:posOffset>116629</wp:posOffset>
            </wp:positionV>
            <wp:extent cx="774498" cy="632840"/>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63" cstate="print"/>
                    <a:stretch>
                      <a:fillRect/>
                    </a:stretch>
                  </pic:blipFill>
                  <pic:spPr>
                    <a:xfrm>
                      <a:off x="0" y="0"/>
                      <a:ext cx="774498" cy="632840"/>
                    </a:xfrm>
                    <a:prstGeom prst="rect">
                      <a:avLst/>
                    </a:prstGeom>
                  </pic:spPr>
                </pic:pic>
              </a:graphicData>
            </a:graphic>
          </wp:anchor>
        </w:drawing>
      </w:r>
    </w:p>
    <w:p>
      <w:pPr>
        <w:pStyle w:val="BodyText"/>
        <w:rPr>
          <w:rFonts w:ascii="Palatino Linotype"/>
          <w:b/>
          <w:i/>
          <w:sz w:val="20"/>
        </w:rPr>
      </w:pPr>
    </w:p>
    <w:p>
      <w:pPr>
        <w:pStyle w:val="BodyText"/>
        <w:spacing w:before="11"/>
        <w:rPr>
          <w:rFonts w:ascii="Palatino Linotype"/>
          <w:b/>
          <w:i/>
          <w:sz w:val="29"/>
        </w:rPr>
      </w:pPr>
      <w:r>
        <w:rPr/>
        <w:drawing>
          <wp:anchor distT="0" distB="0" distL="0" distR="0" allowOverlap="1" layoutInCell="1" locked="0" behindDoc="0" simplePos="0" relativeHeight="3304">
            <wp:simplePos x="0" y="0"/>
            <wp:positionH relativeFrom="page">
              <wp:posOffset>1260347</wp:posOffset>
            </wp:positionH>
            <wp:positionV relativeFrom="paragraph">
              <wp:posOffset>280781</wp:posOffset>
            </wp:positionV>
            <wp:extent cx="1101342" cy="619125"/>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64" cstate="print"/>
                    <a:stretch>
                      <a:fillRect/>
                    </a:stretch>
                  </pic:blipFill>
                  <pic:spPr>
                    <a:xfrm>
                      <a:off x="0" y="0"/>
                      <a:ext cx="1101342" cy="619125"/>
                    </a:xfrm>
                    <a:prstGeom prst="rect">
                      <a:avLst/>
                    </a:prstGeom>
                  </pic:spPr>
                </pic:pic>
              </a:graphicData>
            </a:graphic>
          </wp:anchor>
        </w:drawing>
      </w:r>
    </w:p>
    <w:p>
      <w:pPr>
        <w:pStyle w:val="BodyText"/>
        <w:rPr>
          <w:rFonts w:ascii="Palatino Linotype"/>
          <w:b/>
          <w:i/>
          <w:sz w:val="20"/>
        </w:rPr>
      </w:pPr>
    </w:p>
    <w:p>
      <w:pPr>
        <w:pStyle w:val="BodyText"/>
        <w:spacing w:before="10"/>
        <w:rPr>
          <w:rFonts w:ascii="Palatino Linotype"/>
          <w:b/>
          <w:i/>
          <w:sz w:val="17"/>
        </w:rPr>
      </w:pPr>
      <w:r>
        <w:rPr/>
        <w:drawing>
          <wp:anchor distT="0" distB="0" distL="0" distR="0" allowOverlap="1" layoutInCell="1" locked="0" behindDoc="0" simplePos="0" relativeHeight="3328">
            <wp:simplePos x="0" y="0"/>
            <wp:positionH relativeFrom="page">
              <wp:posOffset>1260347</wp:posOffset>
            </wp:positionH>
            <wp:positionV relativeFrom="paragraph">
              <wp:posOffset>177149</wp:posOffset>
            </wp:positionV>
            <wp:extent cx="805423" cy="582549"/>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65" cstate="print"/>
                    <a:stretch>
                      <a:fillRect/>
                    </a:stretch>
                  </pic:blipFill>
                  <pic:spPr>
                    <a:xfrm>
                      <a:off x="0" y="0"/>
                      <a:ext cx="805423" cy="582549"/>
                    </a:xfrm>
                    <a:prstGeom prst="rect">
                      <a:avLst/>
                    </a:prstGeom>
                  </pic:spPr>
                </pic:pic>
              </a:graphicData>
            </a:graphic>
          </wp:anchor>
        </w:drawing>
      </w:r>
      <w:r>
        <w:rPr/>
        <w:pict>
          <v:group style="position:absolute;margin-left:234.949997pt;margin-top:36.338791pt;width:335.15pt;height:34.75pt;mso-position-horizontal-relative:page;mso-position-vertical-relative:paragraph;z-index:3376;mso-wrap-distance-left:0;mso-wrap-distance-right:0" coordorigin="4699,727" coordsize="6703,695">
            <v:shape style="position:absolute;left:4699;top:727;width:6703;height:695" type="#_x0000_t75" stroked="false">
              <v:imagedata r:id="rId66" o:title=""/>
            </v:shape>
            <v:shape style="position:absolute;left:4699;top:727;width:6703;height:695" type="#_x0000_t202" filled="false" stroked="false">
              <v:textbox inset="0,0,0,0">
                <w:txbxContent>
                  <w:p>
                    <w:pPr>
                      <w:spacing w:before="75"/>
                      <w:ind w:left="781" w:right="0" w:firstLine="0"/>
                      <w:jc w:val="left"/>
                      <w:rPr>
                        <w:rFonts w:ascii="Palatino Linotype" w:hAnsi="Palatino Linotype"/>
                        <w:b/>
                        <w:i/>
                        <w:sz w:val="28"/>
                      </w:rPr>
                    </w:pPr>
                    <w:r>
                      <w:rPr>
                        <w:rFonts w:ascii="Palatino Linotype" w:hAnsi="Palatino Linotype"/>
                        <w:b/>
                        <w:i/>
                        <w:w w:val="120"/>
                        <w:sz w:val="28"/>
                      </w:rPr>
                      <w:t>Lic. en Enf. Victoria López Castillo</w:t>
                    </w:r>
                  </w:p>
                </w:txbxContent>
              </v:textbox>
              <w10:wrap type="none"/>
            </v:shape>
            <w10:wrap type="topAndBottom"/>
          </v:group>
        </w:pict>
      </w: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spacing w:before="12"/>
        <w:rPr>
          <w:rFonts w:ascii="Palatino Linotype"/>
          <w:b/>
          <w:i/>
          <w:sz w:val="26"/>
        </w:rPr>
      </w:pPr>
    </w:p>
    <w:p>
      <w:pPr>
        <w:pStyle w:val="Heading7"/>
        <w:spacing w:before="31"/>
        <w:ind w:left="5750"/>
        <w:rPr>
          <w:i/>
        </w:rPr>
      </w:pPr>
      <w:r>
        <w:rPr>
          <w:i/>
          <w:w w:val="115"/>
        </w:rPr>
        <w:t>Toluca, Estado de México junio  2014</w:t>
      </w:r>
    </w:p>
    <w:p>
      <w:pPr>
        <w:spacing w:after="0"/>
        <w:sectPr>
          <w:headerReference w:type="default" r:id="rId61"/>
          <w:pgSz w:w="12240" w:h="15840"/>
          <w:pgMar w:header="739" w:footer="928" w:top="1080" w:bottom="1120" w:left="460" w:right="720"/>
        </w:sectPr>
      </w:pPr>
    </w:p>
    <w:p>
      <w:pPr>
        <w:pStyle w:val="BodyText"/>
        <w:spacing w:line="20" w:lineRule="exact"/>
        <w:ind w:left="231"/>
        <w:rPr>
          <w:rFonts w:ascii="Palatino Linotype"/>
          <w:sz w:val="2"/>
        </w:rPr>
      </w:pPr>
      <w:r>
        <w:rPr>
          <w:rFonts w:ascii="Palatino Linotype"/>
          <w:sz w:val="2"/>
        </w:rPr>
        <w:pict>
          <v:group style="width:445.35pt;height:.5pt;mso-position-horizontal-relative:char;mso-position-vertical-relative:line" coordorigin="0,0" coordsize="8907,10">
            <v:line style="position:absolute" from="5,5" to="8901,5" stroked="true" strokeweight=".48pt" strokecolor="#000000"/>
          </v:group>
        </w:pict>
      </w:r>
      <w:r>
        <w:rPr>
          <w:rFonts w:ascii="Palatino Linotype"/>
          <w:sz w:val="2"/>
        </w:rPr>
      </w: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rPr>
          <w:rFonts w:ascii="Palatino Linotype"/>
          <w:b/>
          <w:i/>
          <w:sz w:val="20"/>
        </w:rPr>
      </w:pPr>
    </w:p>
    <w:p>
      <w:pPr>
        <w:pStyle w:val="BodyText"/>
        <w:spacing w:before="1"/>
        <w:rPr>
          <w:rFonts w:ascii="Palatino Linotype"/>
          <w:b/>
          <w:i/>
          <w:sz w:val="22"/>
        </w:rPr>
      </w:pPr>
    </w:p>
    <w:p>
      <w:pPr>
        <w:pStyle w:val="Heading7"/>
        <w:spacing w:before="31"/>
        <w:ind w:left="3112" w:right="284"/>
        <w:rPr>
          <w:i/>
        </w:rPr>
      </w:pPr>
      <w:r>
        <w:rPr>
          <w:i/>
          <w:w w:val="115"/>
        </w:rPr>
        <w:t>I N T R O D U C C I Ó  N</w:t>
      </w:r>
    </w:p>
    <w:p>
      <w:pPr>
        <w:pStyle w:val="BodyText"/>
        <w:rPr>
          <w:rFonts w:ascii="Palatino Linotype"/>
          <w:b/>
          <w:i/>
        </w:rPr>
      </w:pPr>
    </w:p>
    <w:p>
      <w:pPr>
        <w:pStyle w:val="BodyText"/>
        <w:spacing w:before="8"/>
        <w:rPr>
          <w:rFonts w:ascii="Palatino Linotype"/>
          <w:b/>
          <w:i/>
          <w:sz w:val="35"/>
        </w:rPr>
      </w:pPr>
    </w:p>
    <w:p>
      <w:pPr>
        <w:pStyle w:val="BodyText"/>
        <w:ind w:left="3705" w:right="230"/>
        <w:jc w:val="both"/>
      </w:pPr>
      <w:r>
        <w:rPr/>
        <w:drawing>
          <wp:anchor distT="0" distB="0" distL="0" distR="0" allowOverlap="1" layoutInCell="1" locked="0" behindDoc="0" simplePos="0" relativeHeight="3496">
            <wp:simplePos x="0" y="0"/>
            <wp:positionH relativeFrom="page">
              <wp:posOffset>1263396</wp:posOffset>
            </wp:positionH>
            <wp:positionV relativeFrom="paragraph">
              <wp:posOffset>93927</wp:posOffset>
            </wp:positionV>
            <wp:extent cx="2066543" cy="2054352"/>
            <wp:effectExtent l="0" t="0" r="0" b="0"/>
            <wp:wrapNone/>
            <wp:docPr id="33" name="image18.jpeg" descr=""/>
            <wp:cNvGraphicFramePr>
              <a:graphicFrameLocks noChangeAspect="1"/>
            </wp:cNvGraphicFramePr>
            <a:graphic>
              <a:graphicData uri="http://schemas.openxmlformats.org/drawingml/2006/picture">
                <pic:pic>
                  <pic:nvPicPr>
                    <pic:cNvPr id="34" name="image18.jpeg"/>
                    <pic:cNvPicPr/>
                  </pic:nvPicPr>
                  <pic:blipFill>
                    <a:blip r:embed="rId68" cstate="print"/>
                    <a:stretch>
                      <a:fillRect/>
                    </a:stretch>
                  </pic:blipFill>
                  <pic:spPr>
                    <a:xfrm>
                      <a:off x="0" y="0"/>
                      <a:ext cx="2066543" cy="2054352"/>
                    </a:xfrm>
                    <a:prstGeom prst="rect">
                      <a:avLst/>
                    </a:prstGeom>
                  </pic:spPr>
                </pic:pic>
              </a:graphicData>
            </a:graphic>
          </wp:anchor>
        </w:drawing>
      </w:r>
      <w:r>
        <w:rPr/>
        <w:t>Los avances en la tecnología han dado lugar a  que cada vez un mayor número de  procedimientos de atención directa al paciente alcancen un nivel de  especialización  y complejidad tal, que al ser mal ejecutados o violadas ciertas precauciones antes, durante y al final del proceso se transforman en un delito de carácter administrativo, civil y en ocasiones, incluso penal. Algunos de ellos pueden ser de responsabilidad única del personal médico, en otros casos atribuibles sólo al personal de enfermería, quien interviene en el plan médico- terapéutico y es responsable de mantener un</w:t>
      </w:r>
      <w:r>
        <w:rPr>
          <w:spacing w:val="-2"/>
        </w:rPr>
        <w:t> </w:t>
      </w:r>
      <w:r>
        <w:rPr/>
        <w:t>nivel</w:t>
      </w:r>
    </w:p>
    <w:p>
      <w:pPr>
        <w:pStyle w:val="BodyText"/>
        <w:ind w:left="265" w:right="233"/>
        <w:jc w:val="both"/>
      </w:pPr>
      <w:r>
        <w:rPr/>
        <w:t>de experiencia y conocimientos específicos para proporcionar los cuidados necesarios indicados en el plan terapéutico y atención a las condiciones particulares de cada paciente.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4262" w:right="230"/>
        <w:jc w:val="both"/>
      </w:pPr>
      <w:r>
        <w:rPr/>
        <w:drawing>
          <wp:anchor distT="0" distB="0" distL="0" distR="0" allowOverlap="1" layoutInCell="1" locked="0" behindDoc="0" simplePos="0" relativeHeight="3472">
            <wp:simplePos x="0" y="0"/>
            <wp:positionH relativeFrom="page">
              <wp:posOffset>1263396</wp:posOffset>
            </wp:positionH>
            <wp:positionV relativeFrom="paragraph">
              <wp:posOffset>-522403</wp:posOffset>
            </wp:positionV>
            <wp:extent cx="2415540" cy="2008632"/>
            <wp:effectExtent l="0" t="0" r="0" b="0"/>
            <wp:wrapNone/>
            <wp:docPr id="35" name="image19.jpeg" descr=""/>
            <wp:cNvGraphicFramePr>
              <a:graphicFrameLocks noChangeAspect="1"/>
            </wp:cNvGraphicFramePr>
            <a:graphic>
              <a:graphicData uri="http://schemas.openxmlformats.org/drawingml/2006/picture">
                <pic:pic>
                  <pic:nvPicPr>
                    <pic:cNvPr id="36" name="image19.jpeg"/>
                    <pic:cNvPicPr/>
                  </pic:nvPicPr>
                  <pic:blipFill>
                    <a:blip r:embed="rId69" cstate="print"/>
                    <a:stretch>
                      <a:fillRect/>
                    </a:stretch>
                  </pic:blipFill>
                  <pic:spPr>
                    <a:xfrm>
                      <a:off x="0" y="0"/>
                      <a:ext cx="2415540" cy="2008632"/>
                    </a:xfrm>
                    <a:prstGeom prst="rect">
                      <a:avLst/>
                    </a:prstGeom>
                  </pic:spPr>
                </pic:pic>
              </a:graphicData>
            </a:graphic>
          </wp:anchor>
        </w:drawing>
      </w:r>
      <w:r>
        <w:rPr/>
        <w:t>La terapia endovenosa incluye los procedimientos de instalación, manejo  y retiro del catéter, sin embargo a partir del reconocimiento de la importancia de este tipo de intervenciones la Comisión Nacional de Arbitraje Médico (CONAMED) elabora las recomendaciones específicas para enfermería en el proceso de terapia endovenosa, mismas que han sido derivadas</w:t>
      </w:r>
    </w:p>
    <w:p>
      <w:pPr>
        <w:pStyle w:val="BodyText"/>
        <w:ind w:left="265" w:right="232"/>
        <w:jc w:val="both"/>
      </w:pPr>
      <w:r>
        <w:rPr/>
        <w:t>de las Recomendaciones Generales para mejorar la Atención de Enfermería, con el objetivo de evitar daños innecesarios en los pacientes, así como posibles inconformidades relacionadas con la ejecución de estos procedimientos.</w:t>
      </w:r>
    </w:p>
    <w:p>
      <w:pPr>
        <w:spacing w:after="0"/>
        <w:jc w:val="both"/>
        <w:sectPr>
          <w:headerReference w:type="default" r:id="rId67"/>
          <w:pgSz w:w="12240" w:h="15840"/>
          <w:pgMar w:header="739" w:footer="928" w:top="1120" w:bottom="1120" w:left="1720" w:right="1180"/>
        </w:sectPr>
      </w:pPr>
    </w:p>
    <w:p>
      <w:pPr>
        <w:pStyle w:val="BodyText"/>
        <w:rPr>
          <w:sz w:val="20"/>
        </w:rPr>
      </w:pPr>
      <w:r>
        <w:rPr/>
        <w:pict>
          <v:line style="position:absolute;mso-position-horizontal-relative:page;mso-position-vertical-relative:page;z-index:3520" from="97.823997pt,56.16pt" to="542.643997pt,56.16pt" stroked="true" strokeweight=".48pt" strokecolor="#000000">
            <w10:wrap type="none"/>
          </v:line>
        </w:pict>
      </w:r>
    </w:p>
    <w:p>
      <w:pPr>
        <w:pStyle w:val="BodyText"/>
        <w:rPr>
          <w:sz w:val="20"/>
        </w:rPr>
      </w:pPr>
    </w:p>
    <w:p>
      <w:pPr>
        <w:pStyle w:val="Heading7"/>
        <w:spacing w:before="201"/>
        <w:ind w:left="3257"/>
        <w:rPr>
          <w:i/>
        </w:rPr>
      </w:pPr>
      <w:r>
        <w:rPr>
          <w:i/>
          <w:w w:val="115"/>
        </w:rPr>
        <w:t>1.-  TERAPIA ENDOVENOSA</w:t>
      </w:r>
    </w:p>
    <w:p>
      <w:pPr>
        <w:pStyle w:val="BodyText"/>
        <w:rPr>
          <w:rFonts w:ascii="Palatino Linotype"/>
          <w:b/>
          <w:i/>
        </w:rPr>
      </w:pPr>
    </w:p>
    <w:p>
      <w:pPr>
        <w:pStyle w:val="BodyText"/>
        <w:rPr>
          <w:rFonts w:ascii="Palatino Linotype"/>
          <w:b/>
          <w:i/>
        </w:rPr>
      </w:pPr>
    </w:p>
    <w:p>
      <w:pPr>
        <w:pStyle w:val="BodyText"/>
        <w:rPr>
          <w:rFonts w:ascii="Palatino Linotype"/>
          <w:b/>
          <w:i/>
        </w:rPr>
      </w:pPr>
    </w:p>
    <w:p>
      <w:pPr>
        <w:pStyle w:val="BodyText"/>
        <w:rPr>
          <w:rFonts w:ascii="Palatino Linotype"/>
          <w:b/>
          <w:i/>
        </w:rPr>
      </w:pPr>
    </w:p>
    <w:p>
      <w:pPr>
        <w:pStyle w:val="BodyText"/>
        <w:spacing w:before="4"/>
        <w:rPr>
          <w:rFonts w:ascii="Palatino Linotype"/>
          <w:b/>
          <w:i/>
          <w:sz w:val="25"/>
        </w:rPr>
      </w:pPr>
    </w:p>
    <w:p>
      <w:pPr>
        <w:spacing w:before="0"/>
        <w:ind w:left="6392" w:right="0" w:firstLine="0"/>
        <w:jc w:val="left"/>
        <w:rPr>
          <w:rFonts w:ascii="Palatino Linotype"/>
          <w:b/>
          <w:i/>
          <w:sz w:val="24"/>
        </w:rPr>
      </w:pPr>
      <w:r>
        <w:rPr/>
        <w:drawing>
          <wp:anchor distT="0" distB="0" distL="0" distR="0" allowOverlap="1" layoutInCell="1" locked="0" behindDoc="0" simplePos="0" relativeHeight="3568">
            <wp:simplePos x="0" y="0"/>
            <wp:positionH relativeFrom="page">
              <wp:posOffset>871727</wp:posOffset>
            </wp:positionH>
            <wp:positionV relativeFrom="paragraph">
              <wp:posOffset>-41431</wp:posOffset>
            </wp:positionV>
            <wp:extent cx="2720340" cy="2618232"/>
            <wp:effectExtent l="0" t="0" r="0" b="0"/>
            <wp:wrapNone/>
            <wp:docPr id="37" name="image20.jpeg" descr=""/>
            <wp:cNvGraphicFramePr>
              <a:graphicFrameLocks noChangeAspect="1"/>
            </wp:cNvGraphicFramePr>
            <a:graphic>
              <a:graphicData uri="http://schemas.openxmlformats.org/drawingml/2006/picture">
                <pic:pic>
                  <pic:nvPicPr>
                    <pic:cNvPr id="38" name="image20.jpeg"/>
                    <pic:cNvPicPr/>
                  </pic:nvPicPr>
                  <pic:blipFill>
                    <a:blip r:embed="rId70" cstate="print"/>
                    <a:stretch>
                      <a:fillRect/>
                    </a:stretch>
                  </pic:blipFill>
                  <pic:spPr>
                    <a:xfrm>
                      <a:off x="0" y="0"/>
                      <a:ext cx="2720340" cy="2618232"/>
                    </a:xfrm>
                    <a:prstGeom prst="rect">
                      <a:avLst/>
                    </a:prstGeom>
                  </pic:spPr>
                </pic:pic>
              </a:graphicData>
            </a:graphic>
          </wp:anchor>
        </w:drawing>
      </w:r>
      <w:r>
        <w:rPr>
          <w:rFonts w:ascii="Palatino Linotype"/>
          <w:b/>
          <w:i/>
          <w:w w:val="115"/>
          <w:sz w:val="24"/>
        </w:rPr>
        <w:t>OBJETIVO</w:t>
      </w:r>
    </w:p>
    <w:p>
      <w:pPr>
        <w:pStyle w:val="BodyText"/>
        <w:rPr>
          <w:rFonts w:ascii="Palatino Linotype"/>
          <w:b/>
          <w:i/>
        </w:rPr>
      </w:pPr>
    </w:p>
    <w:p>
      <w:pPr>
        <w:pStyle w:val="BodyText"/>
        <w:spacing w:before="12"/>
        <w:rPr>
          <w:rFonts w:ascii="Palatino Linotype"/>
          <w:b/>
          <w:i/>
          <w:sz w:val="20"/>
        </w:rPr>
      </w:pPr>
    </w:p>
    <w:p>
      <w:pPr>
        <w:pStyle w:val="BodyText"/>
        <w:ind w:left="4585" w:right="236"/>
        <w:jc w:val="both"/>
      </w:pPr>
      <w:r>
        <w:rPr/>
        <w:t>Plantear las condiciones que debe cuidar el personal de enfermería al realizar los procedimientos que requiere la terapia endovenosa, desde la instalación hasta el retiro de catéter, para evitar eventos que pongan en riesgo la integridad física y emocional de los pacientes, ofreciendo de  esta forma una práctica segura y sin complicaciones.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7"/>
        <w:numPr>
          <w:ilvl w:val="1"/>
          <w:numId w:val="7"/>
        </w:numPr>
        <w:tabs>
          <w:tab w:pos="1525" w:val="left" w:leader="none"/>
        </w:tabs>
        <w:spacing w:line="240" w:lineRule="auto" w:before="151" w:after="0"/>
        <w:ind w:left="1524" w:right="0" w:hanging="439"/>
        <w:jc w:val="left"/>
        <w:rPr>
          <w:i/>
        </w:rPr>
      </w:pPr>
      <w:r>
        <w:rPr>
          <w:i/>
          <w:w w:val="110"/>
        </w:rPr>
        <w:t>INSTALACIÓN  O  COLOCACIÓN  DEL</w:t>
      </w:r>
      <w:r>
        <w:rPr>
          <w:i/>
          <w:spacing w:val="34"/>
          <w:w w:val="110"/>
        </w:rPr>
        <w:t> </w:t>
      </w:r>
      <w:r>
        <w:rPr>
          <w:i/>
          <w:w w:val="110"/>
        </w:rPr>
        <w:t>CATÉTER</w:t>
      </w:r>
    </w:p>
    <w:p>
      <w:pPr>
        <w:pStyle w:val="BodyText"/>
        <w:rPr>
          <w:rFonts w:ascii="Palatino Linotype"/>
          <w:b/>
          <w:i/>
        </w:rPr>
      </w:pPr>
    </w:p>
    <w:p>
      <w:pPr>
        <w:pStyle w:val="BodyText"/>
        <w:spacing w:before="10"/>
        <w:rPr>
          <w:rFonts w:ascii="Palatino Linotype"/>
          <w:b/>
          <w:i/>
        </w:rPr>
      </w:pPr>
    </w:p>
    <w:p>
      <w:pPr>
        <w:spacing w:before="0"/>
        <w:ind w:left="6207" w:right="0" w:firstLine="0"/>
        <w:jc w:val="left"/>
        <w:rPr>
          <w:rFonts w:ascii="Palatino Linotype"/>
          <w:b/>
          <w:i/>
          <w:sz w:val="24"/>
        </w:rPr>
      </w:pPr>
      <w:r>
        <w:rPr/>
        <w:drawing>
          <wp:anchor distT="0" distB="0" distL="0" distR="0" allowOverlap="1" layoutInCell="1" locked="0" behindDoc="0" simplePos="0" relativeHeight="3544">
            <wp:simplePos x="0" y="0"/>
            <wp:positionH relativeFrom="page">
              <wp:posOffset>867155</wp:posOffset>
            </wp:positionH>
            <wp:positionV relativeFrom="paragraph">
              <wp:posOffset>165197</wp:posOffset>
            </wp:positionV>
            <wp:extent cx="2564892" cy="1796796"/>
            <wp:effectExtent l="0" t="0" r="0" b="0"/>
            <wp:wrapNone/>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71" cstate="print"/>
                    <a:stretch>
                      <a:fillRect/>
                    </a:stretch>
                  </pic:blipFill>
                  <pic:spPr>
                    <a:xfrm>
                      <a:off x="0" y="0"/>
                      <a:ext cx="2564892" cy="1796796"/>
                    </a:xfrm>
                    <a:prstGeom prst="rect">
                      <a:avLst/>
                    </a:prstGeom>
                  </pic:spPr>
                </pic:pic>
              </a:graphicData>
            </a:graphic>
          </wp:anchor>
        </w:drawing>
      </w:r>
      <w:r>
        <w:rPr>
          <w:rFonts w:ascii="Palatino Linotype"/>
          <w:b/>
          <w:i/>
          <w:w w:val="110"/>
          <w:sz w:val="24"/>
        </w:rPr>
        <w:t>CONCEPTO</w:t>
      </w:r>
    </w:p>
    <w:p>
      <w:pPr>
        <w:pStyle w:val="BodyText"/>
        <w:spacing w:before="9"/>
        <w:rPr>
          <w:rFonts w:ascii="Palatino Linotype"/>
          <w:b/>
          <w:i/>
          <w:sz w:val="20"/>
        </w:rPr>
      </w:pPr>
    </w:p>
    <w:p>
      <w:pPr>
        <w:pStyle w:val="BodyText"/>
        <w:ind w:left="4337" w:right="234"/>
        <w:jc w:val="both"/>
        <w:rPr>
          <w:rFonts w:ascii="Times New Roman" w:hAnsi="Times New Roman"/>
          <w:sz w:val="25"/>
        </w:rPr>
      </w:pPr>
      <w:r>
        <w:rPr/>
        <w:t>Es el procedimiento por medio del cual, se introduce un catéter en la luz de una vena, para la administración directa al torrente sanguíneo  de líquidos, medicamentos o componentes sanguíneos, que permitan restablecer o conservar el equilibrio hidroelectrolítico y hemodinámico del</w:t>
      </w:r>
      <w:r>
        <w:rPr>
          <w:spacing w:val="-5"/>
        </w:rPr>
        <w:t> </w:t>
      </w:r>
      <w:r>
        <w:rPr/>
        <w:t>paciente</w:t>
      </w:r>
      <w:r>
        <w:rPr>
          <w:rFonts w:ascii="Times New Roman" w:hAnsi="Times New Roman"/>
          <w:sz w:val="25"/>
        </w:rPr>
        <w:t>.</w:t>
      </w:r>
    </w:p>
    <w:p>
      <w:pPr>
        <w:spacing w:after="0"/>
        <w:jc w:val="both"/>
        <w:rPr>
          <w:rFonts w:ascii="Times New Roman" w:hAnsi="Times New Roman"/>
          <w:sz w:val="25"/>
        </w:rPr>
        <w:sectPr>
          <w:pgSz w:w="12240" w:h="15840"/>
          <w:pgMar w:header="739" w:footer="928" w:top="1300" w:bottom="1120" w:left="1260" w:right="1180"/>
        </w:sectPr>
      </w:pPr>
    </w:p>
    <w:p>
      <w:pPr>
        <w:pStyle w:val="BodyText"/>
        <w:rPr>
          <w:rFonts w:ascii="Times New Roman"/>
          <w:sz w:val="20"/>
        </w:rPr>
      </w:pPr>
      <w:r>
        <w:rPr/>
        <w:pict>
          <v:line style="position:absolute;mso-position-horizontal-relative:page;mso-position-vertical-relative:page;z-index:3592" from="97.823997pt,56.16pt" to="542.643997pt,56.16pt" stroked="true" strokeweight=".48pt" strokecolor="#000000">
            <w10:wrap type="none"/>
          </v:line>
        </w:pict>
      </w:r>
    </w:p>
    <w:p>
      <w:pPr>
        <w:pStyle w:val="BodyText"/>
        <w:rPr>
          <w:rFonts w:ascii="Times New Roman"/>
          <w:sz w:val="20"/>
        </w:rPr>
      </w:pPr>
    </w:p>
    <w:p>
      <w:pPr>
        <w:spacing w:before="200"/>
        <w:ind w:left="2075" w:right="284" w:firstLine="0"/>
        <w:jc w:val="left"/>
        <w:rPr>
          <w:rFonts w:ascii="Palatino Linotype" w:hAnsi="Palatino Linotype"/>
          <w:b/>
          <w:i/>
          <w:sz w:val="25"/>
        </w:rPr>
      </w:pPr>
      <w:r>
        <w:rPr>
          <w:rFonts w:ascii="Palatino Linotype" w:hAnsi="Palatino Linotype"/>
          <w:b/>
          <w:i/>
          <w:w w:val="120"/>
          <w:sz w:val="25"/>
        </w:rPr>
        <w:t>PROCEDIMIENTO DE ENFERMERÍA</w:t>
      </w:r>
    </w:p>
    <w:p>
      <w:pPr>
        <w:pStyle w:val="BodyText"/>
        <w:rPr>
          <w:rFonts w:ascii="Palatino Linotype"/>
          <w:b/>
          <w:i/>
        </w:rPr>
      </w:pPr>
    </w:p>
    <w:p>
      <w:pPr>
        <w:pStyle w:val="BodyText"/>
        <w:spacing w:before="8"/>
        <w:rPr>
          <w:rFonts w:ascii="Palatino Linotype"/>
          <w:b/>
          <w:i/>
          <w:sz w:val="18"/>
        </w:rPr>
      </w:pPr>
    </w:p>
    <w:p>
      <w:pPr>
        <w:pStyle w:val="ListParagraph"/>
        <w:numPr>
          <w:ilvl w:val="0"/>
          <w:numId w:val="8"/>
        </w:numPr>
        <w:tabs>
          <w:tab w:pos="563" w:val="left" w:leader="none"/>
        </w:tabs>
        <w:spacing w:line="240" w:lineRule="auto" w:before="0" w:after="0"/>
        <w:ind w:left="265" w:right="233" w:firstLine="0"/>
        <w:jc w:val="both"/>
        <w:rPr>
          <w:rFonts w:ascii="Times New Roman" w:hAnsi="Times New Roman"/>
          <w:sz w:val="25"/>
        </w:rPr>
      </w:pPr>
      <w:r>
        <w:rPr>
          <w:rFonts w:ascii="Times New Roman" w:hAnsi="Times New Roman"/>
          <w:sz w:val="25"/>
        </w:rPr>
        <w:t>Identifica al paciente por su nombre, se presenta y le explica de manera clara y sencilla el procedimiento que le va a realizar haciendo énfasis en que se le dejará un catéter de material plástico dentro de la vena con el propósito de ministrar los medicamentos o líquidos necesarios para su tratamiento, asegurándose que lo</w:t>
      </w:r>
      <w:r>
        <w:rPr>
          <w:rFonts w:ascii="Times New Roman" w:hAnsi="Times New Roman"/>
          <w:spacing w:val="-20"/>
          <w:sz w:val="25"/>
        </w:rPr>
        <w:t> </w:t>
      </w:r>
      <w:r>
        <w:rPr>
          <w:rFonts w:ascii="Times New Roman" w:hAnsi="Times New Roman"/>
          <w:sz w:val="25"/>
        </w:rPr>
        <w:t>entienda.</w:t>
      </w:r>
    </w:p>
    <w:p>
      <w:pPr>
        <w:pStyle w:val="BodyText"/>
        <w:spacing w:before="10"/>
        <w:rPr>
          <w:rFonts w:ascii="Times New Roman"/>
        </w:rPr>
      </w:pPr>
    </w:p>
    <w:p>
      <w:pPr>
        <w:pStyle w:val="ListParagraph"/>
        <w:numPr>
          <w:ilvl w:val="0"/>
          <w:numId w:val="8"/>
        </w:numPr>
        <w:tabs>
          <w:tab w:pos="556" w:val="left" w:leader="none"/>
        </w:tabs>
        <w:spacing w:line="240" w:lineRule="auto" w:before="0" w:after="0"/>
        <w:ind w:left="265" w:right="235" w:firstLine="0"/>
        <w:jc w:val="both"/>
        <w:rPr>
          <w:rFonts w:ascii="Times New Roman" w:hAnsi="Times New Roman"/>
          <w:sz w:val="25"/>
        </w:rPr>
      </w:pPr>
      <w:r>
        <w:rPr>
          <w:rFonts w:ascii="Times New Roman" w:hAnsi="Times New Roman"/>
          <w:sz w:val="25"/>
        </w:rPr>
        <w:t>Se lava las manos como principio universal para realizar cualquier procedimiento atendiendo a las reglas y normas especificadas en los manuales de prevención de infecciones</w:t>
      </w:r>
      <w:r>
        <w:rPr>
          <w:rFonts w:ascii="Times New Roman" w:hAnsi="Times New Roman"/>
          <w:spacing w:val="-7"/>
          <w:sz w:val="25"/>
        </w:rPr>
        <w:t> </w:t>
      </w:r>
      <w:r>
        <w:rPr>
          <w:rFonts w:ascii="Times New Roman" w:hAnsi="Times New Roman"/>
          <w:sz w:val="25"/>
        </w:rPr>
        <w:t>nosocomiales.</w:t>
      </w:r>
    </w:p>
    <w:p>
      <w:pPr>
        <w:pStyle w:val="BodyText"/>
        <w:spacing w:before="10"/>
        <w:rPr>
          <w:rFonts w:ascii="Times New Roman"/>
        </w:rPr>
      </w:pPr>
    </w:p>
    <w:p>
      <w:pPr>
        <w:pStyle w:val="ListParagraph"/>
        <w:numPr>
          <w:ilvl w:val="0"/>
          <w:numId w:val="8"/>
        </w:numPr>
        <w:tabs>
          <w:tab w:pos="525" w:val="left" w:leader="none"/>
        </w:tabs>
        <w:spacing w:line="240" w:lineRule="auto" w:before="0" w:after="0"/>
        <w:ind w:left="265" w:right="235" w:firstLine="0"/>
        <w:jc w:val="both"/>
        <w:rPr>
          <w:rFonts w:ascii="Times New Roman" w:hAnsi="Times New Roman"/>
          <w:sz w:val="25"/>
        </w:rPr>
      </w:pPr>
      <w:r>
        <w:rPr>
          <w:rFonts w:ascii="Times New Roman" w:hAnsi="Times New Roman"/>
          <w:sz w:val="25"/>
        </w:rPr>
        <w:t>Selecciona el material y equipo necesario (catéter, equipo de venoclisis, extensiones, llaves de tres vías y material de fijación). Con respecto al catéter, se consideran  aspectos tales como la edad, condiciones físicas del paciente, tiempo que estará instalado, tipo de soluciones que se administrarán y objetivos para la realización del procedimiento.</w:t>
      </w:r>
    </w:p>
    <w:p>
      <w:pPr>
        <w:spacing w:before="0"/>
        <w:ind w:left="265" w:right="231" w:firstLine="0"/>
        <w:jc w:val="both"/>
        <w:rPr>
          <w:rFonts w:ascii="Times New Roman" w:hAnsi="Times New Roman"/>
          <w:sz w:val="25"/>
        </w:rPr>
      </w:pPr>
      <w:r>
        <w:rPr>
          <w:rFonts w:ascii="Times New Roman" w:hAnsi="Times New Roman"/>
          <w:sz w:val="25"/>
        </w:rPr>
        <w:t>El equipo de venoclisis debe ser estéril que contenga bayoneta con protector, cámara de goteo transparente con dosificador de gotas, tubo de conducción, regulador de flujo, sitio para administración de medicamentos y conexión universal con protector. Las extensiones y llaves de tres vías son opcionales, las cuales deben ser estériles con sus protectores</w:t>
      </w:r>
      <w:r>
        <w:rPr>
          <w:rFonts w:ascii="Times New Roman" w:hAnsi="Times New Roman"/>
          <w:spacing w:val="-5"/>
          <w:sz w:val="25"/>
        </w:rPr>
        <w:t> </w:t>
      </w:r>
      <w:r>
        <w:rPr>
          <w:rFonts w:ascii="Times New Roman" w:hAnsi="Times New Roman"/>
          <w:sz w:val="25"/>
        </w:rPr>
        <w:t>específicos.</w:t>
      </w:r>
    </w:p>
    <w:p>
      <w:pPr>
        <w:pStyle w:val="BodyText"/>
        <w:spacing w:before="10"/>
        <w:rPr>
          <w:rFonts w:ascii="Times New Roman"/>
        </w:rPr>
      </w:pPr>
    </w:p>
    <w:p>
      <w:pPr>
        <w:pStyle w:val="ListParagraph"/>
        <w:numPr>
          <w:ilvl w:val="0"/>
          <w:numId w:val="8"/>
        </w:numPr>
        <w:tabs>
          <w:tab w:pos="542" w:val="left" w:leader="none"/>
        </w:tabs>
        <w:spacing w:line="240" w:lineRule="auto" w:before="0" w:after="0"/>
        <w:ind w:left="265" w:right="234" w:firstLine="0"/>
        <w:jc w:val="both"/>
        <w:rPr>
          <w:rFonts w:ascii="Times New Roman" w:hAnsi="Times New Roman"/>
          <w:sz w:val="25"/>
        </w:rPr>
      </w:pPr>
      <w:r>
        <w:rPr>
          <w:rFonts w:ascii="Times New Roman" w:hAnsi="Times New Roman"/>
          <w:sz w:val="25"/>
        </w:rPr>
        <w:t>Prepara la solución y medicamentos con técnica estéril evitando puertas de entrada para los microorganismos y coloca membrete con los datos que permitan identificar al paciente, el tipo de líquido que se administrará, el tiempo en el que deberá pasar, así como la fecha y hora de inicio. Todos estos datos se traducen en elementos de seguridad que la enfermera deberá observar</w:t>
      </w:r>
      <w:r>
        <w:rPr>
          <w:rFonts w:ascii="Times New Roman" w:hAnsi="Times New Roman"/>
          <w:spacing w:val="-16"/>
          <w:sz w:val="25"/>
        </w:rPr>
        <w:t> </w:t>
      </w:r>
      <w:r>
        <w:rPr>
          <w:rFonts w:ascii="Times New Roman" w:hAnsi="Times New Roman"/>
          <w:sz w:val="25"/>
        </w:rPr>
        <w:t>estrictamente.</w:t>
      </w:r>
    </w:p>
    <w:p>
      <w:pPr>
        <w:pStyle w:val="ListParagraph"/>
        <w:numPr>
          <w:ilvl w:val="0"/>
          <w:numId w:val="8"/>
        </w:numPr>
        <w:tabs>
          <w:tab w:pos="558" w:val="left" w:leader="none"/>
        </w:tabs>
        <w:spacing w:line="276" w:lineRule="auto" w:before="0" w:after="0"/>
        <w:ind w:left="265" w:right="235" w:firstLine="0"/>
        <w:jc w:val="both"/>
        <w:rPr>
          <w:rFonts w:ascii="Times New Roman" w:hAnsi="Times New Roman"/>
          <w:sz w:val="25"/>
        </w:rPr>
      </w:pPr>
      <w:r>
        <w:rPr>
          <w:rFonts w:ascii="Times New Roman" w:hAnsi="Times New Roman"/>
          <w:sz w:val="25"/>
        </w:rPr>
        <w:t>Localiza y selecciona la vena con base en el propósito de la terapia intravenosa, palpándola con la yema de los dedos y determina las condiciones de ésta. Evita la utilización de aquellas que tengan las siguientes características: punción previa reciente, anormalidades anatómicas, rigidez, demasiada movilidad, inflamación o</w:t>
      </w:r>
      <w:r>
        <w:rPr>
          <w:rFonts w:ascii="Times New Roman" w:hAnsi="Times New Roman"/>
          <w:spacing w:val="-20"/>
          <w:sz w:val="25"/>
        </w:rPr>
        <w:t> </w:t>
      </w:r>
      <w:r>
        <w:rPr>
          <w:rFonts w:ascii="Times New Roman" w:hAnsi="Times New Roman"/>
          <w:sz w:val="25"/>
        </w:rPr>
        <w:t>tromboflebitis.</w:t>
      </w:r>
    </w:p>
    <w:p>
      <w:pPr>
        <w:pStyle w:val="ListParagraph"/>
        <w:numPr>
          <w:ilvl w:val="0"/>
          <w:numId w:val="8"/>
        </w:numPr>
        <w:tabs>
          <w:tab w:pos="527" w:val="left" w:leader="none"/>
        </w:tabs>
        <w:spacing w:line="240" w:lineRule="auto" w:before="199" w:after="0"/>
        <w:ind w:left="265" w:right="233" w:firstLine="0"/>
        <w:jc w:val="both"/>
        <w:rPr>
          <w:rFonts w:ascii="Times New Roman" w:hAnsi="Times New Roman"/>
          <w:sz w:val="25"/>
        </w:rPr>
      </w:pPr>
      <w:r>
        <w:rPr>
          <w:rFonts w:ascii="Times New Roman" w:hAnsi="Times New Roman"/>
          <w:sz w:val="25"/>
        </w:rPr>
        <w:t>Aplica el torniquete por arriba del punto de elección para la inserción de la aguja; si es necesario y el paciente está consciente se le puede solicitar su cooperación, para que abra y cierre el puño de la mano, lo que permite que la vena se distienda y sea menos difícil su visualización, facilitando su punción, evita dar palmadas o “golpecitos”, esto podría provocar dolor o hematoma en los pacientes con fragilidad capilar o padecimientos</w:t>
      </w:r>
      <w:r>
        <w:rPr>
          <w:rFonts w:ascii="Times New Roman" w:hAnsi="Times New Roman"/>
          <w:spacing w:val="-9"/>
          <w:sz w:val="25"/>
        </w:rPr>
        <w:t> </w:t>
      </w:r>
      <w:r>
        <w:rPr>
          <w:rFonts w:ascii="Times New Roman" w:hAnsi="Times New Roman"/>
          <w:sz w:val="25"/>
        </w:rPr>
        <w:t>hematológicos.</w:t>
      </w:r>
    </w:p>
    <w:p>
      <w:pPr>
        <w:pStyle w:val="BodyText"/>
        <w:rPr>
          <w:rFonts w:ascii="Times New Roman"/>
          <w:sz w:val="25"/>
        </w:rPr>
      </w:pPr>
    </w:p>
    <w:p>
      <w:pPr>
        <w:pStyle w:val="ListParagraph"/>
        <w:numPr>
          <w:ilvl w:val="0"/>
          <w:numId w:val="8"/>
        </w:numPr>
        <w:tabs>
          <w:tab w:pos="542" w:val="left" w:leader="none"/>
        </w:tabs>
        <w:spacing w:line="240" w:lineRule="auto" w:before="1" w:after="0"/>
        <w:ind w:left="265" w:right="237" w:firstLine="0"/>
        <w:jc w:val="both"/>
        <w:rPr>
          <w:rFonts w:ascii="Times New Roman" w:hAnsi="Times New Roman"/>
          <w:sz w:val="25"/>
        </w:rPr>
      </w:pPr>
      <w:r>
        <w:rPr>
          <w:rFonts w:ascii="Times New Roman" w:hAnsi="Times New Roman"/>
          <w:sz w:val="25"/>
        </w:rPr>
        <w:t>Utiliza guantes estériles al llevar a cabo el procedimiento para evitar accidentes de contaminación al momento de puncionar el</w:t>
      </w:r>
      <w:r>
        <w:rPr>
          <w:rFonts w:ascii="Times New Roman" w:hAnsi="Times New Roman"/>
          <w:spacing w:val="-13"/>
          <w:sz w:val="25"/>
        </w:rPr>
        <w:t> </w:t>
      </w:r>
      <w:r>
        <w:rPr>
          <w:rFonts w:ascii="Times New Roman" w:hAnsi="Times New Roman"/>
          <w:sz w:val="25"/>
        </w:rPr>
        <w:t>vaso.</w:t>
      </w:r>
    </w:p>
    <w:p>
      <w:pPr>
        <w:spacing w:after="0" w:line="240" w:lineRule="auto"/>
        <w:jc w:val="both"/>
        <w:rPr>
          <w:rFonts w:ascii="Times New Roman" w:hAnsi="Times New Roman"/>
          <w:sz w:val="25"/>
        </w:rPr>
        <w:sectPr>
          <w:pgSz w:w="12240" w:h="15840"/>
          <w:pgMar w:header="739" w:footer="928" w:top="1300" w:bottom="1120" w:left="1720" w:right="1180"/>
        </w:sectPr>
      </w:pPr>
    </w:p>
    <w:p>
      <w:pPr>
        <w:pStyle w:val="BodyText"/>
        <w:rPr>
          <w:rFonts w:ascii="Times New Roman"/>
          <w:sz w:val="20"/>
        </w:rPr>
      </w:pPr>
      <w:r>
        <w:rPr/>
        <w:pict>
          <v:line style="position:absolute;mso-position-horizontal-relative:page;mso-position-vertical-relative:page;z-index:3616" from="97.823997pt,56.16pt" to="542.643997pt,56.16pt" stroked="true" strokeweight=".48pt" strokecolor="#000000">
            <w10:wrap type="none"/>
          </v:line>
        </w:pict>
      </w: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ListParagraph"/>
        <w:numPr>
          <w:ilvl w:val="0"/>
          <w:numId w:val="8"/>
        </w:numPr>
        <w:tabs>
          <w:tab w:pos="515" w:val="left" w:leader="none"/>
        </w:tabs>
        <w:spacing w:line="240" w:lineRule="auto" w:before="68" w:after="0"/>
        <w:ind w:left="514" w:right="0" w:hanging="249"/>
        <w:jc w:val="both"/>
        <w:rPr>
          <w:rFonts w:ascii="Times New Roman" w:hAnsi="Times New Roman"/>
          <w:sz w:val="25"/>
        </w:rPr>
      </w:pPr>
      <w:r>
        <w:rPr>
          <w:rFonts w:ascii="Times New Roman" w:hAnsi="Times New Roman"/>
          <w:sz w:val="25"/>
        </w:rPr>
        <w:t>Usa la solución antiséptica para la preparación de la región a</w:t>
      </w:r>
      <w:r>
        <w:rPr>
          <w:rFonts w:ascii="Times New Roman" w:hAnsi="Times New Roman"/>
          <w:spacing w:val="-7"/>
          <w:sz w:val="25"/>
        </w:rPr>
        <w:t> </w:t>
      </w:r>
      <w:r>
        <w:rPr>
          <w:rFonts w:ascii="Times New Roman" w:hAnsi="Times New Roman"/>
          <w:sz w:val="25"/>
        </w:rPr>
        <w:t>puncionar.</w:t>
      </w:r>
    </w:p>
    <w:p>
      <w:pPr>
        <w:pStyle w:val="BodyText"/>
        <w:spacing w:before="10"/>
        <w:rPr>
          <w:rFonts w:ascii="Times New Roman"/>
        </w:rPr>
      </w:pPr>
    </w:p>
    <w:p>
      <w:pPr>
        <w:pStyle w:val="ListParagraph"/>
        <w:numPr>
          <w:ilvl w:val="0"/>
          <w:numId w:val="8"/>
        </w:numPr>
        <w:tabs>
          <w:tab w:pos="527" w:val="left" w:leader="none"/>
        </w:tabs>
        <w:spacing w:line="240" w:lineRule="auto" w:before="0" w:after="0"/>
        <w:ind w:left="265" w:right="237" w:firstLine="0"/>
        <w:jc w:val="both"/>
        <w:rPr>
          <w:rFonts w:ascii="Times New Roman" w:hAnsi="Times New Roman"/>
          <w:sz w:val="25"/>
        </w:rPr>
      </w:pPr>
      <w:r>
        <w:rPr>
          <w:rFonts w:ascii="Times New Roman" w:hAnsi="Times New Roman"/>
          <w:sz w:val="25"/>
        </w:rPr>
        <w:t>Toma el catéter de elección con el dedo índice y pulgar, esto ayudará a tener control del mismo. Ejerce tracción mínima de la piel debajo del punto donde se va a insertar la aguja para estabilizar la vena y evitar algún movimiento lateral de</w:t>
      </w:r>
      <w:r>
        <w:rPr>
          <w:rFonts w:ascii="Times New Roman" w:hAnsi="Times New Roman"/>
          <w:spacing w:val="-14"/>
          <w:sz w:val="25"/>
        </w:rPr>
        <w:t> </w:t>
      </w:r>
      <w:r>
        <w:rPr>
          <w:rFonts w:ascii="Times New Roman" w:hAnsi="Times New Roman"/>
          <w:sz w:val="25"/>
        </w:rPr>
        <w:t>ésta.</w:t>
      </w:r>
    </w:p>
    <w:p>
      <w:pPr>
        <w:pStyle w:val="BodyText"/>
        <w:spacing w:before="1"/>
        <w:rPr>
          <w:rFonts w:ascii="Times New Roman"/>
          <w:sz w:val="25"/>
        </w:rPr>
      </w:pPr>
    </w:p>
    <w:p>
      <w:pPr>
        <w:pStyle w:val="ListParagraph"/>
        <w:numPr>
          <w:ilvl w:val="0"/>
          <w:numId w:val="8"/>
        </w:numPr>
        <w:tabs>
          <w:tab w:pos="659" w:val="left" w:leader="none"/>
        </w:tabs>
        <w:spacing w:line="240" w:lineRule="auto" w:before="0" w:after="0"/>
        <w:ind w:left="265" w:right="233" w:firstLine="0"/>
        <w:jc w:val="both"/>
        <w:rPr>
          <w:rFonts w:ascii="Times New Roman" w:hAnsi="Times New Roman"/>
          <w:sz w:val="25"/>
        </w:rPr>
      </w:pPr>
      <w:r>
        <w:rPr>
          <w:rFonts w:ascii="Times New Roman" w:hAnsi="Times New Roman"/>
          <w:sz w:val="25"/>
        </w:rPr>
        <w:t>Introduce el catéter a través de la piel en un ángulo de 15 a 30° con el bisel hacia arriba, dirigiéndolo por la vena hasta visualizar la sangre en el tubo de la aguja y percibir una disminución brusca de la resistencia, en este momento retirar el torniquete  e indicarle al paciente que abra su puño, si lo tiene</w:t>
      </w:r>
      <w:r>
        <w:rPr>
          <w:rFonts w:ascii="Times New Roman" w:hAnsi="Times New Roman"/>
          <w:spacing w:val="-14"/>
          <w:sz w:val="25"/>
        </w:rPr>
        <w:t> </w:t>
      </w:r>
      <w:r>
        <w:rPr>
          <w:rFonts w:ascii="Times New Roman" w:hAnsi="Times New Roman"/>
          <w:sz w:val="25"/>
        </w:rPr>
        <w:t>cerrado.</w:t>
      </w:r>
    </w:p>
    <w:p>
      <w:pPr>
        <w:pStyle w:val="BodyText"/>
        <w:spacing w:before="10"/>
        <w:rPr>
          <w:rFonts w:ascii="Times New Roman"/>
        </w:rPr>
      </w:pPr>
    </w:p>
    <w:p>
      <w:pPr>
        <w:pStyle w:val="ListParagraph"/>
        <w:numPr>
          <w:ilvl w:val="0"/>
          <w:numId w:val="8"/>
        </w:numPr>
        <w:tabs>
          <w:tab w:pos="674" w:val="left" w:leader="none"/>
        </w:tabs>
        <w:spacing w:line="240" w:lineRule="auto" w:before="0" w:after="0"/>
        <w:ind w:left="265" w:right="237" w:firstLine="0"/>
        <w:jc w:val="both"/>
        <w:rPr>
          <w:rFonts w:ascii="Times New Roman" w:hAnsi="Times New Roman"/>
          <w:sz w:val="25"/>
        </w:rPr>
      </w:pPr>
      <w:r>
        <w:rPr>
          <w:rFonts w:ascii="Times New Roman" w:hAnsi="Times New Roman"/>
          <w:sz w:val="25"/>
        </w:rPr>
        <w:t>Inserta totalmente el catéter y retira la aguja, aplicando presión en la parte distal sobre la punta del catéter, evitando el retorno venoso y conecta el equipo verificando la permeabilidad de la vena e iniciar la terapia</w:t>
      </w:r>
      <w:r>
        <w:rPr>
          <w:rFonts w:ascii="Times New Roman" w:hAnsi="Times New Roman"/>
          <w:spacing w:val="-11"/>
          <w:sz w:val="25"/>
        </w:rPr>
        <w:t> </w:t>
      </w:r>
      <w:r>
        <w:rPr>
          <w:rFonts w:ascii="Times New Roman" w:hAnsi="Times New Roman"/>
          <w:sz w:val="25"/>
        </w:rPr>
        <w:t>intravenosa.</w:t>
      </w:r>
    </w:p>
    <w:p>
      <w:pPr>
        <w:pStyle w:val="BodyText"/>
        <w:spacing w:before="1"/>
        <w:rPr>
          <w:rFonts w:ascii="Times New Roman"/>
          <w:sz w:val="25"/>
        </w:rPr>
      </w:pPr>
    </w:p>
    <w:p>
      <w:pPr>
        <w:pStyle w:val="ListParagraph"/>
        <w:numPr>
          <w:ilvl w:val="0"/>
          <w:numId w:val="8"/>
        </w:numPr>
        <w:tabs>
          <w:tab w:pos="652" w:val="left" w:leader="none"/>
        </w:tabs>
        <w:spacing w:line="240" w:lineRule="auto" w:before="0" w:after="0"/>
        <w:ind w:left="265" w:right="234" w:firstLine="0"/>
        <w:jc w:val="both"/>
        <w:rPr>
          <w:rFonts w:ascii="Times New Roman" w:hAnsi="Times New Roman"/>
          <w:sz w:val="25"/>
        </w:rPr>
      </w:pPr>
      <w:r>
        <w:rPr>
          <w:rFonts w:ascii="Times New Roman" w:hAnsi="Times New Roman"/>
          <w:sz w:val="25"/>
        </w:rPr>
        <w:t>Fija el catéter y el equipo colocando el parche de acuerdo al método establecido en el protocolo del servicio o de la institución. Es recomendable el uso de apósitos semipermeables transparentes porque permiten una mejor visibilidad del sitio de salida del catéter y un buen control de la humedad en el sitio de inserción, así como cualquier cambio en la integridad y coloración de la</w:t>
      </w:r>
      <w:r>
        <w:rPr>
          <w:rFonts w:ascii="Times New Roman" w:hAnsi="Times New Roman"/>
          <w:spacing w:val="-12"/>
          <w:sz w:val="25"/>
        </w:rPr>
        <w:t> </w:t>
      </w:r>
      <w:r>
        <w:rPr>
          <w:rFonts w:ascii="Times New Roman" w:hAnsi="Times New Roman"/>
          <w:sz w:val="25"/>
        </w:rPr>
        <w:t>piel.</w:t>
      </w:r>
    </w:p>
    <w:p>
      <w:pPr>
        <w:pStyle w:val="BodyText"/>
        <w:spacing w:before="10"/>
        <w:rPr>
          <w:rFonts w:ascii="Times New Roman"/>
        </w:rPr>
      </w:pPr>
    </w:p>
    <w:p>
      <w:pPr>
        <w:pStyle w:val="ListParagraph"/>
        <w:numPr>
          <w:ilvl w:val="0"/>
          <w:numId w:val="8"/>
        </w:numPr>
        <w:tabs>
          <w:tab w:pos="645" w:val="left" w:leader="none"/>
        </w:tabs>
        <w:spacing w:line="240" w:lineRule="auto" w:before="0" w:after="0"/>
        <w:ind w:left="265" w:right="236" w:firstLine="0"/>
        <w:jc w:val="both"/>
        <w:rPr>
          <w:rFonts w:ascii="Times New Roman" w:hAnsi="Times New Roman"/>
          <w:sz w:val="25"/>
        </w:rPr>
      </w:pPr>
      <w:r>
        <w:rPr>
          <w:rFonts w:ascii="Times New Roman" w:hAnsi="Times New Roman"/>
          <w:sz w:val="25"/>
        </w:rPr>
        <w:t>Coloca el membrete de identificación, con la fecha y hora de colocación, número de catéter y nombre de la enfermera que realizó el</w:t>
      </w:r>
      <w:r>
        <w:rPr>
          <w:rFonts w:ascii="Times New Roman" w:hAnsi="Times New Roman"/>
          <w:spacing w:val="-15"/>
          <w:sz w:val="25"/>
        </w:rPr>
        <w:t> </w:t>
      </w:r>
      <w:r>
        <w:rPr>
          <w:rFonts w:ascii="Times New Roman" w:hAnsi="Times New Roman"/>
          <w:sz w:val="25"/>
        </w:rPr>
        <w:t>procedimiento.</w:t>
      </w:r>
    </w:p>
    <w:p>
      <w:pPr>
        <w:pStyle w:val="BodyText"/>
        <w:spacing w:before="1"/>
        <w:rPr>
          <w:rFonts w:ascii="Times New Roman"/>
          <w:sz w:val="25"/>
        </w:rPr>
      </w:pPr>
    </w:p>
    <w:p>
      <w:pPr>
        <w:pStyle w:val="ListParagraph"/>
        <w:numPr>
          <w:ilvl w:val="0"/>
          <w:numId w:val="8"/>
        </w:numPr>
        <w:tabs>
          <w:tab w:pos="640" w:val="left" w:leader="none"/>
        </w:tabs>
        <w:spacing w:line="240" w:lineRule="auto" w:before="0" w:after="0"/>
        <w:ind w:left="265" w:right="461" w:firstLine="0"/>
        <w:jc w:val="both"/>
        <w:rPr>
          <w:rFonts w:ascii="Times New Roman" w:hAnsi="Times New Roman"/>
          <w:sz w:val="25"/>
        </w:rPr>
      </w:pPr>
      <w:r>
        <w:rPr>
          <w:rFonts w:ascii="Times New Roman" w:hAnsi="Times New Roman"/>
          <w:sz w:val="25"/>
        </w:rPr>
        <w:t>Desecha de inmediato las agujas en el contenedor de material punzocortante</w:t>
      </w:r>
      <w:r>
        <w:rPr>
          <w:rFonts w:ascii="Times New Roman" w:hAnsi="Times New Roman"/>
          <w:spacing w:val="-18"/>
          <w:sz w:val="25"/>
        </w:rPr>
        <w:t> </w:t>
      </w:r>
      <w:r>
        <w:rPr>
          <w:rFonts w:ascii="Times New Roman" w:hAnsi="Times New Roman"/>
          <w:sz w:val="25"/>
        </w:rPr>
        <w:t>como lo marca la Norma Oficial Mexicana para el manejo de residuos peligrosos biológico- infecciosos</w:t>
      </w:r>
      <w:r>
        <w:rPr>
          <w:rFonts w:ascii="Times New Roman" w:hAnsi="Times New Roman"/>
          <w:spacing w:val="-6"/>
          <w:sz w:val="25"/>
        </w:rPr>
        <w:t> </w:t>
      </w:r>
      <w:r>
        <w:rPr>
          <w:rFonts w:ascii="Times New Roman" w:hAnsi="Times New Roman"/>
          <w:sz w:val="25"/>
        </w:rPr>
        <w:t>NOM-087</w:t>
      </w:r>
    </w:p>
    <w:p>
      <w:pPr>
        <w:pStyle w:val="BodyText"/>
        <w:spacing w:before="1"/>
        <w:rPr>
          <w:rFonts w:ascii="Times New Roman"/>
          <w:sz w:val="25"/>
        </w:rPr>
      </w:pPr>
    </w:p>
    <w:p>
      <w:pPr>
        <w:pStyle w:val="ListParagraph"/>
        <w:numPr>
          <w:ilvl w:val="0"/>
          <w:numId w:val="8"/>
        </w:numPr>
        <w:tabs>
          <w:tab w:pos="640" w:val="left" w:leader="none"/>
        </w:tabs>
        <w:spacing w:line="240" w:lineRule="auto" w:before="0" w:after="0"/>
        <w:ind w:left="265" w:right="351" w:firstLine="0"/>
        <w:jc w:val="left"/>
        <w:rPr>
          <w:rFonts w:ascii="Times New Roman" w:hAnsi="Times New Roman"/>
          <w:sz w:val="25"/>
        </w:rPr>
      </w:pPr>
      <w:r>
        <w:rPr>
          <w:rFonts w:ascii="Times New Roman" w:hAnsi="Times New Roman"/>
          <w:sz w:val="25"/>
        </w:rPr>
        <w:t>Anota el procedimiento en los registros de enfermería, destacando los aspectos más sobresalientes e importantes que se deberán observar</w:t>
      </w:r>
      <w:r>
        <w:rPr>
          <w:rFonts w:ascii="Times New Roman" w:hAnsi="Times New Roman"/>
          <w:spacing w:val="-12"/>
          <w:sz w:val="25"/>
        </w:rPr>
        <w:t> </w:t>
      </w:r>
      <w:r>
        <w:rPr>
          <w:rFonts w:ascii="Times New Roman" w:hAnsi="Times New Roman"/>
          <w:sz w:val="25"/>
        </w:rPr>
        <w:t>posteriormente.</w:t>
      </w:r>
    </w:p>
    <w:p>
      <w:pPr>
        <w:pStyle w:val="BodyText"/>
        <w:spacing w:before="10"/>
        <w:rPr>
          <w:rFonts w:ascii="Times New Roman"/>
        </w:rPr>
      </w:pPr>
    </w:p>
    <w:p>
      <w:pPr>
        <w:pStyle w:val="ListParagraph"/>
        <w:numPr>
          <w:ilvl w:val="0"/>
          <w:numId w:val="8"/>
        </w:numPr>
        <w:tabs>
          <w:tab w:pos="640" w:val="left" w:leader="none"/>
        </w:tabs>
        <w:spacing w:line="240" w:lineRule="auto" w:before="0" w:after="0"/>
        <w:ind w:left="265" w:right="356" w:firstLine="0"/>
        <w:jc w:val="left"/>
        <w:rPr>
          <w:rFonts w:ascii="Times New Roman" w:hAnsi="Times New Roman"/>
          <w:sz w:val="25"/>
        </w:rPr>
      </w:pPr>
      <w:r>
        <w:rPr>
          <w:rFonts w:ascii="Times New Roman" w:hAnsi="Times New Roman"/>
          <w:sz w:val="25"/>
        </w:rPr>
        <w:t>Retira el material sucio y deja al paciente cómodo y con el miembro puncionado</w:t>
      </w:r>
      <w:r>
        <w:rPr>
          <w:rFonts w:ascii="Times New Roman" w:hAnsi="Times New Roman"/>
          <w:spacing w:val="-18"/>
          <w:sz w:val="25"/>
        </w:rPr>
        <w:t> </w:t>
      </w:r>
      <w:r>
        <w:rPr>
          <w:rFonts w:ascii="Times New Roman" w:hAnsi="Times New Roman"/>
          <w:sz w:val="25"/>
        </w:rPr>
        <w:t>en una posición</w:t>
      </w:r>
      <w:r>
        <w:rPr>
          <w:rFonts w:ascii="Times New Roman" w:hAnsi="Times New Roman"/>
          <w:spacing w:val="-6"/>
          <w:sz w:val="25"/>
        </w:rPr>
        <w:t> </w:t>
      </w:r>
      <w:r>
        <w:rPr>
          <w:rFonts w:ascii="Times New Roman" w:hAnsi="Times New Roman"/>
          <w:sz w:val="25"/>
        </w:rPr>
        <w:t>fisiológica</w:t>
      </w:r>
    </w:p>
    <w:p>
      <w:pPr>
        <w:spacing w:after="0" w:line="240" w:lineRule="auto"/>
        <w:jc w:val="left"/>
        <w:rPr>
          <w:rFonts w:ascii="Times New Roman" w:hAnsi="Times New Roman"/>
          <w:sz w:val="25"/>
        </w:rPr>
        <w:sectPr>
          <w:footerReference w:type="default" r:id="rId72"/>
          <w:pgSz w:w="12240" w:h="15840"/>
          <w:pgMar w:footer="928" w:header="739" w:top="1300" w:bottom="1120" w:left="1720" w:right="1180"/>
        </w:sectPr>
      </w:pPr>
    </w:p>
    <w:p>
      <w:pPr>
        <w:pStyle w:val="BodyText"/>
        <w:rPr>
          <w:rFonts w:ascii="Times New Roman"/>
          <w:sz w:val="20"/>
        </w:rPr>
      </w:pPr>
      <w:r>
        <w:rPr/>
        <w:pict>
          <v:line style="position:absolute;mso-position-horizontal-relative:page;mso-position-vertical-relative:page;z-index:3640" from="97.823997pt,56.16pt" to="542.643997pt,56.16pt" stroked="true" strokeweight=".48pt" strokecolor="#000000">
            <w10:wrap type="none"/>
          </v:line>
        </w:pict>
      </w:r>
    </w:p>
    <w:p>
      <w:pPr>
        <w:pStyle w:val="BodyText"/>
        <w:rPr>
          <w:rFonts w:ascii="Times New Roman"/>
          <w:sz w:val="20"/>
        </w:rPr>
      </w:pPr>
    </w:p>
    <w:p>
      <w:pPr>
        <w:pStyle w:val="Heading5"/>
        <w:numPr>
          <w:ilvl w:val="1"/>
          <w:numId w:val="7"/>
        </w:numPr>
        <w:tabs>
          <w:tab w:pos="1878" w:val="left" w:leader="none"/>
        </w:tabs>
        <w:spacing w:line="240" w:lineRule="auto" w:before="200" w:after="0"/>
        <w:ind w:left="1877" w:right="0" w:hanging="369"/>
        <w:jc w:val="left"/>
        <w:rPr>
          <w:i/>
        </w:rPr>
      </w:pPr>
      <w:r>
        <w:rPr>
          <w:i/>
          <w:w w:val="120"/>
        </w:rPr>
        <w:t>MANEJO DE LA TERAPIA </w:t>
      </w:r>
      <w:r>
        <w:rPr>
          <w:i/>
          <w:spacing w:val="5"/>
          <w:w w:val="120"/>
        </w:rPr>
        <w:t> </w:t>
      </w:r>
      <w:r>
        <w:rPr>
          <w:i/>
          <w:w w:val="120"/>
        </w:rPr>
        <w:t>ENDOVENOSA</w:t>
      </w:r>
    </w:p>
    <w:p>
      <w:pPr>
        <w:pStyle w:val="BodyText"/>
        <w:rPr>
          <w:rFonts w:ascii="Palatino Linotype"/>
          <w:b/>
          <w:i/>
        </w:rPr>
      </w:pPr>
    </w:p>
    <w:p>
      <w:pPr>
        <w:pStyle w:val="BodyText"/>
        <w:rPr>
          <w:rFonts w:ascii="Palatino Linotype"/>
          <w:b/>
          <w:i/>
        </w:rPr>
      </w:pPr>
    </w:p>
    <w:p>
      <w:pPr>
        <w:pStyle w:val="BodyText"/>
        <w:spacing w:before="12"/>
        <w:rPr>
          <w:rFonts w:ascii="Palatino Linotype"/>
          <w:b/>
          <w:i/>
          <w:sz w:val="23"/>
        </w:rPr>
      </w:pPr>
    </w:p>
    <w:p>
      <w:pPr>
        <w:spacing w:before="1"/>
        <w:ind w:left="5668" w:right="284" w:firstLine="0"/>
        <w:jc w:val="left"/>
        <w:rPr>
          <w:rFonts w:ascii="Palatino Linotype"/>
          <w:b/>
          <w:i/>
          <w:sz w:val="25"/>
        </w:rPr>
      </w:pPr>
      <w:r>
        <w:rPr/>
        <w:drawing>
          <wp:anchor distT="0" distB="0" distL="0" distR="0" allowOverlap="1" layoutInCell="1" locked="0" behindDoc="0" simplePos="0" relativeHeight="3664">
            <wp:simplePos x="0" y="0"/>
            <wp:positionH relativeFrom="page">
              <wp:posOffset>1205483</wp:posOffset>
            </wp:positionH>
            <wp:positionV relativeFrom="paragraph">
              <wp:posOffset>-98138</wp:posOffset>
            </wp:positionV>
            <wp:extent cx="2170176" cy="1516379"/>
            <wp:effectExtent l="0" t="0" r="0" b="0"/>
            <wp:wrapNone/>
            <wp:docPr id="41" name="image22.png" descr=""/>
            <wp:cNvGraphicFramePr>
              <a:graphicFrameLocks noChangeAspect="1"/>
            </wp:cNvGraphicFramePr>
            <a:graphic>
              <a:graphicData uri="http://schemas.openxmlformats.org/drawingml/2006/picture">
                <pic:pic>
                  <pic:nvPicPr>
                    <pic:cNvPr id="42" name="image22.png"/>
                    <pic:cNvPicPr/>
                  </pic:nvPicPr>
                  <pic:blipFill>
                    <a:blip r:embed="rId74" cstate="print"/>
                    <a:stretch>
                      <a:fillRect/>
                    </a:stretch>
                  </pic:blipFill>
                  <pic:spPr>
                    <a:xfrm>
                      <a:off x="0" y="0"/>
                      <a:ext cx="2170176" cy="1516379"/>
                    </a:xfrm>
                    <a:prstGeom prst="rect">
                      <a:avLst/>
                    </a:prstGeom>
                  </pic:spPr>
                </pic:pic>
              </a:graphicData>
            </a:graphic>
          </wp:anchor>
        </w:drawing>
      </w:r>
      <w:r>
        <w:rPr>
          <w:rFonts w:ascii="Palatino Linotype"/>
          <w:b/>
          <w:i/>
          <w:w w:val="110"/>
          <w:sz w:val="25"/>
        </w:rPr>
        <w:t>CONCEPTO</w:t>
      </w:r>
    </w:p>
    <w:p>
      <w:pPr>
        <w:pStyle w:val="BodyText"/>
        <w:spacing w:before="4"/>
        <w:rPr>
          <w:rFonts w:ascii="Palatino Linotype"/>
          <w:b/>
          <w:i/>
          <w:sz w:val="25"/>
        </w:rPr>
      </w:pPr>
    </w:p>
    <w:p>
      <w:pPr>
        <w:spacing w:before="1"/>
        <w:ind w:left="3781" w:right="234" w:firstLine="0"/>
        <w:jc w:val="both"/>
        <w:rPr>
          <w:rFonts w:ascii="Times New Roman" w:hAnsi="Times New Roman"/>
          <w:sz w:val="25"/>
        </w:rPr>
      </w:pPr>
      <w:r>
        <w:rPr>
          <w:rFonts w:ascii="Times New Roman" w:hAnsi="Times New Roman"/>
          <w:sz w:val="25"/>
        </w:rPr>
        <w:t>Procedimiento mediante el cual se vigila y controla el paso de los elementos terapéuticos, abarca desde  el momento en que se inicia la infusión de los líquidos y medicamentos, hasta el retiro de</w:t>
      </w:r>
      <w:r>
        <w:rPr>
          <w:rFonts w:ascii="Times New Roman" w:hAnsi="Times New Roman"/>
          <w:spacing w:val="-12"/>
          <w:sz w:val="25"/>
        </w:rPr>
        <w:t> </w:t>
      </w:r>
      <w:r>
        <w:rPr>
          <w:rFonts w:ascii="Times New Roman" w:hAnsi="Times New Roman"/>
          <w:sz w:val="25"/>
        </w:rPr>
        <w:t>catéter.</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sz w:val="23"/>
        </w:rPr>
      </w:pPr>
    </w:p>
    <w:p>
      <w:pPr>
        <w:spacing w:before="0"/>
        <w:ind w:left="2075" w:right="284" w:firstLine="0"/>
        <w:jc w:val="left"/>
        <w:rPr>
          <w:rFonts w:ascii="Palatino Linotype" w:hAnsi="Palatino Linotype"/>
          <w:b/>
          <w:i/>
          <w:sz w:val="25"/>
        </w:rPr>
      </w:pPr>
      <w:r>
        <w:rPr>
          <w:rFonts w:ascii="Palatino Linotype" w:hAnsi="Palatino Linotype"/>
          <w:b/>
          <w:i/>
          <w:w w:val="120"/>
          <w:sz w:val="25"/>
        </w:rPr>
        <w:t>PROCEDIMIENTO DE ENFERMERÍA</w:t>
      </w:r>
    </w:p>
    <w:p>
      <w:pPr>
        <w:pStyle w:val="BodyText"/>
        <w:spacing w:before="4"/>
        <w:rPr>
          <w:rFonts w:ascii="Palatino Linotype"/>
          <w:b/>
          <w:i/>
          <w:sz w:val="25"/>
        </w:rPr>
      </w:pPr>
    </w:p>
    <w:p>
      <w:pPr>
        <w:pStyle w:val="ListParagraph"/>
        <w:numPr>
          <w:ilvl w:val="0"/>
          <w:numId w:val="9"/>
        </w:numPr>
        <w:tabs>
          <w:tab w:pos="520" w:val="left" w:leader="none"/>
        </w:tabs>
        <w:spacing w:line="240" w:lineRule="auto" w:before="1" w:after="0"/>
        <w:ind w:left="265" w:right="234" w:firstLine="0"/>
        <w:jc w:val="both"/>
        <w:rPr>
          <w:rFonts w:ascii="Times New Roman" w:hAnsi="Times New Roman"/>
          <w:sz w:val="25"/>
        </w:rPr>
      </w:pPr>
      <w:r>
        <w:rPr>
          <w:rFonts w:ascii="Times New Roman" w:hAnsi="Times New Roman"/>
          <w:sz w:val="25"/>
        </w:rPr>
        <w:t>La enfermera regula el goteo de acuerdo al horario establecido, si las condiciones del paciente y el tipo de líquidos a administrar requieren del manejo preciso de éste, se deberá utilizar una bomba de</w:t>
      </w:r>
      <w:r>
        <w:rPr>
          <w:rFonts w:ascii="Times New Roman" w:hAnsi="Times New Roman"/>
          <w:spacing w:val="-10"/>
          <w:sz w:val="25"/>
        </w:rPr>
        <w:t> </w:t>
      </w:r>
      <w:r>
        <w:rPr>
          <w:rFonts w:ascii="Times New Roman" w:hAnsi="Times New Roman"/>
          <w:sz w:val="25"/>
        </w:rPr>
        <w:t>infusión.</w:t>
      </w:r>
    </w:p>
    <w:p>
      <w:pPr>
        <w:pStyle w:val="BodyText"/>
        <w:spacing w:before="1"/>
        <w:rPr>
          <w:rFonts w:ascii="Times New Roman"/>
          <w:sz w:val="25"/>
        </w:rPr>
      </w:pPr>
    </w:p>
    <w:p>
      <w:pPr>
        <w:pStyle w:val="ListParagraph"/>
        <w:numPr>
          <w:ilvl w:val="0"/>
          <w:numId w:val="9"/>
        </w:numPr>
        <w:tabs>
          <w:tab w:pos="515" w:val="left" w:leader="none"/>
        </w:tabs>
        <w:spacing w:line="240" w:lineRule="auto" w:before="0" w:after="0"/>
        <w:ind w:left="514" w:right="0" w:hanging="249"/>
        <w:jc w:val="both"/>
        <w:rPr>
          <w:rFonts w:ascii="Times New Roman" w:hAnsi="Times New Roman"/>
          <w:sz w:val="25"/>
        </w:rPr>
      </w:pPr>
      <w:r>
        <w:rPr>
          <w:rFonts w:ascii="Times New Roman" w:hAnsi="Times New Roman"/>
          <w:sz w:val="25"/>
        </w:rPr>
        <w:t>Evita que regrese sangre por el catéter, si esto sucede irriga la línea con</w:t>
      </w:r>
      <w:r>
        <w:rPr>
          <w:rFonts w:ascii="Times New Roman" w:hAnsi="Times New Roman"/>
          <w:spacing w:val="-21"/>
          <w:sz w:val="25"/>
        </w:rPr>
        <w:t> </w:t>
      </w:r>
      <w:r>
        <w:rPr>
          <w:rFonts w:ascii="Times New Roman" w:hAnsi="Times New Roman"/>
          <w:sz w:val="25"/>
        </w:rPr>
        <w:t>solución.</w:t>
      </w:r>
    </w:p>
    <w:p>
      <w:pPr>
        <w:pStyle w:val="BodyText"/>
        <w:spacing w:before="10"/>
        <w:rPr>
          <w:rFonts w:ascii="Times New Roman"/>
        </w:rPr>
      </w:pPr>
    </w:p>
    <w:p>
      <w:pPr>
        <w:pStyle w:val="ListParagraph"/>
        <w:numPr>
          <w:ilvl w:val="0"/>
          <w:numId w:val="9"/>
        </w:numPr>
        <w:tabs>
          <w:tab w:pos="534" w:val="left" w:leader="none"/>
        </w:tabs>
        <w:spacing w:line="240" w:lineRule="auto" w:before="0" w:after="0"/>
        <w:ind w:left="265" w:right="235" w:firstLine="0"/>
        <w:jc w:val="both"/>
        <w:rPr>
          <w:rFonts w:ascii="Times New Roman" w:hAnsi="Times New Roman"/>
          <w:sz w:val="25"/>
        </w:rPr>
      </w:pPr>
      <w:r>
        <w:rPr>
          <w:rFonts w:ascii="Times New Roman" w:hAnsi="Times New Roman"/>
          <w:sz w:val="25"/>
        </w:rPr>
        <w:t>Orienta al paciente sobre el tiempo de duración de la infusión y solicita que reporte cualquier molestia que sienta durante el paso del líquido (dolor, ardor, sensación de hormigueo o adormecimiento, cambio en la coloración o salida de</w:t>
      </w:r>
      <w:r>
        <w:rPr>
          <w:rFonts w:ascii="Times New Roman" w:hAnsi="Times New Roman"/>
          <w:spacing w:val="-19"/>
          <w:sz w:val="25"/>
        </w:rPr>
        <w:t> </w:t>
      </w:r>
      <w:r>
        <w:rPr>
          <w:rFonts w:ascii="Times New Roman" w:hAnsi="Times New Roman"/>
          <w:sz w:val="25"/>
        </w:rPr>
        <w:t>líquido).</w:t>
      </w:r>
    </w:p>
    <w:p>
      <w:pPr>
        <w:pStyle w:val="BodyText"/>
        <w:spacing w:before="10"/>
        <w:rPr>
          <w:rFonts w:ascii="Times New Roman"/>
        </w:rPr>
      </w:pPr>
    </w:p>
    <w:p>
      <w:pPr>
        <w:pStyle w:val="ListParagraph"/>
        <w:numPr>
          <w:ilvl w:val="0"/>
          <w:numId w:val="9"/>
        </w:numPr>
        <w:tabs>
          <w:tab w:pos="546" w:val="left" w:leader="none"/>
        </w:tabs>
        <w:spacing w:line="240" w:lineRule="auto" w:before="0" w:after="0"/>
        <w:ind w:left="265" w:right="235" w:firstLine="0"/>
        <w:jc w:val="both"/>
        <w:rPr>
          <w:rFonts w:ascii="Times New Roman" w:hAnsi="Times New Roman"/>
          <w:sz w:val="25"/>
        </w:rPr>
      </w:pPr>
      <w:r>
        <w:rPr>
          <w:rFonts w:ascii="Times New Roman" w:hAnsi="Times New Roman"/>
          <w:sz w:val="25"/>
        </w:rPr>
        <w:t>Diluye suficientemente los medicamentos que se administran e irriga con solución fisiológica, considerando las condiciones y la edad del paciente. Con esta medida se reduce la probabilidad de causar flebitis</w:t>
      </w:r>
      <w:r>
        <w:rPr>
          <w:rFonts w:ascii="Times New Roman" w:hAnsi="Times New Roman"/>
          <w:spacing w:val="-12"/>
          <w:sz w:val="25"/>
        </w:rPr>
        <w:t> </w:t>
      </w:r>
      <w:r>
        <w:rPr>
          <w:rFonts w:ascii="Times New Roman" w:hAnsi="Times New Roman"/>
          <w:sz w:val="25"/>
        </w:rPr>
        <w:t>química.</w:t>
      </w:r>
    </w:p>
    <w:p>
      <w:pPr>
        <w:pStyle w:val="BodyText"/>
        <w:spacing w:before="1"/>
        <w:rPr>
          <w:rFonts w:ascii="Times New Roman"/>
          <w:sz w:val="25"/>
        </w:rPr>
      </w:pPr>
    </w:p>
    <w:p>
      <w:pPr>
        <w:pStyle w:val="ListParagraph"/>
        <w:numPr>
          <w:ilvl w:val="0"/>
          <w:numId w:val="9"/>
        </w:numPr>
        <w:tabs>
          <w:tab w:pos="534" w:val="left" w:leader="none"/>
        </w:tabs>
        <w:spacing w:line="240" w:lineRule="auto" w:before="0" w:after="0"/>
        <w:ind w:left="265" w:right="234" w:firstLine="0"/>
        <w:jc w:val="both"/>
        <w:rPr>
          <w:rFonts w:ascii="Times New Roman" w:hAnsi="Times New Roman"/>
          <w:sz w:val="25"/>
        </w:rPr>
      </w:pPr>
      <w:r>
        <w:rPr>
          <w:rFonts w:ascii="Times New Roman" w:hAnsi="Times New Roman"/>
          <w:sz w:val="25"/>
        </w:rPr>
        <w:t>Reduce al mínimo la manipulación del catéter así como los sitios de administración de medicamentos, llaves de 3 vías y extensiones;  evitando al máximo vías de entrada  de microorganismos al</w:t>
      </w:r>
      <w:r>
        <w:rPr>
          <w:rFonts w:ascii="Times New Roman" w:hAnsi="Times New Roman"/>
          <w:spacing w:val="-9"/>
          <w:sz w:val="25"/>
        </w:rPr>
        <w:t> </w:t>
      </w:r>
      <w:r>
        <w:rPr>
          <w:rFonts w:ascii="Times New Roman" w:hAnsi="Times New Roman"/>
          <w:sz w:val="25"/>
        </w:rPr>
        <w:t>sistema.</w:t>
      </w:r>
    </w:p>
    <w:p>
      <w:pPr>
        <w:pStyle w:val="BodyText"/>
        <w:spacing w:before="1"/>
        <w:rPr>
          <w:rFonts w:ascii="Times New Roman"/>
          <w:sz w:val="25"/>
        </w:rPr>
      </w:pPr>
    </w:p>
    <w:p>
      <w:pPr>
        <w:pStyle w:val="ListParagraph"/>
        <w:numPr>
          <w:ilvl w:val="0"/>
          <w:numId w:val="9"/>
        </w:numPr>
        <w:tabs>
          <w:tab w:pos="518" w:val="left" w:leader="none"/>
        </w:tabs>
        <w:spacing w:line="240" w:lineRule="auto" w:before="0" w:after="0"/>
        <w:ind w:left="265" w:right="235" w:firstLine="0"/>
        <w:jc w:val="both"/>
        <w:rPr>
          <w:rFonts w:ascii="Times New Roman" w:hAnsi="Times New Roman"/>
          <w:sz w:val="25"/>
        </w:rPr>
      </w:pPr>
      <w:r>
        <w:rPr>
          <w:rFonts w:ascii="Times New Roman" w:hAnsi="Times New Roman"/>
          <w:sz w:val="25"/>
        </w:rPr>
        <w:t>Cambia el apósito que cubre el sitio de inserción no antes de 12 horas posteriores a la colocación; después de ese tiempo la curación del sitio de inserción se deberá realizar cada 72 h o antes si se</w:t>
      </w:r>
      <w:r>
        <w:rPr>
          <w:rFonts w:ascii="Times New Roman" w:hAnsi="Times New Roman"/>
          <w:spacing w:val="-10"/>
          <w:sz w:val="25"/>
        </w:rPr>
        <w:t> </w:t>
      </w:r>
      <w:r>
        <w:rPr>
          <w:rFonts w:ascii="Times New Roman" w:hAnsi="Times New Roman"/>
          <w:sz w:val="25"/>
        </w:rPr>
        <w:t>requiere</w:t>
      </w:r>
    </w:p>
    <w:p>
      <w:pPr>
        <w:spacing w:after="0" w:line="240" w:lineRule="auto"/>
        <w:jc w:val="both"/>
        <w:rPr>
          <w:rFonts w:ascii="Times New Roman" w:hAnsi="Times New Roman"/>
          <w:sz w:val="25"/>
        </w:rPr>
        <w:sectPr>
          <w:footerReference w:type="default" r:id="rId73"/>
          <w:pgSz w:w="12240" w:h="15840"/>
          <w:pgMar w:footer="928" w:header="739" w:top="1300" w:bottom="1120" w:left="1720" w:right="1180"/>
          <w:pgNumType w:start="71"/>
        </w:sectPr>
      </w:pPr>
    </w:p>
    <w:p>
      <w:pPr>
        <w:pStyle w:val="BodyText"/>
        <w:rPr>
          <w:rFonts w:ascii="Times New Roman"/>
          <w:sz w:val="20"/>
        </w:rPr>
      </w:pPr>
      <w:r>
        <w:rPr/>
        <w:pict>
          <v:line style="position:absolute;mso-position-horizontal-relative:page;mso-position-vertical-relative:page;z-index:3688" from="97.823997pt,56.16pt" to="542.643997pt,56.16pt" stroked="true" strokeweight=".48pt" strokecolor="#000000">
            <w10:wrap type="none"/>
          </v:line>
        </w:pict>
      </w:r>
    </w:p>
    <w:p>
      <w:pPr>
        <w:pStyle w:val="BodyText"/>
        <w:rPr>
          <w:rFonts w:ascii="Times New Roman"/>
          <w:sz w:val="20"/>
        </w:rPr>
      </w:pPr>
    </w:p>
    <w:p>
      <w:pPr>
        <w:pStyle w:val="ListParagraph"/>
        <w:numPr>
          <w:ilvl w:val="1"/>
          <w:numId w:val="7"/>
        </w:numPr>
        <w:tabs>
          <w:tab w:pos="609" w:val="left" w:leader="none"/>
        </w:tabs>
        <w:spacing w:line="240" w:lineRule="auto" w:before="200" w:after="0"/>
        <w:ind w:left="608" w:right="0" w:hanging="343"/>
        <w:jc w:val="both"/>
        <w:rPr>
          <w:rFonts w:ascii="Palatino Linotype" w:hAnsi="Palatino Linotype"/>
          <w:b/>
          <w:i/>
          <w:sz w:val="25"/>
        </w:rPr>
      </w:pPr>
      <w:r>
        <w:rPr>
          <w:rFonts w:ascii="Palatino Linotype" w:hAnsi="Palatino Linotype"/>
          <w:b/>
          <w:i/>
          <w:w w:val="115"/>
          <w:sz w:val="25"/>
        </w:rPr>
        <w:t>PROCEDIMIENTO PARA  EL RETIRO DEL </w:t>
      </w:r>
      <w:r>
        <w:rPr>
          <w:rFonts w:ascii="Palatino Linotype" w:hAnsi="Palatino Linotype"/>
          <w:b/>
          <w:i/>
          <w:spacing w:val="28"/>
          <w:w w:val="115"/>
          <w:sz w:val="25"/>
        </w:rPr>
        <w:t> </w:t>
      </w:r>
      <w:r>
        <w:rPr>
          <w:rFonts w:ascii="Palatino Linotype" w:hAnsi="Palatino Linotype"/>
          <w:b/>
          <w:i/>
          <w:w w:val="115"/>
          <w:sz w:val="25"/>
        </w:rPr>
        <w:t>CATÉTER</w:t>
      </w:r>
    </w:p>
    <w:p>
      <w:pPr>
        <w:pStyle w:val="BodyText"/>
        <w:rPr>
          <w:rFonts w:ascii="Palatino Linotype"/>
          <w:b/>
          <w:i/>
        </w:rPr>
      </w:pPr>
    </w:p>
    <w:p>
      <w:pPr>
        <w:pStyle w:val="BodyText"/>
        <w:rPr>
          <w:rFonts w:ascii="Palatino Linotype"/>
          <w:b/>
          <w:i/>
        </w:rPr>
      </w:pPr>
    </w:p>
    <w:p>
      <w:pPr>
        <w:pStyle w:val="BodyText"/>
        <w:rPr>
          <w:rFonts w:ascii="Palatino Linotype"/>
          <w:b/>
          <w:i/>
          <w:sz w:val="20"/>
        </w:rPr>
      </w:pPr>
    </w:p>
    <w:p>
      <w:pPr>
        <w:spacing w:before="0"/>
        <w:ind w:left="139" w:right="430" w:firstLine="0"/>
        <w:jc w:val="center"/>
        <w:rPr>
          <w:rFonts w:ascii="Palatino Linotype"/>
          <w:b/>
          <w:i/>
          <w:sz w:val="25"/>
        </w:rPr>
      </w:pPr>
      <w:r>
        <w:rPr/>
        <w:drawing>
          <wp:anchor distT="0" distB="0" distL="0" distR="0" allowOverlap="1" layoutInCell="1" locked="0" behindDoc="0" simplePos="0" relativeHeight="3712">
            <wp:simplePos x="0" y="0"/>
            <wp:positionH relativeFrom="page">
              <wp:posOffset>1261872</wp:posOffset>
            </wp:positionH>
            <wp:positionV relativeFrom="paragraph">
              <wp:posOffset>-159733</wp:posOffset>
            </wp:positionV>
            <wp:extent cx="2090927" cy="1853184"/>
            <wp:effectExtent l="0" t="0" r="0" b="0"/>
            <wp:wrapNone/>
            <wp:docPr id="43" name="image23.png" descr=""/>
            <wp:cNvGraphicFramePr>
              <a:graphicFrameLocks noChangeAspect="1"/>
            </wp:cNvGraphicFramePr>
            <a:graphic>
              <a:graphicData uri="http://schemas.openxmlformats.org/drawingml/2006/picture">
                <pic:pic>
                  <pic:nvPicPr>
                    <pic:cNvPr id="44" name="image23.png"/>
                    <pic:cNvPicPr/>
                  </pic:nvPicPr>
                  <pic:blipFill>
                    <a:blip r:embed="rId75" cstate="print"/>
                    <a:stretch>
                      <a:fillRect/>
                    </a:stretch>
                  </pic:blipFill>
                  <pic:spPr>
                    <a:xfrm>
                      <a:off x="0" y="0"/>
                      <a:ext cx="2090927" cy="1853184"/>
                    </a:xfrm>
                    <a:prstGeom prst="rect">
                      <a:avLst/>
                    </a:prstGeom>
                  </pic:spPr>
                </pic:pic>
              </a:graphicData>
            </a:graphic>
          </wp:anchor>
        </w:drawing>
      </w:r>
      <w:r>
        <w:rPr>
          <w:rFonts w:ascii="Palatino Linotype"/>
          <w:b/>
          <w:i/>
          <w:w w:val="110"/>
          <w:sz w:val="25"/>
        </w:rPr>
        <w:t>CONCEPTO</w:t>
      </w:r>
    </w:p>
    <w:p>
      <w:pPr>
        <w:pStyle w:val="BodyText"/>
        <w:spacing w:before="6"/>
        <w:rPr>
          <w:rFonts w:ascii="Palatino Linotype"/>
          <w:b/>
          <w:i/>
          <w:sz w:val="21"/>
        </w:rPr>
      </w:pPr>
    </w:p>
    <w:p>
      <w:pPr>
        <w:spacing w:before="0"/>
        <w:ind w:left="3750" w:right="342" w:firstLine="0"/>
        <w:jc w:val="left"/>
        <w:rPr>
          <w:rFonts w:ascii="Times New Roman" w:hAnsi="Times New Roman"/>
          <w:sz w:val="25"/>
        </w:rPr>
      </w:pPr>
      <w:r>
        <w:rPr>
          <w:rFonts w:ascii="Times New Roman" w:hAnsi="Times New Roman"/>
          <w:sz w:val="25"/>
        </w:rPr>
        <w:t>Es el procedimiento que se realiza al término de la terapia endovenosa, o cuando se detectan problemas de permeabilidad, o extravasación de los líquidos infundidos.</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sz w:val="23"/>
        </w:rPr>
      </w:pPr>
    </w:p>
    <w:p>
      <w:pPr>
        <w:spacing w:before="0"/>
        <w:ind w:left="2075" w:right="284" w:firstLine="0"/>
        <w:jc w:val="left"/>
        <w:rPr>
          <w:rFonts w:ascii="Palatino Linotype" w:hAnsi="Palatino Linotype"/>
          <w:b/>
          <w:i/>
          <w:sz w:val="25"/>
        </w:rPr>
      </w:pPr>
      <w:r>
        <w:rPr>
          <w:rFonts w:ascii="Palatino Linotype" w:hAnsi="Palatino Linotype"/>
          <w:b/>
          <w:i/>
          <w:w w:val="120"/>
          <w:sz w:val="25"/>
        </w:rPr>
        <w:t>PROCEDIMIENTO DE ENFERMERÍA</w:t>
      </w:r>
    </w:p>
    <w:p>
      <w:pPr>
        <w:pStyle w:val="BodyText"/>
        <w:spacing w:before="6"/>
        <w:rPr>
          <w:rFonts w:ascii="Palatino Linotype"/>
          <w:b/>
          <w:i/>
          <w:sz w:val="21"/>
        </w:rPr>
      </w:pPr>
    </w:p>
    <w:p>
      <w:pPr>
        <w:pStyle w:val="ListParagraph"/>
        <w:numPr>
          <w:ilvl w:val="0"/>
          <w:numId w:val="10"/>
        </w:numPr>
        <w:tabs>
          <w:tab w:pos="544" w:val="left" w:leader="none"/>
        </w:tabs>
        <w:spacing w:line="240" w:lineRule="auto" w:before="0" w:after="0"/>
        <w:ind w:left="265" w:right="236" w:firstLine="0"/>
        <w:jc w:val="both"/>
        <w:rPr>
          <w:rFonts w:ascii="Times New Roman" w:hAnsi="Times New Roman"/>
          <w:sz w:val="25"/>
        </w:rPr>
      </w:pPr>
      <w:r>
        <w:rPr>
          <w:rFonts w:ascii="Times New Roman" w:hAnsi="Times New Roman"/>
          <w:sz w:val="25"/>
        </w:rPr>
        <w:t>La enfermera explica al paciente el procedimiento a realizar, en qué consiste y las molestias que pudiera sentir durante el retiro del catéter y del apósito de</w:t>
      </w:r>
      <w:r>
        <w:rPr>
          <w:rFonts w:ascii="Times New Roman" w:hAnsi="Times New Roman"/>
          <w:spacing w:val="-14"/>
          <w:sz w:val="25"/>
        </w:rPr>
        <w:t> </w:t>
      </w:r>
      <w:r>
        <w:rPr>
          <w:rFonts w:ascii="Times New Roman" w:hAnsi="Times New Roman"/>
          <w:sz w:val="25"/>
        </w:rPr>
        <w:t>fijación.</w:t>
      </w:r>
    </w:p>
    <w:p>
      <w:pPr>
        <w:pStyle w:val="BodyText"/>
        <w:spacing w:before="3"/>
        <w:rPr>
          <w:rFonts w:ascii="Times New Roman"/>
          <w:sz w:val="25"/>
        </w:rPr>
      </w:pPr>
    </w:p>
    <w:p>
      <w:pPr>
        <w:pStyle w:val="ListParagraph"/>
        <w:numPr>
          <w:ilvl w:val="0"/>
          <w:numId w:val="10"/>
        </w:numPr>
        <w:tabs>
          <w:tab w:pos="515" w:val="left" w:leader="none"/>
        </w:tabs>
        <w:spacing w:line="240" w:lineRule="auto" w:before="0" w:after="0"/>
        <w:ind w:left="514" w:right="0" w:hanging="249"/>
        <w:jc w:val="both"/>
        <w:rPr>
          <w:rFonts w:ascii="Times New Roman" w:hAnsi="Times New Roman"/>
          <w:sz w:val="25"/>
        </w:rPr>
      </w:pPr>
      <w:r>
        <w:rPr>
          <w:rFonts w:ascii="Times New Roman" w:hAnsi="Times New Roman"/>
          <w:sz w:val="25"/>
        </w:rPr>
        <w:t>Cierra todas las vías de infusión de líquidos para interrumpir su</w:t>
      </w:r>
      <w:r>
        <w:rPr>
          <w:rFonts w:ascii="Times New Roman" w:hAnsi="Times New Roman"/>
          <w:spacing w:val="-11"/>
          <w:sz w:val="25"/>
        </w:rPr>
        <w:t> </w:t>
      </w:r>
      <w:r>
        <w:rPr>
          <w:rFonts w:ascii="Times New Roman" w:hAnsi="Times New Roman"/>
          <w:sz w:val="25"/>
        </w:rPr>
        <w:t>paso.</w:t>
      </w:r>
    </w:p>
    <w:p>
      <w:pPr>
        <w:pStyle w:val="BodyText"/>
        <w:spacing w:before="10"/>
        <w:rPr>
          <w:rFonts w:ascii="Times New Roman"/>
          <w:sz w:val="20"/>
        </w:rPr>
      </w:pPr>
    </w:p>
    <w:p>
      <w:pPr>
        <w:pStyle w:val="ListParagraph"/>
        <w:numPr>
          <w:ilvl w:val="0"/>
          <w:numId w:val="10"/>
        </w:numPr>
        <w:tabs>
          <w:tab w:pos="558" w:val="left" w:leader="none"/>
        </w:tabs>
        <w:spacing w:line="276" w:lineRule="auto" w:before="1" w:after="0"/>
        <w:ind w:left="265" w:right="236" w:firstLine="0"/>
        <w:jc w:val="both"/>
        <w:rPr>
          <w:rFonts w:ascii="Times New Roman" w:hAnsi="Times New Roman"/>
          <w:sz w:val="25"/>
        </w:rPr>
      </w:pPr>
      <w:r>
        <w:rPr>
          <w:rFonts w:ascii="Times New Roman" w:hAnsi="Times New Roman"/>
          <w:sz w:val="25"/>
        </w:rPr>
        <w:t>Retira el apósito, cuidando en todo momento no lesionar la piel del paciente. Se recomienda que se retire con suavidad estirando el apósito para evitar mayor daño o dolor por la</w:t>
      </w:r>
      <w:r>
        <w:rPr>
          <w:rFonts w:ascii="Times New Roman" w:hAnsi="Times New Roman"/>
          <w:spacing w:val="-6"/>
          <w:sz w:val="25"/>
        </w:rPr>
        <w:t> </w:t>
      </w:r>
      <w:r>
        <w:rPr>
          <w:rFonts w:ascii="Times New Roman" w:hAnsi="Times New Roman"/>
          <w:sz w:val="25"/>
        </w:rPr>
        <w:t>maniobra.</w:t>
      </w:r>
    </w:p>
    <w:p>
      <w:pPr>
        <w:spacing w:before="201"/>
        <w:ind w:left="265" w:right="237" w:firstLine="0"/>
        <w:jc w:val="both"/>
        <w:rPr>
          <w:rFonts w:ascii="Times New Roman" w:hAnsi="Times New Roman"/>
          <w:sz w:val="25"/>
        </w:rPr>
      </w:pPr>
      <w:r>
        <w:rPr>
          <w:rFonts w:ascii="Times New Roman" w:hAnsi="Times New Roman"/>
          <w:sz w:val="25"/>
        </w:rPr>
        <w:t>5.- Coloca una torunda alcoholada o un apósito diseñado exprofeso para ello, hacer ligera presión en el sitio durante unos segundos y extraer el catéter con movimiento firme, suave y seguro para no lastimar la vena. Esto evitará extravasación del líquido por el orificio que deja el</w:t>
      </w:r>
      <w:r>
        <w:rPr>
          <w:rFonts w:ascii="Times New Roman" w:hAnsi="Times New Roman"/>
          <w:spacing w:val="-11"/>
          <w:sz w:val="25"/>
        </w:rPr>
        <w:t> </w:t>
      </w:r>
      <w:r>
        <w:rPr>
          <w:rFonts w:ascii="Times New Roman" w:hAnsi="Times New Roman"/>
          <w:sz w:val="25"/>
        </w:rPr>
        <w:t>catéter.</w:t>
      </w:r>
    </w:p>
    <w:p>
      <w:pPr>
        <w:pStyle w:val="BodyText"/>
        <w:spacing w:before="10"/>
        <w:rPr>
          <w:rFonts w:ascii="Times New Roman"/>
        </w:rPr>
      </w:pPr>
    </w:p>
    <w:p>
      <w:pPr>
        <w:spacing w:line="278" w:lineRule="auto" w:before="0"/>
        <w:ind w:left="265" w:right="238" w:firstLine="0"/>
        <w:jc w:val="both"/>
        <w:rPr>
          <w:rFonts w:ascii="Times New Roman" w:hAnsi="Times New Roman"/>
          <w:sz w:val="25"/>
        </w:rPr>
      </w:pPr>
      <w:r>
        <w:rPr>
          <w:rFonts w:ascii="Times New Roman" w:hAnsi="Times New Roman"/>
          <w:sz w:val="25"/>
        </w:rPr>
        <w:t>6. Coloca una torunda de algodón o gasa seca y limpia en el orificio que dejó el catéter  y asegurarse que no haya salida de sangre por el sitio de</w:t>
      </w:r>
      <w:r>
        <w:rPr>
          <w:rFonts w:ascii="Times New Roman" w:hAnsi="Times New Roman"/>
          <w:spacing w:val="-16"/>
          <w:sz w:val="25"/>
        </w:rPr>
        <w:t> </w:t>
      </w:r>
      <w:r>
        <w:rPr>
          <w:rFonts w:ascii="Times New Roman" w:hAnsi="Times New Roman"/>
          <w:sz w:val="25"/>
        </w:rPr>
        <w:t>punción</w:t>
      </w:r>
    </w:p>
    <w:p>
      <w:pPr>
        <w:spacing w:after="0" w:line="278" w:lineRule="auto"/>
        <w:jc w:val="both"/>
        <w:rPr>
          <w:rFonts w:ascii="Times New Roman" w:hAnsi="Times New Roman"/>
          <w:sz w:val="25"/>
        </w:rPr>
        <w:sectPr>
          <w:pgSz w:w="12240" w:h="15840"/>
          <w:pgMar w:header="739" w:footer="928" w:top="1300" w:bottom="1120" w:left="1720" w:right="1180"/>
        </w:sectPr>
      </w:pPr>
    </w:p>
    <w:p>
      <w:pPr>
        <w:pStyle w:val="BodyText"/>
        <w:rPr>
          <w:rFonts w:ascii="Times New Roman"/>
          <w:sz w:val="20"/>
        </w:rPr>
      </w:pPr>
      <w:r>
        <w:rPr/>
        <w:pict>
          <v:line style="position:absolute;mso-position-horizontal-relative:page;mso-position-vertical-relative:page;z-index:3736" from="97.823997pt,56.16pt" to="542.643997pt,56.16pt" stroked="true" strokeweight=".48pt" strokecolor="#000000">
            <w10:wrap type="none"/>
          </v:line>
        </w:pict>
      </w:r>
    </w:p>
    <w:p>
      <w:pPr>
        <w:pStyle w:val="BodyText"/>
        <w:rPr>
          <w:rFonts w:ascii="Times New Roman"/>
          <w:sz w:val="20"/>
        </w:rPr>
      </w:pPr>
    </w:p>
    <w:p>
      <w:pPr>
        <w:spacing w:before="200"/>
        <w:ind w:left="2848" w:right="0" w:firstLine="0"/>
        <w:jc w:val="left"/>
        <w:rPr>
          <w:rFonts w:ascii="Palatino Linotype"/>
          <w:b/>
          <w:i/>
          <w:sz w:val="25"/>
        </w:rPr>
      </w:pPr>
      <w:r>
        <w:rPr>
          <w:rFonts w:ascii="Palatino Linotype"/>
          <w:b/>
          <w:i/>
          <w:w w:val="115"/>
          <w:sz w:val="25"/>
        </w:rPr>
        <w:t>VALORACION DE RIESGO</w:t>
      </w:r>
    </w:p>
    <w:p>
      <w:pPr>
        <w:pStyle w:val="BodyText"/>
        <w:rPr>
          <w:rFonts w:ascii="Palatino Linotype"/>
          <w:b/>
          <w:i/>
          <w:sz w:val="22"/>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4347"/>
        <w:gridCol w:w="2549"/>
      </w:tblGrid>
      <w:tr>
        <w:trPr>
          <w:trHeight w:val="583" w:hRule="exact"/>
        </w:trPr>
        <w:tc>
          <w:tcPr>
            <w:tcW w:w="2993" w:type="dxa"/>
          </w:tcPr>
          <w:p>
            <w:pPr>
              <w:pStyle w:val="TableParagraph"/>
              <w:spacing w:line="280" w:lineRule="exact"/>
              <w:ind w:right="100"/>
              <w:rPr>
                <w:sz w:val="25"/>
              </w:rPr>
            </w:pPr>
            <w:r>
              <w:rPr>
                <w:sz w:val="25"/>
              </w:rPr>
              <w:t>COMPLICACIONES</w:t>
            </w:r>
          </w:p>
        </w:tc>
        <w:tc>
          <w:tcPr>
            <w:tcW w:w="4347" w:type="dxa"/>
          </w:tcPr>
          <w:p>
            <w:pPr>
              <w:pStyle w:val="TableParagraph"/>
              <w:spacing w:line="280" w:lineRule="exact"/>
              <w:ind w:left="201"/>
              <w:rPr>
                <w:sz w:val="25"/>
              </w:rPr>
            </w:pPr>
            <w:r>
              <w:rPr>
                <w:sz w:val="25"/>
              </w:rPr>
              <w:t>CAUSAS O FACTORES DE RIESGO</w:t>
            </w:r>
          </w:p>
        </w:tc>
        <w:tc>
          <w:tcPr>
            <w:tcW w:w="2549" w:type="dxa"/>
          </w:tcPr>
          <w:p>
            <w:pPr>
              <w:pStyle w:val="TableParagraph"/>
              <w:ind w:left="477" w:firstLine="26"/>
              <w:rPr>
                <w:sz w:val="25"/>
              </w:rPr>
            </w:pPr>
            <w:r>
              <w:rPr>
                <w:sz w:val="25"/>
              </w:rPr>
              <w:t>MEDIDAS DE </w:t>
            </w:r>
            <w:r>
              <w:rPr>
                <w:w w:val="95"/>
                <w:sz w:val="25"/>
              </w:rPr>
              <w:t>PREVENCIÓN</w:t>
            </w:r>
          </w:p>
        </w:tc>
      </w:tr>
      <w:tr>
        <w:trPr>
          <w:trHeight w:val="3565" w:hRule="exact"/>
        </w:trPr>
        <w:tc>
          <w:tcPr>
            <w:tcW w:w="2993" w:type="dxa"/>
          </w:tcPr>
          <w:p>
            <w:pPr>
              <w:pStyle w:val="TableParagraph"/>
              <w:ind w:left="0"/>
              <w:rPr>
                <w:rFonts w:ascii="Palatino Linotype"/>
                <w:b/>
                <w:i/>
                <w:sz w:val="28"/>
              </w:rPr>
            </w:pPr>
          </w:p>
          <w:p>
            <w:pPr>
              <w:pStyle w:val="TableParagraph"/>
              <w:spacing w:before="9"/>
              <w:ind w:left="0"/>
              <w:rPr>
                <w:rFonts w:ascii="Palatino Linotype"/>
                <w:b/>
                <w:i/>
                <w:sz w:val="22"/>
              </w:rPr>
            </w:pPr>
          </w:p>
          <w:p>
            <w:pPr>
              <w:pStyle w:val="TableParagraph"/>
              <w:ind w:right="100"/>
              <w:rPr>
                <w:sz w:val="28"/>
              </w:rPr>
            </w:pPr>
            <w:r>
              <w:rPr>
                <w:b/>
                <w:sz w:val="28"/>
              </w:rPr>
              <w:t>Flebitis química</w:t>
            </w:r>
            <w:r>
              <w:rPr>
                <w:sz w:val="28"/>
              </w:rPr>
              <w:t>:</w:t>
            </w:r>
          </w:p>
          <w:p>
            <w:pPr>
              <w:pStyle w:val="TableParagraph"/>
              <w:spacing w:before="10"/>
              <w:ind w:left="0"/>
              <w:rPr>
                <w:rFonts w:ascii="Palatino Linotype"/>
                <w:b/>
                <w:i/>
                <w:sz w:val="23"/>
              </w:rPr>
            </w:pPr>
          </w:p>
          <w:p>
            <w:pPr>
              <w:pStyle w:val="TableParagraph"/>
              <w:tabs>
                <w:tab w:pos="623" w:val="left" w:leader="none"/>
                <w:tab w:pos="1813" w:val="left" w:leader="none"/>
                <w:tab w:pos="2521" w:val="left" w:leader="none"/>
                <w:tab w:pos="2674" w:val="left" w:leader="none"/>
              </w:tabs>
              <w:spacing w:before="1"/>
              <w:ind w:right="100"/>
              <w:rPr>
                <w:sz w:val="28"/>
              </w:rPr>
            </w:pPr>
            <w:r>
              <w:rPr>
                <w:sz w:val="28"/>
              </w:rPr>
              <w:t>Se</w:t>
              <w:tab/>
              <w:t>entiende</w:t>
              <w:tab/>
              <w:t>como</w:t>
              <w:tab/>
              <w:tab/>
              <w:t>la irritación del endotelio vascular causada por fluidos</w:t>
              <w:tab/>
              <w:tab/>
              <w:t>y/o</w:t>
            </w:r>
          </w:p>
          <w:p>
            <w:pPr>
              <w:pStyle w:val="TableParagraph"/>
              <w:spacing w:line="322" w:lineRule="exact"/>
              <w:ind w:right="100"/>
              <w:rPr>
                <w:sz w:val="28"/>
              </w:rPr>
            </w:pPr>
            <w:r>
              <w:rPr>
                <w:sz w:val="28"/>
              </w:rPr>
              <w:t>medicamento</w:t>
            </w:r>
          </w:p>
        </w:tc>
        <w:tc>
          <w:tcPr>
            <w:tcW w:w="4347" w:type="dxa"/>
          </w:tcPr>
          <w:p>
            <w:pPr>
              <w:pStyle w:val="TableParagraph"/>
              <w:spacing w:before="1"/>
              <w:ind w:left="0"/>
              <w:rPr>
                <w:rFonts w:ascii="Palatino Linotype"/>
                <w:b/>
                <w:i/>
                <w:sz w:val="15"/>
              </w:rPr>
            </w:pPr>
          </w:p>
          <w:p>
            <w:pPr>
              <w:pStyle w:val="TableParagraph"/>
              <w:ind w:right="466"/>
              <w:jc w:val="both"/>
              <w:rPr>
                <w:sz w:val="18"/>
              </w:rPr>
            </w:pPr>
            <w:r>
              <w:rPr>
                <w:sz w:val="18"/>
              </w:rPr>
              <w:t>•Administración de soluciones o medicamentos que sobrepasan el nivel de acidez o alcalinidad del suero sanguíneo (pH)</w:t>
            </w:r>
          </w:p>
          <w:p>
            <w:pPr>
              <w:pStyle w:val="TableParagraph"/>
              <w:numPr>
                <w:ilvl w:val="0"/>
                <w:numId w:val="11"/>
              </w:numPr>
              <w:tabs>
                <w:tab w:pos="209" w:val="left" w:leader="none"/>
              </w:tabs>
              <w:spacing w:line="240" w:lineRule="auto" w:before="2" w:after="0"/>
              <w:ind w:left="103" w:right="441" w:firstLine="0"/>
              <w:jc w:val="left"/>
              <w:rPr>
                <w:sz w:val="18"/>
              </w:rPr>
            </w:pPr>
            <w:r>
              <w:rPr>
                <w:sz w:val="18"/>
              </w:rPr>
              <w:t>Infusión de medicamentos o soluciones con una osmolaridad aumentada por: dosis del medicamento, cantidad del diluyente, tipo de</w:t>
            </w:r>
            <w:r>
              <w:rPr>
                <w:spacing w:val="-13"/>
                <w:sz w:val="18"/>
              </w:rPr>
              <w:t> </w:t>
            </w:r>
            <w:r>
              <w:rPr>
                <w:sz w:val="18"/>
              </w:rPr>
              <w:t>diluyente</w:t>
            </w:r>
          </w:p>
          <w:p>
            <w:pPr>
              <w:pStyle w:val="TableParagraph"/>
              <w:numPr>
                <w:ilvl w:val="0"/>
                <w:numId w:val="11"/>
              </w:numPr>
              <w:tabs>
                <w:tab w:pos="212" w:val="left" w:leader="none"/>
              </w:tabs>
              <w:spacing w:line="206" w:lineRule="exact" w:before="0" w:after="0"/>
              <w:ind w:left="211" w:right="0" w:hanging="108"/>
              <w:jc w:val="left"/>
              <w:rPr>
                <w:sz w:val="18"/>
              </w:rPr>
            </w:pPr>
            <w:r>
              <w:rPr>
                <w:sz w:val="18"/>
              </w:rPr>
              <w:t>Tiempo prolongado de la</w:t>
            </w:r>
            <w:r>
              <w:rPr>
                <w:spacing w:val="-7"/>
                <w:sz w:val="18"/>
              </w:rPr>
              <w:t> </w:t>
            </w:r>
            <w:r>
              <w:rPr>
                <w:sz w:val="18"/>
              </w:rPr>
              <w:t>infusión</w:t>
            </w:r>
          </w:p>
          <w:p>
            <w:pPr>
              <w:pStyle w:val="TableParagraph"/>
              <w:numPr>
                <w:ilvl w:val="0"/>
                <w:numId w:val="11"/>
              </w:numPr>
              <w:tabs>
                <w:tab w:pos="209" w:val="left" w:leader="none"/>
              </w:tabs>
              <w:spacing w:line="240" w:lineRule="auto" w:before="2" w:after="0"/>
              <w:ind w:left="103" w:right="472" w:firstLine="0"/>
              <w:jc w:val="left"/>
              <w:rPr>
                <w:sz w:val="18"/>
              </w:rPr>
            </w:pPr>
            <w:r>
              <w:rPr>
                <w:sz w:val="18"/>
              </w:rPr>
              <w:t>Falta de irrigación después de la administración de medicamentos</w:t>
            </w:r>
            <w:r>
              <w:rPr>
                <w:spacing w:val="-4"/>
                <w:sz w:val="18"/>
              </w:rPr>
              <w:t> </w:t>
            </w:r>
            <w:r>
              <w:rPr>
                <w:sz w:val="18"/>
              </w:rPr>
              <w:t>irritantes</w:t>
            </w:r>
          </w:p>
          <w:p>
            <w:pPr>
              <w:pStyle w:val="TableParagraph"/>
              <w:numPr>
                <w:ilvl w:val="0"/>
                <w:numId w:val="11"/>
              </w:numPr>
              <w:tabs>
                <w:tab w:pos="212" w:val="left" w:leader="none"/>
              </w:tabs>
              <w:spacing w:line="240" w:lineRule="auto" w:before="0" w:after="0"/>
              <w:ind w:left="103" w:right="691" w:firstLine="0"/>
              <w:jc w:val="left"/>
              <w:rPr>
                <w:sz w:val="18"/>
              </w:rPr>
            </w:pPr>
            <w:r>
              <w:rPr>
                <w:sz w:val="18"/>
              </w:rPr>
              <w:t>Administración de medicamentos sin disolver</w:t>
            </w:r>
            <w:r>
              <w:rPr>
                <w:spacing w:val="-11"/>
                <w:sz w:val="18"/>
              </w:rPr>
              <w:t> </w:t>
            </w:r>
            <w:r>
              <w:rPr>
                <w:sz w:val="18"/>
              </w:rPr>
              <w:t>o precipitados</w:t>
            </w:r>
          </w:p>
          <w:p>
            <w:pPr>
              <w:pStyle w:val="TableParagraph"/>
              <w:numPr>
                <w:ilvl w:val="0"/>
                <w:numId w:val="11"/>
              </w:numPr>
              <w:tabs>
                <w:tab w:pos="212" w:val="left" w:leader="none"/>
              </w:tabs>
              <w:spacing w:line="240" w:lineRule="auto" w:before="0" w:after="0"/>
              <w:ind w:left="103" w:right="239" w:firstLine="0"/>
              <w:jc w:val="left"/>
              <w:rPr>
                <w:sz w:val="18"/>
              </w:rPr>
            </w:pPr>
            <w:r>
              <w:rPr>
                <w:sz w:val="18"/>
              </w:rPr>
              <w:t>Administración de varios medicamentos por la</w:t>
            </w:r>
            <w:r>
              <w:rPr>
                <w:spacing w:val="-15"/>
                <w:sz w:val="18"/>
              </w:rPr>
              <w:t> </w:t>
            </w:r>
            <w:r>
              <w:rPr>
                <w:sz w:val="18"/>
              </w:rPr>
              <w:t>misma vía</w:t>
            </w:r>
          </w:p>
        </w:tc>
        <w:tc>
          <w:tcPr>
            <w:tcW w:w="2549" w:type="dxa"/>
          </w:tcPr>
          <w:p>
            <w:pPr>
              <w:pStyle w:val="TableParagraph"/>
              <w:numPr>
                <w:ilvl w:val="0"/>
                <w:numId w:val="12"/>
              </w:numPr>
              <w:tabs>
                <w:tab w:pos="209" w:val="left" w:leader="none"/>
              </w:tabs>
              <w:spacing w:line="206" w:lineRule="exact" w:before="0" w:after="0"/>
              <w:ind w:left="103" w:right="203" w:firstLine="0"/>
              <w:jc w:val="left"/>
              <w:rPr>
                <w:sz w:val="18"/>
              </w:rPr>
            </w:pPr>
            <w:r>
              <w:rPr>
                <w:sz w:val="18"/>
              </w:rPr>
              <w:t>Diluir los medicamentos para que se neutralice el pH sobre todo en el caso de fármacos irritantes</w:t>
            </w:r>
          </w:p>
          <w:p>
            <w:pPr>
              <w:pStyle w:val="TableParagraph"/>
              <w:numPr>
                <w:ilvl w:val="0"/>
                <w:numId w:val="12"/>
              </w:numPr>
              <w:tabs>
                <w:tab w:pos="209" w:val="left" w:leader="none"/>
              </w:tabs>
              <w:spacing w:line="240" w:lineRule="auto" w:before="0" w:after="0"/>
              <w:ind w:left="103" w:right="195" w:firstLine="0"/>
              <w:jc w:val="left"/>
              <w:rPr>
                <w:sz w:val="18"/>
              </w:rPr>
            </w:pPr>
            <w:r>
              <w:rPr>
                <w:sz w:val="18"/>
              </w:rPr>
              <w:t>Infundir a goteo lento el medicamento o la solución con alta</w:t>
            </w:r>
            <w:r>
              <w:rPr>
                <w:spacing w:val="-4"/>
                <w:sz w:val="18"/>
              </w:rPr>
              <w:t> </w:t>
            </w:r>
            <w:r>
              <w:rPr>
                <w:sz w:val="18"/>
              </w:rPr>
              <w:t>osmolaridad</w:t>
            </w:r>
          </w:p>
          <w:p>
            <w:pPr>
              <w:pStyle w:val="TableParagraph"/>
              <w:numPr>
                <w:ilvl w:val="0"/>
                <w:numId w:val="12"/>
              </w:numPr>
              <w:tabs>
                <w:tab w:pos="209" w:val="left" w:leader="none"/>
              </w:tabs>
              <w:spacing w:line="240" w:lineRule="auto" w:before="0" w:after="0"/>
              <w:ind w:left="103" w:right="195" w:firstLine="0"/>
              <w:jc w:val="left"/>
              <w:rPr>
                <w:sz w:val="18"/>
              </w:rPr>
            </w:pPr>
            <w:r>
              <w:rPr>
                <w:sz w:val="18"/>
              </w:rPr>
              <w:t>Cambiar de lugar el catéter periférico en caso de periodos largos de la terapia</w:t>
            </w:r>
            <w:r>
              <w:rPr>
                <w:spacing w:val="-6"/>
                <w:sz w:val="18"/>
              </w:rPr>
              <w:t> </w:t>
            </w:r>
            <w:r>
              <w:rPr>
                <w:sz w:val="18"/>
              </w:rPr>
              <w:t>intravenosa</w:t>
            </w:r>
          </w:p>
          <w:p>
            <w:pPr>
              <w:pStyle w:val="TableParagraph"/>
              <w:numPr>
                <w:ilvl w:val="0"/>
                <w:numId w:val="12"/>
              </w:numPr>
              <w:tabs>
                <w:tab w:pos="209" w:val="left" w:leader="none"/>
              </w:tabs>
              <w:spacing w:line="240" w:lineRule="auto" w:before="0" w:after="0"/>
              <w:ind w:left="103" w:right="444" w:firstLine="0"/>
              <w:jc w:val="left"/>
              <w:rPr>
                <w:sz w:val="18"/>
              </w:rPr>
            </w:pPr>
            <w:r>
              <w:rPr>
                <w:sz w:val="18"/>
              </w:rPr>
              <w:t>Canalizar venas de grueso calibre</w:t>
            </w:r>
          </w:p>
          <w:p>
            <w:pPr>
              <w:pStyle w:val="TableParagraph"/>
              <w:spacing w:line="206" w:lineRule="exact"/>
              <w:rPr>
                <w:sz w:val="18"/>
              </w:rPr>
            </w:pPr>
            <w:r>
              <w:rPr>
                <w:sz w:val="18"/>
              </w:rPr>
              <w:t>para favorecer la hemodilución</w:t>
            </w:r>
          </w:p>
          <w:p>
            <w:pPr>
              <w:pStyle w:val="TableParagraph"/>
              <w:numPr>
                <w:ilvl w:val="0"/>
                <w:numId w:val="12"/>
              </w:numPr>
              <w:tabs>
                <w:tab w:pos="209" w:val="left" w:leader="none"/>
              </w:tabs>
              <w:spacing w:line="240" w:lineRule="auto" w:before="2" w:after="0"/>
              <w:ind w:left="103" w:right="207" w:firstLine="0"/>
              <w:jc w:val="left"/>
              <w:rPr>
                <w:sz w:val="18"/>
              </w:rPr>
            </w:pPr>
            <w:r>
              <w:rPr>
                <w:sz w:val="18"/>
              </w:rPr>
              <w:t>Irrigar el catéter con solución fisiológica cada vez que se ministre algún</w:t>
            </w:r>
            <w:r>
              <w:rPr>
                <w:spacing w:val="-7"/>
                <w:sz w:val="18"/>
              </w:rPr>
              <w:t> </w:t>
            </w:r>
            <w:r>
              <w:rPr>
                <w:sz w:val="18"/>
              </w:rPr>
              <w:t>medicamento</w:t>
            </w:r>
          </w:p>
        </w:tc>
      </w:tr>
      <w:tr>
        <w:trPr>
          <w:trHeight w:val="2230" w:hRule="exact"/>
        </w:trPr>
        <w:tc>
          <w:tcPr>
            <w:tcW w:w="2993" w:type="dxa"/>
          </w:tcPr>
          <w:p>
            <w:pPr>
              <w:pStyle w:val="TableParagraph"/>
              <w:spacing w:before="2"/>
              <w:ind w:left="0"/>
              <w:rPr>
                <w:rFonts w:ascii="Palatino Linotype"/>
                <w:b/>
                <w:i/>
                <w:sz w:val="21"/>
              </w:rPr>
            </w:pPr>
          </w:p>
          <w:p>
            <w:pPr>
              <w:pStyle w:val="TableParagraph"/>
              <w:jc w:val="both"/>
              <w:rPr>
                <w:b/>
                <w:sz w:val="28"/>
              </w:rPr>
            </w:pPr>
            <w:r>
              <w:rPr>
                <w:b/>
                <w:sz w:val="28"/>
              </w:rPr>
              <w:t>Flebitis mecánica:</w:t>
            </w:r>
          </w:p>
          <w:p>
            <w:pPr>
              <w:pStyle w:val="TableParagraph"/>
              <w:spacing w:before="6"/>
              <w:ind w:left="0"/>
              <w:rPr>
                <w:rFonts w:ascii="Palatino Linotype"/>
                <w:b/>
                <w:i/>
                <w:sz w:val="23"/>
              </w:rPr>
            </w:pPr>
          </w:p>
          <w:p>
            <w:pPr>
              <w:pStyle w:val="TableParagraph"/>
              <w:ind w:right="99"/>
              <w:jc w:val="both"/>
              <w:rPr>
                <w:sz w:val="28"/>
              </w:rPr>
            </w:pPr>
            <w:r>
              <w:rPr>
                <w:sz w:val="28"/>
              </w:rPr>
              <w:t>Se entiende como la irritación de la capa íntima de la vena causada por el catéter</w:t>
            </w:r>
          </w:p>
        </w:tc>
        <w:tc>
          <w:tcPr>
            <w:tcW w:w="4347" w:type="dxa"/>
          </w:tcPr>
          <w:p>
            <w:pPr>
              <w:pStyle w:val="TableParagraph"/>
              <w:ind w:left="0"/>
              <w:rPr>
                <w:rFonts w:ascii="Palatino Linotype"/>
                <w:b/>
                <w:i/>
                <w:sz w:val="18"/>
              </w:rPr>
            </w:pPr>
          </w:p>
          <w:p>
            <w:pPr>
              <w:pStyle w:val="TableParagraph"/>
              <w:spacing w:before="5"/>
              <w:ind w:left="0"/>
              <w:rPr>
                <w:rFonts w:ascii="Palatino Linotype"/>
                <w:b/>
                <w:i/>
                <w:sz w:val="12"/>
              </w:rPr>
            </w:pPr>
          </w:p>
          <w:p>
            <w:pPr>
              <w:pStyle w:val="TableParagraph"/>
              <w:numPr>
                <w:ilvl w:val="0"/>
                <w:numId w:val="13"/>
              </w:numPr>
              <w:tabs>
                <w:tab w:pos="209" w:val="left" w:leader="none"/>
              </w:tabs>
              <w:spacing w:line="240" w:lineRule="auto" w:before="0" w:after="0"/>
              <w:ind w:left="103" w:right="577" w:firstLine="0"/>
              <w:jc w:val="left"/>
              <w:rPr>
                <w:sz w:val="18"/>
              </w:rPr>
            </w:pPr>
            <w:r>
              <w:rPr>
                <w:sz w:val="18"/>
              </w:rPr>
              <w:t>Movimiento del catéter por fijación inadecuada o instalación en áreas de flexión y</w:t>
            </w:r>
            <w:r>
              <w:rPr>
                <w:spacing w:val="-15"/>
                <w:sz w:val="18"/>
              </w:rPr>
              <w:t> </w:t>
            </w:r>
            <w:r>
              <w:rPr>
                <w:sz w:val="18"/>
              </w:rPr>
              <w:t>extensión</w:t>
            </w:r>
          </w:p>
          <w:p>
            <w:pPr>
              <w:pStyle w:val="TableParagraph"/>
              <w:numPr>
                <w:ilvl w:val="0"/>
                <w:numId w:val="13"/>
              </w:numPr>
              <w:tabs>
                <w:tab w:pos="209" w:val="left" w:leader="none"/>
              </w:tabs>
              <w:spacing w:line="206" w:lineRule="exact" w:before="0" w:after="0"/>
              <w:ind w:left="208" w:right="0" w:hanging="105"/>
              <w:jc w:val="left"/>
              <w:rPr>
                <w:sz w:val="18"/>
              </w:rPr>
            </w:pPr>
            <w:r>
              <w:rPr>
                <w:sz w:val="18"/>
              </w:rPr>
              <w:t>Manipulación excesiva del</w:t>
            </w:r>
            <w:r>
              <w:rPr>
                <w:spacing w:val="-6"/>
                <w:sz w:val="18"/>
              </w:rPr>
              <w:t> </w:t>
            </w:r>
            <w:r>
              <w:rPr>
                <w:sz w:val="18"/>
              </w:rPr>
              <w:t>sitio</w:t>
            </w:r>
          </w:p>
          <w:p>
            <w:pPr>
              <w:pStyle w:val="TableParagraph"/>
              <w:numPr>
                <w:ilvl w:val="0"/>
                <w:numId w:val="13"/>
              </w:numPr>
              <w:tabs>
                <w:tab w:pos="209" w:val="left" w:leader="none"/>
              </w:tabs>
              <w:spacing w:line="240" w:lineRule="auto" w:before="0" w:after="0"/>
              <w:ind w:left="103" w:right="402" w:firstLine="0"/>
              <w:jc w:val="left"/>
              <w:rPr>
                <w:sz w:val="18"/>
              </w:rPr>
            </w:pPr>
            <w:r>
              <w:rPr>
                <w:sz w:val="18"/>
              </w:rPr>
              <w:t>Instalación de catéter de un diámetro mayor al de la vena</w:t>
            </w:r>
          </w:p>
          <w:p>
            <w:pPr>
              <w:pStyle w:val="TableParagraph"/>
              <w:numPr>
                <w:ilvl w:val="0"/>
                <w:numId w:val="13"/>
              </w:numPr>
              <w:tabs>
                <w:tab w:pos="209" w:val="left" w:leader="none"/>
              </w:tabs>
              <w:spacing w:line="206" w:lineRule="exact" w:before="0" w:after="0"/>
              <w:ind w:left="208" w:right="0" w:hanging="105"/>
              <w:jc w:val="left"/>
              <w:rPr>
                <w:sz w:val="18"/>
              </w:rPr>
            </w:pPr>
            <w:r>
              <w:rPr>
                <w:sz w:val="18"/>
              </w:rPr>
              <w:t>Catéter de mala</w:t>
            </w:r>
            <w:r>
              <w:rPr>
                <w:spacing w:val="-4"/>
                <w:sz w:val="18"/>
              </w:rPr>
              <w:t> </w:t>
            </w:r>
            <w:r>
              <w:rPr>
                <w:sz w:val="18"/>
              </w:rPr>
              <w:t>calidad</w:t>
            </w:r>
          </w:p>
        </w:tc>
        <w:tc>
          <w:tcPr>
            <w:tcW w:w="2549" w:type="dxa"/>
          </w:tcPr>
          <w:p>
            <w:pPr>
              <w:pStyle w:val="TableParagraph"/>
              <w:numPr>
                <w:ilvl w:val="0"/>
                <w:numId w:val="14"/>
              </w:numPr>
              <w:tabs>
                <w:tab w:pos="209" w:val="left" w:leader="none"/>
              </w:tabs>
              <w:spacing w:line="240" w:lineRule="auto" w:before="0" w:after="0"/>
              <w:ind w:left="103" w:right="108" w:firstLine="0"/>
              <w:jc w:val="left"/>
              <w:rPr>
                <w:sz w:val="18"/>
              </w:rPr>
            </w:pPr>
            <w:r>
              <w:rPr>
                <w:sz w:val="18"/>
              </w:rPr>
              <w:t>Fijar el catéter de manera que se evite la movilización, incluso utilizar férulas en caso de pacientes demasiado inquietos o pediátricos</w:t>
            </w:r>
          </w:p>
          <w:p>
            <w:pPr>
              <w:pStyle w:val="TableParagraph"/>
              <w:numPr>
                <w:ilvl w:val="0"/>
                <w:numId w:val="14"/>
              </w:numPr>
              <w:tabs>
                <w:tab w:pos="209" w:val="left" w:leader="none"/>
              </w:tabs>
              <w:spacing w:line="240" w:lineRule="auto" w:before="0" w:after="0"/>
              <w:ind w:left="103" w:right="144" w:firstLine="0"/>
              <w:jc w:val="left"/>
              <w:rPr>
                <w:sz w:val="18"/>
              </w:rPr>
            </w:pPr>
            <w:r>
              <w:rPr>
                <w:sz w:val="18"/>
              </w:rPr>
              <w:t>Seleccionar la vena más apropiada y elegir el catéter de acuerdo al tipo de terapia intravenosa, al grosor de vena y edad del</w:t>
            </w:r>
            <w:r>
              <w:rPr>
                <w:spacing w:val="-4"/>
                <w:sz w:val="18"/>
              </w:rPr>
              <w:t> </w:t>
            </w:r>
            <w:r>
              <w:rPr>
                <w:sz w:val="18"/>
              </w:rPr>
              <w:t>paciente</w:t>
            </w:r>
          </w:p>
        </w:tc>
      </w:tr>
      <w:tr>
        <w:trPr>
          <w:trHeight w:val="5393" w:hRule="exact"/>
        </w:trPr>
        <w:tc>
          <w:tcPr>
            <w:tcW w:w="2993" w:type="dxa"/>
          </w:tcPr>
          <w:p>
            <w:pPr>
              <w:pStyle w:val="TableParagraph"/>
              <w:ind w:left="0"/>
              <w:rPr>
                <w:rFonts w:ascii="Palatino Linotype"/>
                <w:b/>
                <w:i/>
                <w:sz w:val="28"/>
              </w:rPr>
            </w:pPr>
          </w:p>
          <w:p>
            <w:pPr>
              <w:pStyle w:val="TableParagraph"/>
              <w:spacing w:before="6"/>
              <w:ind w:left="0"/>
              <w:rPr>
                <w:rFonts w:ascii="Palatino Linotype"/>
                <w:b/>
                <w:i/>
                <w:sz w:val="19"/>
              </w:rPr>
            </w:pPr>
          </w:p>
          <w:p>
            <w:pPr>
              <w:pStyle w:val="TableParagraph"/>
              <w:spacing w:before="1"/>
              <w:jc w:val="both"/>
              <w:rPr>
                <w:b/>
                <w:sz w:val="28"/>
              </w:rPr>
            </w:pPr>
            <w:r>
              <w:rPr>
                <w:b/>
                <w:sz w:val="28"/>
              </w:rPr>
              <w:t>Flebitis bacteriana:</w:t>
            </w:r>
          </w:p>
          <w:p>
            <w:pPr>
              <w:pStyle w:val="TableParagraph"/>
              <w:spacing w:before="8"/>
              <w:ind w:left="0"/>
              <w:rPr>
                <w:rFonts w:ascii="Palatino Linotype"/>
                <w:b/>
                <w:i/>
                <w:sz w:val="23"/>
              </w:rPr>
            </w:pPr>
          </w:p>
          <w:p>
            <w:pPr>
              <w:pStyle w:val="TableParagraph"/>
              <w:ind w:right="100"/>
              <w:jc w:val="both"/>
              <w:rPr>
                <w:sz w:val="28"/>
              </w:rPr>
            </w:pPr>
            <w:r>
              <w:rPr>
                <w:sz w:val="28"/>
              </w:rPr>
              <w:t>Es la inflamación e infección del tracto venoso relacionada con la introducción de agentes infecciosos</w:t>
            </w:r>
          </w:p>
        </w:tc>
        <w:tc>
          <w:tcPr>
            <w:tcW w:w="4347" w:type="dxa"/>
          </w:tcPr>
          <w:p>
            <w:pPr>
              <w:pStyle w:val="TableParagraph"/>
              <w:ind w:left="0"/>
              <w:rPr>
                <w:rFonts w:ascii="Palatino Linotype"/>
                <w:b/>
                <w:i/>
                <w:sz w:val="18"/>
              </w:rPr>
            </w:pPr>
          </w:p>
          <w:p>
            <w:pPr>
              <w:pStyle w:val="TableParagraph"/>
              <w:spacing w:before="5"/>
              <w:ind w:left="0"/>
              <w:rPr>
                <w:rFonts w:ascii="Palatino Linotype"/>
                <w:b/>
                <w:i/>
                <w:sz w:val="12"/>
              </w:rPr>
            </w:pPr>
          </w:p>
          <w:p>
            <w:pPr>
              <w:pStyle w:val="TableParagraph"/>
              <w:numPr>
                <w:ilvl w:val="0"/>
                <w:numId w:val="15"/>
              </w:numPr>
              <w:tabs>
                <w:tab w:pos="212" w:val="left" w:leader="none"/>
              </w:tabs>
              <w:spacing w:line="207" w:lineRule="exact" w:before="0" w:after="0"/>
              <w:ind w:left="103" w:right="0" w:firstLine="0"/>
              <w:jc w:val="left"/>
              <w:rPr>
                <w:sz w:val="18"/>
              </w:rPr>
            </w:pPr>
            <w:r>
              <w:rPr>
                <w:sz w:val="18"/>
              </w:rPr>
              <w:t>Técnica deficiente de lavado de</w:t>
            </w:r>
            <w:r>
              <w:rPr>
                <w:spacing w:val="-8"/>
                <w:sz w:val="18"/>
              </w:rPr>
              <w:t> </w:t>
            </w:r>
            <w:r>
              <w:rPr>
                <w:sz w:val="18"/>
              </w:rPr>
              <w:t>manos</w:t>
            </w:r>
          </w:p>
          <w:p>
            <w:pPr>
              <w:pStyle w:val="TableParagraph"/>
              <w:numPr>
                <w:ilvl w:val="0"/>
                <w:numId w:val="15"/>
              </w:numPr>
              <w:tabs>
                <w:tab w:pos="209" w:val="left" w:leader="none"/>
              </w:tabs>
              <w:spacing w:line="206" w:lineRule="exact" w:before="0" w:after="0"/>
              <w:ind w:left="208" w:right="0" w:hanging="105"/>
              <w:jc w:val="left"/>
              <w:rPr>
                <w:sz w:val="18"/>
              </w:rPr>
            </w:pPr>
            <w:r>
              <w:rPr>
                <w:sz w:val="18"/>
              </w:rPr>
              <w:t>Instalación del catéter sin técnica</w:t>
            </w:r>
            <w:r>
              <w:rPr>
                <w:spacing w:val="-10"/>
                <w:sz w:val="18"/>
              </w:rPr>
              <w:t> </w:t>
            </w:r>
            <w:r>
              <w:rPr>
                <w:sz w:val="18"/>
              </w:rPr>
              <w:t>aséptica</w:t>
            </w:r>
          </w:p>
          <w:p>
            <w:pPr>
              <w:pStyle w:val="TableParagraph"/>
              <w:numPr>
                <w:ilvl w:val="0"/>
                <w:numId w:val="15"/>
              </w:numPr>
              <w:tabs>
                <w:tab w:pos="209" w:val="left" w:leader="none"/>
              </w:tabs>
              <w:spacing w:line="240" w:lineRule="auto" w:before="0" w:after="0"/>
              <w:ind w:left="103" w:right="563" w:firstLine="0"/>
              <w:jc w:val="left"/>
              <w:rPr>
                <w:sz w:val="18"/>
              </w:rPr>
            </w:pPr>
            <w:r>
              <w:rPr>
                <w:sz w:val="18"/>
              </w:rPr>
              <w:t>Preparación de la piel con soluciones antisépticas contaminadas</w:t>
            </w:r>
          </w:p>
          <w:p>
            <w:pPr>
              <w:pStyle w:val="TableParagraph"/>
              <w:numPr>
                <w:ilvl w:val="0"/>
                <w:numId w:val="15"/>
              </w:numPr>
              <w:tabs>
                <w:tab w:pos="212" w:val="left" w:leader="none"/>
              </w:tabs>
              <w:spacing w:line="207" w:lineRule="exact" w:before="2" w:after="0"/>
              <w:ind w:left="211" w:right="0" w:hanging="108"/>
              <w:jc w:val="left"/>
              <w:rPr>
                <w:sz w:val="18"/>
              </w:rPr>
            </w:pPr>
            <w:r>
              <w:rPr>
                <w:sz w:val="18"/>
              </w:rPr>
              <w:t>Apósitos oclusivos sin esterilizar o</w:t>
            </w:r>
            <w:r>
              <w:rPr>
                <w:spacing w:val="-8"/>
                <w:sz w:val="18"/>
              </w:rPr>
              <w:t> </w:t>
            </w:r>
            <w:r>
              <w:rPr>
                <w:sz w:val="18"/>
              </w:rPr>
              <w:t>húmedos</w:t>
            </w:r>
          </w:p>
          <w:p>
            <w:pPr>
              <w:pStyle w:val="TableParagraph"/>
              <w:numPr>
                <w:ilvl w:val="0"/>
                <w:numId w:val="15"/>
              </w:numPr>
              <w:tabs>
                <w:tab w:pos="209" w:val="left" w:leader="none"/>
              </w:tabs>
              <w:spacing w:line="206" w:lineRule="exact" w:before="0" w:after="0"/>
              <w:ind w:left="208" w:right="0" w:hanging="105"/>
              <w:jc w:val="left"/>
              <w:rPr>
                <w:sz w:val="18"/>
              </w:rPr>
            </w:pPr>
            <w:r>
              <w:rPr>
                <w:sz w:val="18"/>
              </w:rPr>
              <w:t>Rasurado de la</w:t>
            </w:r>
            <w:r>
              <w:rPr>
                <w:spacing w:val="1"/>
                <w:sz w:val="18"/>
              </w:rPr>
              <w:t> </w:t>
            </w:r>
            <w:r>
              <w:rPr>
                <w:sz w:val="18"/>
              </w:rPr>
              <w:t>piel</w:t>
            </w:r>
          </w:p>
          <w:p>
            <w:pPr>
              <w:pStyle w:val="TableParagraph"/>
              <w:numPr>
                <w:ilvl w:val="0"/>
                <w:numId w:val="15"/>
              </w:numPr>
              <w:tabs>
                <w:tab w:pos="209" w:val="left" w:leader="none"/>
              </w:tabs>
              <w:spacing w:line="240" w:lineRule="auto" w:before="0" w:after="0"/>
              <w:ind w:left="103" w:right="568" w:firstLine="0"/>
              <w:jc w:val="left"/>
              <w:rPr>
                <w:sz w:val="18"/>
              </w:rPr>
            </w:pPr>
            <w:r>
              <w:rPr>
                <w:sz w:val="18"/>
              </w:rPr>
              <w:t>Infusión de medicamentos a través del equipo sin técnica</w:t>
            </w:r>
            <w:r>
              <w:rPr>
                <w:spacing w:val="-5"/>
                <w:sz w:val="18"/>
              </w:rPr>
              <w:t> </w:t>
            </w:r>
            <w:r>
              <w:rPr>
                <w:sz w:val="18"/>
              </w:rPr>
              <w:t>aséptica</w:t>
            </w:r>
          </w:p>
          <w:p>
            <w:pPr>
              <w:pStyle w:val="TableParagraph"/>
              <w:numPr>
                <w:ilvl w:val="0"/>
                <w:numId w:val="15"/>
              </w:numPr>
              <w:tabs>
                <w:tab w:pos="212" w:val="left" w:leader="none"/>
              </w:tabs>
              <w:spacing w:line="240" w:lineRule="auto" w:before="2" w:after="0"/>
              <w:ind w:left="211" w:right="0" w:hanging="108"/>
              <w:jc w:val="left"/>
              <w:rPr>
                <w:sz w:val="18"/>
              </w:rPr>
            </w:pPr>
            <w:r>
              <w:rPr>
                <w:sz w:val="18"/>
              </w:rPr>
              <w:t>Llaves de tres vías sin tapones de</w:t>
            </w:r>
            <w:r>
              <w:rPr>
                <w:spacing w:val="-8"/>
                <w:sz w:val="18"/>
              </w:rPr>
              <w:t> </w:t>
            </w:r>
            <w:r>
              <w:rPr>
                <w:sz w:val="18"/>
              </w:rPr>
              <w:t>protección</w:t>
            </w:r>
          </w:p>
        </w:tc>
        <w:tc>
          <w:tcPr>
            <w:tcW w:w="2549" w:type="dxa"/>
          </w:tcPr>
          <w:p>
            <w:pPr>
              <w:pStyle w:val="TableParagraph"/>
              <w:numPr>
                <w:ilvl w:val="0"/>
                <w:numId w:val="16"/>
              </w:numPr>
              <w:tabs>
                <w:tab w:pos="211" w:val="left" w:leader="none"/>
              </w:tabs>
              <w:spacing w:line="240" w:lineRule="auto" w:before="0" w:after="0"/>
              <w:ind w:left="103" w:right="232" w:firstLine="0"/>
              <w:jc w:val="both"/>
              <w:rPr>
                <w:sz w:val="18"/>
              </w:rPr>
            </w:pPr>
            <w:r>
              <w:rPr>
                <w:sz w:val="18"/>
              </w:rPr>
              <w:t>Lavado de manos antes de la preparación de la solución y</w:t>
            </w:r>
            <w:r>
              <w:rPr>
                <w:spacing w:val="-8"/>
                <w:sz w:val="18"/>
              </w:rPr>
              <w:t> </w:t>
            </w:r>
            <w:r>
              <w:rPr>
                <w:sz w:val="18"/>
              </w:rPr>
              <w:t>la instalación del</w:t>
            </w:r>
            <w:r>
              <w:rPr>
                <w:spacing w:val="-5"/>
                <w:sz w:val="18"/>
              </w:rPr>
              <w:t> </w:t>
            </w:r>
            <w:r>
              <w:rPr>
                <w:sz w:val="18"/>
              </w:rPr>
              <w:t>catéter</w:t>
            </w:r>
          </w:p>
          <w:p>
            <w:pPr>
              <w:pStyle w:val="TableParagraph"/>
              <w:numPr>
                <w:ilvl w:val="0"/>
                <w:numId w:val="16"/>
              </w:numPr>
              <w:tabs>
                <w:tab w:pos="209" w:val="left" w:leader="none"/>
              </w:tabs>
              <w:spacing w:line="240" w:lineRule="auto" w:before="0" w:after="0"/>
              <w:ind w:left="103" w:right="337" w:firstLine="0"/>
              <w:jc w:val="left"/>
              <w:rPr>
                <w:sz w:val="18"/>
              </w:rPr>
            </w:pPr>
            <w:r>
              <w:rPr>
                <w:sz w:val="18"/>
              </w:rPr>
              <w:t>Utilizar técnica aséptica y revisar la esterilización del equipo y material que se va</w:t>
            </w:r>
            <w:r>
              <w:rPr>
                <w:spacing w:val="-8"/>
                <w:sz w:val="18"/>
              </w:rPr>
              <w:t> </w:t>
            </w:r>
            <w:r>
              <w:rPr>
                <w:sz w:val="18"/>
              </w:rPr>
              <w:t>a usar</w:t>
            </w:r>
          </w:p>
          <w:p>
            <w:pPr>
              <w:pStyle w:val="TableParagraph"/>
              <w:numPr>
                <w:ilvl w:val="0"/>
                <w:numId w:val="16"/>
              </w:numPr>
              <w:tabs>
                <w:tab w:pos="209" w:val="left" w:leader="none"/>
              </w:tabs>
              <w:spacing w:line="240" w:lineRule="auto" w:before="0" w:after="0"/>
              <w:ind w:left="103" w:right="180" w:firstLine="0"/>
              <w:jc w:val="both"/>
              <w:rPr>
                <w:sz w:val="18"/>
              </w:rPr>
            </w:pPr>
            <w:r>
              <w:rPr>
                <w:sz w:val="18"/>
              </w:rPr>
              <w:t>Revisar la fecha de caducidad de material y soluciones que se vayan a</w:t>
            </w:r>
            <w:r>
              <w:rPr>
                <w:spacing w:val="-5"/>
                <w:sz w:val="18"/>
              </w:rPr>
              <w:t> </w:t>
            </w:r>
            <w:r>
              <w:rPr>
                <w:sz w:val="18"/>
              </w:rPr>
              <w:t>utilizar</w:t>
            </w:r>
          </w:p>
          <w:p>
            <w:pPr>
              <w:pStyle w:val="TableParagraph"/>
              <w:numPr>
                <w:ilvl w:val="0"/>
                <w:numId w:val="16"/>
              </w:numPr>
              <w:tabs>
                <w:tab w:pos="209" w:val="left" w:leader="none"/>
              </w:tabs>
              <w:spacing w:line="240" w:lineRule="auto" w:before="2" w:after="0"/>
              <w:ind w:left="103" w:right="261" w:firstLine="0"/>
              <w:jc w:val="left"/>
              <w:rPr>
                <w:sz w:val="18"/>
              </w:rPr>
            </w:pPr>
            <w:r>
              <w:rPr>
                <w:sz w:val="18"/>
              </w:rPr>
              <w:t>Evitar múltiples entradas del equipo</w:t>
            </w:r>
            <w:r>
              <w:rPr>
                <w:spacing w:val="-2"/>
                <w:sz w:val="18"/>
              </w:rPr>
              <w:t> </w:t>
            </w:r>
            <w:r>
              <w:rPr>
                <w:sz w:val="18"/>
              </w:rPr>
              <w:t>intravenoso</w:t>
            </w:r>
          </w:p>
          <w:p>
            <w:pPr>
              <w:pStyle w:val="TableParagraph"/>
              <w:numPr>
                <w:ilvl w:val="0"/>
                <w:numId w:val="16"/>
              </w:numPr>
              <w:tabs>
                <w:tab w:pos="209" w:val="left" w:leader="none"/>
              </w:tabs>
              <w:spacing w:line="240" w:lineRule="auto" w:before="0" w:after="0"/>
              <w:ind w:left="103" w:right="136" w:firstLine="0"/>
              <w:jc w:val="left"/>
              <w:rPr>
                <w:sz w:val="18"/>
              </w:rPr>
            </w:pPr>
            <w:r>
              <w:rPr>
                <w:sz w:val="18"/>
              </w:rPr>
              <w:t>Realizar asepsia en los sitios de inserción de medicamentos</w:t>
            </w:r>
            <w:r>
              <w:rPr>
                <w:spacing w:val="-8"/>
                <w:sz w:val="18"/>
              </w:rPr>
              <w:t> </w:t>
            </w:r>
            <w:r>
              <w:rPr>
                <w:sz w:val="18"/>
              </w:rPr>
              <w:t>a través del</w:t>
            </w:r>
            <w:r>
              <w:rPr>
                <w:spacing w:val="-4"/>
                <w:sz w:val="18"/>
              </w:rPr>
              <w:t> </w:t>
            </w:r>
            <w:r>
              <w:rPr>
                <w:sz w:val="18"/>
              </w:rPr>
              <w:t>equipo</w:t>
            </w:r>
          </w:p>
          <w:p>
            <w:pPr>
              <w:pStyle w:val="TableParagraph"/>
              <w:numPr>
                <w:ilvl w:val="0"/>
                <w:numId w:val="16"/>
              </w:numPr>
              <w:tabs>
                <w:tab w:pos="209" w:val="left" w:leader="none"/>
              </w:tabs>
              <w:spacing w:line="240" w:lineRule="auto" w:before="0" w:after="0"/>
              <w:ind w:left="103" w:right="259" w:firstLine="0"/>
              <w:jc w:val="left"/>
              <w:rPr>
                <w:sz w:val="18"/>
              </w:rPr>
            </w:pPr>
            <w:r>
              <w:rPr>
                <w:sz w:val="18"/>
              </w:rPr>
              <w:t>Proteger con tapón las llaves de tres</w:t>
            </w:r>
            <w:r>
              <w:rPr>
                <w:spacing w:val="-4"/>
                <w:sz w:val="18"/>
              </w:rPr>
              <w:t> </w:t>
            </w:r>
            <w:r>
              <w:rPr>
                <w:sz w:val="18"/>
              </w:rPr>
              <w:t>vías</w:t>
            </w:r>
          </w:p>
          <w:p>
            <w:pPr>
              <w:pStyle w:val="TableParagraph"/>
              <w:numPr>
                <w:ilvl w:val="0"/>
                <w:numId w:val="16"/>
              </w:numPr>
              <w:tabs>
                <w:tab w:pos="209" w:val="left" w:leader="none"/>
              </w:tabs>
              <w:spacing w:line="240" w:lineRule="auto" w:before="0" w:after="0"/>
              <w:ind w:left="103" w:right="182" w:firstLine="0"/>
              <w:jc w:val="left"/>
              <w:rPr>
                <w:sz w:val="18"/>
              </w:rPr>
            </w:pPr>
            <w:r>
              <w:rPr>
                <w:sz w:val="18"/>
              </w:rPr>
              <w:t>Inspeccionar frecuentemente el sitio de inserción para detectar cualquier cambio en la integridad y coloración de la piel</w:t>
            </w:r>
          </w:p>
          <w:p>
            <w:pPr>
              <w:pStyle w:val="TableParagraph"/>
              <w:numPr>
                <w:ilvl w:val="0"/>
                <w:numId w:val="16"/>
              </w:numPr>
              <w:tabs>
                <w:tab w:pos="209" w:val="left" w:leader="none"/>
              </w:tabs>
              <w:spacing w:line="206" w:lineRule="exact" w:before="0" w:after="0"/>
              <w:ind w:left="208" w:right="0" w:hanging="105"/>
              <w:jc w:val="left"/>
              <w:rPr>
                <w:sz w:val="18"/>
              </w:rPr>
            </w:pPr>
            <w:r>
              <w:rPr>
                <w:sz w:val="18"/>
              </w:rPr>
              <w:t>No rasurar la piel</w:t>
            </w:r>
          </w:p>
          <w:p>
            <w:pPr>
              <w:pStyle w:val="TableParagraph"/>
              <w:numPr>
                <w:ilvl w:val="0"/>
                <w:numId w:val="16"/>
              </w:numPr>
              <w:tabs>
                <w:tab w:pos="209" w:val="left" w:leader="none"/>
              </w:tabs>
              <w:spacing w:line="240" w:lineRule="auto" w:before="1" w:after="0"/>
              <w:ind w:left="103" w:right="122" w:firstLine="0"/>
              <w:jc w:val="left"/>
              <w:rPr>
                <w:sz w:val="18"/>
              </w:rPr>
            </w:pPr>
            <w:r>
              <w:rPr>
                <w:sz w:val="18"/>
              </w:rPr>
              <w:t>Verificar que los contenedores de antisépticos no estén contaminados debido la falta</w:t>
            </w:r>
            <w:r>
              <w:rPr>
                <w:spacing w:val="-5"/>
                <w:sz w:val="18"/>
              </w:rPr>
              <w:t> </w:t>
            </w:r>
            <w:r>
              <w:rPr>
                <w:sz w:val="18"/>
              </w:rPr>
              <w:t>de</w:t>
            </w:r>
          </w:p>
        </w:tc>
      </w:tr>
    </w:tbl>
    <w:p>
      <w:pPr>
        <w:spacing w:after="0" w:line="240" w:lineRule="auto"/>
        <w:jc w:val="left"/>
        <w:rPr>
          <w:sz w:val="18"/>
        </w:rPr>
        <w:sectPr>
          <w:pgSz w:w="12240" w:h="15840"/>
          <w:pgMar w:header="739" w:footer="928" w:top="1300" w:bottom="1120" w:left="1720" w:right="360"/>
        </w:sectPr>
      </w:pPr>
    </w:p>
    <w:p>
      <w:pPr>
        <w:pStyle w:val="BodyText"/>
        <w:rPr>
          <w:rFonts w:ascii="Times New Roman"/>
          <w:sz w:val="20"/>
        </w:rPr>
      </w:pPr>
      <w:r>
        <w:rPr/>
        <w:pict>
          <v:line style="position:absolute;mso-position-horizontal-relative:page;mso-position-vertical-relative:page;z-index:3760" from="97.823997pt,56.16pt" to="542.643997pt,56.16pt" stroked="true" strokeweight=".48pt" strokecolor="#000000">
            <w10:wrap type="none"/>
          </v:line>
        </w:pict>
      </w:r>
    </w:p>
    <w:p>
      <w:pPr>
        <w:pStyle w:val="BodyText"/>
        <w:rPr>
          <w:rFonts w:ascii="Times New Roman"/>
          <w:sz w:val="20"/>
        </w:rPr>
      </w:pPr>
    </w:p>
    <w:p>
      <w:pPr>
        <w:pStyle w:val="BodyText"/>
        <w:spacing w:before="10"/>
        <w:rPr>
          <w:rFonts w:ascii="Times New Roman"/>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4347"/>
        <w:gridCol w:w="2549"/>
      </w:tblGrid>
      <w:tr>
        <w:trPr>
          <w:trHeight w:val="1666" w:hRule="exact"/>
        </w:trPr>
        <w:tc>
          <w:tcPr>
            <w:tcW w:w="2993" w:type="dxa"/>
          </w:tcPr>
          <w:p>
            <w:pPr/>
          </w:p>
        </w:tc>
        <w:tc>
          <w:tcPr>
            <w:tcW w:w="4347" w:type="dxa"/>
          </w:tcPr>
          <w:p>
            <w:pPr/>
          </w:p>
        </w:tc>
        <w:tc>
          <w:tcPr>
            <w:tcW w:w="2549" w:type="dxa"/>
          </w:tcPr>
          <w:p>
            <w:pPr>
              <w:pStyle w:val="TableParagraph"/>
              <w:ind w:right="322"/>
              <w:rPr>
                <w:sz w:val="18"/>
              </w:rPr>
            </w:pPr>
            <w:r>
              <w:rPr>
                <w:sz w:val="18"/>
              </w:rPr>
              <w:t>tapones o tiempo prolongado en el servicio.</w:t>
            </w:r>
          </w:p>
          <w:p>
            <w:pPr>
              <w:pStyle w:val="TableParagraph"/>
              <w:numPr>
                <w:ilvl w:val="0"/>
                <w:numId w:val="17"/>
              </w:numPr>
              <w:tabs>
                <w:tab w:pos="271" w:val="left" w:leader="none"/>
              </w:tabs>
              <w:spacing w:line="240" w:lineRule="auto" w:before="2" w:after="0"/>
              <w:ind w:left="103" w:right="109" w:firstLine="60"/>
              <w:jc w:val="left"/>
              <w:rPr>
                <w:sz w:val="18"/>
              </w:rPr>
            </w:pPr>
            <w:r>
              <w:rPr>
                <w:sz w:val="18"/>
              </w:rPr>
              <w:t>Llevar a cabo curación del sitio de inserción del catéter con cambio de apósito por</w:t>
            </w:r>
            <w:r>
              <w:rPr>
                <w:spacing w:val="-4"/>
                <w:sz w:val="18"/>
              </w:rPr>
              <w:t> </w:t>
            </w:r>
            <w:r>
              <w:rPr>
                <w:sz w:val="18"/>
              </w:rPr>
              <w:t>lo</w:t>
            </w:r>
          </w:p>
          <w:p>
            <w:pPr>
              <w:pStyle w:val="TableParagraph"/>
              <w:ind w:right="197"/>
              <w:rPr>
                <w:sz w:val="18"/>
              </w:rPr>
            </w:pPr>
            <w:r>
              <w:rPr>
                <w:sz w:val="18"/>
              </w:rPr>
              <w:t>menos cada 72 horas o antes si es necesario</w:t>
            </w:r>
          </w:p>
        </w:tc>
      </w:tr>
      <w:tr>
        <w:trPr>
          <w:trHeight w:val="5394" w:hRule="exact"/>
        </w:trPr>
        <w:tc>
          <w:tcPr>
            <w:tcW w:w="2993" w:type="dxa"/>
          </w:tcPr>
          <w:p>
            <w:pPr>
              <w:pStyle w:val="TableParagraph"/>
              <w:spacing w:before="11"/>
              <w:ind w:left="0"/>
              <w:rPr>
                <w:sz w:val="27"/>
              </w:rPr>
            </w:pPr>
          </w:p>
          <w:p>
            <w:pPr>
              <w:pStyle w:val="TableParagraph"/>
              <w:ind w:right="1118"/>
              <w:rPr>
                <w:b/>
                <w:sz w:val="28"/>
              </w:rPr>
            </w:pPr>
            <w:r>
              <w:rPr>
                <w:b/>
                <w:sz w:val="28"/>
              </w:rPr>
              <w:t>Infiltración o extravasación:</w:t>
            </w:r>
          </w:p>
          <w:p>
            <w:pPr>
              <w:pStyle w:val="TableParagraph"/>
              <w:tabs>
                <w:tab w:pos="623" w:val="left" w:leader="none"/>
                <w:tab w:pos="1292" w:val="left" w:leader="none"/>
                <w:tab w:pos="1798" w:val="left" w:leader="none"/>
                <w:tab w:pos="2239" w:val="left" w:leader="none"/>
                <w:tab w:pos="2674" w:val="left" w:leader="none"/>
                <w:tab w:pos="2739" w:val="left" w:leader="none"/>
              </w:tabs>
              <w:ind w:right="99"/>
              <w:rPr>
                <w:sz w:val="28"/>
              </w:rPr>
            </w:pPr>
            <w:r>
              <w:rPr>
                <w:sz w:val="28"/>
              </w:rPr>
              <w:t>Se</w:t>
              <w:tab/>
              <w:t>entiende</w:t>
              <w:tab/>
              <w:t>como</w:t>
              <w:tab/>
              <w:t>la filtración inadvertida de medicamentos</w:t>
              <w:tab/>
              <w:tab/>
              <w:tab/>
              <w:tab/>
              <w:t>o solución</w:t>
              <w:tab/>
              <w:t>en</w:t>
              <w:tab/>
              <w:t>el</w:t>
              <w:tab/>
              <w:t>tejido subcutáneo. Puede haber filtración acompañada con necrosis del</w:t>
            </w:r>
            <w:r>
              <w:rPr>
                <w:spacing w:val="-11"/>
                <w:sz w:val="28"/>
              </w:rPr>
              <w:t> </w:t>
            </w:r>
            <w:r>
              <w:rPr>
                <w:sz w:val="28"/>
              </w:rPr>
              <w:t>tejido</w:t>
            </w:r>
          </w:p>
        </w:tc>
        <w:tc>
          <w:tcPr>
            <w:tcW w:w="4347" w:type="dxa"/>
          </w:tcPr>
          <w:p>
            <w:pPr>
              <w:pStyle w:val="TableParagraph"/>
              <w:ind w:left="0"/>
              <w:rPr>
                <w:sz w:val="18"/>
              </w:rPr>
            </w:pPr>
          </w:p>
          <w:p>
            <w:pPr>
              <w:pStyle w:val="TableParagraph"/>
              <w:spacing w:before="7"/>
              <w:ind w:left="0"/>
              <w:rPr>
                <w:sz w:val="17"/>
              </w:rPr>
            </w:pPr>
          </w:p>
          <w:p>
            <w:pPr>
              <w:pStyle w:val="TableParagraph"/>
              <w:numPr>
                <w:ilvl w:val="0"/>
                <w:numId w:val="18"/>
              </w:numPr>
              <w:tabs>
                <w:tab w:pos="214" w:val="left" w:leader="none"/>
              </w:tabs>
              <w:spacing w:line="240" w:lineRule="auto" w:before="1" w:after="0"/>
              <w:ind w:left="103" w:right="104" w:firstLine="0"/>
              <w:jc w:val="both"/>
              <w:rPr>
                <w:sz w:val="18"/>
              </w:rPr>
            </w:pPr>
            <w:r>
              <w:rPr>
                <w:sz w:val="18"/>
              </w:rPr>
              <w:t>Las causas relacionadas con el paciente pueden deberse a: deterioro vascular, incremento de la presión venosa u obstrucción del flujo</w:t>
            </w:r>
            <w:r>
              <w:rPr>
                <w:spacing w:val="-6"/>
                <w:sz w:val="18"/>
              </w:rPr>
              <w:t> </w:t>
            </w:r>
            <w:r>
              <w:rPr>
                <w:sz w:val="18"/>
              </w:rPr>
              <w:t>venoso</w:t>
            </w:r>
          </w:p>
          <w:p>
            <w:pPr>
              <w:pStyle w:val="TableParagraph"/>
              <w:numPr>
                <w:ilvl w:val="0"/>
                <w:numId w:val="18"/>
              </w:numPr>
              <w:tabs>
                <w:tab w:pos="212" w:val="left" w:leader="none"/>
              </w:tabs>
              <w:spacing w:line="240" w:lineRule="auto" w:before="2" w:after="0"/>
              <w:ind w:left="103" w:right="102" w:firstLine="0"/>
              <w:jc w:val="both"/>
              <w:rPr>
                <w:sz w:val="18"/>
              </w:rPr>
            </w:pPr>
            <w:r>
              <w:rPr>
                <w:sz w:val="18"/>
              </w:rPr>
              <w:t>Las causas de tipo mecánico se deben principalmente al material del catéter, el calibre del catéter, la fijación inapropiada, venopunción por debajo del sitio anterior, inserción de catéteres en sitios de flexión y extensión y tiempo de permanencia del catéter en un mismo</w:t>
            </w:r>
            <w:r>
              <w:rPr>
                <w:spacing w:val="-15"/>
                <w:sz w:val="18"/>
              </w:rPr>
              <w:t> </w:t>
            </w:r>
            <w:r>
              <w:rPr>
                <w:sz w:val="18"/>
              </w:rPr>
              <w:t>sitio</w:t>
            </w:r>
          </w:p>
          <w:p>
            <w:pPr>
              <w:pStyle w:val="TableParagraph"/>
              <w:numPr>
                <w:ilvl w:val="0"/>
                <w:numId w:val="18"/>
              </w:numPr>
              <w:tabs>
                <w:tab w:pos="212" w:val="left" w:leader="none"/>
              </w:tabs>
              <w:spacing w:line="240" w:lineRule="auto" w:before="0" w:after="0"/>
              <w:ind w:left="103" w:right="102" w:firstLine="0"/>
              <w:jc w:val="both"/>
              <w:rPr>
                <w:sz w:val="18"/>
              </w:rPr>
            </w:pPr>
            <w:r>
              <w:rPr>
                <w:sz w:val="18"/>
              </w:rPr>
              <w:t>Otras causas están relacionadas con la naturaleza de los medicamentos</w:t>
            </w:r>
          </w:p>
        </w:tc>
        <w:tc>
          <w:tcPr>
            <w:tcW w:w="2549" w:type="dxa"/>
          </w:tcPr>
          <w:p>
            <w:pPr>
              <w:pStyle w:val="TableParagraph"/>
              <w:numPr>
                <w:ilvl w:val="0"/>
                <w:numId w:val="19"/>
              </w:numPr>
              <w:tabs>
                <w:tab w:pos="209" w:val="left" w:leader="none"/>
              </w:tabs>
              <w:spacing w:line="240" w:lineRule="auto" w:before="0" w:after="0"/>
              <w:ind w:left="103" w:right="196" w:firstLine="0"/>
              <w:jc w:val="left"/>
              <w:rPr>
                <w:sz w:val="18"/>
              </w:rPr>
            </w:pPr>
            <w:r>
              <w:rPr>
                <w:sz w:val="18"/>
              </w:rPr>
              <w:t>Observar con frecuencia que el sitio de inserción y las</w:t>
            </w:r>
            <w:r>
              <w:rPr>
                <w:spacing w:val="-9"/>
                <w:sz w:val="18"/>
              </w:rPr>
              <w:t> </w:t>
            </w:r>
            <w:r>
              <w:rPr>
                <w:sz w:val="18"/>
              </w:rPr>
              <w:t>zonas adyacentes a este para identificar oportunamente la extravasación de</w:t>
            </w:r>
            <w:r>
              <w:rPr>
                <w:spacing w:val="-7"/>
                <w:sz w:val="18"/>
              </w:rPr>
              <w:t> </w:t>
            </w:r>
            <w:r>
              <w:rPr>
                <w:sz w:val="18"/>
              </w:rPr>
              <w:t>líquido</w:t>
            </w:r>
          </w:p>
          <w:p>
            <w:pPr>
              <w:pStyle w:val="TableParagraph"/>
              <w:numPr>
                <w:ilvl w:val="0"/>
                <w:numId w:val="19"/>
              </w:numPr>
              <w:tabs>
                <w:tab w:pos="209" w:val="left" w:leader="none"/>
              </w:tabs>
              <w:spacing w:line="240" w:lineRule="auto" w:before="2" w:after="0"/>
              <w:ind w:left="103" w:right="124" w:firstLine="0"/>
              <w:jc w:val="left"/>
              <w:rPr>
                <w:sz w:val="18"/>
              </w:rPr>
            </w:pPr>
            <w:r>
              <w:rPr>
                <w:sz w:val="18"/>
              </w:rPr>
              <w:t>Preferentemente seleccionar venas que no estén en puntos de flexión y</w:t>
            </w:r>
            <w:r>
              <w:rPr>
                <w:spacing w:val="-9"/>
                <w:sz w:val="18"/>
              </w:rPr>
              <w:t> </w:t>
            </w:r>
            <w:r>
              <w:rPr>
                <w:sz w:val="18"/>
              </w:rPr>
              <w:t>extensión</w:t>
            </w:r>
          </w:p>
          <w:p>
            <w:pPr>
              <w:pStyle w:val="TableParagraph"/>
              <w:numPr>
                <w:ilvl w:val="0"/>
                <w:numId w:val="19"/>
              </w:numPr>
              <w:tabs>
                <w:tab w:pos="209" w:val="left" w:leader="none"/>
              </w:tabs>
              <w:spacing w:line="240" w:lineRule="auto" w:before="0" w:after="0"/>
              <w:ind w:left="103" w:right="306" w:firstLine="0"/>
              <w:jc w:val="left"/>
              <w:rPr>
                <w:sz w:val="18"/>
              </w:rPr>
            </w:pPr>
            <w:r>
              <w:rPr>
                <w:sz w:val="18"/>
              </w:rPr>
              <w:t>No usar bombas de infusión de alta</w:t>
            </w:r>
            <w:r>
              <w:rPr>
                <w:spacing w:val="-5"/>
                <w:sz w:val="18"/>
              </w:rPr>
              <w:t> </w:t>
            </w:r>
            <w:r>
              <w:rPr>
                <w:sz w:val="18"/>
              </w:rPr>
              <w:t>presión</w:t>
            </w:r>
          </w:p>
          <w:p>
            <w:pPr>
              <w:pStyle w:val="TableParagraph"/>
              <w:numPr>
                <w:ilvl w:val="0"/>
                <w:numId w:val="19"/>
              </w:numPr>
              <w:tabs>
                <w:tab w:pos="209" w:val="left" w:leader="none"/>
              </w:tabs>
              <w:spacing w:line="240" w:lineRule="auto" w:before="0" w:after="0"/>
              <w:ind w:left="103" w:right="293" w:firstLine="0"/>
              <w:jc w:val="left"/>
              <w:rPr>
                <w:sz w:val="18"/>
              </w:rPr>
            </w:pPr>
            <w:r>
              <w:rPr>
                <w:sz w:val="18"/>
              </w:rPr>
              <w:t>Diluir los medicamentos de acuerdo a indicaciones del proveedor y a las condiciones del</w:t>
            </w:r>
            <w:r>
              <w:rPr>
                <w:spacing w:val="-1"/>
                <w:sz w:val="18"/>
              </w:rPr>
              <w:t> </w:t>
            </w:r>
            <w:r>
              <w:rPr>
                <w:sz w:val="18"/>
              </w:rPr>
              <w:t>paciente</w:t>
            </w:r>
          </w:p>
          <w:p>
            <w:pPr>
              <w:pStyle w:val="TableParagraph"/>
              <w:numPr>
                <w:ilvl w:val="0"/>
                <w:numId w:val="19"/>
              </w:numPr>
              <w:tabs>
                <w:tab w:pos="209" w:val="left" w:leader="none"/>
              </w:tabs>
              <w:spacing w:line="240" w:lineRule="auto" w:before="0" w:after="0"/>
              <w:ind w:left="103" w:right="191" w:firstLine="0"/>
              <w:jc w:val="left"/>
              <w:rPr>
                <w:sz w:val="18"/>
              </w:rPr>
            </w:pPr>
            <w:r>
              <w:rPr>
                <w:sz w:val="18"/>
              </w:rPr>
              <w:t>No colocar catéteres en</w:t>
            </w:r>
            <w:r>
              <w:rPr>
                <w:spacing w:val="-7"/>
                <w:sz w:val="18"/>
              </w:rPr>
              <w:t> </w:t>
            </w:r>
            <w:r>
              <w:rPr>
                <w:sz w:val="18"/>
              </w:rPr>
              <w:t>venas multipuncionadas o con datos de trauma</w:t>
            </w:r>
            <w:r>
              <w:rPr>
                <w:spacing w:val="-7"/>
                <w:sz w:val="18"/>
              </w:rPr>
              <w:t> </w:t>
            </w:r>
            <w:r>
              <w:rPr>
                <w:sz w:val="18"/>
              </w:rPr>
              <w:t>previo</w:t>
            </w:r>
          </w:p>
          <w:p>
            <w:pPr>
              <w:pStyle w:val="TableParagraph"/>
              <w:numPr>
                <w:ilvl w:val="0"/>
                <w:numId w:val="19"/>
              </w:numPr>
              <w:tabs>
                <w:tab w:pos="209" w:val="left" w:leader="none"/>
              </w:tabs>
              <w:spacing w:line="240" w:lineRule="auto" w:before="0" w:after="0"/>
              <w:ind w:left="103" w:right="308" w:firstLine="0"/>
              <w:jc w:val="left"/>
              <w:rPr>
                <w:sz w:val="18"/>
              </w:rPr>
            </w:pPr>
            <w:r>
              <w:rPr>
                <w:sz w:val="18"/>
              </w:rPr>
              <w:t>Evitar la manipulación excesiva del sitio de punción, ya que esto ocasiona mucho dolor</w:t>
            </w:r>
          </w:p>
          <w:p>
            <w:pPr>
              <w:pStyle w:val="TableParagraph"/>
              <w:numPr>
                <w:ilvl w:val="0"/>
                <w:numId w:val="19"/>
              </w:numPr>
              <w:tabs>
                <w:tab w:pos="209" w:val="left" w:leader="none"/>
              </w:tabs>
              <w:spacing w:line="240" w:lineRule="auto" w:before="0" w:after="0"/>
              <w:ind w:left="103" w:right="189" w:firstLine="0"/>
              <w:jc w:val="left"/>
              <w:rPr>
                <w:sz w:val="18"/>
              </w:rPr>
            </w:pPr>
            <w:r>
              <w:rPr>
                <w:sz w:val="18"/>
              </w:rPr>
              <w:t>Enseñar al paciente a detectar y reportar oportunamente la presencia de dolor y/o ardor en el sitio de</w:t>
            </w:r>
            <w:r>
              <w:rPr>
                <w:spacing w:val="-4"/>
                <w:sz w:val="18"/>
              </w:rPr>
              <w:t> </w:t>
            </w:r>
            <w:r>
              <w:rPr>
                <w:sz w:val="18"/>
              </w:rPr>
              <w:t>punción</w:t>
            </w:r>
          </w:p>
        </w:tc>
      </w:tr>
      <w:tr>
        <w:trPr>
          <w:trHeight w:val="3229" w:hRule="exact"/>
        </w:trPr>
        <w:tc>
          <w:tcPr>
            <w:tcW w:w="2993" w:type="dxa"/>
          </w:tcPr>
          <w:p>
            <w:pPr>
              <w:pStyle w:val="TableParagraph"/>
              <w:spacing w:before="4"/>
              <w:ind w:left="0"/>
              <w:rPr>
                <w:sz w:val="27"/>
              </w:rPr>
            </w:pPr>
          </w:p>
          <w:p>
            <w:pPr>
              <w:pStyle w:val="TableParagraph"/>
              <w:spacing w:line="322" w:lineRule="exact"/>
              <w:ind w:right="100"/>
              <w:rPr>
                <w:sz w:val="28"/>
              </w:rPr>
            </w:pPr>
            <w:r>
              <w:rPr>
                <w:b/>
                <w:sz w:val="28"/>
              </w:rPr>
              <w:t>Hematoma</w:t>
            </w:r>
            <w:r>
              <w:rPr>
                <w:sz w:val="28"/>
              </w:rPr>
              <w:t>:</w:t>
            </w:r>
          </w:p>
          <w:p>
            <w:pPr>
              <w:pStyle w:val="TableParagraph"/>
              <w:tabs>
                <w:tab w:pos="1173" w:val="left" w:leader="none"/>
                <w:tab w:pos="1667" w:val="left" w:leader="none"/>
              </w:tabs>
              <w:ind w:right="100"/>
              <w:rPr>
                <w:sz w:val="28"/>
              </w:rPr>
            </w:pPr>
            <w:r>
              <w:rPr>
                <w:sz w:val="28"/>
              </w:rPr>
              <w:t>Es la acumulación de sangre en el tejido subcutáneo debido a la extravasación de sangre. Su presencia puede estar relacionada con intentos fallidos</w:t>
              <w:tab/>
              <w:t>de</w:t>
              <w:tab/>
            </w:r>
            <w:r>
              <w:rPr>
                <w:spacing w:val="-1"/>
                <w:sz w:val="28"/>
              </w:rPr>
              <w:t>instalación </w:t>
            </w:r>
            <w:r>
              <w:rPr>
                <w:sz w:val="28"/>
              </w:rPr>
              <w:t>de un</w:t>
            </w:r>
            <w:r>
              <w:rPr>
                <w:spacing w:val="-3"/>
                <w:sz w:val="28"/>
              </w:rPr>
              <w:t> </w:t>
            </w:r>
            <w:r>
              <w:rPr>
                <w:sz w:val="28"/>
              </w:rPr>
              <w:t>catéter</w:t>
            </w:r>
          </w:p>
        </w:tc>
        <w:tc>
          <w:tcPr>
            <w:tcW w:w="4347" w:type="dxa"/>
          </w:tcPr>
          <w:p>
            <w:pPr>
              <w:pStyle w:val="TableParagraph"/>
              <w:ind w:left="0"/>
              <w:rPr>
                <w:sz w:val="18"/>
              </w:rPr>
            </w:pPr>
          </w:p>
          <w:p>
            <w:pPr>
              <w:pStyle w:val="TableParagraph"/>
              <w:spacing w:before="5"/>
              <w:ind w:left="0"/>
              <w:rPr>
                <w:sz w:val="17"/>
              </w:rPr>
            </w:pPr>
          </w:p>
          <w:p>
            <w:pPr>
              <w:pStyle w:val="TableParagraph"/>
              <w:numPr>
                <w:ilvl w:val="0"/>
                <w:numId w:val="20"/>
              </w:numPr>
              <w:tabs>
                <w:tab w:pos="209" w:val="left" w:leader="none"/>
              </w:tabs>
              <w:spacing w:line="240" w:lineRule="auto" w:before="0" w:after="0"/>
              <w:ind w:left="103" w:right="0" w:firstLine="0"/>
              <w:jc w:val="left"/>
              <w:rPr>
                <w:sz w:val="18"/>
              </w:rPr>
            </w:pPr>
            <w:r>
              <w:rPr>
                <w:sz w:val="18"/>
              </w:rPr>
              <w:t>Fragilidad</w:t>
            </w:r>
            <w:r>
              <w:rPr>
                <w:spacing w:val="-3"/>
                <w:sz w:val="18"/>
              </w:rPr>
              <w:t> </w:t>
            </w:r>
            <w:r>
              <w:rPr>
                <w:sz w:val="18"/>
              </w:rPr>
              <w:t>venosa</w:t>
            </w:r>
          </w:p>
          <w:p>
            <w:pPr>
              <w:pStyle w:val="TableParagraph"/>
              <w:numPr>
                <w:ilvl w:val="0"/>
                <w:numId w:val="20"/>
              </w:numPr>
              <w:tabs>
                <w:tab w:pos="209" w:val="left" w:leader="none"/>
              </w:tabs>
              <w:spacing w:line="240" w:lineRule="auto" w:before="2" w:after="0"/>
              <w:ind w:left="103" w:right="1319" w:firstLine="0"/>
              <w:jc w:val="left"/>
              <w:rPr>
                <w:sz w:val="18"/>
              </w:rPr>
            </w:pPr>
            <w:r>
              <w:rPr>
                <w:sz w:val="18"/>
              </w:rPr>
              <w:t>Falta de habilidad de la enfermera para realizar la</w:t>
            </w:r>
            <w:r>
              <w:rPr>
                <w:spacing w:val="-3"/>
                <w:sz w:val="18"/>
              </w:rPr>
              <w:t> </w:t>
            </w:r>
            <w:r>
              <w:rPr>
                <w:sz w:val="18"/>
              </w:rPr>
              <w:t>punción</w:t>
            </w:r>
          </w:p>
        </w:tc>
        <w:tc>
          <w:tcPr>
            <w:tcW w:w="2549" w:type="dxa"/>
          </w:tcPr>
          <w:p>
            <w:pPr>
              <w:pStyle w:val="TableParagraph"/>
              <w:spacing w:before="6"/>
              <w:ind w:left="0"/>
              <w:rPr>
                <w:sz w:val="17"/>
              </w:rPr>
            </w:pPr>
          </w:p>
          <w:p>
            <w:pPr>
              <w:pStyle w:val="TableParagraph"/>
              <w:numPr>
                <w:ilvl w:val="0"/>
                <w:numId w:val="21"/>
              </w:numPr>
              <w:tabs>
                <w:tab w:pos="209" w:val="left" w:leader="none"/>
              </w:tabs>
              <w:spacing w:line="240" w:lineRule="auto" w:before="0" w:after="0"/>
              <w:ind w:left="103" w:right="160" w:firstLine="0"/>
              <w:jc w:val="left"/>
              <w:rPr>
                <w:sz w:val="18"/>
              </w:rPr>
            </w:pPr>
            <w:r>
              <w:rPr>
                <w:sz w:val="18"/>
              </w:rPr>
              <w:t>Identificar las condiciones del paciente para determinar a la persona idónea para realizar el procedimiento de instalación del</w:t>
            </w:r>
            <w:r>
              <w:rPr>
                <w:spacing w:val="-3"/>
                <w:sz w:val="18"/>
              </w:rPr>
              <w:t> </w:t>
            </w:r>
            <w:r>
              <w:rPr>
                <w:sz w:val="18"/>
              </w:rPr>
              <w:t>catéter</w:t>
            </w:r>
          </w:p>
          <w:p>
            <w:pPr>
              <w:pStyle w:val="TableParagraph"/>
              <w:numPr>
                <w:ilvl w:val="0"/>
                <w:numId w:val="21"/>
              </w:numPr>
              <w:tabs>
                <w:tab w:pos="209" w:val="left" w:leader="none"/>
              </w:tabs>
              <w:spacing w:line="240" w:lineRule="auto" w:before="0" w:after="0"/>
              <w:ind w:left="103" w:right="186" w:firstLine="0"/>
              <w:jc w:val="left"/>
              <w:rPr>
                <w:sz w:val="18"/>
              </w:rPr>
            </w:pPr>
            <w:r>
              <w:rPr>
                <w:sz w:val="18"/>
              </w:rPr>
              <w:t>Evitar la multipunción de una vena</w:t>
            </w:r>
          </w:p>
        </w:tc>
      </w:tr>
      <w:tr>
        <w:trPr>
          <w:trHeight w:val="2081" w:hRule="exact"/>
        </w:trPr>
        <w:tc>
          <w:tcPr>
            <w:tcW w:w="2993" w:type="dxa"/>
          </w:tcPr>
          <w:p>
            <w:pPr>
              <w:pStyle w:val="TableParagraph"/>
              <w:ind w:left="0"/>
              <w:rPr>
                <w:sz w:val="24"/>
              </w:rPr>
            </w:pPr>
          </w:p>
          <w:p>
            <w:pPr>
              <w:pStyle w:val="TableParagraph"/>
              <w:ind w:right="279"/>
              <w:rPr>
                <w:sz w:val="28"/>
              </w:rPr>
            </w:pPr>
            <w:r>
              <w:rPr>
                <w:b/>
                <w:sz w:val="28"/>
              </w:rPr>
              <w:t>Tromboembolia: </w:t>
            </w:r>
            <w:r>
              <w:rPr>
                <w:sz w:val="28"/>
              </w:rPr>
              <w:t>Oclusión de un vaso sanguíneo producido por el desprendimiento de un trombo, que</w:t>
            </w:r>
          </w:p>
        </w:tc>
        <w:tc>
          <w:tcPr>
            <w:tcW w:w="4347" w:type="dxa"/>
          </w:tcPr>
          <w:p>
            <w:pPr>
              <w:pStyle w:val="TableParagraph"/>
              <w:spacing w:before="9"/>
              <w:ind w:left="0"/>
              <w:rPr>
                <w:sz w:val="23"/>
              </w:rPr>
            </w:pPr>
          </w:p>
          <w:p>
            <w:pPr>
              <w:pStyle w:val="TableParagraph"/>
              <w:numPr>
                <w:ilvl w:val="0"/>
                <w:numId w:val="22"/>
              </w:numPr>
              <w:tabs>
                <w:tab w:pos="209" w:val="left" w:leader="none"/>
              </w:tabs>
              <w:spacing w:line="207" w:lineRule="exact" w:before="0" w:after="0"/>
              <w:ind w:left="208" w:right="0" w:hanging="105"/>
              <w:jc w:val="left"/>
              <w:rPr>
                <w:sz w:val="18"/>
              </w:rPr>
            </w:pPr>
            <w:r>
              <w:rPr>
                <w:sz w:val="18"/>
              </w:rPr>
              <w:t>Inserción de catéter en sitio de flexión y</w:t>
            </w:r>
            <w:r>
              <w:rPr>
                <w:spacing w:val="-9"/>
                <w:sz w:val="18"/>
              </w:rPr>
              <w:t> </w:t>
            </w:r>
            <w:r>
              <w:rPr>
                <w:sz w:val="18"/>
              </w:rPr>
              <w:t>extensión</w:t>
            </w:r>
          </w:p>
          <w:p>
            <w:pPr>
              <w:pStyle w:val="TableParagraph"/>
              <w:numPr>
                <w:ilvl w:val="0"/>
                <w:numId w:val="22"/>
              </w:numPr>
              <w:tabs>
                <w:tab w:pos="209" w:val="left" w:leader="none"/>
              </w:tabs>
              <w:spacing w:line="206" w:lineRule="exact" w:before="0" w:after="0"/>
              <w:ind w:left="208" w:right="0" w:hanging="105"/>
              <w:jc w:val="left"/>
              <w:rPr>
                <w:sz w:val="18"/>
              </w:rPr>
            </w:pPr>
            <w:r>
              <w:rPr>
                <w:sz w:val="18"/>
              </w:rPr>
              <w:t>Suspensión del goteo de la</w:t>
            </w:r>
            <w:r>
              <w:rPr>
                <w:spacing w:val="-6"/>
                <w:sz w:val="18"/>
              </w:rPr>
              <w:t> </w:t>
            </w:r>
            <w:r>
              <w:rPr>
                <w:sz w:val="18"/>
              </w:rPr>
              <w:t>solución</w:t>
            </w:r>
          </w:p>
          <w:p>
            <w:pPr>
              <w:pStyle w:val="TableParagraph"/>
              <w:numPr>
                <w:ilvl w:val="0"/>
                <w:numId w:val="22"/>
              </w:numPr>
              <w:tabs>
                <w:tab w:pos="209" w:val="left" w:leader="none"/>
              </w:tabs>
              <w:spacing w:line="207" w:lineRule="exact" w:before="0" w:after="0"/>
              <w:ind w:left="208" w:right="0" w:hanging="105"/>
              <w:jc w:val="left"/>
              <w:rPr>
                <w:sz w:val="18"/>
              </w:rPr>
            </w:pPr>
            <w:r>
              <w:rPr>
                <w:sz w:val="18"/>
              </w:rPr>
              <w:t>Retorno de sangre al</w:t>
            </w:r>
            <w:r>
              <w:rPr>
                <w:spacing w:val="-4"/>
                <w:sz w:val="18"/>
              </w:rPr>
              <w:t> </w:t>
            </w:r>
            <w:r>
              <w:rPr>
                <w:sz w:val="18"/>
              </w:rPr>
              <w:t>equipo</w:t>
            </w:r>
          </w:p>
        </w:tc>
        <w:tc>
          <w:tcPr>
            <w:tcW w:w="2549" w:type="dxa"/>
          </w:tcPr>
          <w:p>
            <w:pPr>
              <w:pStyle w:val="TableParagraph"/>
              <w:numPr>
                <w:ilvl w:val="0"/>
                <w:numId w:val="23"/>
              </w:numPr>
              <w:tabs>
                <w:tab w:pos="209" w:val="left" w:leader="none"/>
              </w:tabs>
              <w:spacing w:line="240" w:lineRule="auto" w:before="0" w:after="0"/>
              <w:ind w:left="103" w:right="245" w:firstLine="0"/>
              <w:jc w:val="left"/>
              <w:rPr>
                <w:sz w:val="18"/>
              </w:rPr>
            </w:pPr>
            <w:r>
              <w:rPr>
                <w:sz w:val="18"/>
              </w:rPr>
              <w:t>Monitorear frecuentemente para controlar la velocidad del fluido prescrito, utilizando bombas de infusión en caso necesario</w:t>
            </w:r>
          </w:p>
          <w:p>
            <w:pPr>
              <w:pStyle w:val="TableParagraph"/>
              <w:numPr>
                <w:ilvl w:val="0"/>
                <w:numId w:val="23"/>
              </w:numPr>
              <w:tabs>
                <w:tab w:pos="209" w:val="left" w:leader="none"/>
              </w:tabs>
              <w:spacing w:line="240" w:lineRule="auto" w:before="0" w:after="0"/>
              <w:ind w:left="103" w:right="146" w:firstLine="0"/>
              <w:jc w:val="left"/>
              <w:rPr>
                <w:sz w:val="18"/>
              </w:rPr>
            </w:pPr>
            <w:r>
              <w:rPr>
                <w:sz w:val="18"/>
              </w:rPr>
              <w:t>No utilizar presión para desta- par los</w:t>
            </w:r>
            <w:r>
              <w:rPr>
                <w:spacing w:val="-4"/>
                <w:sz w:val="18"/>
              </w:rPr>
              <w:t> </w:t>
            </w:r>
            <w:r>
              <w:rPr>
                <w:sz w:val="18"/>
              </w:rPr>
              <w:t>catéteres</w:t>
            </w:r>
          </w:p>
          <w:p>
            <w:pPr>
              <w:pStyle w:val="TableParagraph"/>
              <w:numPr>
                <w:ilvl w:val="0"/>
                <w:numId w:val="23"/>
              </w:numPr>
              <w:tabs>
                <w:tab w:pos="209" w:val="left" w:leader="none"/>
              </w:tabs>
              <w:spacing w:line="240" w:lineRule="auto" w:before="0" w:after="0"/>
              <w:ind w:left="103" w:right="394" w:firstLine="0"/>
              <w:jc w:val="left"/>
              <w:rPr>
                <w:sz w:val="18"/>
              </w:rPr>
            </w:pPr>
            <w:r>
              <w:rPr>
                <w:sz w:val="18"/>
              </w:rPr>
              <w:t>No “ordeñar” los tubos del equipo de venoclisis en dirección al</w:t>
            </w:r>
            <w:r>
              <w:rPr>
                <w:spacing w:val="-4"/>
                <w:sz w:val="18"/>
              </w:rPr>
              <w:t> </w:t>
            </w:r>
            <w:r>
              <w:rPr>
                <w:sz w:val="18"/>
              </w:rPr>
              <w:t>paciente</w:t>
            </w:r>
          </w:p>
        </w:tc>
      </w:tr>
    </w:tbl>
    <w:p>
      <w:pPr>
        <w:spacing w:after="0" w:line="240" w:lineRule="auto"/>
        <w:jc w:val="left"/>
        <w:rPr>
          <w:sz w:val="18"/>
        </w:rPr>
        <w:sectPr>
          <w:pgSz w:w="12240" w:h="15840"/>
          <w:pgMar w:header="739" w:footer="928" w:top="1300" w:bottom="1120" w:left="1720" w:right="360"/>
        </w:sectPr>
      </w:pPr>
    </w:p>
    <w:p>
      <w:pPr>
        <w:pStyle w:val="BodyText"/>
        <w:rPr>
          <w:rFonts w:ascii="Times New Roman"/>
          <w:sz w:val="20"/>
        </w:rPr>
      </w:pPr>
      <w:r>
        <w:rPr/>
        <w:pict>
          <v:line style="position:absolute;mso-position-horizontal-relative:page;mso-position-vertical-relative:page;z-index:3808" from="97.823997pt,56.16pt" to="542.643997pt,56.16pt" stroked="true" strokeweight=".48pt" strokecolor="#000000">
            <w10:wrap type="none"/>
          </v:line>
        </w:pict>
      </w:r>
    </w:p>
    <w:p>
      <w:pPr>
        <w:pStyle w:val="BodyText"/>
        <w:rPr>
          <w:rFonts w:ascii="Times New Roman"/>
          <w:sz w:val="20"/>
        </w:rPr>
      </w:pPr>
    </w:p>
    <w:p>
      <w:pPr>
        <w:pStyle w:val="BodyText"/>
        <w:spacing w:before="10"/>
        <w:rPr>
          <w:rFonts w:ascii="Times New Roman"/>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4347"/>
        <w:gridCol w:w="2549"/>
      </w:tblGrid>
      <w:tr>
        <w:trPr>
          <w:trHeight w:val="838" w:hRule="exact"/>
        </w:trPr>
        <w:tc>
          <w:tcPr>
            <w:tcW w:w="2993" w:type="dxa"/>
          </w:tcPr>
          <w:p>
            <w:pPr>
              <w:pStyle w:val="TableParagraph"/>
              <w:spacing w:line="315" w:lineRule="exact"/>
              <w:ind w:right="100"/>
              <w:rPr>
                <w:sz w:val="28"/>
              </w:rPr>
            </w:pPr>
            <w:r>
              <w:rPr>
                <w:sz w:val="28"/>
              </w:rPr>
              <w:t>actúa como un émbolo</w:t>
            </w:r>
          </w:p>
        </w:tc>
        <w:tc>
          <w:tcPr>
            <w:tcW w:w="4347" w:type="dxa"/>
          </w:tcPr>
          <w:p>
            <w:pPr/>
          </w:p>
        </w:tc>
        <w:tc>
          <w:tcPr>
            <w:tcW w:w="2549" w:type="dxa"/>
          </w:tcPr>
          <w:p>
            <w:pPr>
              <w:pStyle w:val="TableParagraph"/>
              <w:numPr>
                <w:ilvl w:val="0"/>
                <w:numId w:val="24"/>
              </w:numPr>
              <w:tabs>
                <w:tab w:pos="209" w:val="left" w:leader="none"/>
              </w:tabs>
              <w:spacing w:line="240" w:lineRule="auto" w:before="0" w:after="0"/>
              <w:ind w:left="103" w:right="236" w:firstLine="0"/>
              <w:jc w:val="left"/>
              <w:rPr>
                <w:sz w:val="18"/>
              </w:rPr>
            </w:pPr>
            <w:r>
              <w:rPr>
                <w:sz w:val="18"/>
              </w:rPr>
              <w:t>Cambiar el equipo de venoclisis si se observa</w:t>
            </w:r>
            <w:r>
              <w:rPr>
                <w:spacing w:val="-9"/>
                <w:sz w:val="18"/>
              </w:rPr>
              <w:t> </w:t>
            </w:r>
            <w:r>
              <w:rPr>
                <w:sz w:val="18"/>
              </w:rPr>
              <w:t>sangre en el trayecto del</w:t>
            </w:r>
            <w:r>
              <w:rPr>
                <w:spacing w:val="-5"/>
                <w:sz w:val="18"/>
              </w:rPr>
              <w:t> </w:t>
            </w:r>
            <w:r>
              <w:rPr>
                <w:sz w:val="18"/>
              </w:rPr>
              <w:t>tubo</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spacing w:before="49"/>
        <w:ind w:left="627" w:right="1419" w:firstLine="0"/>
        <w:jc w:val="center"/>
        <w:rPr>
          <w:rFonts w:ascii="Times New Roman" w:hAnsi="Times New Roman"/>
          <w:b/>
          <w:sz w:val="40"/>
        </w:rPr>
      </w:pPr>
      <w:r>
        <w:rPr>
          <w:rFonts w:ascii="Times New Roman" w:hAnsi="Times New Roman"/>
          <w:b/>
          <w:color w:val="365F91"/>
          <w:sz w:val="40"/>
        </w:rPr>
        <w:t>PRINCIPIOS DE LA ADMINISTRACIÓN SEGURA DE MEDICAMENTOS</w:t>
      </w:r>
    </w:p>
    <w:p>
      <w:pPr>
        <w:pStyle w:val="BodyText"/>
        <w:spacing w:before="7"/>
        <w:rPr>
          <w:rFonts w:ascii="Times New Roman"/>
          <w:b/>
          <w:sz w:val="53"/>
        </w:rPr>
      </w:pPr>
    </w:p>
    <w:p>
      <w:pPr>
        <w:spacing w:line="324" w:lineRule="exact" w:before="1"/>
        <w:ind w:left="629" w:right="1419" w:firstLine="0"/>
        <w:jc w:val="center"/>
        <w:rPr>
          <w:rFonts w:ascii="Times New Roman" w:hAnsi="Times New Roman"/>
          <w:sz w:val="28"/>
        </w:rPr>
      </w:pPr>
      <w:r>
        <w:rPr>
          <w:rFonts w:ascii="Times New Roman" w:hAnsi="Times New Roman"/>
          <w:b/>
          <w:sz w:val="32"/>
        </w:rPr>
        <w:t>El personal de enfermería </w:t>
      </w:r>
      <w:r>
        <w:rPr>
          <w:rFonts w:ascii="Times New Roman" w:hAnsi="Times New Roman"/>
          <w:sz w:val="28"/>
        </w:rPr>
        <w:t>debe conocer los 7 correctos para evitar Eventos  Adversos y futuros problemas legales</w:t>
      </w:r>
    </w:p>
    <w:p>
      <w:pPr>
        <w:pStyle w:val="BodyText"/>
        <w:rPr>
          <w:rFonts w:ascii="Times New Roman"/>
          <w:sz w:val="20"/>
        </w:rPr>
      </w:pPr>
    </w:p>
    <w:p>
      <w:pPr>
        <w:pStyle w:val="BodyText"/>
        <w:spacing w:before="2" w:after="1"/>
        <w:rPr>
          <w:rFonts w:ascii="Times New Roman"/>
          <w:sz w:val="29"/>
        </w:rPr>
      </w:pPr>
    </w:p>
    <w:tbl>
      <w:tblPr>
        <w:tblW w:w="0" w:type="auto"/>
        <w:jc w:val="left"/>
        <w:tblInd w:w="2380" w:type="dxa"/>
        <w:tblBorders>
          <w:top w:val="single" w:sz="8" w:space="0" w:color="9F89B8"/>
          <w:left w:val="single" w:sz="8" w:space="0" w:color="9F89B8"/>
          <w:bottom w:val="single" w:sz="8" w:space="0" w:color="9F89B8"/>
          <w:right w:val="single" w:sz="8" w:space="0" w:color="9F89B8"/>
          <w:insideH w:val="single" w:sz="8" w:space="0" w:color="9F89B8"/>
          <w:insideV w:val="single" w:sz="8" w:space="0" w:color="9F89B8"/>
        </w:tblBorders>
        <w:tblLayout w:type="fixed"/>
        <w:tblCellMar>
          <w:top w:w="0" w:type="dxa"/>
          <w:left w:w="0" w:type="dxa"/>
          <w:bottom w:w="0" w:type="dxa"/>
          <w:right w:w="0" w:type="dxa"/>
        </w:tblCellMar>
        <w:tblLook w:val="01E0"/>
      </w:tblPr>
      <w:tblGrid>
        <w:gridCol w:w="4395"/>
      </w:tblGrid>
      <w:tr>
        <w:trPr>
          <w:trHeight w:val="295" w:hRule="exact"/>
        </w:trPr>
        <w:tc>
          <w:tcPr>
            <w:tcW w:w="4395" w:type="dxa"/>
            <w:shd w:val="clear" w:color="auto" w:fill="8063A1"/>
          </w:tcPr>
          <w:p>
            <w:pPr>
              <w:pStyle w:val="TableParagraph"/>
              <w:tabs>
                <w:tab w:pos="1767" w:val="left" w:leader="none"/>
              </w:tabs>
              <w:spacing w:line="272" w:lineRule="exact"/>
              <w:ind w:left="539"/>
              <w:rPr>
                <w:rFonts w:ascii="Arial"/>
                <w:b/>
                <w:sz w:val="24"/>
              </w:rPr>
            </w:pPr>
            <w:r>
              <w:rPr>
                <w:rFonts w:ascii="Arial"/>
                <w:b/>
                <w:color w:val="FFFFFF"/>
                <w:sz w:val="24"/>
              </w:rPr>
              <w:t>S I E</w:t>
            </w:r>
            <w:r>
              <w:rPr>
                <w:rFonts w:ascii="Arial"/>
                <w:b/>
                <w:color w:val="FFFFFF"/>
                <w:spacing w:val="1"/>
                <w:sz w:val="24"/>
              </w:rPr>
              <w:t> </w:t>
            </w:r>
            <w:r>
              <w:rPr>
                <w:rFonts w:ascii="Arial"/>
                <w:b/>
                <w:color w:val="FFFFFF"/>
                <w:sz w:val="24"/>
              </w:rPr>
              <w:t>T</w:t>
            </w:r>
            <w:r>
              <w:rPr>
                <w:rFonts w:ascii="Arial"/>
                <w:b/>
                <w:color w:val="FFFFFF"/>
                <w:spacing w:val="-3"/>
                <w:sz w:val="24"/>
              </w:rPr>
              <w:t> </w:t>
            </w:r>
            <w:r>
              <w:rPr>
                <w:rFonts w:ascii="Arial"/>
                <w:b/>
                <w:color w:val="FFFFFF"/>
                <w:sz w:val="24"/>
              </w:rPr>
              <w:t>E</w:t>
              <w:tab/>
              <w:t>C O R R E C T O</w:t>
            </w:r>
            <w:r>
              <w:rPr>
                <w:rFonts w:ascii="Arial"/>
                <w:b/>
                <w:color w:val="FFFFFF"/>
                <w:spacing w:val="-5"/>
                <w:sz w:val="24"/>
              </w:rPr>
              <w:t> </w:t>
            </w:r>
            <w:r>
              <w:rPr>
                <w:rFonts w:ascii="Arial"/>
                <w:b/>
                <w:color w:val="FFFFFF"/>
                <w:sz w:val="24"/>
              </w:rPr>
              <w:t>S</w:t>
            </w:r>
          </w:p>
        </w:tc>
      </w:tr>
      <w:tr>
        <w:trPr>
          <w:trHeight w:val="307" w:hRule="exact"/>
        </w:trPr>
        <w:tc>
          <w:tcPr>
            <w:tcW w:w="4395" w:type="dxa"/>
            <w:shd w:val="clear" w:color="auto" w:fill="DFD7E8"/>
          </w:tcPr>
          <w:p>
            <w:pPr>
              <w:pStyle w:val="TableParagraph"/>
              <w:tabs>
                <w:tab w:pos="2186" w:val="left" w:leader="none"/>
              </w:tabs>
              <w:spacing w:line="280" w:lineRule="exact"/>
              <w:ind w:left="98"/>
              <w:rPr>
                <w:sz w:val="25"/>
              </w:rPr>
            </w:pPr>
            <w:r>
              <w:rPr>
                <w:b/>
                <w:color w:val="FF0000"/>
                <w:sz w:val="25"/>
              </w:rPr>
              <w:t>Paciente</w:t>
              <w:tab/>
            </w:r>
            <w:r>
              <w:rPr>
                <w:sz w:val="25"/>
              </w:rPr>
              <w:t>Correcto</w:t>
            </w:r>
          </w:p>
        </w:tc>
      </w:tr>
      <w:tr>
        <w:trPr>
          <w:trHeight w:val="308" w:hRule="exact"/>
        </w:trPr>
        <w:tc>
          <w:tcPr>
            <w:tcW w:w="4395" w:type="dxa"/>
          </w:tcPr>
          <w:p>
            <w:pPr>
              <w:pStyle w:val="TableParagraph"/>
              <w:tabs>
                <w:tab w:pos="2179" w:val="left" w:leader="none"/>
              </w:tabs>
              <w:spacing w:line="282" w:lineRule="exact"/>
              <w:ind w:left="98"/>
              <w:rPr>
                <w:sz w:val="25"/>
              </w:rPr>
            </w:pPr>
            <w:r>
              <w:rPr>
                <w:b/>
                <w:color w:val="FF0000"/>
                <w:sz w:val="25"/>
              </w:rPr>
              <w:t>Medicamento</w:t>
              <w:tab/>
            </w:r>
            <w:r>
              <w:rPr>
                <w:sz w:val="25"/>
              </w:rPr>
              <w:t>Correcto</w:t>
            </w:r>
          </w:p>
        </w:tc>
      </w:tr>
      <w:tr>
        <w:trPr>
          <w:trHeight w:val="296" w:hRule="exact"/>
        </w:trPr>
        <w:tc>
          <w:tcPr>
            <w:tcW w:w="4395" w:type="dxa"/>
            <w:shd w:val="clear" w:color="auto" w:fill="DFD7E8"/>
          </w:tcPr>
          <w:p>
            <w:pPr>
              <w:pStyle w:val="TableParagraph"/>
              <w:tabs>
                <w:tab w:pos="2181" w:val="left" w:leader="none"/>
              </w:tabs>
              <w:spacing w:line="269" w:lineRule="exact"/>
              <w:ind w:left="98"/>
              <w:rPr>
                <w:sz w:val="24"/>
              </w:rPr>
            </w:pPr>
            <w:r>
              <w:rPr>
                <w:b/>
                <w:color w:val="FF0000"/>
                <w:sz w:val="24"/>
              </w:rPr>
              <w:t>Caducidad</w:t>
              <w:tab/>
            </w:r>
            <w:r>
              <w:rPr>
                <w:sz w:val="24"/>
              </w:rPr>
              <w:t>Correcta</w:t>
            </w:r>
          </w:p>
        </w:tc>
      </w:tr>
      <w:tr>
        <w:trPr>
          <w:trHeight w:val="307" w:hRule="exact"/>
        </w:trPr>
        <w:tc>
          <w:tcPr>
            <w:tcW w:w="4395" w:type="dxa"/>
          </w:tcPr>
          <w:p>
            <w:pPr>
              <w:pStyle w:val="TableParagraph"/>
              <w:tabs>
                <w:tab w:pos="2167" w:val="left" w:leader="none"/>
              </w:tabs>
              <w:spacing w:line="280" w:lineRule="exact"/>
              <w:ind w:left="98"/>
              <w:rPr>
                <w:sz w:val="25"/>
              </w:rPr>
            </w:pPr>
            <w:r>
              <w:rPr>
                <w:b/>
                <w:color w:val="FF0000"/>
                <w:sz w:val="25"/>
              </w:rPr>
              <w:t>Dosis</w:t>
              <w:tab/>
            </w:r>
            <w:r>
              <w:rPr>
                <w:sz w:val="25"/>
              </w:rPr>
              <w:t>Correcta</w:t>
            </w:r>
          </w:p>
        </w:tc>
      </w:tr>
      <w:tr>
        <w:trPr>
          <w:trHeight w:val="307" w:hRule="exact"/>
        </w:trPr>
        <w:tc>
          <w:tcPr>
            <w:tcW w:w="4395" w:type="dxa"/>
            <w:shd w:val="clear" w:color="auto" w:fill="DFD7E8"/>
          </w:tcPr>
          <w:p>
            <w:pPr>
              <w:pStyle w:val="TableParagraph"/>
              <w:tabs>
                <w:tab w:pos="2160" w:val="left" w:leader="none"/>
              </w:tabs>
              <w:spacing w:line="280" w:lineRule="exact"/>
              <w:ind w:left="98"/>
              <w:rPr>
                <w:sz w:val="25"/>
              </w:rPr>
            </w:pPr>
            <w:r>
              <w:rPr>
                <w:b/>
                <w:color w:val="FF0000"/>
                <w:sz w:val="25"/>
              </w:rPr>
              <w:t>Vía</w:t>
              <w:tab/>
            </w:r>
            <w:r>
              <w:rPr>
                <w:sz w:val="25"/>
              </w:rPr>
              <w:t>Correcta</w:t>
            </w:r>
          </w:p>
        </w:tc>
      </w:tr>
      <w:tr>
        <w:trPr>
          <w:trHeight w:val="308" w:hRule="exact"/>
        </w:trPr>
        <w:tc>
          <w:tcPr>
            <w:tcW w:w="4395" w:type="dxa"/>
          </w:tcPr>
          <w:p>
            <w:pPr>
              <w:pStyle w:val="TableParagraph"/>
              <w:tabs>
                <w:tab w:pos="2153" w:val="left" w:leader="none"/>
              </w:tabs>
              <w:spacing w:line="280" w:lineRule="exact"/>
              <w:ind w:left="98"/>
              <w:rPr>
                <w:sz w:val="25"/>
              </w:rPr>
            </w:pPr>
            <w:r>
              <w:rPr>
                <w:b/>
                <w:color w:val="FF0000"/>
                <w:sz w:val="25"/>
              </w:rPr>
              <w:t>Hora</w:t>
              <w:tab/>
            </w:r>
            <w:r>
              <w:rPr>
                <w:sz w:val="25"/>
              </w:rPr>
              <w:t>Correcta</w:t>
            </w:r>
          </w:p>
        </w:tc>
      </w:tr>
      <w:tr>
        <w:trPr>
          <w:trHeight w:val="307" w:hRule="exact"/>
        </w:trPr>
        <w:tc>
          <w:tcPr>
            <w:tcW w:w="4395" w:type="dxa"/>
            <w:shd w:val="clear" w:color="auto" w:fill="DFD7E8"/>
          </w:tcPr>
          <w:p>
            <w:pPr>
              <w:pStyle w:val="TableParagraph"/>
              <w:tabs>
                <w:tab w:pos="2167" w:val="left" w:leader="none"/>
              </w:tabs>
              <w:spacing w:line="280" w:lineRule="exact"/>
              <w:ind w:left="98"/>
              <w:rPr>
                <w:sz w:val="25"/>
              </w:rPr>
            </w:pPr>
            <w:r>
              <w:rPr>
                <w:b/>
                <w:color w:val="FF0000"/>
                <w:sz w:val="25"/>
              </w:rPr>
              <w:t>Velocidad</w:t>
              <w:tab/>
            </w:r>
            <w:r>
              <w:rPr>
                <w:sz w:val="25"/>
              </w:rPr>
              <w:t>Correcta</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5"/>
        </w:rPr>
      </w:pPr>
    </w:p>
    <w:p>
      <w:pPr>
        <w:spacing w:before="50"/>
        <w:ind w:left="265" w:right="0" w:firstLine="0"/>
        <w:jc w:val="left"/>
        <w:rPr>
          <w:b/>
          <w:sz w:val="40"/>
        </w:rPr>
      </w:pPr>
      <w:r>
        <w:rPr>
          <w:b/>
          <w:sz w:val="40"/>
        </w:rPr>
        <w:t>¿Y TU… SI VERIFICAS LOS 7 CORRECTOS?</w:t>
      </w:r>
    </w:p>
    <w:p>
      <w:pPr>
        <w:pStyle w:val="BodyText"/>
        <w:rPr>
          <w:b/>
          <w:sz w:val="20"/>
        </w:rPr>
      </w:pPr>
      <w:r>
        <w:rPr/>
        <w:drawing>
          <wp:anchor distT="0" distB="0" distL="0" distR="0" allowOverlap="1" layoutInCell="1" locked="0" behindDoc="0" simplePos="0" relativeHeight="3784">
            <wp:simplePos x="0" y="0"/>
            <wp:positionH relativeFrom="page">
              <wp:posOffset>2319527</wp:posOffset>
            </wp:positionH>
            <wp:positionV relativeFrom="paragraph">
              <wp:posOffset>170836</wp:posOffset>
            </wp:positionV>
            <wp:extent cx="2773841" cy="1752219"/>
            <wp:effectExtent l="0" t="0" r="0" b="0"/>
            <wp:wrapTopAndBottom/>
            <wp:docPr id="45" name="image24.jpeg" descr=""/>
            <wp:cNvGraphicFramePr>
              <a:graphicFrameLocks noChangeAspect="1"/>
            </wp:cNvGraphicFramePr>
            <a:graphic>
              <a:graphicData uri="http://schemas.openxmlformats.org/drawingml/2006/picture">
                <pic:pic>
                  <pic:nvPicPr>
                    <pic:cNvPr id="46" name="image24.jpeg"/>
                    <pic:cNvPicPr/>
                  </pic:nvPicPr>
                  <pic:blipFill>
                    <a:blip r:embed="rId76" cstate="print"/>
                    <a:stretch>
                      <a:fillRect/>
                    </a:stretch>
                  </pic:blipFill>
                  <pic:spPr>
                    <a:xfrm>
                      <a:off x="0" y="0"/>
                      <a:ext cx="2773841" cy="1752219"/>
                    </a:xfrm>
                    <a:prstGeom prst="rect">
                      <a:avLst/>
                    </a:prstGeom>
                  </pic:spPr>
                </pic:pic>
              </a:graphicData>
            </a:graphic>
          </wp:anchor>
        </w:drawing>
      </w:r>
    </w:p>
    <w:sectPr>
      <w:pgSz w:w="12240" w:h="15840"/>
      <w:pgMar w:header="739" w:footer="928" w:top="1300" w:bottom="1120" w:left="172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Symbol">
    <w:altName w:val="Symbol"/>
    <w:charset w:val="2"/>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9264"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9240"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30.440002pt;margin-top:737.695984pt;width:9.6pt;height:13.05pt;mso-position-horizontal-relative:page;mso-position-vertical-relative:page;z-index:-79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616"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592"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856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544"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520"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472"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448"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842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400"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376"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280"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256"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823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208"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184"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9192"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9168"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914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9120"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9096"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9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9048"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9024"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900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976"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952"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904"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880"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88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832"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808"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760"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736"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8.679993pt;margin-top:737.695984pt;width:13.3pt;height:13.05pt;mso-position-horizontal-relative:page;mso-position-vertical-relative:page;z-index:-7871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3.263977pt;margin-top:732.575989pt;width:453.95pt;height:24.75pt;mso-position-horizontal-relative:page;mso-position-vertical-relative:page;z-index:-78688" coordorigin="1865,14652" coordsize="9079,495">
          <v:rect style="position:absolute;left:10493;top:14661;width:446;height:485" filled="true" fillcolor="#d99493" stroked="false">
            <v:fill type="solid"/>
          </v:rect>
          <v:line style="position:absolute" from="1870,14656" to="10493,14656" stroked="true" strokeweight=".48004pt" strokecolor="#000000"/>
          <v:line style="position:absolute" from="10493,14697" to="10502,14697" stroked="true" strokeweight="3.6pt" strokecolor="#d99493"/>
          <v:line style="position:absolute" from="10493,14656" to="10502,14656" stroked="true" strokeweight=".48004pt" strokecolor="#c0504d"/>
          <v:line style="position:absolute" from="10502,14656" to="10939,14656" stroked="true" strokeweight=".48004pt" strokecolor="#c0504d"/>
          <v:shape style="position:absolute;left:10493;top:14661;width:447;height:486" coordorigin="10493,14661" coordsize="447,486" path="m10939,15074l10493,15074,10493,15146,10939,15146,10939,15074m10939,14661l10502,14661,10502,14733,10939,14733,10939,14661e" filled="true" fillcolor="#d99493" stroked="false">
            <v:path arrowok="t"/>
            <v:fill type="solid"/>
          </v:shape>
          <w10:wrap type="none"/>
        </v:group>
      </w:pict>
    </w:r>
    <w:r>
      <w:rPr/>
      <w:pict>
        <v:shape style="position:absolute;margin-left:105.099998pt;margin-top:737.036011pt;width:414.6pt;height:17.5pt;mso-position-horizontal-relative:page;mso-position-vertical-relative:page;z-index:-78664" type="#_x0000_t202" filled="false" stroked="false">
          <v:textbox inset="0,0,0,0">
            <w:txbxContent>
              <w:p>
                <w:pPr>
                  <w:spacing w:line="162" w:lineRule="exact" w:before="0"/>
                  <w:ind w:left="0" w:right="22" w:firstLine="0"/>
                  <w:jc w:val="right"/>
                  <w:rPr>
                    <w:rFonts w:ascii="Calibri"/>
                    <w:sz w:val="14"/>
                  </w:rPr>
                </w:pPr>
                <w:r>
                  <w:rPr>
                    <w:rFonts w:ascii="Calibri"/>
                    <w:sz w:val="14"/>
                  </w:rPr>
                  <w:t>EVENTOS ADVERSOS RELACIONADOS A TERAPIA DE INFUSION INTRAVENOSA EN LA PACIENTE OBSTETRICA EN UN HOSPITAL DE TERCER NIVEL DE</w:t>
                </w:r>
              </w:p>
              <w:p>
                <w:pPr>
                  <w:spacing w:line="171" w:lineRule="exact" w:before="0"/>
                  <w:ind w:left="0" w:right="18" w:firstLine="0"/>
                  <w:jc w:val="right"/>
                  <w:rPr>
                    <w:rFonts w:ascii="Calibri"/>
                    <w:sz w:val="14"/>
                  </w:rPr>
                </w:pPr>
                <w:r>
                  <w:rPr>
                    <w:rFonts w:ascii="Calibri"/>
                    <w:w w:val="95"/>
                    <w:sz w:val="14"/>
                  </w:rPr>
                  <w:t>TOLUCA</w:t>
                </w:r>
              </w:p>
            </w:txbxContent>
          </v:textbox>
          <w10:wrap type="none"/>
        </v:shape>
      </w:pict>
    </w:r>
    <w:r>
      <w:rPr/>
      <w:pict>
        <v:shape style="position:absolute;margin-left:527.679993pt;margin-top:737.695984pt;width:15.3pt;height:13.05pt;mso-position-horizontal-relative:page;mso-position-vertical-relative:page;z-index:-78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1.989990pt;margin-top:35.93pt;width:220.2pt;height:31.05pt;mso-position-horizontal-relative:page;mso-position-vertical-relative:page;z-index:-79288" type="#_x0000_t202" filled="false" stroked="false">
          <v:textbox inset="0,0,0,0">
            <w:txbxContent>
              <w:p>
                <w:pPr>
                  <w:spacing w:line="183" w:lineRule="exact" w:before="0"/>
                  <w:ind w:left="2015" w:right="-1" w:hanging="555"/>
                  <w:jc w:val="left"/>
                  <w:rPr>
                    <w:rFonts w:ascii="Calibri" w:hAnsi="Calibri"/>
                    <w:sz w:val="16"/>
                  </w:rPr>
                </w:pPr>
                <w:r>
                  <w:rPr>
                    <w:rFonts w:ascii="Calibri" w:hAnsi="Calibri"/>
                    <w:sz w:val="16"/>
                  </w:rPr>
                  <w:t>Universidad Autónoma del Estado de México</w:t>
                </w:r>
              </w:p>
              <w:p>
                <w:pPr>
                  <w:spacing w:line="195" w:lineRule="exact" w:before="0"/>
                  <w:ind w:left="2015" w:right="-1" w:firstLine="0"/>
                  <w:jc w:val="left"/>
                  <w:rPr>
                    <w:rFonts w:ascii="Calibri" w:hAnsi="Calibri"/>
                    <w:sz w:val="16"/>
                  </w:rPr>
                </w:pPr>
                <w:r>
                  <w:rPr>
                    <w:rFonts w:ascii="Calibri" w:hAnsi="Calibri"/>
                    <w:sz w:val="16"/>
                  </w:rPr>
                  <w:t>Facultad de Enfermería y Obstetricia</w:t>
                </w:r>
              </w:p>
              <w:p>
                <w:pPr>
                  <w:spacing w:before="30"/>
                  <w:ind w:left="20" w:right="-1" w:firstLine="0"/>
                  <w:jc w:val="left"/>
                  <w:rPr>
                    <w:rFonts w:ascii="Calibri" w:hAnsi="Calibri"/>
                    <w:b/>
                    <w:sz w:val="16"/>
                  </w:rPr>
                </w:pPr>
                <w:r>
                  <w:rPr>
                    <w:rFonts w:ascii="Calibri" w:hAnsi="Calibri"/>
                    <w:b/>
                    <w:sz w:val="16"/>
                  </w:rPr>
                  <w:t>Maestría en Enfermería con Opción Terminal en Terapia Intensiva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3.98999pt;margin-top:35.93pt;width:148.1pt;height:19.8pt;mso-position-horizontal-relative:page;mso-position-vertical-relative:page;z-index:-78328" type="#_x0000_t202" filled="false" stroked="false">
          <v:textbox inset="0,0,0,0">
            <w:txbxContent>
              <w:p>
                <w:pPr>
                  <w:spacing w:line="183" w:lineRule="exact" w:before="0"/>
                  <w:ind w:left="575" w:right="-3" w:hanging="555"/>
                  <w:jc w:val="left"/>
                  <w:rPr>
                    <w:rFonts w:ascii="Calibri" w:hAnsi="Calibri"/>
                    <w:sz w:val="16"/>
                  </w:rPr>
                </w:pPr>
                <w:r>
                  <w:rPr>
                    <w:rFonts w:ascii="Calibri" w:hAnsi="Calibri"/>
                    <w:sz w:val="16"/>
                  </w:rPr>
                  <w:t>Universidad Autónoma del Estado de México</w:t>
                </w:r>
              </w:p>
              <w:p>
                <w:pPr>
                  <w:spacing w:line="195" w:lineRule="exact" w:before="0"/>
                  <w:ind w:left="575" w:right="-3" w:firstLine="0"/>
                  <w:jc w:val="left"/>
                  <w:rPr>
                    <w:rFonts w:ascii="Calibri" w:hAnsi="Calibri"/>
                    <w:sz w:val="16"/>
                  </w:rPr>
                </w:pPr>
                <w:r>
                  <w:rPr>
                    <w:rFonts w:ascii="Calibri" w:hAnsi="Calibri"/>
                    <w:sz w:val="16"/>
                  </w:rPr>
                  <w:t>Facultad de Enfermería y Obstetricia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1.989990pt;margin-top:35.93pt;width:220.2pt;height:31.05pt;mso-position-horizontal-relative:page;mso-position-vertical-relative:page;z-index:-78304" type="#_x0000_t202" filled="false" stroked="false">
          <v:textbox inset="0,0,0,0">
            <w:txbxContent>
              <w:p>
                <w:pPr>
                  <w:spacing w:line="183" w:lineRule="exact" w:before="0"/>
                  <w:ind w:left="2015" w:right="-1" w:hanging="555"/>
                  <w:jc w:val="left"/>
                  <w:rPr>
                    <w:rFonts w:ascii="Calibri" w:hAnsi="Calibri"/>
                    <w:sz w:val="16"/>
                  </w:rPr>
                </w:pPr>
                <w:r>
                  <w:rPr>
                    <w:rFonts w:ascii="Calibri" w:hAnsi="Calibri"/>
                    <w:sz w:val="16"/>
                  </w:rPr>
                  <w:t>Universidad Autónoma del Estado de México</w:t>
                </w:r>
              </w:p>
              <w:p>
                <w:pPr>
                  <w:spacing w:line="195" w:lineRule="exact" w:before="0"/>
                  <w:ind w:left="2015" w:right="-1" w:firstLine="0"/>
                  <w:jc w:val="left"/>
                  <w:rPr>
                    <w:rFonts w:ascii="Calibri" w:hAnsi="Calibri"/>
                    <w:sz w:val="16"/>
                  </w:rPr>
                </w:pPr>
                <w:r>
                  <w:rPr>
                    <w:rFonts w:ascii="Calibri" w:hAnsi="Calibri"/>
                    <w:sz w:val="16"/>
                  </w:rPr>
                  <w:t>Facultad de Enfermería y Obstetricia</w:t>
                </w:r>
              </w:p>
              <w:p>
                <w:pPr>
                  <w:spacing w:before="30"/>
                  <w:ind w:left="20" w:right="-1" w:firstLine="0"/>
                  <w:jc w:val="left"/>
                  <w:rPr>
                    <w:rFonts w:ascii="Calibri" w:hAnsi="Calibri"/>
                    <w:b/>
                    <w:sz w:val="16"/>
                  </w:rPr>
                </w:pPr>
                <w:r>
                  <w:rPr>
                    <w:rFonts w:ascii="Calibri" w:hAnsi="Calibri"/>
                    <w:b/>
                    <w:sz w:val="16"/>
                  </w:rPr>
                  <w:t>Maestría en Enfermería con Opción Terminal en Terapia Intensiva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21" w:hanging="269"/>
        <w:jc w:val="left"/>
      </w:pPr>
      <w:rPr>
        <w:rFonts w:hint="default" w:ascii="Arial" w:hAnsi="Arial" w:eastAsia="Arial" w:cs="Arial"/>
        <w:b/>
        <w:bCs/>
        <w:w w:val="99"/>
        <w:sz w:val="24"/>
        <w:szCs w:val="24"/>
      </w:rPr>
    </w:lvl>
    <w:lvl w:ilvl="1">
      <w:start w:val="1"/>
      <w:numFmt w:val="bullet"/>
      <w:lvlText w:val="•"/>
      <w:lvlJc w:val="left"/>
      <w:pPr>
        <w:ind w:left="1672" w:hanging="269"/>
      </w:pPr>
      <w:rPr>
        <w:rFonts w:hint="default"/>
      </w:rPr>
    </w:lvl>
    <w:lvl w:ilvl="2">
      <w:start w:val="1"/>
      <w:numFmt w:val="bullet"/>
      <w:lvlText w:val="•"/>
      <w:lvlJc w:val="left"/>
      <w:pPr>
        <w:ind w:left="2524" w:hanging="269"/>
      </w:pPr>
      <w:rPr>
        <w:rFonts w:hint="default"/>
      </w:rPr>
    </w:lvl>
    <w:lvl w:ilvl="3">
      <w:start w:val="1"/>
      <w:numFmt w:val="bullet"/>
      <w:lvlText w:val="•"/>
      <w:lvlJc w:val="left"/>
      <w:pPr>
        <w:ind w:left="3376" w:hanging="269"/>
      </w:pPr>
      <w:rPr>
        <w:rFonts w:hint="default"/>
      </w:rPr>
    </w:lvl>
    <w:lvl w:ilvl="4">
      <w:start w:val="1"/>
      <w:numFmt w:val="bullet"/>
      <w:lvlText w:val="•"/>
      <w:lvlJc w:val="left"/>
      <w:pPr>
        <w:ind w:left="4228" w:hanging="269"/>
      </w:pPr>
      <w:rPr>
        <w:rFonts w:hint="default"/>
      </w:rPr>
    </w:lvl>
    <w:lvl w:ilvl="5">
      <w:start w:val="1"/>
      <w:numFmt w:val="bullet"/>
      <w:lvlText w:val="•"/>
      <w:lvlJc w:val="left"/>
      <w:pPr>
        <w:ind w:left="5080" w:hanging="269"/>
      </w:pPr>
      <w:rPr>
        <w:rFonts w:hint="default"/>
      </w:rPr>
    </w:lvl>
    <w:lvl w:ilvl="6">
      <w:start w:val="1"/>
      <w:numFmt w:val="bullet"/>
      <w:lvlText w:val="•"/>
      <w:lvlJc w:val="left"/>
      <w:pPr>
        <w:ind w:left="5932" w:hanging="269"/>
      </w:pPr>
      <w:rPr>
        <w:rFonts w:hint="default"/>
      </w:rPr>
    </w:lvl>
    <w:lvl w:ilvl="7">
      <w:start w:val="1"/>
      <w:numFmt w:val="bullet"/>
      <w:lvlText w:val="•"/>
      <w:lvlJc w:val="left"/>
      <w:pPr>
        <w:ind w:left="6784" w:hanging="269"/>
      </w:pPr>
      <w:rPr>
        <w:rFonts w:hint="default"/>
      </w:rPr>
    </w:lvl>
    <w:lvl w:ilvl="8">
      <w:start w:val="1"/>
      <w:numFmt w:val="bullet"/>
      <w:lvlText w:val="•"/>
      <w:lvlJc w:val="left"/>
      <w:pPr>
        <w:ind w:left="7636" w:hanging="269"/>
      </w:pPr>
      <w:rPr>
        <w:rFonts w:hint="default"/>
      </w:rPr>
    </w:lvl>
  </w:abstractNum>
  <w:abstractNum w:abstractNumId="23">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22">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21">
    <w:multiLevelType w:val="hybridMultilevel"/>
    <w:lvl w:ilvl="0">
      <w:start w:val="1"/>
      <w:numFmt w:val="bullet"/>
      <w:lvlText w:val="•"/>
      <w:lvlJc w:val="left"/>
      <w:pPr>
        <w:ind w:left="208" w:hanging="106"/>
      </w:pPr>
      <w:rPr>
        <w:rFonts w:hint="default" w:ascii="Times New Roman" w:hAnsi="Times New Roman" w:eastAsia="Times New Roman" w:cs="Times New Roman"/>
        <w:w w:val="99"/>
        <w:sz w:val="18"/>
        <w:szCs w:val="18"/>
      </w:rPr>
    </w:lvl>
    <w:lvl w:ilvl="1">
      <w:start w:val="1"/>
      <w:numFmt w:val="bullet"/>
      <w:lvlText w:val="•"/>
      <w:lvlJc w:val="left"/>
      <w:pPr>
        <w:ind w:left="613" w:hanging="106"/>
      </w:pPr>
      <w:rPr>
        <w:rFonts w:hint="default"/>
      </w:rPr>
    </w:lvl>
    <w:lvl w:ilvl="2">
      <w:start w:val="1"/>
      <w:numFmt w:val="bullet"/>
      <w:lvlText w:val="•"/>
      <w:lvlJc w:val="left"/>
      <w:pPr>
        <w:ind w:left="1027" w:hanging="106"/>
      </w:pPr>
      <w:rPr>
        <w:rFonts w:hint="default"/>
      </w:rPr>
    </w:lvl>
    <w:lvl w:ilvl="3">
      <w:start w:val="1"/>
      <w:numFmt w:val="bullet"/>
      <w:lvlText w:val="•"/>
      <w:lvlJc w:val="left"/>
      <w:pPr>
        <w:ind w:left="1441" w:hanging="106"/>
      </w:pPr>
      <w:rPr>
        <w:rFonts w:hint="default"/>
      </w:rPr>
    </w:lvl>
    <w:lvl w:ilvl="4">
      <w:start w:val="1"/>
      <w:numFmt w:val="bullet"/>
      <w:lvlText w:val="•"/>
      <w:lvlJc w:val="left"/>
      <w:pPr>
        <w:ind w:left="1855" w:hanging="106"/>
      </w:pPr>
      <w:rPr>
        <w:rFonts w:hint="default"/>
      </w:rPr>
    </w:lvl>
    <w:lvl w:ilvl="5">
      <w:start w:val="1"/>
      <w:numFmt w:val="bullet"/>
      <w:lvlText w:val="•"/>
      <w:lvlJc w:val="left"/>
      <w:pPr>
        <w:ind w:left="2268" w:hanging="106"/>
      </w:pPr>
      <w:rPr>
        <w:rFonts w:hint="default"/>
      </w:rPr>
    </w:lvl>
    <w:lvl w:ilvl="6">
      <w:start w:val="1"/>
      <w:numFmt w:val="bullet"/>
      <w:lvlText w:val="•"/>
      <w:lvlJc w:val="left"/>
      <w:pPr>
        <w:ind w:left="2682" w:hanging="106"/>
      </w:pPr>
      <w:rPr>
        <w:rFonts w:hint="default"/>
      </w:rPr>
    </w:lvl>
    <w:lvl w:ilvl="7">
      <w:start w:val="1"/>
      <w:numFmt w:val="bullet"/>
      <w:lvlText w:val="•"/>
      <w:lvlJc w:val="left"/>
      <w:pPr>
        <w:ind w:left="3096" w:hanging="106"/>
      </w:pPr>
      <w:rPr>
        <w:rFonts w:hint="default"/>
      </w:rPr>
    </w:lvl>
    <w:lvl w:ilvl="8">
      <w:start w:val="1"/>
      <w:numFmt w:val="bullet"/>
      <w:lvlText w:val="•"/>
      <w:lvlJc w:val="left"/>
      <w:pPr>
        <w:ind w:left="3510" w:hanging="106"/>
      </w:pPr>
      <w:rPr>
        <w:rFonts w:hint="default"/>
      </w:rPr>
    </w:lvl>
  </w:abstractNum>
  <w:abstractNum w:abstractNumId="20">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19">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523" w:hanging="106"/>
      </w:pPr>
      <w:rPr>
        <w:rFonts w:hint="default"/>
      </w:rPr>
    </w:lvl>
    <w:lvl w:ilvl="2">
      <w:start w:val="1"/>
      <w:numFmt w:val="bullet"/>
      <w:lvlText w:val="•"/>
      <w:lvlJc w:val="left"/>
      <w:pPr>
        <w:ind w:left="947" w:hanging="106"/>
      </w:pPr>
      <w:rPr>
        <w:rFonts w:hint="default"/>
      </w:rPr>
    </w:lvl>
    <w:lvl w:ilvl="3">
      <w:start w:val="1"/>
      <w:numFmt w:val="bullet"/>
      <w:lvlText w:val="•"/>
      <w:lvlJc w:val="left"/>
      <w:pPr>
        <w:ind w:left="1371" w:hanging="106"/>
      </w:pPr>
      <w:rPr>
        <w:rFonts w:hint="default"/>
      </w:rPr>
    </w:lvl>
    <w:lvl w:ilvl="4">
      <w:start w:val="1"/>
      <w:numFmt w:val="bullet"/>
      <w:lvlText w:val="•"/>
      <w:lvlJc w:val="left"/>
      <w:pPr>
        <w:ind w:left="1795" w:hanging="106"/>
      </w:pPr>
      <w:rPr>
        <w:rFonts w:hint="default"/>
      </w:rPr>
    </w:lvl>
    <w:lvl w:ilvl="5">
      <w:start w:val="1"/>
      <w:numFmt w:val="bullet"/>
      <w:lvlText w:val="•"/>
      <w:lvlJc w:val="left"/>
      <w:pPr>
        <w:ind w:left="2218" w:hanging="106"/>
      </w:pPr>
      <w:rPr>
        <w:rFonts w:hint="default"/>
      </w:rPr>
    </w:lvl>
    <w:lvl w:ilvl="6">
      <w:start w:val="1"/>
      <w:numFmt w:val="bullet"/>
      <w:lvlText w:val="•"/>
      <w:lvlJc w:val="left"/>
      <w:pPr>
        <w:ind w:left="2642" w:hanging="106"/>
      </w:pPr>
      <w:rPr>
        <w:rFonts w:hint="default"/>
      </w:rPr>
    </w:lvl>
    <w:lvl w:ilvl="7">
      <w:start w:val="1"/>
      <w:numFmt w:val="bullet"/>
      <w:lvlText w:val="•"/>
      <w:lvlJc w:val="left"/>
      <w:pPr>
        <w:ind w:left="3066" w:hanging="106"/>
      </w:pPr>
      <w:rPr>
        <w:rFonts w:hint="default"/>
      </w:rPr>
    </w:lvl>
    <w:lvl w:ilvl="8">
      <w:start w:val="1"/>
      <w:numFmt w:val="bullet"/>
      <w:lvlText w:val="•"/>
      <w:lvlJc w:val="left"/>
      <w:pPr>
        <w:ind w:left="3490" w:hanging="106"/>
      </w:pPr>
      <w:rPr>
        <w:rFonts w:hint="default"/>
      </w:rPr>
    </w:lvl>
  </w:abstractNum>
  <w:abstractNum w:abstractNumId="18">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17">
    <w:multiLevelType w:val="hybridMultilevel"/>
    <w:lvl w:ilvl="0">
      <w:start w:val="1"/>
      <w:numFmt w:val="bullet"/>
      <w:lvlText w:val="•"/>
      <w:lvlJc w:val="left"/>
      <w:pPr>
        <w:ind w:left="103" w:hanging="111"/>
      </w:pPr>
      <w:rPr>
        <w:rFonts w:hint="default" w:ascii="Times New Roman" w:hAnsi="Times New Roman" w:eastAsia="Times New Roman" w:cs="Times New Roman"/>
        <w:w w:val="99"/>
        <w:sz w:val="18"/>
        <w:szCs w:val="18"/>
      </w:rPr>
    </w:lvl>
    <w:lvl w:ilvl="1">
      <w:start w:val="1"/>
      <w:numFmt w:val="bullet"/>
      <w:lvlText w:val="•"/>
      <w:lvlJc w:val="left"/>
      <w:pPr>
        <w:ind w:left="523" w:hanging="111"/>
      </w:pPr>
      <w:rPr>
        <w:rFonts w:hint="default"/>
      </w:rPr>
    </w:lvl>
    <w:lvl w:ilvl="2">
      <w:start w:val="1"/>
      <w:numFmt w:val="bullet"/>
      <w:lvlText w:val="•"/>
      <w:lvlJc w:val="left"/>
      <w:pPr>
        <w:ind w:left="947" w:hanging="111"/>
      </w:pPr>
      <w:rPr>
        <w:rFonts w:hint="default"/>
      </w:rPr>
    </w:lvl>
    <w:lvl w:ilvl="3">
      <w:start w:val="1"/>
      <w:numFmt w:val="bullet"/>
      <w:lvlText w:val="•"/>
      <w:lvlJc w:val="left"/>
      <w:pPr>
        <w:ind w:left="1371" w:hanging="111"/>
      </w:pPr>
      <w:rPr>
        <w:rFonts w:hint="default"/>
      </w:rPr>
    </w:lvl>
    <w:lvl w:ilvl="4">
      <w:start w:val="1"/>
      <w:numFmt w:val="bullet"/>
      <w:lvlText w:val="•"/>
      <w:lvlJc w:val="left"/>
      <w:pPr>
        <w:ind w:left="1795" w:hanging="111"/>
      </w:pPr>
      <w:rPr>
        <w:rFonts w:hint="default"/>
      </w:rPr>
    </w:lvl>
    <w:lvl w:ilvl="5">
      <w:start w:val="1"/>
      <w:numFmt w:val="bullet"/>
      <w:lvlText w:val="•"/>
      <w:lvlJc w:val="left"/>
      <w:pPr>
        <w:ind w:left="2218" w:hanging="111"/>
      </w:pPr>
      <w:rPr>
        <w:rFonts w:hint="default"/>
      </w:rPr>
    </w:lvl>
    <w:lvl w:ilvl="6">
      <w:start w:val="1"/>
      <w:numFmt w:val="bullet"/>
      <w:lvlText w:val="•"/>
      <w:lvlJc w:val="left"/>
      <w:pPr>
        <w:ind w:left="2642" w:hanging="111"/>
      </w:pPr>
      <w:rPr>
        <w:rFonts w:hint="default"/>
      </w:rPr>
    </w:lvl>
    <w:lvl w:ilvl="7">
      <w:start w:val="1"/>
      <w:numFmt w:val="bullet"/>
      <w:lvlText w:val="•"/>
      <w:lvlJc w:val="left"/>
      <w:pPr>
        <w:ind w:left="3066" w:hanging="111"/>
      </w:pPr>
      <w:rPr>
        <w:rFonts w:hint="default"/>
      </w:rPr>
    </w:lvl>
    <w:lvl w:ilvl="8">
      <w:start w:val="1"/>
      <w:numFmt w:val="bullet"/>
      <w:lvlText w:val="•"/>
      <w:lvlJc w:val="left"/>
      <w:pPr>
        <w:ind w:left="3490" w:hanging="111"/>
      </w:pPr>
      <w:rPr>
        <w:rFonts w:hint="default"/>
      </w:rPr>
    </w:lvl>
  </w:abstractNum>
  <w:abstractNum w:abstractNumId="16">
    <w:multiLevelType w:val="hybridMultilevel"/>
    <w:lvl w:ilvl="0">
      <w:start w:val="1"/>
      <w:numFmt w:val="bullet"/>
      <w:lvlText w:val="•"/>
      <w:lvlJc w:val="left"/>
      <w:pPr>
        <w:ind w:left="103" w:hanging="108"/>
      </w:pPr>
      <w:rPr>
        <w:rFonts w:hint="default" w:ascii="Times New Roman" w:hAnsi="Times New Roman" w:eastAsia="Times New Roman" w:cs="Times New Roman"/>
        <w:w w:val="99"/>
        <w:sz w:val="18"/>
        <w:szCs w:val="18"/>
      </w:rPr>
    </w:lvl>
    <w:lvl w:ilvl="1">
      <w:start w:val="1"/>
      <w:numFmt w:val="bullet"/>
      <w:lvlText w:val="•"/>
      <w:lvlJc w:val="left"/>
      <w:pPr>
        <w:ind w:left="343" w:hanging="108"/>
      </w:pPr>
      <w:rPr>
        <w:rFonts w:hint="default"/>
      </w:rPr>
    </w:lvl>
    <w:lvl w:ilvl="2">
      <w:start w:val="1"/>
      <w:numFmt w:val="bullet"/>
      <w:lvlText w:val="•"/>
      <w:lvlJc w:val="left"/>
      <w:pPr>
        <w:ind w:left="587" w:hanging="108"/>
      </w:pPr>
      <w:rPr>
        <w:rFonts w:hint="default"/>
      </w:rPr>
    </w:lvl>
    <w:lvl w:ilvl="3">
      <w:start w:val="1"/>
      <w:numFmt w:val="bullet"/>
      <w:lvlText w:val="•"/>
      <w:lvlJc w:val="left"/>
      <w:pPr>
        <w:ind w:left="831" w:hanging="108"/>
      </w:pPr>
      <w:rPr>
        <w:rFonts w:hint="default"/>
      </w:rPr>
    </w:lvl>
    <w:lvl w:ilvl="4">
      <w:start w:val="1"/>
      <w:numFmt w:val="bullet"/>
      <w:lvlText w:val="•"/>
      <w:lvlJc w:val="left"/>
      <w:pPr>
        <w:ind w:left="1075" w:hanging="108"/>
      </w:pPr>
      <w:rPr>
        <w:rFonts w:hint="default"/>
      </w:rPr>
    </w:lvl>
    <w:lvl w:ilvl="5">
      <w:start w:val="1"/>
      <w:numFmt w:val="bullet"/>
      <w:lvlText w:val="•"/>
      <w:lvlJc w:val="left"/>
      <w:pPr>
        <w:ind w:left="1319" w:hanging="108"/>
      </w:pPr>
      <w:rPr>
        <w:rFonts w:hint="default"/>
      </w:rPr>
    </w:lvl>
    <w:lvl w:ilvl="6">
      <w:start w:val="1"/>
      <w:numFmt w:val="bullet"/>
      <w:lvlText w:val="•"/>
      <w:lvlJc w:val="left"/>
      <w:pPr>
        <w:ind w:left="1563" w:hanging="108"/>
      </w:pPr>
      <w:rPr>
        <w:rFonts w:hint="default"/>
      </w:rPr>
    </w:lvl>
    <w:lvl w:ilvl="7">
      <w:start w:val="1"/>
      <w:numFmt w:val="bullet"/>
      <w:lvlText w:val="•"/>
      <w:lvlJc w:val="left"/>
      <w:pPr>
        <w:ind w:left="1807" w:hanging="108"/>
      </w:pPr>
      <w:rPr>
        <w:rFonts w:hint="default"/>
      </w:rPr>
    </w:lvl>
    <w:lvl w:ilvl="8">
      <w:start w:val="1"/>
      <w:numFmt w:val="bullet"/>
      <w:lvlText w:val="•"/>
      <w:lvlJc w:val="left"/>
      <w:pPr>
        <w:ind w:left="2051" w:hanging="108"/>
      </w:pPr>
      <w:rPr>
        <w:rFonts w:hint="default"/>
      </w:rPr>
    </w:lvl>
  </w:abstractNum>
  <w:abstractNum w:abstractNumId="15">
    <w:multiLevelType w:val="hybridMultilevel"/>
    <w:lvl w:ilvl="0">
      <w:start w:val="1"/>
      <w:numFmt w:val="bullet"/>
      <w:lvlText w:val="•"/>
      <w:lvlJc w:val="left"/>
      <w:pPr>
        <w:ind w:left="103" w:hanging="108"/>
      </w:pPr>
      <w:rPr>
        <w:rFonts w:hint="default" w:ascii="Times New Roman" w:hAnsi="Times New Roman" w:eastAsia="Times New Roman" w:cs="Times New Roman"/>
        <w:w w:val="99"/>
        <w:sz w:val="18"/>
        <w:szCs w:val="18"/>
      </w:rPr>
    </w:lvl>
    <w:lvl w:ilvl="1">
      <w:start w:val="1"/>
      <w:numFmt w:val="bullet"/>
      <w:lvlText w:val="•"/>
      <w:lvlJc w:val="left"/>
      <w:pPr>
        <w:ind w:left="343" w:hanging="108"/>
      </w:pPr>
      <w:rPr>
        <w:rFonts w:hint="default"/>
      </w:rPr>
    </w:lvl>
    <w:lvl w:ilvl="2">
      <w:start w:val="1"/>
      <w:numFmt w:val="bullet"/>
      <w:lvlText w:val="•"/>
      <w:lvlJc w:val="left"/>
      <w:pPr>
        <w:ind w:left="587" w:hanging="108"/>
      </w:pPr>
      <w:rPr>
        <w:rFonts w:hint="default"/>
      </w:rPr>
    </w:lvl>
    <w:lvl w:ilvl="3">
      <w:start w:val="1"/>
      <w:numFmt w:val="bullet"/>
      <w:lvlText w:val="•"/>
      <w:lvlJc w:val="left"/>
      <w:pPr>
        <w:ind w:left="831" w:hanging="108"/>
      </w:pPr>
      <w:rPr>
        <w:rFonts w:hint="default"/>
      </w:rPr>
    </w:lvl>
    <w:lvl w:ilvl="4">
      <w:start w:val="1"/>
      <w:numFmt w:val="bullet"/>
      <w:lvlText w:val="•"/>
      <w:lvlJc w:val="left"/>
      <w:pPr>
        <w:ind w:left="1075" w:hanging="108"/>
      </w:pPr>
      <w:rPr>
        <w:rFonts w:hint="default"/>
      </w:rPr>
    </w:lvl>
    <w:lvl w:ilvl="5">
      <w:start w:val="1"/>
      <w:numFmt w:val="bullet"/>
      <w:lvlText w:val="•"/>
      <w:lvlJc w:val="left"/>
      <w:pPr>
        <w:ind w:left="1319" w:hanging="108"/>
      </w:pPr>
      <w:rPr>
        <w:rFonts w:hint="default"/>
      </w:rPr>
    </w:lvl>
    <w:lvl w:ilvl="6">
      <w:start w:val="1"/>
      <w:numFmt w:val="bullet"/>
      <w:lvlText w:val="•"/>
      <w:lvlJc w:val="left"/>
      <w:pPr>
        <w:ind w:left="1563" w:hanging="108"/>
      </w:pPr>
      <w:rPr>
        <w:rFonts w:hint="default"/>
      </w:rPr>
    </w:lvl>
    <w:lvl w:ilvl="7">
      <w:start w:val="1"/>
      <w:numFmt w:val="bullet"/>
      <w:lvlText w:val="•"/>
      <w:lvlJc w:val="left"/>
      <w:pPr>
        <w:ind w:left="1807" w:hanging="108"/>
      </w:pPr>
      <w:rPr>
        <w:rFonts w:hint="default"/>
      </w:rPr>
    </w:lvl>
    <w:lvl w:ilvl="8">
      <w:start w:val="1"/>
      <w:numFmt w:val="bullet"/>
      <w:lvlText w:val="•"/>
      <w:lvlJc w:val="left"/>
      <w:pPr>
        <w:ind w:left="2051" w:hanging="108"/>
      </w:pPr>
      <w:rPr>
        <w:rFonts w:hint="default"/>
      </w:rPr>
    </w:lvl>
  </w:abstractNum>
  <w:abstractNum w:abstractNumId="14">
    <w:multiLevelType w:val="hybridMultilevel"/>
    <w:lvl w:ilvl="0">
      <w:start w:val="1"/>
      <w:numFmt w:val="bullet"/>
      <w:lvlText w:val="•"/>
      <w:lvlJc w:val="left"/>
      <w:pPr>
        <w:ind w:left="103" w:hanging="108"/>
      </w:pPr>
      <w:rPr>
        <w:rFonts w:hint="default" w:ascii="Times New Roman" w:hAnsi="Times New Roman" w:eastAsia="Times New Roman" w:cs="Times New Roman"/>
        <w:w w:val="99"/>
        <w:sz w:val="18"/>
        <w:szCs w:val="18"/>
      </w:rPr>
    </w:lvl>
    <w:lvl w:ilvl="1">
      <w:start w:val="1"/>
      <w:numFmt w:val="bullet"/>
      <w:lvlText w:val="•"/>
      <w:lvlJc w:val="left"/>
      <w:pPr>
        <w:ind w:left="523" w:hanging="108"/>
      </w:pPr>
      <w:rPr>
        <w:rFonts w:hint="default"/>
      </w:rPr>
    </w:lvl>
    <w:lvl w:ilvl="2">
      <w:start w:val="1"/>
      <w:numFmt w:val="bullet"/>
      <w:lvlText w:val="•"/>
      <w:lvlJc w:val="left"/>
      <w:pPr>
        <w:ind w:left="947" w:hanging="108"/>
      </w:pPr>
      <w:rPr>
        <w:rFonts w:hint="default"/>
      </w:rPr>
    </w:lvl>
    <w:lvl w:ilvl="3">
      <w:start w:val="1"/>
      <w:numFmt w:val="bullet"/>
      <w:lvlText w:val="•"/>
      <w:lvlJc w:val="left"/>
      <w:pPr>
        <w:ind w:left="1371" w:hanging="108"/>
      </w:pPr>
      <w:rPr>
        <w:rFonts w:hint="default"/>
      </w:rPr>
    </w:lvl>
    <w:lvl w:ilvl="4">
      <w:start w:val="1"/>
      <w:numFmt w:val="bullet"/>
      <w:lvlText w:val="•"/>
      <w:lvlJc w:val="left"/>
      <w:pPr>
        <w:ind w:left="1795" w:hanging="108"/>
      </w:pPr>
      <w:rPr>
        <w:rFonts w:hint="default"/>
      </w:rPr>
    </w:lvl>
    <w:lvl w:ilvl="5">
      <w:start w:val="1"/>
      <w:numFmt w:val="bullet"/>
      <w:lvlText w:val="•"/>
      <w:lvlJc w:val="left"/>
      <w:pPr>
        <w:ind w:left="2218" w:hanging="108"/>
      </w:pPr>
      <w:rPr>
        <w:rFonts w:hint="default"/>
      </w:rPr>
    </w:lvl>
    <w:lvl w:ilvl="6">
      <w:start w:val="1"/>
      <w:numFmt w:val="bullet"/>
      <w:lvlText w:val="•"/>
      <w:lvlJc w:val="left"/>
      <w:pPr>
        <w:ind w:left="2642" w:hanging="108"/>
      </w:pPr>
      <w:rPr>
        <w:rFonts w:hint="default"/>
      </w:rPr>
    </w:lvl>
    <w:lvl w:ilvl="7">
      <w:start w:val="1"/>
      <w:numFmt w:val="bullet"/>
      <w:lvlText w:val="•"/>
      <w:lvlJc w:val="left"/>
      <w:pPr>
        <w:ind w:left="3066" w:hanging="108"/>
      </w:pPr>
      <w:rPr>
        <w:rFonts w:hint="default"/>
      </w:rPr>
    </w:lvl>
    <w:lvl w:ilvl="8">
      <w:start w:val="1"/>
      <w:numFmt w:val="bullet"/>
      <w:lvlText w:val="•"/>
      <w:lvlJc w:val="left"/>
      <w:pPr>
        <w:ind w:left="3490" w:hanging="108"/>
      </w:pPr>
      <w:rPr>
        <w:rFonts w:hint="default"/>
      </w:rPr>
    </w:lvl>
  </w:abstractNum>
  <w:abstractNum w:abstractNumId="13">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12">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523" w:hanging="106"/>
      </w:pPr>
      <w:rPr>
        <w:rFonts w:hint="default"/>
      </w:rPr>
    </w:lvl>
    <w:lvl w:ilvl="2">
      <w:start w:val="1"/>
      <w:numFmt w:val="bullet"/>
      <w:lvlText w:val="•"/>
      <w:lvlJc w:val="left"/>
      <w:pPr>
        <w:ind w:left="947" w:hanging="106"/>
      </w:pPr>
      <w:rPr>
        <w:rFonts w:hint="default"/>
      </w:rPr>
    </w:lvl>
    <w:lvl w:ilvl="3">
      <w:start w:val="1"/>
      <w:numFmt w:val="bullet"/>
      <w:lvlText w:val="•"/>
      <w:lvlJc w:val="left"/>
      <w:pPr>
        <w:ind w:left="1371" w:hanging="106"/>
      </w:pPr>
      <w:rPr>
        <w:rFonts w:hint="default"/>
      </w:rPr>
    </w:lvl>
    <w:lvl w:ilvl="4">
      <w:start w:val="1"/>
      <w:numFmt w:val="bullet"/>
      <w:lvlText w:val="•"/>
      <w:lvlJc w:val="left"/>
      <w:pPr>
        <w:ind w:left="1795" w:hanging="106"/>
      </w:pPr>
      <w:rPr>
        <w:rFonts w:hint="default"/>
      </w:rPr>
    </w:lvl>
    <w:lvl w:ilvl="5">
      <w:start w:val="1"/>
      <w:numFmt w:val="bullet"/>
      <w:lvlText w:val="•"/>
      <w:lvlJc w:val="left"/>
      <w:pPr>
        <w:ind w:left="2218" w:hanging="106"/>
      </w:pPr>
      <w:rPr>
        <w:rFonts w:hint="default"/>
      </w:rPr>
    </w:lvl>
    <w:lvl w:ilvl="6">
      <w:start w:val="1"/>
      <w:numFmt w:val="bullet"/>
      <w:lvlText w:val="•"/>
      <w:lvlJc w:val="left"/>
      <w:pPr>
        <w:ind w:left="2642" w:hanging="106"/>
      </w:pPr>
      <w:rPr>
        <w:rFonts w:hint="default"/>
      </w:rPr>
    </w:lvl>
    <w:lvl w:ilvl="7">
      <w:start w:val="1"/>
      <w:numFmt w:val="bullet"/>
      <w:lvlText w:val="•"/>
      <w:lvlJc w:val="left"/>
      <w:pPr>
        <w:ind w:left="3066" w:hanging="106"/>
      </w:pPr>
      <w:rPr>
        <w:rFonts w:hint="default"/>
      </w:rPr>
    </w:lvl>
    <w:lvl w:ilvl="8">
      <w:start w:val="1"/>
      <w:numFmt w:val="bullet"/>
      <w:lvlText w:val="•"/>
      <w:lvlJc w:val="left"/>
      <w:pPr>
        <w:ind w:left="3490" w:hanging="106"/>
      </w:pPr>
      <w:rPr>
        <w:rFonts w:hint="default"/>
      </w:rPr>
    </w:lvl>
  </w:abstractNum>
  <w:abstractNum w:abstractNumId="11">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343" w:hanging="106"/>
      </w:pPr>
      <w:rPr>
        <w:rFonts w:hint="default"/>
      </w:rPr>
    </w:lvl>
    <w:lvl w:ilvl="2">
      <w:start w:val="1"/>
      <w:numFmt w:val="bullet"/>
      <w:lvlText w:val="•"/>
      <w:lvlJc w:val="left"/>
      <w:pPr>
        <w:ind w:left="587" w:hanging="106"/>
      </w:pPr>
      <w:rPr>
        <w:rFonts w:hint="default"/>
      </w:rPr>
    </w:lvl>
    <w:lvl w:ilvl="3">
      <w:start w:val="1"/>
      <w:numFmt w:val="bullet"/>
      <w:lvlText w:val="•"/>
      <w:lvlJc w:val="left"/>
      <w:pPr>
        <w:ind w:left="831" w:hanging="106"/>
      </w:pPr>
      <w:rPr>
        <w:rFonts w:hint="default"/>
      </w:rPr>
    </w:lvl>
    <w:lvl w:ilvl="4">
      <w:start w:val="1"/>
      <w:numFmt w:val="bullet"/>
      <w:lvlText w:val="•"/>
      <w:lvlJc w:val="left"/>
      <w:pPr>
        <w:ind w:left="1075" w:hanging="106"/>
      </w:pPr>
      <w:rPr>
        <w:rFonts w:hint="default"/>
      </w:rPr>
    </w:lvl>
    <w:lvl w:ilvl="5">
      <w:start w:val="1"/>
      <w:numFmt w:val="bullet"/>
      <w:lvlText w:val="•"/>
      <w:lvlJc w:val="left"/>
      <w:pPr>
        <w:ind w:left="1319" w:hanging="106"/>
      </w:pPr>
      <w:rPr>
        <w:rFonts w:hint="default"/>
      </w:rPr>
    </w:lvl>
    <w:lvl w:ilvl="6">
      <w:start w:val="1"/>
      <w:numFmt w:val="bullet"/>
      <w:lvlText w:val="•"/>
      <w:lvlJc w:val="left"/>
      <w:pPr>
        <w:ind w:left="1563" w:hanging="106"/>
      </w:pPr>
      <w:rPr>
        <w:rFonts w:hint="default"/>
      </w:rPr>
    </w:lvl>
    <w:lvl w:ilvl="7">
      <w:start w:val="1"/>
      <w:numFmt w:val="bullet"/>
      <w:lvlText w:val="•"/>
      <w:lvlJc w:val="left"/>
      <w:pPr>
        <w:ind w:left="1807" w:hanging="106"/>
      </w:pPr>
      <w:rPr>
        <w:rFonts w:hint="default"/>
      </w:rPr>
    </w:lvl>
    <w:lvl w:ilvl="8">
      <w:start w:val="1"/>
      <w:numFmt w:val="bullet"/>
      <w:lvlText w:val="•"/>
      <w:lvlJc w:val="left"/>
      <w:pPr>
        <w:ind w:left="2051" w:hanging="106"/>
      </w:pPr>
      <w:rPr>
        <w:rFonts w:hint="default"/>
      </w:rPr>
    </w:lvl>
  </w:abstractNum>
  <w:abstractNum w:abstractNumId="10">
    <w:multiLevelType w:val="hybridMultilevel"/>
    <w:lvl w:ilvl="0">
      <w:start w:val="1"/>
      <w:numFmt w:val="bullet"/>
      <w:lvlText w:val="•"/>
      <w:lvlJc w:val="left"/>
      <w:pPr>
        <w:ind w:left="103" w:hanging="106"/>
      </w:pPr>
      <w:rPr>
        <w:rFonts w:hint="default" w:ascii="Times New Roman" w:hAnsi="Times New Roman" w:eastAsia="Times New Roman" w:cs="Times New Roman"/>
        <w:w w:val="99"/>
        <w:sz w:val="18"/>
        <w:szCs w:val="18"/>
      </w:rPr>
    </w:lvl>
    <w:lvl w:ilvl="1">
      <w:start w:val="1"/>
      <w:numFmt w:val="bullet"/>
      <w:lvlText w:val="•"/>
      <w:lvlJc w:val="left"/>
      <w:pPr>
        <w:ind w:left="523" w:hanging="106"/>
      </w:pPr>
      <w:rPr>
        <w:rFonts w:hint="default"/>
      </w:rPr>
    </w:lvl>
    <w:lvl w:ilvl="2">
      <w:start w:val="1"/>
      <w:numFmt w:val="bullet"/>
      <w:lvlText w:val="•"/>
      <w:lvlJc w:val="left"/>
      <w:pPr>
        <w:ind w:left="947" w:hanging="106"/>
      </w:pPr>
      <w:rPr>
        <w:rFonts w:hint="default"/>
      </w:rPr>
    </w:lvl>
    <w:lvl w:ilvl="3">
      <w:start w:val="1"/>
      <w:numFmt w:val="bullet"/>
      <w:lvlText w:val="•"/>
      <w:lvlJc w:val="left"/>
      <w:pPr>
        <w:ind w:left="1371" w:hanging="106"/>
      </w:pPr>
      <w:rPr>
        <w:rFonts w:hint="default"/>
      </w:rPr>
    </w:lvl>
    <w:lvl w:ilvl="4">
      <w:start w:val="1"/>
      <w:numFmt w:val="bullet"/>
      <w:lvlText w:val="•"/>
      <w:lvlJc w:val="left"/>
      <w:pPr>
        <w:ind w:left="1795" w:hanging="106"/>
      </w:pPr>
      <w:rPr>
        <w:rFonts w:hint="default"/>
      </w:rPr>
    </w:lvl>
    <w:lvl w:ilvl="5">
      <w:start w:val="1"/>
      <w:numFmt w:val="bullet"/>
      <w:lvlText w:val="•"/>
      <w:lvlJc w:val="left"/>
      <w:pPr>
        <w:ind w:left="2218" w:hanging="106"/>
      </w:pPr>
      <w:rPr>
        <w:rFonts w:hint="default"/>
      </w:rPr>
    </w:lvl>
    <w:lvl w:ilvl="6">
      <w:start w:val="1"/>
      <w:numFmt w:val="bullet"/>
      <w:lvlText w:val="•"/>
      <w:lvlJc w:val="left"/>
      <w:pPr>
        <w:ind w:left="2642" w:hanging="106"/>
      </w:pPr>
      <w:rPr>
        <w:rFonts w:hint="default"/>
      </w:rPr>
    </w:lvl>
    <w:lvl w:ilvl="7">
      <w:start w:val="1"/>
      <w:numFmt w:val="bullet"/>
      <w:lvlText w:val="•"/>
      <w:lvlJc w:val="left"/>
      <w:pPr>
        <w:ind w:left="3066" w:hanging="106"/>
      </w:pPr>
      <w:rPr>
        <w:rFonts w:hint="default"/>
      </w:rPr>
    </w:lvl>
    <w:lvl w:ilvl="8">
      <w:start w:val="1"/>
      <w:numFmt w:val="bullet"/>
      <w:lvlText w:val="•"/>
      <w:lvlJc w:val="left"/>
      <w:pPr>
        <w:ind w:left="3490" w:hanging="106"/>
      </w:pPr>
      <w:rPr>
        <w:rFonts w:hint="default"/>
      </w:rPr>
    </w:lvl>
  </w:abstractNum>
  <w:abstractNum w:abstractNumId="9">
    <w:multiLevelType w:val="hybridMultilevel"/>
    <w:lvl w:ilvl="0">
      <w:start w:val="1"/>
      <w:numFmt w:val="decimal"/>
      <w:lvlText w:val="%1."/>
      <w:lvlJc w:val="left"/>
      <w:pPr>
        <w:ind w:left="265" w:hanging="279"/>
        <w:jc w:val="left"/>
      </w:pPr>
      <w:rPr>
        <w:rFonts w:hint="default" w:ascii="Times New Roman" w:hAnsi="Times New Roman" w:eastAsia="Times New Roman" w:cs="Times New Roman"/>
        <w:w w:val="99"/>
        <w:sz w:val="25"/>
        <w:szCs w:val="25"/>
      </w:rPr>
    </w:lvl>
    <w:lvl w:ilvl="1">
      <w:start w:val="1"/>
      <w:numFmt w:val="bullet"/>
      <w:lvlText w:val="•"/>
      <w:lvlJc w:val="left"/>
      <w:pPr>
        <w:ind w:left="1168" w:hanging="279"/>
      </w:pPr>
      <w:rPr>
        <w:rFonts w:hint="default"/>
      </w:rPr>
    </w:lvl>
    <w:lvl w:ilvl="2">
      <w:start w:val="1"/>
      <w:numFmt w:val="bullet"/>
      <w:lvlText w:val="•"/>
      <w:lvlJc w:val="left"/>
      <w:pPr>
        <w:ind w:left="2076" w:hanging="279"/>
      </w:pPr>
      <w:rPr>
        <w:rFonts w:hint="default"/>
      </w:rPr>
    </w:lvl>
    <w:lvl w:ilvl="3">
      <w:start w:val="1"/>
      <w:numFmt w:val="bullet"/>
      <w:lvlText w:val="•"/>
      <w:lvlJc w:val="left"/>
      <w:pPr>
        <w:ind w:left="2984" w:hanging="279"/>
      </w:pPr>
      <w:rPr>
        <w:rFonts w:hint="default"/>
      </w:rPr>
    </w:lvl>
    <w:lvl w:ilvl="4">
      <w:start w:val="1"/>
      <w:numFmt w:val="bullet"/>
      <w:lvlText w:val="•"/>
      <w:lvlJc w:val="left"/>
      <w:pPr>
        <w:ind w:left="3892" w:hanging="279"/>
      </w:pPr>
      <w:rPr>
        <w:rFonts w:hint="default"/>
      </w:rPr>
    </w:lvl>
    <w:lvl w:ilvl="5">
      <w:start w:val="1"/>
      <w:numFmt w:val="bullet"/>
      <w:lvlText w:val="•"/>
      <w:lvlJc w:val="left"/>
      <w:pPr>
        <w:ind w:left="4800" w:hanging="279"/>
      </w:pPr>
      <w:rPr>
        <w:rFonts w:hint="default"/>
      </w:rPr>
    </w:lvl>
    <w:lvl w:ilvl="6">
      <w:start w:val="1"/>
      <w:numFmt w:val="bullet"/>
      <w:lvlText w:val="•"/>
      <w:lvlJc w:val="left"/>
      <w:pPr>
        <w:ind w:left="5708" w:hanging="279"/>
      </w:pPr>
      <w:rPr>
        <w:rFonts w:hint="default"/>
      </w:rPr>
    </w:lvl>
    <w:lvl w:ilvl="7">
      <w:start w:val="1"/>
      <w:numFmt w:val="bullet"/>
      <w:lvlText w:val="•"/>
      <w:lvlJc w:val="left"/>
      <w:pPr>
        <w:ind w:left="6616" w:hanging="279"/>
      </w:pPr>
      <w:rPr>
        <w:rFonts w:hint="default"/>
      </w:rPr>
    </w:lvl>
    <w:lvl w:ilvl="8">
      <w:start w:val="1"/>
      <w:numFmt w:val="bullet"/>
      <w:lvlText w:val="•"/>
      <w:lvlJc w:val="left"/>
      <w:pPr>
        <w:ind w:left="7524" w:hanging="279"/>
      </w:pPr>
      <w:rPr>
        <w:rFonts w:hint="default"/>
      </w:rPr>
    </w:lvl>
  </w:abstractNum>
  <w:abstractNum w:abstractNumId="8">
    <w:multiLevelType w:val="hybridMultilevel"/>
    <w:lvl w:ilvl="0">
      <w:start w:val="1"/>
      <w:numFmt w:val="decimal"/>
      <w:lvlText w:val="%1."/>
      <w:lvlJc w:val="left"/>
      <w:pPr>
        <w:ind w:left="265" w:hanging="255"/>
        <w:jc w:val="left"/>
      </w:pPr>
      <w:rPr>
        <w:rFonts w:hint="default" w:ascii="Times New Roman" w:hAnsi="Times New Roman" w:eastAsia="Times New Roman" w:cs="Times New Roman"/>
        <w:w w:val="99"/>
        <w:sz w:val="25"/>
        <w:szCs w:val="25"/>
      </w:rPr>
    </w:lvl>
    <w:lvl w:ilvl="1">
      <w:start w:val="1"/>
      <w:numFmt w:val="bullet"/>
      <w:lvlText w:val="•"/>
      <w:lvlJc w:val="left"/>
      <w:pPr>
        <w:ind w:left="1168" w:hanging="255"/>
      </w:pPr>
      <w:rPr>
        <w:rFonts w:hint="default"/>
      </w:rPr>
    </w:lvl>
    <w:lvl w:ilvl="2">
      <w:start w:val="1"/>
      <w:numFmt w:val="bullet"/>
      <w:lvlText w:val="•"/>
      <w:lvlJc w:val="left"/>
      <w:pPr>
        <w:ind w:left="2076" w:hanging="255"/>
      </w:pPr>
      <w:rPr>
        <w:rFonts w:hint="default"/>
      </w:rPr>
    </w:lvl>
    <w:lvl w:ilvl="3">
      <w:start w:val="1"/>
      <w:numFmt w:val="bullet"/>
      <w:lvlText w:val="•"/>
      <w:lvlJc w:val="left"/>
      <w:pPr>
        <w:ind w:left="2984" w:hanging="255"/>
      </w:pPr>
      <w:rPr>
        <w:rFonts w:hint="default"/>
      </w:rPr>
    </w:lvl>
    <w:lvl w:ilvl="4">
      <w:start w:val="1"/>
      <w:numFmt w:val="bullet"/>
      <w:lvlText w:val="•"/>
      <w:lvlJc w:val="left"/>
      <w:pPr>
        <w:ind w:left="3892" w:hanging="255"/>
      </w:pPr>
      <w:rPr>
        <w:rFonts w:hint="default"/>
      </w:rPr>
    </w:lvl>
    <w:lvl w:ilvl="5">
      <w:start w:val="1"/>
      <w:numFmt w:val="bullet"/>
      <w:lvlText w:val="•"/>
      <w:lvlJc w:val="left"/>
      <w:pPr>
        <w:ind w:left="4800" w:hanging="255"/>
      </w:pPr>
      <w:rPr>
        <w:rFonts w:hint="default"/>
      </w:rPr>
    </w:lvl>
    <w:lvl w:ilvl="6">
      <w:start w:val="1"/>
      <w:numFmt w:val="bullet"/>
      <w:lvlText w:val="•"/>
      <w:lvlJc w:val="left"/>
      <w:pPr>
        <w:ind w:left="5708" w:hanging="255"/>
      </w:pPr>
      <w:rPr>
        <w:rFonts w:hint="default"/>
      </w:rPr>
    </w:lvl>
    <w:lvl w:ilvl="7">
      <w:start w:val="1"/>
      <w:numFmt w:val="bullet"/>
      <w:lvlText w:val="•"/>
      <w:lvlJc w:val="left"/>
      <w:pPr>
        <w:ind w:left="6616" w:hanging="255"/>
      </w:pPr>
      <w:rPr>
        <w:rFonts w:hint="default"/>
      </w:rPr>
    </w:lvl>
    <w:lvl w:ilvl="8">
      <w:start w:val="1"/>
      <w:numFmt w:val="bullet"/>
      <w:lvlText w:val="•"/>
      <w:lvlJc w:val="left"/>
      <w:pPr>
        <w:ind w:left="7524" w:hanging="255"/>
      </w:pPr>
      <w:rPr>
        <w:rFonts w:hint="default"/>
      </w:rPr>
    </w:lvl>
  </w:abstractNum>
  <w:abstractNum w:abstractNumId="7">
    <w:multiLevelType w:val="hybridMultilevel"/>
    <w:lvl w:ilvl="0">
      <w:start w:val="1"/>
      <w:numFmt w:val="decimal"/>
      <w:lvlText w:val="%1."/>
      <w:lvlJc w:val="left"/>
      <w:pPr>
        <w:ind w:left="265" w:hanging="298"/>
        <w:jc w:val="left"/>
      </w:pPr>
      <w:rPr>
        <w:rFonts w:hint="default" w:ascii="Times New Roman" w:hAnsi="Times New Roman" w:eastAsia="Times New Roman" w:cs="Times New Roman"/>
        <w:w w:val="99"/>
        <w:sz w:val="25"/>
        <w:szCs w:val="25"/>
      </w:rPr>
    </w:lvl>
    <w:lvl w:ilvl="1">
      <w:start w:val="1"/>
      <w:numFmt w:val="bullet"/>
      <w:lvlText w:val="•"/>
      <w:lvlJc w:val="left"/>
      <w:pPr>
        <w:ind w:left="1168" w:hanging="298"/>
      </w:pPr>
      <w:rPr>
        <w:rFonts w:hint="default"/>
      </w:rPr>
    </w:lvl>
    <w:lvl w:ilvl="2">
      <w:start w:val="1"/>
      <w:numFmt w:val="bullet"/>
      <w:lvlText w:val="•"/>
      <w:lvlJc w:val="left"/>
      <w:pPr>
        <w:ind w:left="2076" w:hanging="298"/>
      </w:pPr>
      <w:rPr>
        <w:rFonts w:hint="default"/>
      </w:rPr>
    </w:lvl>
    <w:lvl w:ilvl="3">
      <w:start w:val="1"/>
      <w:numFmt w:val="bullet"/>
      <w:lvlText w:val="•"/>
      <w:lvlJc w:val="left"/>
      <w:pPr>
        <w:ind w:left="2984" w:hanging="298"/>
      </w:pPr>
      <w:rPr>
        <w:rFonts w:hint="default"/>
      </w:rPr>
    </w:lvl>
    <w:lvl w:ilvl="4">
      <w:start w:val="1"/>
      <w:numFmt w:val="bullet"/>
      <w:lvlText w:val="•"/>
      <w:lvlJc w:val="left"/>
      <w:pPr>
        <w:ind w:left="3892" w:hanging="298"/>
      </w:pPr>
      <w:rPr>
        <w:rFonts w:hint="default"/>
      </w:rPr>
    </w:lvl>
    <w:lvl w:ilvl="5">
      <w:start w:val="1"/>
      <w:numFmt w:val="bullet"/>
      <w:lvlText w:val="•"/>
      <w:lvlJc w:val="left"/>
      <w:pPr>
        <w:ind w:left="4800" w:hanging="298"/>
      </w:pPr>
      <w:rPr>
        <w:rFonts w:hint="default"/>
      </w:rPr>
    </w:lvl>
    <w:lvl w:ilvl="6">
      <w:start w:val="1"/>
      <w:numFmt w:val="bullet"/>
      <w:lvlText w:val="•"/>
      <w:lvlJc w:val="left"/>
      <w:pPr>
        <w:ind w:left="5708" w:hanging="298"/>
      </w:pPr>
      <w:rPr>
        <w:rFonts w:hint="default"/>
      </w:rPr>
    </w:lvl>
    <w:lvl w:ilvl="7">
      <w:start w:val="1"/>
      <w:numFmt w:val="bullet"/>
      <w:lvlText w:val="•"/>
      <w:lvlJc w:val="left"/>
      <w:pPr>
        <w:ind w:left="6616" w:hanging="298"/>
      </w:pPr>
      <w:rPr>
        <w:rFonts w:hint="default"/>
      </w:rPr>
    </w:lvl>
    <w:lvl w:ilvl="8">
      <w:start w:val="1"/>
      <w:numFmt w:val="bullet"/>
      <w:lvlText w:val="•"/>
      <w:lvlJc w:val="left"/>
      <w:pPr>
        <w:ind w:left="7524" w:hanging="298"/>
      </w:pPr>
      <w:rPr>
        <w:rFonts w:hint="default"/>
      </w:rPr>
    </w:lvl>
  </w:abstractNum>
  <w:abstractNum w:abstractNumId="6">
    <w:multiLevelType w:val="hybridMultilevel"/>
    <w:lvl w:ilvl="0">
      <w:start w:val="1"/>
      <w:numFmt w:val="decimal"/>
      <w:lvlText w:val="%1."/>
      <w:lvlJc w:val="left"/>
      <w:pPr>
        <w:ind w:left="622" w:hanging="358"/>
        <w:jc w:val="left"/>
      </w:pPr>
      <w:rPr>
        <w:rFonts w:hint="default" w:ascii="Arial" w:hAnsi="Arial" w:eastAsia="Arial" w:cs="Arial"/>
        <w:spacing w:val="-3"/>
        <w:w w:val="99"/>
        <w:sz w:val="24"/>
        <w:szCs w:val="24"/>
      </w:rPr>
    </w:lvl>
    <w:lvl w:ilvl="1">
      <w:start w:val="1"/>
      <w:numFmt w:val="upperLetter"/>
      <w:lvlText w:val="%2)"/>
      <w:lvlJc w:val="left"/>
      <w:pPr>
        <w:ind w:left="1524" w:hanging="440"/>
        <w:jc w:val="right"/>
      </w:pPr>
      <w:rPr>
        <w:rFonts w:hint="default"/>
        <w:b/>
        <w:bCs/>
        <w:i/>
        <w:spacing w:val="0"/>
        <w:w w:val="125"/>
      </w:rPr>
    </w:lvl>
    <w:lvl w:ilvl="2">
      <w:start w:val="1"/>
      <w:numFmt w:val="bullet"/>
      <w:lvlText w:val="•"/>
      <w:lvlJc w:val="left"/>
      <w:pPr>
        <w:ind w:left="2388" w:hanging="440"/>
      </w:pPr>
      <w:rPr>
        <w:rFonts w:hint="default"/>
      </w:rPr>
    </w:lvl>
    <w:lvl w:ilvl="3">
      <w:start w:val="1"/>
      <w:numFmt w:val="bullet"/>
      <w:lvlText w:val="•"/>
      <w:lvlJc w:val="left"/>
      <w:pPr>
        <w:ind w:left="3257" w:hanging="440"/>
      </w:pPr>
      <w:rPr>
        <w:rFonts w:hint="default"/>
      </w:rPr>
    </w:lvl>
    <w:lvl w:ilvl="4">
      <w:start w:val="1"/>
      <w:numFmt w:val="bullet"/>
      <w:lvlText w:val="•"/>
      <w:lvlJc w:val="left"/>
      <w:pPr>
        <w:ind w:left="4126" w:hanging="440"/>
      </w:pPr>
      <w:rPr>
        <w:rFonts w:hint="default"/>
      </w:rPr>
    </w:lvl>
    <w:lvl w:ilvl="5">
      <w:start w:val="1"/>
      <w:numFmt w:val="bullet"/>
      <w:lvlText w:val="•"/>
      <w:lvlJc w:val="left"/>
      <w:pPr>
        <w:ind w:left="4995" w:hanging="440"/>
      </w:pPr>
      <w:rPr>
        <w:rFonts w:hint="default"/>
      </w:rPr>
    </w:lvl>
    <w:lvl w:ilvl="6">
      <w:start w:val="1"/>
      <w:numFmt w:val="bullet"/>
      <w:lvlText w:val="•"/>
      <w:lvlJc w:val="left"/>
      <w:pPr>
        <w:ind w:left="5864" w:hanging="440"/>
      </w:pPr>
      <w:rPr>
        <w:rFonts w:hint="default"/>
      </w:rPr>
    </w:lvl>
    <w:lvl w:ilvl="7">
      <w:start w:val="1"/>
      <w:numFmt w:val="bullet"/>
      <w:lvlText w:val="•"/>
      <w:lvlJc w:val="left"/>
      <w:pPr>
        <w:ind w:left="6733" w:hanging="440"/>
      </w:pPr>
      <w:rPr>
        <w:rFonts w:hint="default"/>
      </w:rPr>
    </w:lvl>
    <w:lvl w:ilvl="8">
      <w:start w:val="1"/>
      <w:numFmt w:val="bullet"/>
      <w:lvlText w:val="•"/>
      <w:lvlJc w:val="left"/>
      <w:pPr>
        <w:ind w:left="7602" w:hanging="440"/>
      </w:pPr>
      <w:rPr>
        <w:rFonts w:hint="default"/>
      </w:rPr>
    </w:lvl>
  </w:abstractNum>
  <w:abstractNum w:abstractNumId="5">
    <w:multiLevelType w:val="hybridMultilevel"/>
    <w:lvl w:ilvl="0">
      <w:start w:val="1"/>
      <w:numFmt w:val="bullet"/>
      <w:lvlText w:val=""/>
      <w:lvlJc w:val="left"/>
      <w:pPr>
        <w:ind w:left="625" w:hanging="360"/>
      </w:pPr>
      <w:rPr>
        <w:rFonts w:hint="default" w:ascii="Symbol" w:hAnsi="Symbol" w:eastAsia="Symbol" w:cs="Symbol"/>
        <w:w w:val="100"/>
        <w:sz w:val="24"/>
        <w:szCs w:val="24"/>
      </w:rPr>
    </w:lvl>
    <w:lvl w:ilvl="1">
      <w:start w:val="1"/>
      <w:numFmt w:val="bullet"/>
      <w:lvlText w:val="•"/>
      <w:lvlJc w:val="left"/>
      <w:pPr>
        <w:ind w:left="1492" w:hanging="360"/>
      </w:pPr>
      <w:rPr>
        <w:rFonts w:hint="default"/>
      </w:rPr>
    </w:lvl>
    <w:lvl w:ilvl="2">
      <w:start w:val="1"/>
      <w:numFmt w:val="bullet"/>
      <w:lvlText w:val="•"/>
      <w:lvlJc w:val="left"/>
      <w:pPr>
        <w:ind w:left="2364" w:hanging="360"/>
      </w:pPr>
      <w:rPr>
        <w:rFonts w:hint="default"/>
      </w:rPr>
    </w:lvl>
    <w:lvl w:ilvl="3">
      <w:start w:val="1"/>
      <w:numFmt w:val="bullet"/>
      <w:lvlText w:val="•"/>
      <w:lvlJc w:val="left"/>
      <w:pPr>
        <w:ind w:left="323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52" w:hanging="360"/>
      </w:pPr>
      <w:rPr>
        <w:rFonts w:hint="default"/>
      </w:rPr>
    </w:lvl>
    <w:lvl w:ilvl="7">
      <w:start w:val="1"/>
      <w:numFmt w:val="bullet"/>
      <w:lvlText w:val="•"/>
      <w:lvlJc w:val="left"/>
      <w:pPr>
        <w:ind w:left="6724" w:hanging="360"/>
      </w:pPr>
      <w:rPr>
        <w:rFonts w:hint="default"/>
      </w:rPr>
    </w:lvl>
    <w:lvl w:ilvl="8">
      <w:start w:val="1"/>
      <w:numFmt w:val="bullet"/>
      <w:lvlText w:val="•"/>
      <w:lvlJc w:val="left"/>
      <w:pPr>
        <w:ind w:left="7596" w:hanging="360"/>
      </w:pPr>
      <w:rPr>
        <w:rFonts w:hint="default"/>
      </w:rPr>
    </w:lvl>
  </w:abstractNum>
  <w:abstractNum w:abstractNumId="4">
    <w:multiLevelType w:val="hybridMultilevel"/>
    <w:lvl w:ilvl="0">
      <w:start w:val="24"/>
      <w:numFmt w:val="decimal"/>
      <w:lvlText w:val="%1"/>
      <w:lvlJc w:val="left"/>
      <w:pPr>
        <w:ind w:left="265" w:hanging="176"/>
        <w:jc w:val="left"/>
      </w:pPr>
      <w:rPr>
        <w:rFonts w:hint="default" w:ascii="Calibri" w:hAnsi="Calibri" w:eastAsia="Calibri" w:cs="Calibri"/>
        <w:spacing w:val="-1"/>
        <w:w w:val="99"/>
        <w:position w:val="7"/>
        <w:sz w:val="13"/>
        <w:szCs w:val="13"/>
      </w:rPr>
    </w:lvl>
    <w:lvl w:ilvl="1">
      <w:start w:val="1"/>
      <w:numFmt w:val="bullet"/>
      <w:lvlText w:val="•"/>
      <w:lvlJc w:val="left"/>
      <w:pPr>
        <w:ind w:left="1168" w:hanging="176"/>
      </w:pPr>
      <w:rPr>
        <w:rFonts w:hint="default"/>
      </w:rPr>
    </w:lvl>
    <w:lvl w:ilvl="2">
      <w:start w:val="1"/>
      <w:numFmt w:val="bullet"/>
      <w:lvlText w:val="•"/>
      <w:lvlJc w:val="left"/>
      <w:pPr>
        <w:ind w:left="2076" w:hanging="176"/>
      </w:pPr>
      <w:rPr>
        <w:rFonts w:hint="default"/>
      </w:rPr>
    </w:lvl>
    <w:lvl w:ilvl="3">
      <w:start w:val="1"/>
      <w:numFmt w:val="bullet"/>
      <w:lvlText w:val="•"/>
      <w:lvlJc w:val="left"/>
      <w:pPr>
        <w:ind w:left="2984" w:hanging="176"/>
      </w:pPr>
      <w:rPr>
        <w:rFonts w:hint="default"/>
      </w:rPr>
    </w:lvl>
    <w:lvl w:ilvl="4">
      <w:start w:val="1"/>
      <w:numFmt w:val="bullet"/>
      <w:lvlText w:val="•"/>
      <w:lvlJc w:val="left"/>
      <w:pPr>
        <w:ind w:left="3892" w:hanging="176"/>
      </w:pPr>
      <w:rPr>
        <w:rFonts w:hint="default"/>
      </w:rPr>
    </w:lvl>
    <w:lvl w:ilvl="5">
      <w:start w:val="1"/>
      <w:numFmt w:val="bullet"/>
      <w:lvlText w:val="•"/>
      <w:lvlJc w:val="left"/>
      <w:pPr>
        <w:ind w:left="4800" w:hanging="176"/>
      </w:pPr>
      <w:rPr>
        <w:rFonts w:hint="default"/>
      </w:rPr>
    </w:lvl>
    <w:lvl w:ilvl="6">
      <w:start w:val="1"/>
      <w:numFmt w:val="bullet"/>
      <w:lvlText w:val="•"/>
      <w:lvlJc w:val="left"/>
      <w:pPr>
        <w:ind w:left="5708" w:hanging="176"/>
      </w:pPr>
      <w:rPr>
        <w:rFonts w:hint="default"/>
      </w:rPr>
    </w:lvl>
    <w:lvl w:ilvl="7">
      <w:start w:val="1"/>
      <w:numFmt w:val="bullet"/>
      <w:lvlText w:val="•"/>
      <w:lvlJc w:val="left"/>
      <w:pPr>
        <w:ind w:left="6616" w:hanging="176"/>
      </w:pPr>
      <w:rPr>
        <w:rFonts w:hint="default"/>
      </w:rPr>
    </w:lvl>
    <w:lvl w:ilvl="8">
      <w:start w:val="1"/>
      <w:numFmt w:val="bullet"/>
      <w:lvlText w:val="•"/>
      <w:lvlJc w:val="left"/>
      <w:pPr>
        <w:ind w:left="7524" w:hanging="176"/>
      </w:pPr>
      <w:rPr>
        <w:rFonts w:hint="default"/>
      </w:rPr>
    </w:lvl>
  </w:abstractNum>
  <w:abstractNum w:abstractNumId="3">
    <w:multiLevelType w:val="hybridMultilevel"/>
    <w:lvl w:ilvl="0">
      <w:start w:val="1"/>
      <w:numFmt w:val="bullet"/>
      <w:lvlText w:val=""/>
      <w:lvlJc w:val="left"/>
      <w:pPr>
        <w:ind w:left="985" w:hanging="360"/>
      </w:pPr>
      <w:rPr>
        <w:rFonts w:hint="default"/>
        <w:w w:val="100"/>
      </w:rPr>
    </w:lvl>
    <w:lvl w:ilvl="1">
      <w:start w:val="1"/>
      <w:numFmt w:val="bullet"/>
      <w:lvlText w:val="•"/>
      <w:lvlJc w:val="left"/>
      <w:pPr>
        <w:ind w:left="181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5996" w:hanging="360"/>
      </w:pPr>
      <w:rPr>
        <w:rFonts w:hint="default"/>
      </w:rPr>
    </w:lvl>
    <w:lvl w:ilvl="7">
      <w:start w:val="1"/>
      <w:numFmt w:val="bullet"/>
      <w:lvlText w:val="•"/>
      <w:lvlJc w:val="left"/>
      <w:pPr>
        <w:ind w:left="6832" w:hanging="360"/>
      </w:pPr>
      <w:rPr>
        <w:rFonts w:hint="default"/>
      </w:rPr>
    </w:lvl>
    <w:lvl w:ilvl="8">
      <w:start w:val="1"/>
      <w:numFmt w:val="bullet"/>
      <w:lvlText w:val="•"/>
      <w:lvlJc w:val="left"/>
      <w:pPr>
        <w:ind w:left="7668" w:hanging="360"/>
      </w:pPr>
      <w:rPr>
        <w:rFonts w:hint="default"/>
      </w:rPr>
    </w:lvl>
  </w:abstractNum>
  <w:abstractNum w:abstractNumId="2">
    <w:multiLevelType w:val="hybridMultilevel"/>
    <w:lvl w:ilvl="0">
      <w:start w:val="1"/>
      <w:numFmt w:val="decimal"/>
      <w:lvlText w:val="%1."/>
      <w:lvlJc w:val="left"/>
      <w:pPr>
        <w:ind w:left="816" w:hanging="269"/>
        <w:jc w:val="left"/>
      </w:pPr>
      <w:rPr>
        <w:rFonts w:hint="default" w:ascii="Arial" w:hAnsi="Arial" w:eastAsia="Arial" w:cs="Arial"/>
        <w:b/>
        <w:bCs/>
        <w:w w:val="99"/>
        <w:sz w:val="24"/>
        <w:szCs w:val="24"/>
      </w:rPr>
    </w:lvl>
    <w:lvl w:ilvl="1">
      <w:start w:val="1"/>
      <w:numFmt w:val="bullet"/>
      <w:lvlText w:val="•"/>
      <w:lvlJc w:val="left"/>
      <w:pPr>
        <w:ind w:left="1672" w:hanging="269"/>
      </w:pPr>
      <w:rPr>
        <w:rFonts w:hint="default"/>
      </w:rPr>
    </w:lvl>
    <w:lvl w:ilvl="2">
      <w:start w:val="1"/>
      <w:numFmt w:val="bullet"/>
      <w:lvlText w:val="•"/>
      <w:lvlJc w:val="left"/>
      <w:pPr>
        <w:ind w:left="2524" w:hanging="269"/>
      </w:pPr>
      <w:rPr>
        <w:rFonts w:hint="default"/>
      </w:rPr>
    </w:lvl>
    <w:lvl w:ilvl="3">
      <w:start w:val="1"/>
      <w:numFmt w:val="bullet"/>
      <w:lvlText w:val="•"/>
      <w:lvlJc w:val="left"/>
      <w:pPr>
        <w:ind w:left="3376" w:hanging="269"/>
      </w:pPr>
      <w:rPr>
        <w:rFonts w:hint="default"/>
      </w:rPr>
    </w:lvl>
    <w:lvl w:ilvl="4">
      <w:start w:val="1"/>
      <w:numFmt w:val="bullet"/>
      <w:lvlText w:val="•"/>
      <w:lvlJc w:val="left"/>
      <w:pPr>
        <w:ind w:left="4228" w:hanging="269"/>
      </w:pPr>
      <w:rPr>
        <w:rFonts w:hint="default"/>
      </w:rPr>
    </w:lvl>
    <w:lvl w:ilvl="5">
      <w:start w:val="1"/>
      <w:numFmt w:val="bullet"/>
      <w:lvlText w:val="•"/>
      <w:lvlJc w:val="left"/>
      <w:pPr>
        <w:ind w:left="5080" w:hanging="269"/>
      </w:pPr>
      <w:rPr>
        <w:rFonts w:hint="default"/>
      </w:rPr>
    </w:lvl>
    <w:lvl w:ilvl="6">
      <w:start w:val="1"/>
      <w:numFmt w:val="bullet"/>
      <w:lvlText w:val="•"/>
      <w:lvlJc w:val="left"/>
      <w:pPr>
        <w:ind w:left="5932" w:hanging="269"/>
      </w:pPr>
      <w:rPr>
        <w:rFonts w:hint="default"/>
      </w:rPr>
    </w:lvl>
    <w:lvl w:ilvl="7">
      <w:start w:val="1"/>
      <w:numFmt w:val="bullet"/>
      <w:lvlText w:val="•"/>
      <w:lvlJc w:val="left"/>
      <w:pPr>
        <w:ind w:left="6784" w:hanging="269"/>
      </w:pPr>
      <w:rPr>
        <w:rFonts w:hint="default"/>
      </w:rPr>
    </w:lvl>
    <w:lvl w:ilvl="8">
      <w:start w:val="1"/>
      <w:numFmt w:val="bullet"/>
      <w:lvlText w:val="•"/>
      <w:lvlJc w:val="left"/>
      <w:pPr>
        <w:ind w:left="7636" w:hanging="269"/>
      </w:pPr>
      <w:rPr>
        <w:rFonts w:hint="default"/>
      </w:rPr>
    </w:lvl>
  </w:abstractNum>
  <w:abstractNum w:abstractNumId="0">
    <w:multiLevelType w:val="hybridMultilevel"/>
    <w:lvl w:ilvl="0">
      <w:start w:val="1"/>
      <w:numFmt w:val="bullet"/>
      <w:lvlText w:val=""/>
      <w:lvlJc w:val="left"/>
      <w:pPr>
        <w:ind w:left="625" w:hanging="360"/>
      </w:pPr>
      <w:rPr>
        <w:rFonts w:hint="default" w:ascii="Wingdings" w:hAnsi="Wingdings" w:eastAsia="Wingdings" w:cs="Wingdings"/>
        <w:w w:val="99"/>
        <w:sz w:val="24"/>
        <w:szCs w:val="24"/>
      </w:rPr>
    </w:lvl>
    <w:lvl w:ilvl="1">
      <w:start w:val="1"/>
      <w:numFmt w:val="bullet"/>
      <w:lvlText w:val=""/>
      <w:lvlJc w:val="left"/>
      <w:pPr>
        <w:ind w:left="985" w:hanging="360"/>
      </w:pPr>
      <w:rPr>
        <w:rFonts w:hint="default" w:ascii="Symbol" w:hAnsi="Symbol" w:eastAsia="Symbol" w:cs="Symbol"/>
        <w:w w:val="100"/>
        <w:sz w:val="24"/>
        <w:szCs w:val="24"/>
      </w:rPr>
    </w:lvl>
    <w:lvl w:ilvl="2">
      <w:start w:val="1"/>
      <w:numFmt w:val="bullet"/>
      <w:lvlText w:val="•"/>
      <w:lvlJc w:val="left"/>
      <w:pPr>
        <w:ind w:left="1908" w:hanging="360"/>
      </w:pPr>
      <w:rPr>
        <w:rFonts w:hint="default"/>
      </w:rPr>
    </w:lvl>
    <w:lvl w:ilvl="3">
      <w:start w:val="1"/>
      <w:numFmt w:val="bullet"/>
      <w:lvlText w:val="•"/>
      <w:lvlJc w:val="left"/>
      <w:pPr>
        <w:ind w:left="2837" w:hanging="360"/>
      </w:pPr>
      <w:rPr>
        <w:rFonts w:hint="default"/>
      </w:rPr>
    </w:lvl>
    <w:lvl w:ilvl="4">
      <w:start w:val="1"/>
      <w:numFmt w:val="bullet"/>
      <w:lvlText w:val="•"/>
      <w:lvlJc w:val="left"/>
      <w:pPr>
        <w:ind w:left="3766" w:hanging="360"/>
      </w:pPr>
      <w:rPr>
        <w:rFonts w:hint="default"/>
      </w:rPr>
    </w:lvl>
    <w:lvl w:ilvl="5">
      <w:start w:val="1"/>
      <w:numFmt w:val="bullet"/>
      <w:lvlText w:val="•"/>
      <w:lvlJc w:val="left"/>
      <w:pPr>
        <w:ind w:left="4695" w:hanging="360"/>
      </w:pPr>
      <w:rPr>
        <w:rFonts w:hint="default"/>
      </w:rPr>
    </w:lvl>
    <w:lvl w:ilvl="6">
      <w:start w:val="1"/>
      <w:numFmt w:val="bullet"/>
      <w:lvlText w:val="•"/>
      <w:lvlJc w:val="left"/>
      <w:pPr>
        <w:ind w:left="5624"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482" w:hanging="360"/>
      </w:pPr>
      <w:rPr>
        <w:rFonts w:hint="default"/>
      </w:rPr>
    </w:lvl>
  </w:abstractNum>
  <w:num w:numId="2">
    <w:abstractNumId w:val="1"/>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0"/>
      <w:jc w:val="center"/>
    </w:pPr>
    <w:rPr>
      <w:rFonts w:ascii="Arial" w:hAnsi="Arial" w:eastAsia="Arial" w:cs="Arial"/>
      <w:sz w:val="24"/>
      <w:szCs w:val="24"/>
    </w:rPr>
  </w:style>
  <w:style w:styleId="TOC2" w:type="paragraph">
    <w:name w:val="TOC 2"/>
    <w:basedOn w:val="Normal"/>
    <w:uiPriority w:val="1"/>
    <w:qFormat/>
    <w:pPr>
      <w:spacing w:before="137"/>
      <w:ind w:left="98"/>
      <w:jc w:val="center"/>
    </w:pPr>
    <w:rPr>
      <w:rFonts w:ascii="Arial" w:hAnsi="Arial" w:eastAsia="Arial" w:cs="Arial"/>
      <w:b/>
      <w:bCs/>
      <w:i/>
    </w:rPr>
  </w:style>
  <w:style w:styleId="TOC3" w:type="paragraph">
    <w:name w:val="TOC 3"/>
    <w:basedOn w:val="Normal"/>
    <w:uiPriority w:val="1"/>
    <w:qFormat/>
    <w:pPr>
      <w:spacing w:before="552"/>
      <w:ind w:left="144"/>
      <w:jc w:val="center"/>
    </w:pPr>
    <w:rPr>
      <w:rFonts w:ascii="Arial" w:hAnsi="Arial" w:eastAsia="Arial" w:cs="Arial"/>
      <w:b/>
      <w:bCs/>
      <w:sz w:val="24"/>
      <w:szCs w:val="24"/>
    </w:rPr>
  </w:style>
  <w:style w:styleId="TOC4" w:type="paragraph">
    <w:name w:val="TOC 4"/>
    <w:basedOn w:val="Normal"/>
    <w:uiPriority w:val="1"/>
    <w:qFormat/>
    <w:pPr>
      <w:spacing w:before="139"/>
      <w:ind w:left="146"/>
      <w:jc w:val="center"/>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8"/>
      <w:ind w:left="455" w:right="430"/>
      <w:outlineLvl w:val="1"/>
    </w:pPr>
    <w:rPr>
      <w:rFonts w:ascii="Arial" w:hAnsi="Arial" w:eastAsia="Arial" w:cs="Arial"/>
      <w:b/>
      <w:bCs/>
      <w:sz w:val="72"/>
      <w:szCs w:val="72"/>
    </w:rPr>
  </w:style>
  <w:style w:styleId="Heading2" w:type="paragraph">
    <w:name w:val="Heading 2"/>
    <w:basedOn w:val="Normal"/>
    <w:uiPriority w:val="1"/>
    <w:qFormat/>
    <w:pPr>
      <w:spacing w:before="49"/>
      <w:ind w:left="265"/>
      <w:outlineLvl w:val="2"/>
    </w:pPr>
    <w:rPr>
      <w:rFonts w:ascii="Times New Roman" w:hAnsi="Times New Roman" w:eastAsia="Times New Roman" w:cs="Times New Roman"/>
      <w:b/>
      <w:bCs/>
      <w:sz w:val="40"/>
      <w:szCs w:val="40"/>
    </w:rPr>
  </w:style>
  <w:style w:styleId="Heading3" w:type="paragraph">
    <w:name w:val="Heading 3"/>
    <w:basedOn w:val="Normal"/>
    <w:uiPriority w:val="1"/>
    <w:qFormat/>
    <w:pPr>
      <w:ind w:left="2091" w:right="6217"/>
      <w:outlineLvl w:val="3"/>
    </w:pPr>
    <w:rPr>
      <w:rFonts w:ascii="Palatino Linotype" w:hAnsi="Palatino Linotype" w:eastAsia="Palatino Linotype" w:cs="Palatino Linotype"/>
      <w:b/>
      <w:bCs/>
      <w:i/>
      <w:sz w:val="36"/>
      <w:szCs w:val="36"/>
    </w:rPr>
  </w:style>
  <w:style w:styleId="Heading4" w:type="paragraph">
    <w:name w:val="Heading 4"/>
    <w:basedOn w:val="Normal"/>
    <w:uiPriority w:val="1"/>
    <w:qFormat/>
    <w:pPr>
      <w:ind w:left="455" w:right="112" w:hanging="9"/>
      <w:jc w:val="center"/>
      <w:outlineLvl w:val="4"/>
    </w:pPr>
    <w:rPr>
      <w:rFonts w:ascii="Arial" w:hAnsi="Arial" w:eastAsia="Arial" w:cs="Arial"/>
      <w:b/>
      <w:bCs/>
      <w:sz w:val="28"/>
      <w:szCs w:val="28"/>
    </w:rPr>
  </w:style>
  <w:style w:styleId="Heading5" w:type="paragraph">
    <w:name w:val="Heading 5"/>
    <w:basedOn w:val="Normal"/>
    <w:uiPriority w:val="1"/>
    <w:qFormat/>
    <w:pPr>
      <w:spacing w:before="200"/>
      <w:ind w:left="2075" w:right="284"/>
      <w:outlineLvl w:val="5"/>
    </w:pPr>
    <w:rPr>
      <w:rFonts w:ascii="Palatino Linotype" w:hAnsi="Palatino Linotype" w:eastAsia="Palatino Linotype" w:cs="Palatino Linotype"/>
      <w:b/>
      <w:bCs/>
      <w:i/>
      <w:sz w:val="25"/>
      <w:szCs w:val="25"/>
    </w:rPr>
  </w:style>
  <w:style w:styleId="Heading6" w:type="paragraph">
    <w:name w:val="Heading 6"/>
    <w:basedOn w:val="Normal"/>
    <w:uiPriority w:val="1"/>
    <w:qFormat/>
    <w:pPr>
      <w:ind w:left="265"/>
      <w:jc w:val="both"/>
      <w:outlineLvl w:val="6"/>
    </w:pPr>
    <w:rPr>
      <w:rFonts w:ascii="Arial" w:hAnsi="Arial" w:eastAsia="Arial" w:cs="Arial"/>
      <w:b/>
      <w:bCs/>
      <w:sz w:val="24"/>
      <w:szCs w:val="24"/>
    </w:rPr>
  </w:style>
  <w:style w:styleId="Heading7" w:type="paragraph">
    <w:name w:val="Heading 7"/>
    <w:basedOn w:val="Normal"/>
    <w:uiPriority w:val="1"/>
    <w:qFormat/>
    <w:pPr>
      <w:ind w:left="146"/>
      <w:outlineLvl w:val="7"/>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ind w:left="622" w:hanging="357"/>
      <w:jc w:val="both"/>
    </w:pPr>
    <w:rPr>
      <w:rFonts w:ascii="Arial" w:hAnsi="Arial" w:eastAsia="Arial" w:cs="Arial"/>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header" Target="header1.xml"/><Relationship Id="rId11" Type="http://schemas.openxmlformats.org/officeDocument/2006/relationships/footer" Target="footer1.xml"/><Relationship Id="rId12" Type="http://schemas.openxmlformats.org/officeDocument/2006/relationships/hyperlink" Target="http://www.scielo.cl/scielo.php?script=sci_arttext&amp;amp;pid=S0370" TargetMode="External"/><Relationship Id="rId13" Type="http://schemas.openxmlformats.org/officeDocument/2006/relationships/hyperlink" Target="http://rcientificas.uninorte.edu.co/index.php/salud/article/view/4057/2492" TargetMode="External"/><Relationship Id="rId14" Type="http://schemas.openxmlformats.org/officeDocument/2006/relationships/hyperlink" Target="http://www.medigraphic.com/" TargetMode="Externa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hyperlink" Target="http://www.salud.gob.mx/" TargetMode="External"/><Relationship Id="rId18" Type="http://schemas.openxmlformats.org/officeDocument/2006/relationships/footer" Target="footer4.xml"/><Relationship Id="rId19" Type="http://schemas.openxmlformats.org/officeDocument/2006/relationships/hyperlink" Target="http://www.cgh.org.co/imagenes/calidad1.pdf" TargetMode="External"/><Relationship Id="rId20" Type="http://schemas.openxmlformats.org/officeDocument/2006/relationships/footer" Target="footer5.xml"/><Relationship Id="rId21" Type="http://schemas.openxmlformats.org/officeDocument/2006/relationships/hyperlink" Target="http://www.mediagraphic.com/pdfs/enfe/en-2006/en062g.pdf" TargetMode="External"/><Relationship Id="rId22" Type="http://schemas.openxmlformats.org/officeDocument/2006/relationships/hyperlink" Target="http://www.google.com.mx/#rlz%3D1W1SUNC_es%26q%3Ddilemas%2Beticos%2Bfrente%2Ba%2Bla%2Bseguridad%2Bdel%2Bpaciente.%2Bcuidar%2Bes%2Bpensar" TargetMode="External"/><Relationship Id="rId23" Type="http://schemas.openxmlformats.org/officeDocument/2006/relationships/hyperlink" Target="http://salud.edomexico.gob.mx/html/transparencia/informacion/leyesreglamentos/reglamento/norma_007_SSA" TargetMode="External"/><Relationship Id="rId24" Type="http://schemas.openxmlformats.org/officeDocument/2006/relationships/footer" Target="footer6.xml"/><Relationship Id="rId25" Type="http://schemas.openxmlformats.org/officeDocument/2006/relationships/footer" Target="footer7.xml"/><Relationship Id="rId26" Type="http://schemas.openxmlformats.org/officeDocument/2006/relationships/image" Target="media/image6.jpeg"/><Relationship Id="rId27" Type="http://schemas.openxmlformats.org/officeDocument/2006/relationships/image" Target="media/image7.jpeg"/><Relationship Id="rId28" Type="http://schemas.openxmlformats.org/officeDocument/2006/relationships/image" Target="media/image8.jpeg"/><Relationship Id="rId29" Type="http://schemas.openxmlformats.org/officeDocument/2006/relationships/image" Target="media/image9.jpeg"/><Relationship Id="rId30" Type="http://schemas.openxmlformats.org/officeDocument/2006/relationships/hyperlink" Target="http://intramed.net/contenidover.asp?contenidoID=82177" TargetMode="External"/><Relationship Id="rId31" Type="http://schemas.openxmlformats.org/officeDocument/2006/relationships/image" Target="media/image10.jpeg"/><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hyperlink" Target="http://journalds.www.com.conocelafrecuenciadeerrores/" TargetMode="External"/><Relationship Id="rId35" Type="http://schemas.openxmlformats.org/officeDocument/2006/relationships/hyperlink" Target="http://www.errorenmedicina.anm.edu.ar/ficha.asp?Id1=314" TargetMode="External"/><Relationship Id="rId36" Type="http://schemas.openxmlformats.org/officeDocument/2006/relationships/hyperlink" Target="http://www.conamed.gob.mx/recomendaciones.htm1" TargetMode="External"/><Relationship Id="rId37" Type="http://schemas.openxmlformats.org/officeDocument/2006/relationships/footer" Target="footer10.xml"/><Relationship Id="rId38" Type="http://schemas.openxmlformats.org/officeDocument/2006/relationships/hyperlink" Target="http://scholar.google.com.estrategias/" TargetMode="External"/><Relationship Id="rId39" Type="http://schemas.openxmlformats.org/officeDocument/2006/relationships/footer" Target="footer11.xml"/><Relationship Id="rId40" Type="http://schemas.openxmlformats.org/officeDocument/2006/relationships/hyperlink" Target="http://www.javeriana.edu.co/biblos/tesis/enfermeria/tesis44.pdf" TargetMode="External"/><Relationship Id="rId41" Type="http://schemas.openxmlformats.org/officeDocument/2006/relationships/hyperlink" Target="http://www/" TargetMode="External"/><Relationship Id="rId42" Type="http://schemas.openxmlformats.org/officeDocument/2006/relationships/hyperlink" Target="http://intramed.net/contenidover.asp?contenidoID=82177%3F" TargetMode="External"/><Relationship Id="rId43" Type="http://schemas.openxmlformats.org/officeDocument/2006/relationships/hyperlink" Target="http://www.bdigital.unal.edu.co/8902/1/5394" TargetMode="External"/><Relationship Id="rId44" Type="http://schemas.openxmlformats.org/officeDocument/2006/relationships/hyperlink" Target="http://link.spinger.com/article/10.1007%2fs0013400" TargetMode="External"/><Relationship Id="rId45" Type="http://schemas.openxmlformats.org/officeDocument/2006/relationships/hyperlink" Target="http://www.medigraphic.com/pdfs/enfe/en-2006/en062g.pdf" TargetMode="External"/><Relationship Id="rId46" Type="http://schemas.openxmlformats.org/officeDocument/2006/relationships/hyperlink" Target="http://www.osakidetza.euskadi.net/" TargetMode="External"/><Relationship Id="rId47" Type="http://schemas.openxmlformats.org/officeDocument/2006/relationships/hyperlink" Target="http://www.facultadsalud.unicauca.edu.co/Convenios/Manual_Seguridad_Paciente_LaEstancia.pdf" TargetMode="External"/><Relationship Id="rId48" Type="http://schemas.openxmlformats.org/officeDocument/2006/relationships/hyperlink" Target="http://dof.gob.mx/" TargetMode="External"/><Relationship Id="rId49" Type="http://schemas.openxmlformats.org/officeDocument/2006/relationships/footer" Target="footer12.xml"/><Relationship Id="rId50" Type="http://schemas.openxmlformats.org/officeDocument/2006/relationships/hyperlink" Target="http://salud.edomexico.gob.mx/html/transparencia/informacion/leyesreglamento" TargetMode="External"/><Relationship Id="rId51" Type="http://schemas.openxmlformats.org/officeDocument/2006/relationships/hyperlink" Target="http://www.medigraphic.com/pdfs/enfe/en-2005/en051_2k.pdf" TargetMode="External"/><Relationship Id="rId52" Type="http://schemas.openxmlformats.org/officeDocument/2006/relationships/hyperlink" Target="http://www.minsalud.gov.com/Publicaciones/Guia_promocion_seguridad_paciente.pdf" TargetMode="External"/><Relationship Id="rId53" Type="http://schemas.openxmlformats.org/officeDocument/2006/relationships/hyperlink" Target="http://www.salu.gob.mx/" TargetMode="External"/><Relationship Id="rId54" Type="http://schemas.openxmlformats.org/officeDocument/2006/relationships/footer" Target="footer13.xml"/><Relationship Id="rId55" Type="http://schemas.openxmlformats.org/officeDocument/2006/relationships/hyperlink" Target="http://www.conamed.gob.mx/recomendaciones.html" TargetMode="External"/><Relationship Id="rId56" Type="http://schemas.openxmlformats.org/officeDocument/2006/relationships/hyperlink" Target="http://www.salud.gob.mx/unidades/cdi" TargetMode="External"/><Relationship Id="rId57" Type="http://schemas.openxmlformats.org/officeDocument/2006/relationships/hyperlink" Target="http://www.es.wikipedia.org/wiki/terapia_intravenosa" TargetMode="External"/><Relationship Id="rId58" Type="http://schemas.openxmlformats.org/officeDocument/2006/relationships/hyperlink" Target="http://www.scielo.isciii.es/scielo.php" TargetMode="External"/><Relationship Id="rId59" Type="http://schemas.openxmlformats.org/officeDocument/2006/relationships/image" Target="media/image11.png"/><Relationship Id="rId60" Type="http://schemas.openxmlformats.org/officeDocument/2006/relationships/image" Target="media/image12.png"/><Relationship Id="rId61" Type="http://schemas.openxmlformats.org/officeDocument/2006/relationships/header" Target="header2.xml"/><Relationship Id="rId62" Type="http://schemas.openxmlformats.org/officeDocument/2006/relationships/image" Target="media/image13.png"/><Relationship Id="rId63" Type="http://schemas.openxmlformats.org/officeDocument/2006/relationships/image" Target="media/image14.png"/><Relationship Id="rId64" Type="http://schemas.openxmlformats.org/officeDocument/2006/relationships/image" Target="media/image15.png"/><Relationship Id="rId65" Type="http://schemas.openxmlformats.org/officeDocument/2006/relationships/image" Target="media/image16.jpeg"/><Relationship Id="rId66" Type="http://schemas.openxmlformats.org/officeDocument/2006/relationships/image" Target="media/image17.png"/><Relationship Id="rId67" Type="http://schemas.openxmlformats.org/officeDocument/2006/relationships/header" Target="header3.xml"/><Relationship Id="rId68" Type="http://schemas.openxmlformats.org/officeDocument/2006/relationships/image" Target="media/image18.jpeg"/><Relationship Id="rId69" Type="http://schemas.openxmlformats.org/officeDocument/2006/relationships/image" Target="media/image19.jpeg"/><Relationship Id="rId70" Type="http://schemas.openxmlformats.org/officeDocument/2006/relationships/image" Target="media/image20.jpeg"/><Relationship Id="rId71" Type="http://schemas.openxmlformats.org/officeDocument/2006/relationships/image" Target="media/image21.png"/><Relationship Id="rId72" Type="http://schemas.openxmlformats.org/officeDocument/2006/relationships/footer" Target="footer14.xml"/><Relationship Id="rId73" Type="http://schemas.openxmlformats.org/officeDocument/2006/relationships/footer" Target="footer15.xml"/><Relationship Id="rId74" Type="http://schemas.openxmlformats.org/officeDocument/2006/relationships/image" Target="media/image22.png"/><Relationship Id="rId75" Type="http://schemas.openxmlformats.org/officeDocument/2006/relationships/image" Target="media/image23.png"/><Relationship Id="rId76" Type="http://schemas.openxmlformats.org/officeDocument/2006/relationships/image" Target="media/image24.jpeg"/><Relationship Id="rId7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dc:creator>
  <dcterms:created xsi:type="dcterms:W3CDTF">2017-05-25T22:45:33Z</dcterms:created>
  <dcterms:modified xsi:type="dcterms:W3CDTF">2017-05-25T22:45:33Z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2016-05-31T00:00:00Z</vt:filetime>
  </property>
  <property fmtid="{D5CDD505-2E9C-101B-9397-08002B2CF9AE}" pid="3" name="Creator">
    <vt:lpwstr>Microsoft® Word 2013</vt:lpwstr>
  </property>
  <property fmtid="{D5CDD505-2E9C-101B-9397-08002B2CF9AE}" pid="4" name="LastSaved">
    <vt:filetime>2017-05-25T00:00:00Z</vt:filetime>
  </property>
</Properties>
</file>