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2.xml" ContentType="application/vnd.openxmlformats-officedocument.wordprocessingml.header+xml"/>
  <Override PartName="/word/footer11.xml" ContentType="application/vnd.openxmlformats-officedocument.wordprocessingml.footer+xml"/>
  <Override PartName="/word/header3.xml" ContentType="application/vnd.openxmlformats-officedocument.wordprocessingml.head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Default Extension="png" ContentType="image/png"/>
  <Override PartName="/word/header5.xml" ContentType="application/vnd.openxmlformats-officedocument.wordprocessingml.header+xml"/>
  <Override PartName="/word/footer14.xml" ContentType="application/vnd.openxmlformats-officedocument.wordprocessingml.footer+xml"/>
  <Override PartName="/word/header6.xml" ContentType="application/vnd.openxmlformats-officedocument.wordprocessingml.header+xml"/>
  <Override PartName="/word/footer15.xml" ContentType="application/vnd.openxmlformats-officedocument.wordprocessingml.footer+xml"/>
  <Override PartName="/word/header7.xml" ContentType="application/vnd.openxmlformats-officedocument.wordprocessingml.header+xml"/>
  <Override PartName="/word/footer16.xml" ContentType="application/vnd.openxmlformats-officedocument.wordprocessingml.footer+xml"/>
  <Override PartName="/word/header8.xml" ContentType="application/vnd.openxmlformats-officedocument.wordprocessingml.header+xml"/>
  <Override PartName="/word/footer17.xml" ContentType="application/vnd.openxmlformats-officedocument.wordprocessingml.footer+xml"/>
  <Override PartName="/word/header9.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10.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1.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12.xml" ContentType="application/vnd.openxmlformats-officedocument.wordprocessingml.header+xml"/>
  <Override PartName="/word/footer30.xml" ContentType="application/vnd.openxmlformats-officedocument.wordprocessingml.footer+xml"/>
  <Override PartName="/word/header13.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header14.xml" ContentType="application/vnd.openxmlformats-officedocument.wordprocessingml.header+xml"/>
  <Override PartName="/word/footer34.xml" ContentType="application/vnd.openxmlformats-officedocument.wordprocessingml.footer+xml"/>
  <Override PartName="/word/header15.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16.xml" ContentType="application/vnd.openxmlformats-officedocument.wordprocessingml.header+xml"/>
  <Override PartName="/word/footer37.xml" ContentType="application/vnd.openxmlformats-officedocument.wordprocessingml.footer+xml"/>
  <Override PartName="/word/header17.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7"/>
        <w:rPr>
          <w:rFonts w:ascii="Times New Roman"/>
          <w:sz w:val="19"/>
        </w:rPr>
      </w:pPr>
    </w:p>
    <w:p>
      <w:pPr>
        <w:spacing w:before="63"/>
        <w:ind w:left="2713" w:right="360" w:firstLine="0"/>
        <w:jc w:val="center"/>
        <w:rPr>
          <w:b/>
          <w:sz w:val="28"/>
        </w:rPr>
      </w:pPr>
      <w:r>
        <w:rPr/>
        <w:drawing>
          <wp:anchor distT="0" distB="0" distL="0" distR="0" allowOverlap="1" layoutInCell="1" locked="0" behindDoc="0" simplePos="0" relativeHeight="0">
            <wp:simplePos x="0" y="0"/>
            <wp:positionH relativeFrom="page">
              <wp:posOffset>760730</wp:posOffset>
            </wp:positionH>
            <wp:positionV relativeFrom="paragraph">
              <wp:posOffset>-288012</wp:posOffset>
            </wp:positionV>
            <wp:extent cx="1150620" cy="10731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50620" cy="1073150"/>
                    </a:xfrm>
                    <a:prstGeom prst="rect">
                      <a:avLst/>
                    </a:prstGeom>
                  </pic:spPr>
                </pic:pic>
              </a:graphicData>
            </a:graphic>
          </wp:anchor>
        </w:drawing>
      </w:r>
      <w:r>
        <w:rPr>
          <w:b/>
          <w:sz w:val="28"/>
        </w:rPr>
        <w:t>UNIVERSIDAD AUTÓNOMA DEL ESTADO DE MÉXICO</w:t>
      </w:r>
    </w:p>
    <w:p>
      <w:pPr>
        <w:pStyle w:val="BodyText"/>
        <w:rPr>
          <w:b/>
          <w:sz w:val="28"/>
        </w:rPr>
      </w:pPr>
    </w:p>
    <w:p>
      <w:pPr>
        <w:pStyle w:val="BodyText"/>
        <w:rPr>
          <w:b/>
          <w:sz w:val="28"/>
        </w:rPr>
      </w:pPr>
    </w:p>
    <w:p>
      <w:pPr>
        <w:pStyle w:val="BodyText"/>
        <w:spacing w:before="8"/>
        <w:rPr>
          <w:b/>
          <w:sz w:val="30"/>
        </w:rPr>
      </w:pPr>
    </w:p>
    <w:p>
      <w:pPr>
        <w:pStyle w:val="BodyText"/>
        <w:spacing w:before="1"/>
        <w:ind w:left="2713" w:right="355"/>
        <w:jc w:val="center"/>
      </w:pPr>
      <w:r>
        <w:rPr/>
        <w:pict>
          <v:line style="position:absolute;mso-position-horizontal-relative:page;mso-position-vertical-relative:paragraph;z-index:1072" from="107.349998pt,-.064124pt" to="107.349998pt,457.435876pt" stroked="true" strokeweight="1.5pt" strokecolor="#000000">
            <w10:wrap type="none"/>
          </v:line>
        </w:pict>
      </w:r>
      <w:r>
        <w:rPr/>
        <w:pict>
          <v:line style="position:absolute;mso-position-horizontal-relative:page;mso-position-vertical-relative:paragraph;z-index:1096" from="93.849998pt,-.064124pt" to="93.849998pt,457.435876pt" stroked="true" strokeweight="1.5pt" strokecolor="#000000">
            <w10:wrap type="none"/>
          </v:line>
        </w:pict>
      </w:r>
      <w:r>
        <w:rPr/>
        <w:t>FACULTAD DE QUÍMICA</w:t>
      </w:r>
    </w:p>
    <w:p>
      <w:pPr>
        <w:pStyle w:val="BodyText"/>
      </w:pPr>
    </w:p>
    <w:p>
      <w:pPr>
        <w:pStyle w:val="BodyText"/>
      </w:pPr>
    </w:p>
    <w:p>
      <w:pPr>
        <w:pStyle w:val="BodyText"/>
        <w:spacing w:before="8"/>
        <w:rPr>
          <w:sz w:val="35"/>
        </w:rPr>
      </w:pPr>
    </w:p>
    <w:p>
      <w:pPr>
        <w:pStyle w:val="Heading2"/>
        <w:spacing w:line="360" w:lineRule="auto"/>
        <w:ind w:left="2713" w:right="341"/>
        <w:jc w:val="center"/>
      </w:pPr>
      <w:r>
        <w:rPr/>
        <w:t>ESTUDIO FLORÍSTICO DEL PARQUE UNIVERSITARIO </w:t>
      </w:r>
      <w:r>
        <w:rPr>
          <w:i/>
        </w:rPr>
        <w:t>“LAS </w:t>
      </w:r>
      <w:r>
        <w:rPr>
          <w:i/>
        </w:rPr>
        <w:t>ORQUÍDEAS”</w:t>
      </w:r>
      <w:r>
        <w:rPr/>
        <w:t>, COMO BASE PARA LA CONSERVACIÓN Y EDUCACIÓN AMBIENTAL</w:t>
      </w:r>
    </w:p>
    <w:p>
      <w:pPr>
        <w:pStyle w:val="BodyText"/>
        <w:rPr>
          <w:b/>
        </w:rPr>
      </w:pPr>
    </w:p>
    <w:p>
      <w:pPr>
        <w:pStyle w:val="BodyText"/>
        <w:rPr>
          <w:b/>
        </w:rPr>
      </w:pPr>
    </w:p>
    <w:p>
      <w:pPr>
        <w:pStyle w:val="BodyText"/>
        <w:spacing w:before="5"/>
        <w:rPr>
          <w:b/>
        </w:rPr>
      </w:pPr>
    </w:p>
    <w:p>
      <w:pPr>
        <w:pStyle w:val="BodyText"/>
        <w:spacing w:before="1"/>
        <w:ind w:left="2713" w:right="345"/>
        <w:jc w:val="center"/>
      </w:pPr>
      <w:r>
        <w:rPr/>
        <w:t>TESIS</w:t>
      </w:r>
    </w:p>
    <w:p>
      <w:pPr>
        <w:pStyle w:val="BodyText"/>
        <w:spacing w:line="360" w:lineRule="auto" w:before="141"/>
        <w:ind w:left="3887" w:right="1528"/>
        <w:jc w:val="center"/>
      </w:pPr>
      <w:r>
        <w:rPr/>
        <w:t>QUE PARA OBTENER EL GRADO DE MAESTRA EN CIENCIAS AMBIENTALES</w:t>
      </w:r>
    </w:p>
    <w:p>
      <w:pPr>
        <w:pStyle w:val="BodyText"/>
      </w:pPr>
    </w:p>
    <w:p>
      <w:pPr>
        <w:pStyle w:val="BodyText"/>
      </w:pPr>
    </w:p>
    <w:p>
      <w:pPr>
        <w:pStyle w:val="BodyText"/>
        <w:spacing w:before="5"/>
      </w:pPr>
    </w:p>
    <w:p>
      <w:pPr>
        <w:pStyle w:val="BodyText"/>
        <w:ind w:left="2713" w:right="349"/>
        <w:jc w:val="center"/>
      </w:pPr>
      <w:r>
        <w:rPr/>
        <w:t>PRESENTA</w:t>
      </w:r>
    </w:p>
    <w:p>
      <w:pPr>
        <w:pStyle w:val="BodyText"/>
        <w:spacing w:before="137"/>
        <w:ind w:left="2712" w:right="360"/>
        <w:jc w:val="center"/>
      </w:pPr>
      <w:r>
        <w:rPr/>
        <w:t>BIOL. CRISTINA BERENICE MONSALVO JIMÉNEZ</w:t>
      </w:r>
    </w:p>
    <w:p>
      <w:pPr>
        <w:pStyle w:val="BodyText"/>
      </w:pPr>
    </w:p>
    <w:p>
      <w:pPr>
        <w:pStyle w:val="BodyText"/>
      </w:pPr>
    </w:p>
    <w:p>
      <w:pPr>
        <w:pStyle w:val="BodyText"/>
      </w:pPr>
    </w:p>
    <w:p>
      <w:pPr>
        <w:pStyle w:val="BodyText"/>
        <w:spacing w:before="140"/>
        <w:ind w:left="2713" w:right="347"/>
        <w:jc w:val="center"/>
      </w:pPr>
      <w:r>
        <w:rPr/>
        <w:t>DIRIGIDA POR</w:t>
      </w:r>
    </w:p>
    <w:p>
      <w:pPr>
        <w:pStyle w:val="BodyText"/>
      </w:pPr>
    </w:p>
    <w:p>
      <w:pPr>
        <w:pStyle w:val="BodyText"/>
        <w:spacing w:before="9"/>
        <w:rPr>
          <w:sz w:val="23"/>
        </w:rPr>
      </w:pPr>
    </w:p>
    <w:p>
      <w:pPr>
        <w:pStyle w:val="BodyText"/>
        <w:spacing w:line="362" w:lineRule="auto"/>
        <w:ind w:left="3890" w:right="1528"/>
        <w:jc w:val="center"/>
      </w:pPr>
      <w:r>
        <w:rPr/>
        <w:drawing>
          <wp:anchor distT="0" distB="0" distL="0" distR="0" allowOverlap="1" layoutInCell="1" locked="0" behindDoc="0" simplePos="0" relativeHeight="1048">
            <wp:simplePos x="0" y="0"/>
            <wp:positionH relativeFrom="page">
              <wp:posOffset>823594</wp:posOffset>
            </wp:positionH>
            <wp:positionV relativeFrom="paragraph">
              <wp:posOffset>866214</wp:posOffset>
            </wp:positionV>
            <wp:extent cx="1095375" cy="104775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95375" cy="1047750"/>
                    </a:xfrm>
                    <a:prstGeom prst="rect">
                      <a:avLst/>
                    </a:prstGeom>
                  </pic:spPr>
                </pic:pic>
              </a:graphicData>
            </a:graphic>
          </wp:anchor>
        </w:drawing>
      </w:r>
      <w:r>
        <w:rPr/>
        <w:t>DR. JESÚS GASTÓN GUTIÉRREZ CEDILLO DR. MANUEL ANTONIO PÉREZ CHÁVEZ DRA. MARÍA CRISTINA CHÁVEZ MEJÍA</w:t>
      </w:r>
    </w:p>
    <w:p>
      <w:pPr>
        <w:pStyle w:val="BodyText"/>
      </w:pPr>
    </w:p>
    <w:p>
      <w:pPr>
        <w:pStyle w:val="BodyText"/>
      </w:pPr>
    </w:p>
    <w:p>
      <w:pPr>
        <w:pStyle w:val="BodyText"/>
      </w:pPr>
    </w:p>
    <w:p>
      <w:pPr>
        <w:pStyle w:val="BodyText"/>
      </w:pPr>
    </w:p>
    <w:p>
      <w:pPr>
        <w:pStyle w:val="BodyText"/>
        <w:spacing w:before="9"/>
        <w:rPr>
          <w:sz w:val="23"/>
        </w:rPr>
      </w:pPr>
    </w:p>
    <w:p>
      <w:pPr>
        <w:pStyle w:val="BodyText"/>
        <w:spacing w:before="1"/>
        <w:ind w:left="5522"/>
      </w:pPr>
      <w:r>
        <w:rPr/>
        <w:t>Toluca, Estado de México, Noviembre 2014</w:t>
      </w:r>
    </w:p>
    <w:p>
      <w:pPr>
        <w:spacing w:after="0"/>
        <w:sectPr>
          <w:type w:val="continuous"/>
          <w:pgSz w:w="12240" w:h="15840"/>
          <w:pgMar w:top="880" w:bottom="280" w:left="1080" w:right="860"/>
        </w:sectPr>
      </w:pPr>
    </w:p>
    <w:p>
      <w:pPr>
        <w:pStyle w:val="BodyText"/>
        <w:rPr>
          <w:rFonts w:ascii="Times New Roman"/>
          <w:sz w:val="20"/>
        </w:rPr>
      </w:pPr>
    </w:p>
    <w:p>
      <w:pPr>
        <w:pStyle w:val="BodyText"/>
        <w:spacing w:before="10" w:after="1"/>
        <w:rPr>
          <w:rFonts w:ascii="Times New Roman"/>
          <w:sz w:val="25"/>
        </w:rPr>
      </w:pPr>
    </w:p>
    <w:p>
      <w:pPr>
        <w:pStyle w:val="BodyText"/>
        <w:ind w:left="118"/>
        <w:rPr>
          <w:rFonts w:ascii="Times New Roman"/>
          <w:sz w:val="20"/>
        </w:rPr>
      </w:pPr>
      <w:r>
        <w:rPr>
          <w:rFonts w:ascii="Times New Roman"/>
          <w:sz w:val="20"/>
        </w:rPr>
        <w:drawing>
          <wp:inline distT="0" distB="0" distL="0" distR="0">
            <wp:extent cx="6240795" cy="8101393"/>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6240795" cy="810139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7"/>
          <w:footerReference w:type="default" r:id="rId8"/>
          <w:pgSz w:w="12240" w:h="15840"/>
          <w:pgMar w:header="690" w:footer="1146" w:top="880" w:bottom="1340" w:left="1300" w:right="740"/>
          <w:pgNumType w:start="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2"/>
        </w:rPr>
      </w:pPr>
    </w:p>
    <w:p>
      <w:pPr>
        <w:pStyle w:val="BodyText"/>
        <w:spacing w:line="360" w:lineRule="auto" w:before="69"/>
        <w:ind w:left="116" w:right="110"/>
        <w:jc w:val="both"/>
      </w:pPr>
      <w:r>
        <w:rPr/>
        <w:t>La presente Investigación Científica se realizó conforme al plan de estudios del </w:t>
      </w:r>
      <w:r>
        <w:rPr>
          <w:b/>
          <w:i/>
        </w:rPr>
        <w:t>Programa de Maestría y Doctorado en Ciencias Ambientales</w:t>
      </w:r>
      <w:r>
        <w:rPr/>
        <w:t>, perteneciente a la Facultad de Química (sede), Facultad de Turismo, Facultad de Ingeniería, Facultad de Geografía y Facultad de Planeación Urbana y Regional, dependientes de la Universidad Autónoma del Estado de México.</w:t>
      </w:r>
    </w:p>
    <w:p>
      <w:pPr>
        <w:pStyle w:val="BodyText"/>
        <w:spacing w:before="8"/>
        <w:rPr>
          <w:sz w:val="35"/>
        </w:rPr>
      </w:pPr>
    </w:p>
    <w:p>
      <w:pPr>
        <w:pStyle w:val="BodyText"/>
        <w:ind w:left="116"/>
        <w:jc w:val="both"/>
      </w:pPr>
      <w:r>
        <w:rPr>
          <w:b/>
        </w:rPr>
        <w:t>Área</w:t>
      </w:r>
      <w:r>
        <w:rPr/>
        <w:t>: Calidad Ambiental</w:t>
      </w:r>
    </w:p>
    <w:p>
      <w:pPr>
        <w:pStyle w:val="BodyText"/>
      </w:pPr>
    </w:p>
    <w:p>
      <w:pPr>
        <w:pStyle w:val="BodyText"/>
        <w:spacing w:before="3"/>
      </w:pPr>
    </w:p>
    <w:p>
      <w:pPr>
        <w:spacing w:before="0"/>
        <w:ind w:left="116" w:right="0" w:firstLine="0"/>
        <w:jc w:val="both"/>
        <w:rPr>
          <w:sz w:val="24"/>
        </w:rPr>
      </w:pPr>
      <w:r>
        <w:rPr>
          <w:b/>
          <w:sz w:val="24"/>
        </w:rPr>
        <w:t>Línea de Investigación</w:t>
      </w:r>
      <w:r>
        <w:rPr>
          <w:sz w:val="24"/>
        </w:rPr>
        <w:t>: Geografía Ambiental e Informática</w:t>
      </w:r>
    </w:p>
    <w:p>
      <w:pPr>
        <w:spacing w:after="0"/>
        <w:jc w:val="both"/>
        <w:rPr>
          <w:sz w:val="24"/>
        </w:rPr>
        <w:sectPr>
          <w:pgSz w:w="12240" w:h="15840"/>
          <w:pgMar w:header="690"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8"/>
        <w:rPr>
          <w:sz w:val="25"/>
        </w:rPr>
      </w:pPr>
    </w:p>
    <w:p>
      <w:pPr>
        <w:spacing w:line="362" w:lineRule="auto" w:before="70"/>
        <w:ind w:left="116" w:right="110" w:firstLine="0"/>
        <w:jc w:val="both"/>
        <w:rPr>
          <w:sz w:val="24"/>
        </w:rPr>
      </w:pPr>
      <w:r>
        <w:rPr>
          <w:sz w:val="24"/>
        </w:rPr>
        <w:t>La colecta de especies de plantas vasculares se realizó en el </w:t>
      </w:r>
      <w:r>
        <w:rPr>
          <w:b/>
          <w:sz w:val="24"/>
        </w:rPr>
        <w:t>Parque Universitario “Las Orquídeas”</w:t>
      </w:r>
      <w:r>
        <w:rPr>
          <w:sz w:val="24"/>
        </w:rPr>
        <w:t>, del </w:t>
      </w:r>
      <w:r>
        <w:rPr>
          <w:b/>
          <w:sz w:val="24"/>
        </w:rPr>
        <w:t>Centro Universitario UAEM Temascaltepec</w:t>
      </w:r>
      <w:r>
        <w:rPr>
          <w:sz w:val="24"/>
        </w:rPr>
        <w:t>, de la Universidad Autónoma del Estado de México, localizado en Temascaltepec, Estado de México.</w:t>
      </w:r>
    </w:p>
    <w:p>
      <w:pPr>
        <w:pStyle w:val="BodyText"/>
      </w:pPr>
    </w:p>
    <w:p>
      <w:pPr>
        <w:spacing w:line="360" w:lineRule="auto" w:before="142"/>
        <w:ind w:left="116" w:right="113" w:firstLine="0"/>
        <w:jc w:val="both"/>
        <w:rPr>
          <w:sz w:val="24"/>
        </w:rPr>
      </w:pPr>
      <w:r>
        <w:rPr>
          <w:sz w:val="24"/>
        </w:rPr>
        <w:t>La identificación taxonómica de los ejemplares de flora se realizó en el </w:t>
      </w:r>
      <w:r>
        <w:rPr>
          <w:b/>
          <w:i/>
          <w:sz w:val="24"/>
        </w:rPr>
        <w:t>Herbario </w:t>
      </w:r>
      <w:r>
        <w:rPr>
          <w:b/>
          <w:i/>
          <w:sz w:val="24"/>
        </w:rPr>
        <w:t>Nacional de México (MEXU)</w:t>
      </w:r>
      <w:r>
        <w:rPr>
          <w:sz w:val="24"/>
        </w:rPr>
        <w:t>, del </w:t>
      </w:r>
      <w:r>
        <w:rPr>
          <w:b/>
          <w:i/>
          <w:sz w:val="24"/>
        </w:rPr>
        <w:t>Instituto de Biología </w:t>
      </w:r>
      <w:r>
        <w:rPr>
          <w:sz w:val="24"/>
        </w:rPr>
        <w:t>de la </w:t>
      </w:r>
      <w:r>
        <w:rPr>
          <w:b/>
          <w:i/>
          <w:sz w:val="24"/>
        </w:rPr>
        <w:t>Universidad Nacional </w:t>
      </w:r>
      <w:r>
        <w:rPr>
          <w:b/>
          <w:i/>
          <w:sz w:val="24"/>
        </w:rPr>
        <w:t>Autónoma de México (UNAM)</w:t>
      </w:r>
      <w:r>
        <w:rPr>
          <w:sz w:val="24"/>
        </w:rPr>
        <w:t>, con la colaboración y asesoría del M. en C. Rafael Torres Colín. En este mismo Instituto se realizó el montaje de los ejemplares contando con el apoyo e instrucción de la M. en C. Angélica Ramírez Roa.</w:t>
      </w:r>
    </w:p>
    <w:p>
      <w:pPr>
        <w:spacing w:after="0" w:line="360" w:lineRule="auto"/>
        <w:jc w:val="both"/>
        <w:rPr>
          <w:sz w:val="24"/>
        </w:rPr>
        <w:sectPr>
          <w:footerReference w:type="default" r:id="rId10"/>
          <w:pgSz w:w="12240" w:h="15840"/>
          <w:pgMar w:footer="1146" w:header="690" w:top="880" w:bottom="1340" w:left="1300" w:right="1300"/>
          <w:pgNumType w:start="3"/>
        </w:sectPr>
      </w:pPr>
    </w:p>
    <w:p>
      <w:pPr>
        <w:pStyle w:val="BodyText"/>
        <w:rPr>
          <w:sz w:val="20"/>
        </w:rPr>
      </w:pPr>
    </w:p>
    <w:p>
      <w:pPr>
        <w:pStyle w:val="BodyText"/>
        <w:rPr>
          <w:sz w:val="20"/>
        </w:rPr>
      </w:pPr>
    </w:p>
    <w:p>
      <w:pPr>
        <w:pStyle w:val="BodyText"/>
        <w:rPr>
          <w:sz w:val="20"/>
        </w:rPr>
      </w:pPr>
    </w:p>
    <w:p>
      <w:pPr>
        <w:pStyle w:val="BodyText"/>
        <w:spacing w:before="8"/>
        <w:rPr>
          <w:sz w:val="15"/>
        </w:rPr>
      </w:pPr>
    </w:p>
    <w:p>
      <w:pPr>
        <w:spacing w:line="357" w:lineRule="auto" w:before="69"/>
        <w:ind w:left="116" w:right="113" w:firstLine="0"/>
        <w:jc w:val="both"/>
        <w:rPr>
          <w:sz w:val="24"/>
        </w:rPr>
      </w:pPr>
      <w:r>
        <w:rPr>
          <w:sz w:val="24"/>
        </w:rPr>
        <w:t>La presente Investigación Científica se registró ante la </w:t>
      </w:r>
      <w:r>
        <w:rPr>
          <w:b/>
          <w:i/>
          <w:sz w:val="24"/>
        </w:rPr>
        <w:t>Dirección de Estudios </w:t>
      </w:r>
      <w:r>
        <w:rPr>
          <w:b/>
          <w:i/>
          <w:sz w:val="24"/>
        </w:rPr>
        <w:t>Avanzados de la Secretaría de Investigación y Estudios Avanzados</w:t>
      </w:r>
      <w:r>
        <w:rPr>
          <w:sz w:val="24"/>
        </w:rPr>
        <w:t>, el día 28 de agosto del 2013, con el número </w:t>
      </w:r>
      <w:r>
        <w:rPr>
          <w:b/>
          <w:sz w:val="24"/>
        </w:rPr>
        <w:t>MACIAS-0413</w:t>
      </w:r>
      <w:r>
        <w:rPr>
          <w:sz w:val="24"/>
        </w:rPr>
        <w:t>.</w:t>
      </w:r>
    </w:p>
    <w:p>
      <w:pPr>
        <w:spacing w:after="0" w:line="357" w:lineRule="auto"/>
        <w:jc w:val="both"/>
        <w:rPr>
          <w:sz w:val="24"/>
        </w:rPr>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ind w:left="493" w:right="130"/>
        <w:jc w:val="center"/>
      </w:pPr>
      <w:r>
        <w:rPr/>
        <w:t>AGRADECIMIENTOS</w:t>
      </w:r>
    </w:p>
    <w:p>
      <w:pPr>
        <w:pStyle w:val="BodyText"/>
        <w:spacing w:before="8"/>
        <w:rPr>
          <w:b/>
          <w:sz w:val="22"/>
        </w:rPr>
      </w:pPr>
    </w:p>
    <w:p>
      <w:pPr>
        <w:spacing w:line="360" w:lineRule="auto" w:before="0"/>
        <w:ind w:left="116" w:right="110" w:firstLine="0"/>
        <w:jc w:val="both"/>
        <w:rPr>
          <w:sz w:val="24"/>
        </w:rPr>
      </w:pPr>
      <w:r>
        <w:rPr>
          <w:sz w:val="24"/>
        </w:rPr>
        <w:t>Al Consejo Nacional de Ciencia y Tecnología (</w:t>
      </w:r>
      <w:r>
        <w:rPr>
          <w:b/>
          <w:sz w:val="24"/>
        </w:rPr>
        <w:t>CONACYT)</w:t>
      </w:r>
      <w:r>
        <w:rPr>
          <w:sz w:val="24"/>
        </w:rPr>
        <w:t>, por otorgar la </w:t>
      </w:r>
      <w:r>
        <w:rPr>
          <w:b/>
          <w:sz w:val="24"/>
        </w:rPr>
        <w:t>Beca de Manutención </w:t>
      </w:r>
      <w:r>
        <w:rPr>
          <w:sz w:val="24"/>
        </w:rPr>
        <w:t>número </w:t>
      </w:r>
      <w:r>
        <w:rPr>
          <w:b/>
          <w:sz w:val="24"/>
        </w:rPr>
        <w:t>273145</w:t>
      </w:r>
      <w:r>
        <w:rPr>
          <w:sz w:val="24"/>
        </w:rPr>
        <w:t>, en el periodo comprendido del 8 de agosto de 2012 al</w:t>
      </w:r>
    </w:p>
    <w:p>
      <w:pPr>
        <w:pStyle w:val="BodyText"/>
        <w:spacing w:line="362" w:lineRule="auto" w:before="2"/>
        <w:ind w:left="116" w:right="116"/>
        <w:jc w:val="both"/>
      </w:pPr>
      <w:r>
        <w:rPr/>
        <w:t>31 de julio de 2014. Además por asignar la </w:t>
      </w:r>
      <w:r>
        <w:rPr>
          <w:b/>
        </w:rPr>
        <w:t>Beca Mixta para Movilidad Nacional </w:t>
      </w:r>
      <w:r>
        <w:rPr/>
        <w:t>número </w:t>
      </w:r>
      <w:r>
        <w:rPr>
          <w:b/>
        </w:rPr>
        <w:t>290748</w:t>
      </w:r>
      <w:r>
        <w:rPr/>
        <w:t>, para llevar a cabo la estancia de investigación en el Herbario Nacional (MEXU) del Instituto de Biología de la Universidad Nacional Autónoma de México, periodo comprendido del 1 de enero al 30 de abril del 2014.</w:t>
      </w:r>
    </w:p>
    <w:p>
      <w:pPr>
        <w:pStyle w:val="BodyText"/>
        <w:spacing w:before="5"/>
        <w:rPr>
          <w:sz w:val="35"/>
        </w:rPr>
      </w:pPr>
    </w:p>
    <w:p>
      <w:pPr>
        <w:pStyle w:val="BodyText"/>
        <w:spacing w:line="362" w:lineRule="auto"/>
        <w:ind w:left="116" w:right="113"/>
        <w:jc w:val="both"/>
      </w:pPr>
      <w:r>
        <w:rPr/>
        <w:t>A la </w:t>
      </w:r>
      <w:r>
        <w:rPr>
          <w:b/>
        </w:rPr>
        <w:t>Universidad Autónoma del Estado de México </w:t>
      </w:r>
      <w:r>
        <w:rPr/>
        <w:t>por ofrecer programas de Posgrado, contar con instalaciones e infraestructura adecuadas para nosotros los estudiantes y por otorgar la Beca Escolaridad para estudios de Posgrado.</w:t>
      </w:r>
    </w:p>
    <w:p>
      <w:pPr>
        <w:pStyle w:val="BodyText"/>
        <w:spacing w:before="5"/>
        <w:rPr>
          <w:sz w:val="35"/>
        </w:rPr>
      </w:pPr>
    </w:p>
    <w:p>
      <w:pPr>
        <w:spacing w:line="362" w:lineRule="auto" w:before="0"/>
        <w:ind w:left="116" w:right="113" w:firstLine="0"/>
        <w:jc w:val="both"/>
        <w:rPr>
          <w:sz w:val="24"/>
        </w:rPr>
      </w:pPr>
      <w:r>
        <w:rPr>
          <w:sz w:val="24"/>
        </w:rPr>
        <w:t>A los </w:t>
      </w:r>
      <w:r>
        <w:rPr>
          <w:b/>
          <w:sz w:val="24"/>
        </w:rPr>
        <w:t>tutores académicos: </w:t>
      </w:r>
      <w:r>
        <w:rPr>
          <w:i/>
          <w:sz w:val="24"/>
        </w:rPr>
        <w:t>Dr. Jesús Gastón Gutiérrez Cedillo, Dr. Manuel Antonio </w:t>
      </w:r>
      <w:r>
        <w:rPr>
          <w:i/>
          <w:sz w:val="24"/>
        </w:rPr>
        <w:t>Pérez Chávez y Dra. María Cristina Chávez Mejía, </w:t>
      </w:r>
      <w:r>
        <w:rPr>
          <w:sz w:val="24"/>
        </w:rPr>
        <w:t>por sus valiosas aportaciones al proyecto de investigación.</w:t>
      </w:r>
    </w:p>
    <w:p>
      <w:pPr>
        <w:pStyle w:val="BodyText"/>
        <w:spacing w:before="6"/>
        <w:rPr>
          <w:sz w:val="35"/>
        </w:rPr>
      </w:pPr>
    </w:p>
    <w:p>
      <w:pPr>
        <w:spacing w:line="362" w:lineRule="auto" w:before="0"/>
        <w:ind w:left="116" w:right="113" w:firstLine="0"/>
        <w:jc w:val="both"/>
        <w:rPr>
          <w:sz w:val="24"/>
        </w:rPr>
      </w:pPr>
      <w:r>
        <w:rPr>
          <w:sz w:val="24"/>
        </w:rPr>
        <w:t>A los </w:t>
      </w:r>
      <w:r>
        <w:rPr>
          <w:b/>
          <w:sz w:val="24"/>
        </w:rPr>
        <w:t>revisores del Protocolo </w:t>
      </w:r>
      <w:r>
        <w:rPr>
          <w:sz w:val="24"/>
        </w:rPr>
        <w:t>del proyecto de investigación: </w:t>
      </w:r>
      <w:r>
        <w:rPr>
          <w:i/>
          <w:sz w:val="24"/>
        </w:rPr>
        <w:t>Dra. Cristina Burrola </w:t>
      </w:r>
      <w:r>
        <w:rPr>
          <w:i/>
          <w:sz w:val="24"/>
        </w:rPr>
        <w:t>Aguilar, Dra. Carmen Zepeda Gómez y Dr. J. Loreto Salvador Benítez </w:t>
      </w:r>
      <w:r>
        <w:rPr>
          <w:sz w:val="24"/>
        </w:rPr>
        <w:t>por emitir comentarios que contribuyeron al fortalecimiento del documento.</w:t>
      </w:r>
    </w:p>
    <w:p>
      <w:pPr>
        <w:pStyle w:val="BodyText"/>
        <w:spacing w:before="6"/>
        <w:rPr>
          <w:sz w:val="35"/>
        </w:rPr>
      </w:pPr>
    </w:p>
    <w:p>
      <w:pPr>
        <w:spacing w:line="362" w:lineRule="auto" w:before="0"/>
        <w:ind w:left="116" w:right="118" w:firstLine="0"/>
        <w:jc w:val="both"/>
        <w:rPr>
          <w:sz w:val="24"/>
        </w:rPr>
      </w:pPr>
      <w:r>
        <w:rPr>
          <w:sz w:val="24"/>
        </w:rPr>
        <w:t>A los </w:t>
      </w:r>
      <w:r>
        <w:rPr>
          <w:b/>
          <w:sz w:val="24"/>
        </w:rPr>
        <w:t>revisores de la Tesis</w:t>
      </w:r>
      <w:r>
        <w:rPr>
          <w:sz w:val="24"/>
        </w:rPr>
        <w:t>: </w:t>
      </w:r>
      <w:r>
        <w:rPr>
          <w:i/>
          <w:sz w:val="24"/>
        </w:rPr>
        <w:t>Dr. Jesús Gastón Gutiérrez Cedillo, Dr. Manuel Antonio </w:t>
      </w:r>
      <w:r>
        <w:rPr>
          <w:i/>
          <w:sz w:val="24"/>
        </w:rPr>
        <w:t>Pérez Chávez, Dra. María Cristina Chávez Mejía, Dr. Miguel Ángel Balderas Plata y Dr. Alejandro Rafael Alvarado </w:t>
      </w:r>
      <w:r>
        <w:rPr>
          <w:sz w:val="24"/>
        </w:rPr>
        <w:t>Granados, por las observaciones y comentarios que enriquecieron el documento de Tesis.</w:t>
      </w:r>
    </w:p>
    <w:p>
      <w:pPr>
        <w:pStyle w:val="BodyText"/>
        <w:spacing w:before="6"/>
        <w:rPr>
          <w:sz w:val="35"/>
        </w:rPr>
      </w:pPr>
    </w:p>
    <w:p>
      <w:pPr>
        <w:spacing w:line="362" w:lineRule="auto" w:before="0"/>
        <w:ind w:left="116" w:right="111" w:firstLine="0"/>
        <w:jc w:val="both"/>
        <w:rPr>
          <w:sz w:val="24"/>
        </w:rPr>
      </w:pPr>
      <w:r>
        <w:rPr>
          <w:sz w:val="24"/>
        </w:rPr>
        <w:t>Al </w:t>
      </w:r>
      <w:r>
        <w:rPr>
          <w:b/>
          <w:sz w:val="24"/>
        </w:rPr>
        <w:t>Director </w:t>
      </w:r>
      <w:r>
        <w:rPr>
          <w:sz w:val="24"/>
        </w:rPr>
        <w:t>del </w:t>
      </w:r>
      <w:r>
        <w:rPr>
          <w:b/>
          <w:sz w:val="24"/>
        </w:rPr>
        <w:t>Centro Universitario UAEM Temascaltepec</w:t>
      </w:r>
      <w:r>
        <w:rPr>
          <w:sz w:val="24"/>
        </w:rPr>
        <w:t>, </w:t>
      </w:r>
      <w:r>
        <w:rPr>
          <w:i/>
          <w:sz w:val="24"/>
        </w:rPr>
        <w:t>Dr. Manuel Antonio Pérez </w:t>
      </w:r>
      <w:r>
        <w:rPr>
          <w:i/>
          <w:sz w:val="24"/>
        </w:rPr>
        <w:t>Chávez </w:t>
      </w:r>
      <w:r>
        <w:rPr>
          <w:sz w:val="24"/>
        </w:rPr>
        <w:t>y al </w:t>
      </w:r>
      <w:r>
        <w:rPr>
          <w:b/>
          <w:sz w:val="24"/>
        </w:rPr>
        <w:t>Auxiliar Administrativo </w:t>
      </w:r>
      <w:r>
        <w:rPr>
          <w:i/>
          <w:sz w:val="24"/>
        </w:rPr>
        <w:t>Ing. Hugo González Olivares</w:t>
      </w:r>
      <w:r>
        <w:rPr>
          <w:sz w:val="24"/>
        </w:rPr>
        <w:t>, por el apoyo y las facilidades prestadas para ejecutar el trabajo de campo en el Parque Universitario “Las Orquídeas”.</w:t>
      </w:r>
    </w:p>
    <w:p>
      <w:pPr>
        <w:spacing w:after="0" w:line="362" w:lineRule="auto"/>
        <w:jc w:val="both"/>
        <w:rPr>
          <w:sz w:val="24"/>
        </w:rPr>
        <w:sectPr>
          <w:pgSz w:w="12240" w:h="15840"/>
          <w:pgMar w:header="690"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3"/>
        <w:rPr>
          <w:sz w:val="21"/>
        </w:rPr>
      </w:pPr>
    </w:p>
    <w:p>
      <w:pPr>
        <w:spacing w:line="362" w:lineRule="auto" w:before="1"/>
        <w:ind w:left="116" w:right="112" w:firstLine="0"/>
        <w:jc w:val="both"/>
        <w:rPr>
          <w:sz w:val="24"/>
        </w:rPr>
      </w:pPr>
      <w:r>
        <w:rPr>
          <w:sz w:val="24"/>
        </w:rPr>
        <w:t>A la </w:t>
      </w:r>
      <w:r>
        <w:rPr>
          <w:b/>
          <w:sz w:val="24"/>
        </w:rPr>
        <w:t>Coordinadora del Posgrado </w:t>
      </w:r>
      <w:r>
        <w:rPr>
          <w:i/>
          <w:sz w:val="24"/>
        </w:rPr>
        <w:t>Dra. Patricia Balderas Hernández </w:t>
      </w:r>
      <w:r>
        <w:rPr>
          <w:sz w:val="24"/>
        </w:rPr>
        <w:t>y al </w:t>
      </w:r>
      <w:r>
        <w:rPr>
          <w:b/>
          <w:sz w:val="24"/>
        </w:rPr>
        <w:t>Responsable de control escolar </w:t>
      </w:r>
      <w:r>
        <w:rPr>
          <w:i/>
          <w:sz w:val="24"/>
        </w:rPr>
        <w:t>Lic. Juan José Millán Gómez </w:t>
      </w:r>
      <w:r>
        <w:rPr>
          <w:sz w:val="24"/>
        </w:rPr>
        <w:t>por el apoyo en trámites académicos y sus valiosos consejos.</w:t>
      </w:r>
    </w:p>
    <w:p>
      <w:pPr>
        <w:pStyle w:val="BodyText"/>
        <w:spacing w:before="10"/>
        <w:rPr>
          <w:sz w:val="35"/>
        </w:rPr>
      </w:pPr>
    </w:p>
    <w:p>
      <w:pPr>
        <w:spacing w:line="360" w:lineRule="auto" w:before="0"/>
        <w:ind w:left="116" w:right="116" w:firstLine="0"/>
        <w:jc w:val="both"/>
        <w:rPr>
          <w:sz w:val="24"/>
        </w:rPr>
      </w:pPr>
      <w:r>
        <w:rPr>
          <w:sz w:val="24"/>
        </w:rPr>
        <w:t>A los </w:t>
      </w:r>
      <w:r>
        <w:rPr>
          <w:b/>
          <w:sz w:val="24"/>
        </w:rPr>
        <w:t>Tecnicos académicos </w:t>
      </w:r>
      <w:r>
        <w:rPr>
          <w:sz w:val="24"/>
        </w:rPr>
        <w:t>del Herbario Nacional de México (MEXU), Instituto de Biología de la Universidad Nacional Autónoma de México, </w:t>
      </w:r>
      <w:r>
        <w:rPr>
          <w:i/>
          <w:sz w:val="24"/>
        </w:rPr>
        <w:t>M. en C. Rafael Torres Colín </w:t>
      </w:r>
      <w:r>
        <w:rPr>
          <w:i/>
          <w:sz w:val="24"/>
        </w:rPr>
        <w:t>y M. en C. Angélica Ramírez Roa </w:t>
      </w:r>
      <w:r>
        <w:rPr>
          <w:sz w:val="24"/>
        </w:rPr>
        <w:t>por la asesoría en la identificación taxonómica y montaje de los ejemplares de flora, respectivamente.</w:t>
      </w:r>
    </w:p>
    <w:p>
      <w:pPr>
        <w:pStyle w:val="BodyText"/>
      </w:pPr>
    </w:p>
    <w:p>
      <w:pPr>
        <w:pStyle w:val="BodyText"/>
        <w:spacing w:line="360" w:lineRule="auto" w:before="140"/>
        <w:ind w:left="116" w:right="110"/>
        <w:jc w:val="both"/>
      </w:pPr>
      <w:r>
        <w:rPr/>
        <w:t>A </w:t>
      </w:r>
      <w:r>
        <w:rPr>
          <w:spacing w:val="-4"/>
        </w:rPr>
        <w:t>mi </w:t>
      </w:r>
      <w:r>
        <w:rPr>
          <w:b/>
        </w:rPr>
        <w:t>esposo </w:t>
      </w:r>
      <w:r>
        <w:rPr>
          <w:i/>
        </w:rPr>
        <w:t>Alberto Martínez</w:t>
      </w:r>
      <w:r>
        <w:rPr/>
        <w:t>, por colaborar, apoyar y aconsejar desde el principio al  fin del proyecto de tesis de maestría. Además por expresarme su amor incondicional a través de</w:t>
      </w:r>
      <w:r>
        <w:rPr>
          <w:spacing w:val="-4"/>
        </w:rPr>
        <w:t> </w:t>
      </w:r>
      <w:r>
        <w:rPr/>
        <w:t>acciones.</w:t>
      </w:r>
    </w:p>
    <w:p>
      <w:pPr>
        <w:pStyle w:val="BodyText"/>
      </w:pPr>
    </w:p>
    <w:p>
      <w:pPr>
        <w:pStyle w:val="BodyText"/>
        <w:spacing w:line="360" w:lineRule="auto" w:before="140"/>
        <w:ind w:left="116" w:right="116"/>
        <w:jc w:val="both"/>
      </w:pPr>
      <w:r>
        <w:rPr/>
        <w:t>A mis </w:t>
      </w:r>
      <w:r>
        <w:rPr>
          <w:b/>
        </w:rPr>
        <w:t>papás </w:t>
      </w:r>
      <w:r>
        <w:rPr>
          <w:i/>
        </w:rPr>
        <w:t>Guadalupe </w:t>
      </w:r>
      <w:r>
        <w:rPr/>
        <w:t>y </w:t>
      </w:r>
      <w:r>
        <w:rPr>
          <w:i/>
        </w:rPr>
        <w:t>Pedro </w:t>
      </w:r>
      <w:r>
        <w:rPr/>
        <w:t>por </w:t>
      </w:r>
      <w:r>
        <w:rPr>
          <w:spacing w:val="-3"/>
        </w:rPr>
        <w:t>su </w:t>
      </w:r>
      <w:r>
        <w:rPr/>
        <w:t>amor, cariño, comprensión y apoyo incondicional durante cada etapa de </w:t>
      </w:r>
      <w:r>
        <w:rPr>
          <w:spacing w:val="-4"/>
        </w:rPr>
        <w:t>mi </w:t>
      </w:r>
      <w:r>
        <w:rPr/>
        <w:t>vida. Además por acompañarme en la colecta de ejemplares de</w:t>
      </w:r>
      <w:r>
        <w:rPr>
          <w:spacing w:val="-6"/>
        </w:rPr>
        <w:t> </w:t>
      </w:r>
      <w:r>
        <w:rPr/>
        <w:t>flora.</w:t>
      </w:r>
    </w:p>
    <w:p>
      <w:pPr>
        <w:pStyle w:val="BodyText"/>
      </w:pPr>
    </w:p>
    <w:p>
      <w:pPr>
        <w:spacing w:line="362" w:lineRule="auto" w:before="140"/>
        <w:ind w:left="116" w:right="125" w:firstLine="0"/>
        <w:jc w:val="both"/>
        <w:rPr>
          <w:sz w:val="24"/>
        </w:rPr>
      </w:pPr>
      <w:r>
        <w:rPr>
          <w:sz w:val="24"/>
        </w:rPr>
        <w:t>A mis </w:t>
      </w:r>
      <w:r>
        <w:rPr>
          <w:b/>
          <w:sz w:val="24"/>
        </w:rPr>
        <w:t>Hermanos </w:t>
      </w:r>
      <w:r>
        <w:rPr>
          <w:i/>
          <w:sz w:val="24"/>
        </w:rPr>
        <w:t>Ma. Guadalupe y Pedro </w:t>
      </w:r>
      <w:r>
        <w:rPr>
          <w:sz w:val="24"/>
        </w:rPr>
        <w:t>por ser mis compañeros de vida. Además, gracias hermana por colaborar en la colecta de plantas.</w:t>
      </w:r>
    </w:p>
    <w:p>
      <w:pPr>
        <w:pStyle w:val="BodyText"/>
      </w:pPr>
    </w:p>
    <w:p>
      <w:pPr>
        <w:pStyle w:val="BodyText"/>
        <w:spacing w:line="360" w:lineRule="auto" w:before="142"/>
        <w:ind w:left="116" w:right="107"/>
        <w:jc w:val="both"/>
      </w:pPr>
      <w:r>
        <w:rPr/>
        <w:t>A todas aquellas personas que colaboraron y/o apoyaron de una u otra manera durante el periodo que comprendió la maestría: María Díaz, Margarita Martínez, Cruz García, Carmen Martínez, Cecilia Martínez, Martín Martínez, Mercedes Martínez, Rafael Ventura, Delia Colin, Hector Roman, Karla González, Luz María Vidal, Itzel Morales, Jocksan Reyes, Jorge González Sandoval, Sandra Rivera, Berenice Rivera, Miriam Ramírez, Guadalupe Velázquez, Claudia Rosales, Jose Carmen García Flores, Felipe Garduño y César Augusto Sánchez.</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ind w:left="122" w:right="130"/>
        <w:jc w:val="center"/>
      </w:pPr>
      <w:r>
        <w:rPr/>
        <w:t>RESUMEN</w:t>
      </w:r>
    </w:p>
    <w:p>
      <w:pPr>
        <w:pStyle w:val="BodyText"/>
        <w:spacing w:before="146"/>
        <w:ind w:left="116" w:right="111"/>
        <w:jc w:val="both"/>
      </w:pPr>
      <w:r>
        <w:rPr/>
        <w:t>En la presente investigación se realizó la Identificación Taxonómica y Estudio Etnobotánico de las especies de plantas vasculares (forma biológica: árboles, arbustos y algunas herbáceas) presentes en el Parque Universitario “Las Orquídeas”, del Centro Universitario Temascaltepec de la Universidad Autónoma del Estado de México. Esta Institución Educativa se localiza en el municipio de Temascaltepec de González en el Estado de</w:t>
      </w:r>
      <w:r>
        <w:rPr>
          <w:spacing w:val="-2"/>
        </w:rPr>
        <w:t> </w:t>
      </w:r>
      <w:r>
        <w:rPr/>
        <w:t>México.</w:t>
      </w:r>
    </w:p>
    <w:p>
      <w:pPr>
        <w:pStyle w:val="BodyText"/>
      </w:pPr>
    </w:p>
    <w:p>
      <w:pPr>
        <w:pStyle w:val="BodyText"/>
        <w:ind w:left="116" w:right="111"/>
        <w:jc w:val="both"/>
      </w:pPr>
      <w:r>
        <w:rPr/>
        <w:t>En el Parque se identificaron y delimitaron siete Zonas de Manejo Ambiental, siendo éstas, las áreas donde se colectaron los ejemplares. El periodo muestreado comprendió de diciembre del 2012 a diciembre del 2013. En un intervalo altitudinal de 1, 600 a 1, 700 msnm. El listado florístico comprende </w:t>
      </w:r>
      <w:r>
        <w:rPr>
          <w:spacing w:val="3"/>
        </w:rPr>
        <w:t>83 </w:t>
      </w:r>
      <w:r>
        <w:rPr/>
        <w:t>especies, representadas en </w:t>
      </w:r>
      <w:r>
        <w:rPr>
          <w:spacing w:val="3"/>
        </w:rPr>
        <w:t>77 </w:t>
      </w:r>
      <w:r>
        <w:rPr/>
        <w:t>géneros y 43 familias. Las familias con mayor número de especies </w:t>
      </w:r>
      <w:r>
        <w:rPr>
          <w:spacing w:val="2"/>
        </w:rPr>
        <w:t>son: </w:t>
      </w:r>
      <w:r>
        <w:rPr/>
        <w:t>Fabaceae, Asteraceae y Lamiaceae (8, 6 y 7 especies, respectivamente), siendo las dos primeras aquellas que ocupan los primeros lugares en los listados florísticos de la Cuenca del Río Balsas (Fernández </w:t>
      </w:r>
      <w:r>
        <w:rPr>
          <w:i/>
        </w:rPr>
        <w:t>et al.</w:t>
      </w:r>
      <w:r>
        <w:rPr/>
        <w:t>, 1998; Torres-Zúñiga y Tejero-Díez,</w:t>
      </w:r>
      <w:r>
        <w:rPr>
          <w:spacing w:val="-25"/>
        </w:rPr>
        <w:t> </w:t>
      </w:r>
      <w:r>
        <w:rPr/>
        <w:t>1998).</w:t>
      </w:r>
    </w:p>
    <w:p>
      <w:pPr>
        <w:pStyle w:val="BodyText"/>
      </w:pPr>
    </w:p>
    <w:p>
      <w:pPr>
        <w:pStyle w:val="BodyText"/>
        <w:ind w:left="116" w:right="111"/>
        <w:jc w:val="both"/>
      </w:pPr>
      <w:r>
        <w:rPr/>
        <w:t>La mayoría de las familias y los géneros son de amplia distribución en la República Mexicana; aproximadamente 60% de las especies son exclusivas de América, de las cuales 4% son endémicas de México. El 25% de las especies recolectadas son  exóticas, lo que sugiere que los cambios en la composición florística del Parque son consecuencia de las actividades</w:t>
      </w:r>
      <w:r>
        <w:rPr>
          <w:spacing w:val="-21"/>
        </w:rPr>
        <w:t> </w:t>
      </w:r>
      <w:r>
        <w:rPr/>
        <w:t>humanas.</w:t>
      </w:r>
    </w:p>
    <w:p>
      <w:pPr>
        <w:pStyle w:val="BodyText"/>
      </w:pPr>
    </w:p>
    <w:p>
      <w:pPr>
        <w:pStyle w:val="BodyText"/>
        <w:ind w:left="116" w:right="112"/>
        <w:jc w:val="both"/>
      </w:pPr>
      <w:r>
        <w:rPr/>
        <w:t>En lo que respecta al estudio etnobotánico, se realizaron 10 entrevistas (9 mujeres y 1 hombre) a personas entre 50 y 80 años de edad, utilizando cuestionarios con preguntas de tipo abierto. Los usos asignados a las especies son: medicinal (41 sp.), alimenticio (17 sp.), ornamental (9 sp.) y leña (14 sp.). Del total de especies identificadas, 19 no presentan ningún uso, 17 especies presentan dos usos distintos.</w:t>
      </w:r>
    </w:p>
    <w:p>
      <w:pPr>
        <w:pStyle w:val="BodyText"/>
      </w:pPr>
    </w:p>
    <w:p>
      <w:pPr>
        <w:pStyle w:val="BodyText"/>
        <w:ind w:left="116" w:right="109"/>
        <w:jc w:val="both"/>
      </w:pPr>
      <w:r>
        <w:rPr/>
        <w:t>Con base en las estrategias para la conservación y educación ambiental del parque, a través del análisis de las Fortalezas, Oportunidades, Debilidades y Amenazas (FODA) y del Enfoque del Marco Lógico (EML), se plantea una propuesta que en dicho lugar se establezca un jardín botánico para contribuir con la Estrategia Global para la Conservación Vegetal y la Estrategia Mexicana para la Conservación Vegetal.</w:t>
      </w:r>
    </w:p>
    <w:p>
      <w:pPr>
        <w:pStyle w:val="BodyText"/>
        <w:spacing w:before="7"/>
        <w:rPr>
          <w:sz w:val="23"/>
        </w:rPr>
      </w:pPr>
    </w:p>
    <w:p>
      <w:pPr>
        <w:pStyle w:val="BodyText"/>
        <w:ind w:left="116" w:right="112"/>
        <w:jc w:val="both"/>
      </w:pPr>
      <w:r>
        <w:rPr/>
        <w:t>La delimitación de las Zonas de Manejo Ambiental, permitió ubicar las especies de flora para su localización sistemática. Para esto, el listado florístico consistió en recopilar información sobre la taxonomía de cada una de ellas y el estudio etnobotánico sobre el uso que se le atribuye, dicha información es importante para incluirlo en los programas de educación ambiental, a la vez que se trata de información fundamental para la planeación de la propuesta del establecimiento de un Jardín Botánico en este parque. De esta manera, se concluye que el parque es un recurso valioso para el desarrollo de la investigación en áreas como la botánica, taxonomía, hidrología, entomología, entre otras.</w:t>
      </w:r>
    </w:p>
    <w:p>
      <w:pPr>
        <w:spacing w:after="0"/>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ind w:left="128" w:right="130"/>
        <w:jc w:val="center"/>
      </w:pPr>
      <w:r>
        <w:rPr/>
        <w:t>ABSTRACT</w:t>
      </w:r>
    </w:p>
    <w:p>
      <w:pPr>
        <w:pStyle w:val="BodyText"/>
        <w:rPr>
          <w:b/>
        </w:rPr>
      </w:pPr>
    </w:p>
    <w:p>
      <w:pPr>
        <w:pStyle w:val="BodyText"/>
        <w:ind w:left="116" w:right="111"/>
        <w:jc w:val="both"/>
      </w:pPr>
      <w:r>
        <w:rPr>
          <w:color w:val="212121"/>
        </w:rPr>
        <w:t>The present investigation was carried about Taxonomic Identification  and Ethnobotanical Survey of vascular plants species (biological form: trees, shrubs and some herbaceous) that are present at the “University Park Orchids", it belongs to the University Center Temascaltepec of Autonomous University of Mexico State. This study center is located in the town of Temascaltepec Gonzalez at the State of Mexico.</w:t>
      </w:r>
    </w:p>
    <w:p>
      <w:pPr>
        <w:pStyle w:val="BodyText"/>
      </w:pPr>
    </w:p>
    <w:p>
      <w:pPr>
        <w:pStyle w:val="BodyText"/>
        <w:ind w:left="116" w:right="111"/>
        <w:jc w:val="both"/>
      </w:pPr>
      <w:r>
        <w:rPr>
          <w:color w:val="212121"/>
        </w:rPr>
        <w:t>At the Park were selected and delimited seven Environmental Management Zones, where the specimens were collected. The sampled period was from December 2012 to December 2013. In an altitudinal range of 1,600 to 1,700 meters; 43 families, 77 genera and 83 species were found. Families with more species are Fabaceae, Asteraceae, and Lamiaceae (8, 6 and 7 species, respectively). The first two families are in first place in the floristic listings of Balsas River Basin (Fernández </w:t>
      </w:r>
      <w:r>
        <w:rPr>
          <w:i/>
          <w:color w:val="212121"/>
        </w:rPr>
        <w:t>et al., </w:t>
      </w:r>
      <w:r>
        <w:rPr>
          <w:color w:val="212121"/>
        </w:rPr>
        <w:t>1998 and Torres-Zúñiga y Tejero-Díez, 1998).</w:t>
      </w:r>
    </w:p>
    <w:p>
      <w:pPr>
        <w:pStyle w:val="BodyText"/>
      </w:pPr>
    </w:p>
    <w:p>
      <w:pPr>
        <w:pStyle w:val="BodyText"/>
        <w:ind w:left="116" w:right="113"/>
        <w:jc w:val="both"/>
      </w:pPr>
      <w:r>
        <w:rPr>
          <w:color w:val="212121"/>
        </w:rPr>
        <w:t>Most families and genera are widely distributed; about 60% of the species are unique to America, of which 4 % are endemic to Mexico. The 25 % of the collected species are exotic, suggesting that changes in the floristic composition at the Park, are the result of human activities.</w:t>
      </w:r>
    </w:p>
    <w:p>
      <w:pPr>
        <w:pStyle w:val="BodyText"/>
      </w:pPr>
    </w:p>
    <w:p>
      <w:pPr>
        <w:pStyle w:val="BodyText"/>
        <w:ind w:left="116" w:right="109"/>
        <w:jc w:val="both"/>
      </w:pPr>
      <w:r>
        <w:rPr>
          <w:color w:val="212121"/>
        </w:rPr>
        <w:t>In relation to ethnobotanical study, 10 interviews were carried to persons between 50 and 80 years old (nine </w:t>
      </w:r>
      <w:r>
        <w:rPr>
          <w:color w:val="212121"/>
          <w:spacing w:val="-3"/>
        </w:rPr>
        <w:t>women </w:t>
      </w:r>
      <w:r>
        <w:rPr>
          <w:color w:val="212121"/>
        </w:rPr>
        <w:t>and one man), using </w:t>
      </w:r>
      <w:r>
        <w:rPr/>
        <w:t>questionnaires with open-ended questions.</w:t>
      </w:r>
    </w:p>
    <w:p>
      <w:pPr>
        <w:pStyle w:val="BodyText"/>
      </w:pPr>
    </w:p>
    <w:p>
      <w:pPr>
        <w:pStyle w:val="BodyText"/>
        <w:ind w:left="116" w:right="109"/>
        <w:jc w:val="both"/>
      </w:pPr>
      <w:r>
        <w:rPr>
          <w:color w:val="212121"/>
        </w:rPr>
        <w:t>Based on strategies for conservation and environmental education in the park, obtained mean by an Strengths, Weaknesses, Opportunities and Threats (SWOT) and The Logical Framework Approach (LFA) analysis, a proposal therein a botanical garden, was established for contributing to the Global Strategy for Plant Conservation Strategy and the Mexican Arises for Plant Conservation.</w:t>
      </w:r>
    </w:p>
    <w:p>
      <w:pPr>
        <w:pStyle w:val="BodyText"/>
      </w:pPr>
    </w:p>
    <w:p>
      <w:pPr>
        <w:pStyle w:val="BodyText"/>
        <w:ind w:left="116" w:right="111"/>
        <w:jc w:val="both"/>
      </w:pPr>
      <w:r>
        <w:rPr>
          <w:color w:val="212121"/>
        </w:rPr>
        <w:t>The delimitation of environmental management areas, allowed to locate the plant species and be subsequently more easily located. </w:t>
      </w:r>
      <w:r>
        <w:rPr>
          <w:color w:val="212121"/>
          <w:spacing w:val="-3"/>
        </w:rPr>
        <w:t>In </w:t>
      </w:r>
      <w:r>
        <w:rPr>
          <w:color w:val="212121"/>
        </w:rPr>
        <w:t>addition, the floristic list consisted of collecting information about taxonomy of each, and ethnobotanical study about the attributed use. In base of these important data, for their inclusion at environmental education and information programs, they are essential in planning the botanical garden establishment proposal at this park. The park is a valuable resource for the development of research at botany, taxonomy, hydrological and entomological areas, among</w:t>
      </w:r>
      <w:r>
        <w:rPr>
          <w:color w:val="212121"/>
          <w:spacing w:val="-27"/>
        </w:rPr>
        <w:t> </w:t>
      </w:r>
      <w:r>
        <w:rPr>
          <w:color w:val="212121"/>
        </w:rPr>
        <w:t>others.</w:t>
      </w:r>
    </w:p>
    <w:p>
      <w:pPr>
        <w:spacing w:after="0"/>
        <w:jc w:val="both"/>
        <w:sectPr>
          <w:pgSz w:w="12240" w:h="15840"/>
          <w:pgMar w:header="690" w:footer="1146" w:top="880" w:bottom="1340" w:left="1300" w:right="1300"/>
        </w:sectPr>
      </w:pPr>
    </w:p>
    <w:p>
      <w:pPr>
        <w:pStyle w:val="BodyText"/>
        <w:rPr>
          <w:sz w:val="20"/>
        </w:rPr>
      </w:pPr>
    </w:p>
    <w:p>
      <w:pPr>
        <w:pStyle w:val="BodyText"/>
        <w:spacing w:before="6"/>
        <w:rPr>
          <w:sz w:val="18"/>
        </w:rPr>
      </w:pPr>
    </w:p>
    <w:p>
      <w:pPr>
        <w:pStyle w:val="Heading2"/>
        <w:spacing w:before="70"/>
        <w:ind w:left="4278" w:right="4961"/>
        <w:jc w:val="center"/>
      </w:pPr>
      <w:r>
        <w:rPr/>
        <w:t>CONTENIDO</w:t>
      </w:r>
    </w:p>
    <w:p>
      <w:pPr>
        <w:pStyle w:val="BodyText"/>
        <w:rPr>
          <w:b/>
          <w:sz w:val="20"/>
        </w:rPr>
      </w:pPr>
    </w:p>
    <w:p>
      <w:pPr>
        <w:pStyle w:val="BodyText"/>
        <w:rPr>
          <w:b/>
          <w:sz w:val="20"/>
        </w:rPr>
      </w:pPr>
    </w:p>
    <w:p>
      <w:pPr>
        <w:pStyle w:val="BodyText"/>
        <w:rPr>
          <w:b/>
          <w:sz w:val="20"/>
        </w:rPr>
      </w:pPr>
    </w:p>
    <w:p>
      <w:pPr>
        <w:pStyle w:val="BodyText"/>
        <w:rPr>
          <w:b/>
          <w:sz w:val="11"/>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49"/>
        <w:gridCol w:w="639"/>
      </w:tblGrid>
      <w:tr>
        <w:trPr>
          <w:trHeight w:val="302" w:hRule="exact"/>
        </w:trPr>
        <w:tc>
          <w:tcPr>
            <w:tcW w:w="9849" w:type="dxa"/>
          </w:tcPr>
          <w:p>
            <w:pPr>
              <w:pStyle w:val="TableParagraph"/>
              <w:spacing w:line="226" w:lineRule="exact"/>
              <w:ind w:right="120"/>
              <w:jc w:val="right"/>
              <w:rPr>
                <w:b/>
                <w:sz w:val="22"/>
              </w:rPr>
            </w:pPr>
            <w:r>
              <w:rPr>
                <w:b/>
                <w:sz w:val="22"/>
              </w:rPr>
              <w:t>RESUMEN……………………………………………………………………………….……………………</w:t>
            </w:r>
          </w:p>
        </w:tc>
        <w:tc>
          <w:tcPr>
            <w:tcW w:w="639" w:type="dxa"/>
          </w:tcPr>
          <w:p>
            <w:pPr>
              <w:pStyle w:val="TableParagraph"/>
              <w:spacing w:line="230" w:lineRule="exact"/>
              <w:ind w:left="108"/>
              <w:rPr>
                <w:sz w:val="22"/>
              </w:rPr>
            </w:pPr>
            <w:r>
              <w:rPr>
                <w:sz w:val="22"/>
              </w:rPr>
              <w:t>VII</w:t>
            </w:r>
          </w:p>
        </w:tc>
      </w:tr>
      <w:tr>
        <w:trPr>
          <w:trHeight w:val="379" w:hRule="exact"/>
        </w:trPr>
        <w:tc>
          <w:tcPr>
            <w:tcW w:w="9849" w:type="dxa"/>
          </w:tcPr>
          <w:p>
            <w:pPr>
              <w:pStyle w:val="TableParagraph"/>
              <w:spacing w:before="49"/>
              <w:ind w:right="122"/>
              <w:jc w:val="right"/>
              <w:rPr>
                <w:b/>
                <w:sz w:val="22"/>
              </w:rPr>
            </w:pPr>
            <w:r>
              <w:rPr>
                <w:b/>
                <w:sz w:val="22"/>
              </w:rPr>
              <w:t>ABSTRACT……………………………………………………………………………...……………….......</w:t>
            </w:r>
          </w:p>
        </w:tc>
        <w:tc>
          <w:tcPr>
            <w:tcW w:w="639" w:type="dxa"/>
          </w:tcPr>
          <w:p>
            <w:pPr>
              <w:pStyle w:val="TableParagraph"/>
              <w:spacing w:before="54"/>
              <w:ind w:left="108"/>
              <w:rPr>
                <w:sz w:val="22"/>
              </w:rPr>
            </w:pPr>
            <w:r>
              <w:rPr>
                <w:sz w:val="22"/>
              </w:rPr>
              <w:t>VIII</w:t>
            </w:r>
          </w:p>
        </w:tc>
      </w:tr>
      <w:tr>
        <w:trPr>
          <w:trHeight w:val="379" w:hRule="exact"/>
        </w:trPr>
        <w:tc>
          <w:tcPr>
            <w:tcW w:w="9849" w:type="dxa"/>
          </w:tcPr>
          <w:p>
            <w:pPr>
              <w:pStyle w:val="TableParagraph"/>
              <w:spacing w:before="49"/>
              <w:ind w:right="106"/>
              <w:jc w:val="right"/>
              <w:rPr>
                <w:b/>
                <w:sz w:val="22"/>
              </w:rPr>
            </w:pPr>
            <w:r>
              <w:rPr>
                <w:b/>
                <w:sz w:val="22"/>
              </w:rPr>
              <w:t>INTRODUCCIÓN………………………………………………………………………..……………………</w:t>
            </w:r>
          </w:p>
        </w:tc>
        <w:tc>
          <w:tcPr>
            <w:tcW w:w="639" w:type="dxa"/>
          </w:tcPr>
          <w:p>
            <w:pPr>
              <w:pStyle w:val="TableParagraph"/>
              <w:spacing w:before="54"/>
              <w:ind w:right="47"/>
              <w:jc w:val="center"/>
              <w:rPr>
                <w:sz w:val="22"/>
              </w:rPr>
            </w:pPr>
            <w:r>
              <w:rPr>
                <w:w w:val="100"/>
                <w:sz w:val="22"/>
              </w:rPr>
              <w:t>1</w:t>
            </w:r>
          </w:p>
        </w:tc>
      </w:tr>
      <w:tr>
        <w:trPr>
          <w:trHeight w:val="379" w:hRule="exact"/>
        </w:trPr>
        <w:tc>
          <w:tcPr>
            <w:tcW w:w="9849" w:type="dxa"/>
          </w:tcPr>
          <w:p>
            <w:pPr>
              <w:pStyle w:val="TableParagraph"/>
              <w:spacing w:before="49"/>
              <w:ind w:right="131"/>
              <w:jc w:val="right"/>
              <w:rPr>
                <w:b/>
                <w:sz w:val="22"/>
              </w:rPr>
            </w:pPr>
            <w:r>
              <w:rPr>
                <w:b/>
                <w:sz w:val="22"/>
              </w:rPr>
              <w:t>Justificación………………………………………………………….................…………………...</w:t>
            </w:r>
          </w:p>
        </w:tc>
        <w:tc>
          <w:tcPr>
            <w:tcW w:w="639" w:type="dxa"/>
          </w:tcPr>
          <w:p>
            <w:pPr>
              <w:pStyle w:val="TableParagraph"/>
              <w:spacing w:before="54"/>
              <w:ind w:right="47"/>
              <w:jc w:val="center"/>
              <w:rPr>
                <w:sz w:val="22"/>
              </w:rPr>
            </w:pPr>
            <w:r>
              <w:rPr>
                <w:w w:val="100"/>
                <w:sz w:val="22"/>
              </w:rPr>
              <w:t>2</w:t>
            </w:r>
          </w:p>
        </w:tc>
      </w:tr>
      <w:tr>
        <w:trPr>
          <w:trHeight w:val="379" w:hRule="exact"/>
        </w:trPr>
        <w:tc>
          <w:tcPr>
            <w:tcW w:w="9849" w:type="dxa"/>
          </w:tcPr>
          <w:p>
            <w:pPr>
              <w:pStyle w:val="TableParagraph"/>
              <w:spacing w:before="49"/>
              <w:ind w:right="125"/>
              <w:jc w:val="right"/>
              <w:rPr>
                <w:b/>
                <w:sz w:val="22"/>
              </w:rPr>
            </w:pPr>
            <w:r>
              <w:rPr>
                <w:b/>
                <w:sz w:val="22"/>
              </w:rPr>
              <w:t>Problema de Investigación…………………………………………………………………………</w:t>
            </w:r>
          </w:p>
        </w:tc>
        <w:tc>
          <w:tcPr>
            <w:tcW w:w="639" w:type="dxa"/>
          </w:tcPr>
          <w:p>
            <w:pPr>
              <w:pStyle w:val="TableParagraph"/>
              <w:spacing w:before="54"/>
              <w:ind w:right="47"/>
              <w:jc w:val="center"/>
              <w:rPr>
                <w:sz w:val="22"/>
              </w:rPr>
            </w:pPr>
            <w:r>
              <w:rPr>
                <w:w w:val="100"/>
                <w:sz w:val="22"/>
              </w:rPr>
              <w:t>3</w:t>
            </w:r>
          </w:p>
        </w:tc>
      </w:tr>
      <w:tr>
        <w:trPr>
          <w:trHeight w:val="379" w:hRule="exact"/>
        </w:trPr>
        <w:tc>
          <w:tcPr>
            <w:tcW w:w="9849" w:type="dxa"/>
          </w:tcPr>
          <w:p>
            <w:pPr>
              <w:pStyle w:val="TableParagraph"/>
              <w:spacing w:before="49"/>
              <w:ind w:right="141"/>
              <w:jc w:val="right"/>
              <w:rPr>
                <w:b/>
                <w:sz w:val="22"/>
              </w:rPr>
            </w:pPr>
            <w:r>
              <w:rPr>
                <w:b/>
                <w:sz w:val="22"/>
              </w:rPr>
              <w:t>Hipótesis…………………………………………………………………………..…………………..</w:t>
            </w:r>
          </w:p>
        </w:tc>
        <w:tc>
          <w:tcPr>
            <w:tcW w:w="639" w:type="dxa"/>
          </w:tcPr>
          <w:p>
            <w:pPr>
              <w:pStyle w:val="TableParagraph"/>
              <w:spacing w:before="54"/>
              <w:ind w:right="47"/>
              <w:jc w:val="center"/>
              <w:rPr>
                <w:sz w:val="22"/>
              </w:rPr>
            </w:pPr>
            <w:r>
              <w:rPr>
                <w:w w:val="100"/>
                <w:sz w:val="22"/>
              </w:rPr>
              <w:t>4</w:t>
            </w:r>
          </w:p>
        </w:tc>
      </w:tr>
      <w:tr>
        <w:trPr>
          <w:trHeight w:val="380" w:hRule="exact"/>
        </w:trPr>
        <w:tc>
          <w:tcPr>
            <w:tcW w:w="9849" w:type="dxa"/>
          </w:tcPr>
          <w:p>
            <w:pPr>
              <w:pStyle w:val="TableParagraph"/>
              <w:spacing w:before="49"/>
              <w:ind w:right="126"/>
              <w:jc w:val="right"/>
              <w:rPr>
                <w:b/>
                <w:sz w:val="22"/>
              </w:rPr>
            </w:pPr>
            <w:r>
              <w:rPr>
                <w:b/>
                <w:sz w:val="22"/>
              </w:rPr>
              <w:t>Objetivo General………………………………..………………………………..…………………..</w:t>
            </w:r>
          </w:p>
        </w:tc>
        <w:tc>
          <w:tcPr>
            <w:tcW w:w="639" w:type="dxa"/>
          </w:tcPr>
          <w:p>
            <w:pPr>
              <w:pStyle w:val="TableParagraph"/>
              <w:spacing w:before="54"/>
              <w:ind w:right="47"/>
              <w:jc w:val="center"/>
              <w:rPr>
                <w:sz w:val="22"/>
              </w:rPr>
            </w:pPr>
            <w:r>
              <w:rPr>
                <w:w w:val="100"/>
                <w:sz w:val="22"/>
              </w:rPr>
              <w:t>4</w:t>
            </w:r>
          </w:p>
        </w:tc>
      </w:tr>
      <w:tr>
        <w:trPr>
          <w:trHeight w:val="379" w:hRule="exact"/>
        </w:trPr>
        <w:tc>
          <w:tcPr>
            <w:tcW w:w="9849" w:type="dxa"/>
          </w:tcPr>
          <w:p>
            <w:pPr>
              <w:pStyle w:val="TableParagraph"/>
              <w:spacing w:before="49"/>
              <w:ind w:right="126"/>
              <w:jc w:val="right"/>
              <w:rPr>
                <w:b/>
                <w:sz w:val="22"/>
              </w:rPr>
            </w:pPr>
            <w:r>
              <w:rPr>
                <w:b/>
                <w:sz w:val="22"/>
              </w:rPr>
              <w:t>Objetivos Particulares………………………………..……………………………………………..</w:t>
            </w:r>
          </w:p>
        </w:tc>
        <w:tc>
          <w:tcPr>
            <w:tcW w:w="639" w:type="dxa"/>
          </w:tcPr>
          <w:p>
            <w:pPr>
              <w:pStyle w:val="TableParagraph"/>
              <w:spacing w:before="54"/>
              <w:ind w:right="47"/>
              <w:jc w:val="center"/>
              <w:rPr>
                <w:sz w:val="22"/>
              </w:rPr>
            </w:pPr>
            <w:r>
              <w:rPr>
                <w:w w:val="100"/>
                <w:sz w:val="22"/>
              </w:rPr>
              <w:t>4</w:t>
            </w:r>
          </w:p>
        </w:tc>
      </w:tr>
      <w:tr>
        <w:trPr>
          <w:trHeight w:val="379" w:hRule="exact"/>
        </w:trPr>
        <w:tc>
          <w:tcPr>
            <w:tcW w:w="9849" w:type="dxa"/>
          </w:tcPr>
          <w:p>
            <w:pPr>
              <w:pStyle w:val="TableParagraph"/>
              <w:spacing w:before="49"/>
              <w:ind w:right="130"/>
              <w:jc w:val="right"/>
              <w:rPr>
                <w:b/>
                <w:sz w:val="22"/>
              </w:rPr>
            </w:pPr>
            <w:r>
              <w:rPr>
                <w:b/>
                <w:sz w:val="22"/>
              </w:rPr>
              <w:t>CAPÍTULO I. MARCO TEÓRICO……...…………………………………………………………………..</w:t>
            </w:r>
          </w:p>
        </w:tc>
        <w:tc>
          <w:tcPr>
            <w:tcW w:w="639" w:type="dxa"/>
          </w:tcPr>
          <w:p>
            <w:pPr>
              <w:pStyle w:val="TableParagraph"/>
              <w:spacing w:before="54"/>
              <w:ind w:right="47"/>
              <w:jc w:val="center"/>
              <w:rPr>
                <w:sz w:val="22"/>
              </w:rPr>
            </w:pPr>
            <w:r>
              <w:rPr>
                <w:w w:val="100"/>
                <w:sz w:val="22"/>
              </w:rPr>
              <w:t>5</w:t>
            </w:r>
          </w:p>
        </w:tc>
      </w:tr>
      <w:tr>
        <w:trPr>
          <w:trHeight w:val="379" w:hRule="exact"/>
        </w:trPr>
        <w:tc>
          <w:tcPr>
            <w:tcW w:w="9849" w:type="dxa"/>
          </w:tcPr>
          <w:p>
            <w:pPr>
              <w:pStyle w:val="TableParagraph"/>
              <w:spacing w:before="49"/>
              <w:ind w:right="155"/>
              <w:jc w:val="right"/>
              <w:rPr>
                <w:b/>
                <w:sz w:val="22"/>
              </w:rPr>
            </w:pPr>
            <w:r>
              <w:rPr>
                <w:b/>
                <w:sz w:val="22"/>
              </w:rPr>
              <w:t>1.1. Importancia de la flora…………………………………………………………………………..</w:t>
            </w:r>
          </w:p>
        </w:tc>
        <w:tc>
          <w:tcPr>
            <w:tcW w:w="639" w:type="dxa"/>
          </w:tcPr>
          <w:p>
            <w:pPr>
              <w:pStyle w:val="TableParagraph"/>
              <w:spacing w:before="54"/>
              <w:ind w:right="47"/>
              <w:jc w:val="center"/>
              <w:rPr>
                <w:sz w:val="22"/>
              </w:rPr>
            </w:pPr>
            <w:r>
              <w:rPr>
                <w:w w:val="100"/>
                <w:sz w:val="22"/>
              </w:rPr>
              <w:t>5</w:t>
            </w:r>
          </w:p>
        </w:tc>
      </w:tr>
      <w:tr>
        <w:trPr>
          <w:trHeight w:val="379" w:hRule="exact"/>
        </w:trPr>
        <w:tc>
          <w:tcPr>
            <w:tcW w:w="9849" w:type="dxa"/>
          </w:tcPr>
          <w:p>
            <w:pPr>
              <w:pStyle w:val="TableParagraph"/>
              <w:spacing w:before="49"/>
              <w:ind w:right="132"/>
              <w:jc w:val="right"/>
              <w:rPr>
                <w:b/>
                <w:sz w:val="22"/>
              </w:rPr>
            </w:pPr>
            <w:r>
              <w:rPr>
                <w:b/>
                <w:sz w:val="22"/>
              </w:rPr>
              <w:t>1.2. Investigaciones florísticas en el Estado de México………………………………………..</w:t>
            </w:r>
          </w:p>
        </w:tc>
        <w:tc>
          <w:tcPr>
            <w:tcW w:w="639" w:type="dxa"/>
          </w:tcPr>
          <w:p>
            <w:pPr>
              <w:pStyle w:val="TableParagraph"/>
              <w:spacing w:before="54"/>
              <w:ind w:right="47"/>
              <w:jc w:val="center"/>
              <w:rPr>
                <w:sz w:val="22"/>
              </w:rPr>
            </w:pPr>
            <w:r>
              <w:rPr>
                <w:w w:val="100"/>
                <w:sz w:val="22"/>
              </w:rPr>
              <w:t>8</w:t>
            </w:r>
          </w:p>
        </w:tc>
      </w:tr>
      <w:tr>
        <w:trPr>
          <w:trHeight w:val="379" w:hRule="exact"/>
        </w:trPr>
        <w:tc>
          <w:tcPr>
            <w:tcW w:w="9849" w:type="dxa"/>
          </w:tcPr>
          <w:p>
            <w:pPr>
              <w:pStyle w:val="TableParagraph"/>
              <w:spacing w:before="49"/>
              <w:ind w:right="140"/>
              <w:jc w:val="right"/>
              <w:rPr>
                <w:b/>
                <w:sz w:val="22"/>
              </w:rPr>
            </w:pPr>
            <w:r>
              <w:rPr>
                <w:b/>
                <w:sz w:val="22"/>
              </w:rPr>
              <w:t>1.3. Estrategias de conservación de las especies vegetales………………………………….</w:t>
            </w:r>
          </w:p>
        </w:tc>
        <w:tc>
          <w:tcPr>
            <w:tcW w:w="639" w:type="dxa"/>
          </w:tcPr>
          <w:p>
            <w:pPr>
              <w:pStyle w:val="TableParagraph"/>
              <w:spacing w:before="54"/>
              <w:ind w:left="108"/>
              <w:rPr>
                <w:sz w:val="22"/>
              </w:rPr>
            </w:pPr>
            <w:r>
              <w:rPr>
                <w:sz w:val="22"/>
              </w:rPr>
              <w:t>12</w:t>
            </w:r>
          </w:p>
        </w:tc>
      </w:tr>
      <w:tr>
        <w:trPr>
          <w:trHeight w:val="379" w:hRule="exact"/>
        </w:trPr>
        <w:tc>
          <w:tcPr>
            <w:tcW w:w="9849" w:type="dxa"/>
          </w:tcPr>
          <w:p>
            <w:pPr>
              <w:pStyle w:val="TableParagraph"/>
              <w:spacing w:before="49"/>
              <w:ind w:right="153"/>
              <w:jc w:val="right"/>
              <w:rPr>
                <w:b/>
                <w:sz w:val="22"/>
              </w:rPr>
            </w:pPr>
            <w:r>
              <w:rPr>
                <w:b/>
                <w:sz w:val="22"/>
              </w:rPr>
              <w:t>1.4. Importancia de los Jardines botánicos………………………………………………………</w:t>
            </w:r>
          </w:p>
        </w:tc>
        <w:tc>
          <w:tcPr>
            <w:tcW w:w="639" w:type="dxa"/>
          </w:tcPr>
          <w:p>
            <w:pPr>
              <w:pStyle w:val="TableParagraph"/>
              <w:spacing w:before="54"/>
              <w:ind w:left="108"/>
              <w:rPr>
                <w:sz w:val="22"/>
              </w:rPr>
            </w:pPr>
            <w:r>
              <w:rPr>
                <w:sz w:val="22"/>
              </w:rPr>
              <w:t>14</w:t>
            </w:r>
          </w:p>
        </w:tc>
      </w:tr>
      <w:tr>
        <w:trPr>
          <w:trHeight w:val="379" w:hRule="exact"/>
        </w:trPr>
        <w:tc>
          <w:tcPr>
            <w:tcW w:w="9849" w:type="dxa"/>
          </w:tcPr>
          <w:p>
            <w:pPr>
              <w:pStyle w:val="TableParagraph"/>
              <w:spacing w:before="49"/>
              <w:ind w:right="145"/>
              <w:jc w:val="right"/>
              <w:rPr>
                <w:b/>
                <w:sz w:val="22"/>
              </w:rPr>
            </w:pPr>
            <w:r>
              <w:rPr>
                <w:b/>
                <w:sz w:val="22"/>
              </w:rPr>
              <w:t>1.5. Educación y cultura ambiental……………………………………………..………………….</w:t>
            </w:r>
          </w:p>
        </w:tc>
        <w:tc>
          <w:tcPr>
            <w:tcW w:w="639" w:type="dxa"/>
          </w:tcPr>
          <w:p>
            <w:pPr>
              <w:pStyle w:val="TableParagraph"/>
              <w:spacing w:before="54"/>
              <w:ind w:left="108"/>
              <w:rPr>
                <w:sz w:val="22"/>
              </w:rPr>
            </w:pPr>
            <w:r>
              <w:rPr>
                <w:sz w:val="22"/>
              </w:rPr>
              <w:t>16</w:t>
            </w:r>
          </w:p>
        </w:tc>
      </w:tr>
      <w:tr>
        <w:trPr>
          <w:trHeight w:val="379" w:hRule="exact"/>
        </w:trPr>
        <w:tc>
          <w:tcPr>
            <w:tcW w:w="9849" w:type="dxa"/>
          </w:tcPr>
          <w:p>
            <w:pPr>
              <w:pStyle w:val="TableParagraph"/>
              <w:spacing w:before="49"/>
              <w:ind w:right="136"/>
              <w:jc w:val="right"/>
              <w:rPr>
                <w:b/>
                <w:sz w:val="22"/>
              </w:rPr>
            </w:pPr>
            <w:r>
              <w:rPr>
                <w:b/>
                <w:sz w:val="22"/>
              </w:rPr>
              <w:t>1.6. La Etnobotánica……………………………………………………………….………………….</w:t>
            </w:r>
          </w:p>
        </w:tc>
        <w:tc>
          <w:tcPr>
            <w:tcW w:w="639" w:type="dxa"/>
          </w:tcPr>
          <w:p>
            <w:pPr>
              <w:pStyle w:val="TableParagraph"/>
              <w:spacing w:before="54"/>
              <w:ind w:left="108"/>
              <w:rPr>
                <w:sz w:val="22"/>
              </w:rPr>
            </w:pPr>
            <w:r>
              <w:rPr>
                <w:sz w:val="22"/>
              </w:rPr>
              <w:t>20</w:t>
            </w:r>
          </w:p>
        </w:tc>
      </w:tr>
      <w:tr>
        <w:trPr>
          <w:trHeight w:val="379" w:hRule="exact"/>
        </w:trPr>
        <w:tc>
          <w:tcPr>
            <w:tcW w:w="9849" w:type="dxa"/>
          </w:tcPr>
          <w:p>
            <w:pPr>
              <w:pStyle w:val="TableParagraph"/>
              <w:spacing w:before="49"/>
              <w:ind w:right="148"/>
              <w:jc w:val="right"/>
              <w:rPr>
                <w:b/>
                <w:sz w:val="22"/>
              </w:rPr>
            </w:pPr>
            <w:r>
              <w:rPr>
                <w:b/>
                <w:sz w:val="22"/>
              </w:rPr>
              <w:t>1.7. Desarrollo de los estudios etnobotánicos en México……………………………………..</w:t>
            </w:r>
          </w:p>
        </w:tc>
        <w:tc>
          <w:tcPr>
            <w:tcW w:w="639" w:type="dxa"/>
          </w:tcPr>
          <w:p>
            <w:pPr>
              <w:pStyle w:val="TableParagraph"/>
              <w:spacing w:before="54"/>
              <w:ind w:left="108"/>
              <w:rPr>
                <w:sz w:val="22"/>
              </w:rPr>
            </w:pPr>
            <w:r>
              <w:rPr>
                <w:sz w:val="22"/>
              </w:rPr>
              <w:t>25</w:t>
            </w:r>
          </w:p>
        </w:tc>
      </w:tr>
      <w:tr>
        <w:trPr>
          <w:trHeight w:val="382" w:hRule="exact"/>
        </w:trPr>
        <w:tc>
          <w:tcPr>
            <w:tcW w:w="9849" w:type="dxa"/>
          </w:tcPr>
          <w:p>
            <w:pPr>
              <w:pStyle w:val="TableParagraph"/>
              <w:spacing w:before="49"/>
              <w:ind w:right="121"/>
              <w:jc w:val="right"/>
              <w:rPr>
                <w:b/>
                <w:sz w:val="22"/>
              </w:rPr>
            </w:pPr>
            <w:r>
              <w:rPr>
                <w:b/>
                <w:sz w:val="22"/>
              </w:rPr>
              <w:t>1.8. Análisis del Enfoque del Marco Lógico (EML)………………………………………………</w:t>
            </w:r>
          </w:p>
        </w:tc>
        <w:tc>
          <w:tcPr>
            <w:tcW w:w="639" w:type="dxa"/>
          </w:tcPr>
          <w:p>
            <w:pPr>
              <w:pStyle w:val="TableParagraph"/>
              <w:spacing w:before="54"/>
              <w:ind w:left="108"/>
              <w:rPr>
                <w:sz w:val="22"/>
              </w:rPr>
            </w:pPr>
            <w:r>
              <w:rPr>
                <w:sz w:val="22"/>
              </w:rPr>
              <w:t>26</w:t>
            </w:r>
          </w:p>
        </w:tc>
      </w:tr>
      <w:tr>
        <w:trPr>
          <w:trHeight w:val="382" w:hRule="exact"/>
        </w:trPr>
        <w:tc>
          <w:tcPr>
            <w:tcW w:w="9849" w:type="dxa"/>
          </w:tcPr>
          <w:p>
            <w:pPr>
              <w:pStyle w:val="TableParagraph"/>
              <w:spacing w:before="51"/>
              <w:ind w:right="146"/>
              <w:jc w:val="right"/>
              <w:rPr>
                <w:b/>
                <w:sz w:val="22"/>
              </w:rPr>
            </w:pPr>
            <w:r>
              <w:rPr>
                <w:b/>
                <w:sz w:val="22"/>
              </w:rPr>
              <w:t>CAPÍTULO II. METODOLOGÍA……………………………………………………….……………….…..</w:t>
            </w:r>
          </w:p>
        </w:tc>
        <w:tc>
          <w:tcPr>
            <w:tcW w:w="639" w:type="dxa"/>
          </w:tcPr>
          <w:p>
            <w:pPr>
              <w:pStyle w:val="TableParagraph"/>
              <w:spacing w:before="56"/>
              <w:ind w:left="108"/>
              <w:rPr>
                <w:sz w:val="22"/>
              </w:rPr>
            </w:pPr>
            <w:r>
              <w:rPr>
                <w:sz w:val="22"/>
              </w:rPr>
              <w:t>28</w:t>
            </w:r>
          </w:p>
        </w:tc>
      </w:tr>
      <w:tr>
        <w:trPr>
          <w:trHeight w:val="379" w:hRule="exact"/>
        </w:trPr>
        <w:tc>
          <w:tcPr>
            <w:tcW w:w="9849" w:type="dxa"/>
          </w:tcPr>
          <w:p>
            <w:pPr>
              <w:pStyle w:val="TableParagraph"/>
              <w:spacing w:before="49"/>
              <w:ind w:right="154"/>
              <w:jc w:val="right"/>
              <w:rPr>
                <w:b/>
                <w:sz w:val="22"/>
              </w:rPr>
            </w:pPr>
            <w:r>
              <w:rPr>
                <w:b/>
                <w:sz w:val="22"/>
              </w:rPr>
              <w:t>2.1. Caracterización Geográfica del Parque Universitario “Las Orquídeas”……………….</w:t>
            </w:r>
          </w:p>
        </w:tc>
        <w:tc>
          <w:tcPr>
            <w:tcW w:w="639" w:type="dxa"/>
          </w:tcPr>
          <w:p>
            <w:pPr>
              <w:pStyle w:val="TableParagraph"/>
              <w:spacing w:before="54"/>
              <w:ind w:left="108"/>
              <w:rPr>
                <w:sz w:val="22"/>
              </w:rPr>
            </w:pPr>
            <w:r>
              <w:rPr>
                <w:sz w:val="22"/>
              </w:rPr>
              <w:t>28</w:t>
            </w:r>
          </w:p>
        </w:tc>
      </w:tr>
      <w:tr>
        <w:trPr>
          <w:trHeight w:val="380" w:hRule="exact"/>
        </w:trPr>
        <w:tc>
          <w:tcPr>
            <w:tcW w:w="9849" w:type="dxa"/>
          </w:tcPr>
          <w:p>
            <w:pPr>
              <w:pStyle w:val="TableParagraph"/>
              <w:spacing w:before="49"/>
              <w:ind w:right="159"/>
              <w:jc w:val="right"/>
              <w:rPr>
                <w:b/>
                <w:sz w:val="22"/>
              </w:rPr>
            </w:pPr>
            <w:r>
              <w:rPr>
                <w:b/>
                <w:sz w:val="22"/>
              </w:rPr>
              <w:t>2.2. Establecimiento y delimitación de las Zonas de Manejo Ambiental……………………</w:t>
            </w:r>
          </w:p>
        </w:tc>
        <w:tc>
          <w:tcPr>
            <w:tcW w:w="639" w:type="dxa"/>
          </w:tcPr>
          <w:p>
            <w:pPr>
              <w:pStyle w:val="TableParagraph"/>
              <w:spacing w:before="54"/>
              <w:ind w:left="108"/>
              <w:rPr>
                <w:sz w:val="22"/>
              </w:rPr>
            </w:pPr>
            <w:r>
              <w:rPr>
                <w:sz w:val="22"/>
              </w:rPr>
              <w:t>28</w:t>
            </w:r>
          </w:p>
        </w:tc>
      </w:tr>
      <w:tr>
        <w:trPr>
          <w:trHeight w:val="758" w:hRule="exact"/>
        </w:trPr>
        <w:tc>
          <w:tcPr>
            <w:tcW w:w="9849" w:type="dxa"/>
          </w:tcPr>
          <w:p>
            <w:pPr>
              <w:pStyle w:val="TableParagraph"/>
              <w:spacing w:line="360" w:lineRule="auto" w:before="49"/>
              <w:ind w:left="1050" w:right="101" w:hanging="423"/>
              <w:rPr>
                <w:b/>
                <w:sz w:val="22"/>
              </w:rPr>
            </w:pPr>
            <w:r>
              <w:rPr>
                <w:b/>
                <w:sz w:val="22"/>
              </w:rPr>
              <w:t>2.3. Identificación taxonómica de las especies de flora considerando su distribución dentro del parque…………………………………………………………………………………</w:t>
            </w:r>
          </w:p>
        </w:tc>
        <w:tc>
          <w:tcPr>
            <w:tcW w:w="639" w:type="dxa"/>
          </w:tcPr>
          <w:p>
            <w:pPr>
              <w:pStyle w:val="TableParagraph"/>
              <w:rPr>
                <w:b/>
                <w:sz w:val="22"/>
              </w:rPr>
            </w:pPr>
          </w:p>
          <w:p>
            <w:pPr>
              <w:pStyle w:val="TableParagraph"/>
              <w:spacing w:before="180"/>
              <w:ind w:left="108"/>
              <w:rPr>
                <w:sz w:val="22"/>
              </w:rPr>
            </w:pPr>
            <w:r>
              <w:rPr>
                <w:sz w:val="22"/>
              </w:rPr>
              <w:t>29</w:t>
            </w:r>
          </w:p>
        </w:tc>
      </w:tr>
      <w:tr>
        <w:trPr>
          <w:trHeight w:val="379" w:hRule="exact"/>
        </w:trPr>
        <w:tc>
          <w:tcPr>
            <w:tcW w:w="9849" w:type="dxa"/>
          </w:tcPr>
          <w:p>
            <w:pPr>
              <w:pStyle w:val="TableParagraph"/>
              <w:spacing w:before="49"/>
              <w:ind w:right="117"/>
              <w:jc w:val="right"/>
              <w:rPr>
                <w:b/>
                <w:sz w:val="22"/>
              </w:rPr>
            </w:pPr>
            <w:r>
              <w:rPr>
                <w:b/>
                <w:sz w:val="22"/>
              </w:rPr>
              <w:t>2.4. Determinación del uso que se atribuye a cada especie de flora………………………...</w:t>
            </w:r>
          </w:p>
        </w:tc>
        <w:tc>
          <w:tcPr>
            <w:tcW w:w="639" w:type="dxa"/>
          </w:tcPr>
          <w:p>
            <w:pPr>
              <w:pStyle w:val="TableParagraph"/>
              <w:spacing w:before="54"/>
              <w:ind w:left="108"/>
              <w:rPr>
                <w:sz w:val="22"/>
              </w:rPr>
            </w:pPr>
            <w:r>
              <w:rPr>
                <w:sz w:val="22"/>
              </w:rPr>
              <w:t>32</w:t>
            </w:r>
          </w:p>
        </w:tc>
      </w:tr>
      <w:tr>
        <w:trPr>
          <w:trHeight w:val="379" w:hRule="exact"/>
        </w:trPr>
        <w:tc>
          <w:tcPr>
            <w:tcW w:w="9849" w:type="dxa"/>
          </w:tcPr>
          <w:p>
            <w:pPr>
              <w:pStyle w:val="TableParagraph"/>
              <w:spacing w:before="49"/>
              <w:ind w:right="165"/>
              <w:jc w:val="right"/>
              <w:rPr>
                <w:b/>
                <w:sz w:val="22"/>
              </w:rPr>
            </w:pPr>
            <w:r>
              <w:rPr>
                <w:b/>
                <w:sz w:val="22"/>
              </w:rPr>
              <w:t>2.5. Estrategias para la conservación y educación ambiental………………………………..</w:t>
            </w:r>
          </w:p>
        </w:tc>
        <w:tc>
          <w:tcPr>
            <w:tcW w:w="639" w:type="dxa"/>
          </w:tcPr>
          <w:p>
            <w:pPr>
              <w:pStyle w:val="TableParagraph"/>
              <w:spacing w:before="54"/>
              <w:ind w:left="108"/>
              <w:rPr>
                <w:sz w:val="22"/>
              </w:rPr>
            </w:pPr>
            <w:r>
              <w:rPr>
                <w:sz w:val="22"/>
              </w:rPr>
              <w:t>33</w:t>
            </w:r>
          </w:p>
        </w:tc>
      </w:tr>
      <w:tr>
        <w:trPr>
          <w:trHeight w:val="379" w:hRule="exact"/>
        </w:trPr>
        <w:tc>
          <w:tcPr>
            <w:tcW w:w="9849" w:type="dxa"/>
          </w:tcPr>
          <w:p>
            <w:pPr>
              <w:pStyle w:val="TableParagraph"/>
              <w:spacing w:before="49"/>
              <w:ind w:right="180"/>
              <w:jc w:val="right"/>
              <w:rPr>
                <w:b/>
                <w:sz w:val="22"/>
              </w:rPr>
            </w:pPr>
            <w:r>
              <w:rPr>
                <w:b/>
                <w:sz w:val="22"/>
              </w:rPr>
              <w:t>CAPÍTULO III. RESULTADOS Y DISCUSIÓN…………………………………………………………..</w:t>
            </w:r>
          </w:p>
        </w:tc>
        <w:tc>
          <w:tcPr>
            <w:tcW w:w="639" w:type="dxa"/>
          </w:tcPr>
          <w:p>
            <w:pPr>
              <w:pStyle w:val="TableParagraph"/>
              <w:spacing w:before="54"/>
              <w:ind w:left="108"/>
              <w:rPr>
                <w:sz w:val="22"/>
              </w:rPr>
            </w:pPr>
            <w:r>
              <w:rPr>
                <w:sz w:val="22"/>
              </w:rPr>
              <w:t>36</w:t>
            </w:r>
          </w:p>
        </w:tc>
      </w:tr>
      <w:tr>
        <w:trPr>
          <w:trHeight w:val="379" w:hRule="exact"/>
        </w:trPr>
        <w:tc>
          <w:tcPr>
            <w:tcW w:w="9849" w:type="dxa"/>
          </w:tcPr>
          <w:p>
            <w:pPr>
              <w:pStyle w:val="TableParagraph"/>
              <w:spacing w:before="49"/>
              <w:ind w:right="116"/>
              <w:jc w:val="right"/>
              <w:rPr>
                <w:b/>
                <w:sz w:val="22"/>
              </w:rPr>
            </w:pPr>
            <w:r>
              <w:rPr>
                <w:b/>
                <w:sz w:val="22"/>
              </w:rPr>
              <w:t>3. 1. Caracterización geográfica del área de estudio……………………………………………</w:t>
            </w:r>
          </w:p>
        </w:tc>
        <w:tc>
          <w:tcPr>
            <w:tcW w:w="639" w:type="dxa"/>
          </w:tcPr>
          <w:p>
            <w:pPr>
              <w:pStyle w:val="TableParagraph"/>
              <w:spacing w:before="54"/>
              <w:ind w:left="108"/>
              <w:rPr>
                <w:sz w:val="22"/>
              </w:rPr>
            </w:pPr>
            <w:r>
              <w:rPr>
                <w:sz w:val="22"/>
              </w:rPr>
              <w:t>36</w:t>
            </w:r>
          </w:p>
        </w:tc>
      </w:tr>
      <w:tr>
        <w:trPr>
          <w:trHeight w:val="379" w:hRule="exact"/>
        </w:trPr>
        <w:tc>
          <w:tcPr>
            <w:tcW w:w="9849" w:type="dxa"/>
          </w:tcPr>
          <w:p>
            <w:pPr>
              <w:pStyle w:val="TableParagraph"/>
              <w:spacing w:before="49"/>
              <w:ind w:right="135"/>
              <w:jc w:val="right"/>
              <w:rPr>
                <w:b/>
                <w:sz w:val="22"/>
              </w:rPr>
            </w:pPr>
            <w:r>
              <w:rPr>
                <w:i/>
                <w:sz w:val="22"/>
              </w:rPr>
              <w:t>3.1.1. Aspectos Físico Geográficos</w:t>
            </w:r>
            <w:r>
              <w:rPr>
                <w:b/>
                <w:sz w:val="22"/>
              </w:rPr>
              <w:t>……………………………………………………………...</w:t>
            </w:r>
          </w:p>
        </w:tc>
        <w:tc>
          <w:tcPr>
            <w:tcW w:w="639" w:type="dxa"/>
          </w:tcPr>
          <w:p>
            <w:pPr>
              <w:pStyle w:val="TableParagraph"/>
              <w:spacing w:before="54"/>
              <w:ind w:left="108"/>
              <w:rPr>
                <w:sz w:val="22"/>
              </w:rPr>
            </w:pPr>
            <w:r>
              <w:rPr>
                <w:sz w:val="22"/>
              </w:rPr>
              <w:t>38</w:t>
            </w:r>
          </w:p>
        </w:tc>
      </w:tr>
      <w:tr>
        <w:trPr>
          <w:trHeight w:val="380" w:hRule="exact"/>
        </w:trPr>
        <w:tc>
          <w:tcPr>
            <w:tcW w:w="9849" w:type="dxa"/>
          </w:tcPr>
          <w:p>
            <w:pPr>
              <w:pStyle w:val="TableParagraph"/>
              <w:spacing w:before="49"/>
              <w:ind w:right="186"/>
              <w:jc w:val="right"/>
              <w:rPr>
                <w:b/>
                <w:sz w:val="22"/>
              </w:rPr>
            </w:pPr>
            <w:r>
              <w:rPr>
                <w:i/>
                <w:sz w:val="22"/>
              </w:rPr>
              <w:t>3.1.2. Aspectos bióticos</w:t>
            </w:r>
            <w:r>
              <w:rPr>
                <w:b/>
                <w:sz w:val="22"/>
              </w:rPr>
              <w:t>…………………………………………………………………………..</w:t>
            </w:r>
          </w:p>
        </w:tc>
        <w:tc>
          <w:tcPr>
            <w:tcW w:w="639" w:type="dxa"/>
          </w:tcPr>
          <w:p>
            <w:pPr>
              <w:pStyle w:val="TableParagraph"/>
              <w:spacing w:before="54"/>
              <w:ind w:left="108"/>
              <w:rPr>
                <w:sz w:val="22"/>
              </w:rPr>
            </w:pPr>
            <w:r>
              <w:rPr>
                <w:sz w:val="22"/>
              </w:rPr>
              <w:t>46</w:t>
            </w:r>
          </w:p>
        </w:tc>
      </w:tr>
      <w:tr>
        <w:trPr>
          <w:trHeight w:val="379" w:hRule="exact"/>
        </w:trPr>
        <w:tc>
          <w:tcPr>
            <w:tcW w:w="9849" w:type="dxa"/>
          </w:tcPr>
          <w:p>
            <w:pPr>
              <w:pStyle w:val="TableParagraph"/>
              <w:spacing w:before="49"/>
              <w:ind w:right="184"/>
              <w:jc w:val="right"/>
              <w:rPr>
                <w:b/>
                <w:sz w:val="22"/>
              </w:rPr>
            </w:pPr>
            <w:r>
              <w:rPr>
                <w:i/>
                <w:sz w:val="22"/>
              </w:rPr>
              <w:t>3.1.3. Contexto socioeconómico de la Cabecera Municipal y del Centro Universitario</w:t>
            </w:r>
            <w:r>
              <w:rPr>
                <w:b/>
                <w:sz w:val="22"/>
              </w:rPr>
              <w:t>…...</w:t>
            </w:r>
          </w:p>
        </w:tc>
        <w:tc>
          <w:tcPr>
            <w:tcW w:w="639" w:type="dxa"/>
          </w:tcPr>
          <w:p>
            <w:pPr>
              <w:pStyle w:val="TableParagraph"/>
              <w:spacing w:before="54"/>
              <w:ind w:left="108"/>
              <w:rPr>
                <w:sz w:val="22"/>
              </w:rPr>
            </w:pPr>
            <w:r>
              <w:rPr>
                <w:sz w:val="22"/>
              </w:rPr>
              <w:t>53</w:t>
            </w:r>
          </w:p>
        </w:tc>
      </w:tr>
      <w:tr>
        <w:trPr>
          <w:trHeight w:val="379" w:hRule="exact"/>
        </w:trPr>
        <w:tc>
          <w:tcPr>
            <w:tcW w:w="9849" w:type="dxa"/>
          </w:tcPr>
          <w:p>
            <w:pPr>
              <w:pStyle w:val="TableParagraph"/>
              <w:spacing w:before="49"/>
              <w:ind w:right="156"/>
              <w:jc w:val="right"/>
              <w:rPr>
                <w:b/>
                <w:sz w:val="22"/>
              </w:rPr>
            </w:pPr>
            <w:r>
              <w:rPr>
                <w:b/>
                <w:sz w:val="22"/>
              </w:rPr>
              <w:t>3. 2. Zonificación ambiental en el POETEM, 2006……………………………………………….</w:t>
            </w:r>
          </w:p>
        </w:tc>
        <w:tc>
          <w:tcPr>
            <w:tcW w:w="639" w:type="dxa"/>
          </w:tcPr>
          <w:p>
            <w:pPr>
              <w:pStyle w:val="TableParagraph"/>
              <w:spacing w:before="54"/>
              <w:ind w:left="108"/>
              <w:rPr>
                <w:sz w:val="22"/>
              </w:rPr>
            </w:pPr>
            <w:r>
              <w:rPr>
                <w:sz w:val="22"/>
              </w:rPr>
              <w:t>55</w:t>
            </w:r>
          </w:p>
        </w:tc>
      </w:tr>
      <w:tr>
        <w:trPr>
          <w:trHeight w:val="302" w:hRule="exact"/>
        </w:trPr>
        <w:tc>
          <w:tcPr>
            <w:tcW w:w="9849" w:type="dxa"/>
          </w:tcPr>
          <w:p>
            <w:pPr>
              <w:pStyle w:val="TableParagraph"/>
              <w:spacing w:before="49"/>
              <w:ind w:right="140"/>
              <w:jc w:val="right"/>
              <w:rPr>
                <w:b/>
                <w:sz w:val="22"/>
              </w:rPr>
            </w:pPr>
            <w:r>
              <w:rPr>
                <w:b/>
                <w:sz w:val="22"/>
              </w:rPr>
              <w:t>3.3. Inventario Florístico General y por Zonas de Manejo Ambiental (ZMA)...……………..</w:t>
            </w:r>
          </w:p>
        </w:tc>
        <w:tc>
          <w:tcPr>
            <w:tcW w:w="639" w:type="dxa"/>
          </w:tcPr>
          <w:p>
            <w:pPr>
              <w:pStyle w:val="TableParagraph"/>
              <w:spacing w:before="54"/>
              <w:ind w:left="108"/>
              <w:rPr>
                <w:sz w:val="22"/>
              </w:rPr>
            </w:pPr>
            <w:r>
              <w:rPr>
                <w:sz w:val="22"/>
              </w:rPr>
              <w:t>64</w:t>
            </w:r>
          </w:p>
        </w:tc>
      </w:tr>
    </w:tbl>
    <w:p>
      <w:pPr>
        <w:spacing w:after="0"/>
        <w:rPr>
          <w:sz w:val="22"/>
        </w:rPr>
        <w:sectPr>
          <w:footerReference w:type="default" r:id="rId11"/>
          <w:pgSz w:w="12240" w:h="15840"/>
          <w:pgMar w:footer="1146" w:header="690" w:top="880" w:bottom="1340" w:left="1100" w:right="420"/>
          <w:pgNumType w:start="9"/>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44"/>
        <w:gridCol w:w="808"/>
      </w:tblGrid>
      <w:tr>
        <w:trPr>
          <w:trHeight w:val="305" w:hRule="exact"/>
        </w:trPr>
        <w:tc>
          <w:tcPr>
            <w:tcW w:w="9844" w:type="dxa"/>
          </w:tcPr>
          <w:p>
            <w:pPr>
              <w:pStyle w:val="TableParagraph"/>
              <w:spacing w:line="226" w:lineRule="exact"/>
              <w:ind w:right="116"/>
              <w:jc w:val="right"/>
              <w:rPr>
                <w:b/>
                <w:sz w:val="22"/>
              </w:rPr>
            </w:pPr>
            <w:r>
              <w:rPr>
                <w:b/>
                <w:sz w:val="22"/>
              </w:rPr>
              <w:t>3.4. Estudio Biogeográfico General y por Zonas de Manejo Ambiental (ZMA)….………....</w:t>
            </w:r>
          </w:p>
        </w:tc>
        <w:tc>
          <w:tcPr>
            <w:tcW w:w="808" w:type="dxa"/>
          </w:tcPr>
          <w:p>
            <w:pPr>
              <w:pStyle w:val="TableParagraph"/>
              <w:spacing w:line="230" w:lineRule="exact"/>
              <w:ind w:left="238"/>
              <w:rPr>
                <w:sz w:val="22"/>
              </w:rPr>
            </w:pPr>
            <w:r>
              <w:rPr>
                <w:sz w:val="22"/>
              </w:rPr>
              <w:t>65</w:t>
            </w:r>
          </w:p>
        </w:tc>
      </w:tr>
      <w:tr>
        <w:trPr>
          <w:trHeight w:val="382" w:hRule="exact"/>
        </w:trPr>
        <w:tc>
          <w:tcPr>
            <w:tcW w:w="9844" w:type="dxa"/>
          </w:tcPr>
          <w:p>
            <w:pPr>
              <w:pStyle w:val="TableParagraph"/>
              <w:spacing w:before="52"/>
              <w:ind w:right="154"/>
              <w:jc w:val="right"/>
              <w:rPr>
                <w:b/>
                <w:sz w:val="22"/>
              </w:rPr>
            </w:pPr>
            <w:r>
              <w:rPr>
                <w:b/>
                <w:sz w:val="22"/>
              </w:rPr>
              <w:t>3.5. Estudio Etnobotánico General y por Zonas de Manejo Ambiental (ZMA)…….……….</w:t>
            </w:r>
          </w:p>
        </w:tc>
        <w:tc>
          <w:tcPr>
            <w:tcW w:w="808" w:type="dxa"/>
          </w:tcPr>
          <w:p>
            <w:pPr>
              <w:pStyle w:val="TableParagraph"/>
              <w:spacing w:before="57"/>
              <w:ind w:left="238"/>
              <w:rPr>
                <w:sz w:val="22"/>
              </w:rPr>
            </w:pPr>
            <w:r>
              <w:rPr>
                <w:sz w:val="22"/>
              </w:rPr>
              <w:t>87</w:t>
            </w:r>
          </w:p>
        </w:tc>
      </w:tr>
      <w:tr>
        <w:trPr>
          <w:trHeight w:val="379" w:hRule="exact"/>
        </w:trPr>
        <w:tc>
          <w:tcPr>
            <w:tcW w:w="9844" w:type="dxa"/>
          </w:tcPr>
          <w:p>
            <w:pPr>
              <w:pStyle w:val="TableParagraph"/>
              <w:spacing w:before="49"/>
              <w:ind w:right="112"/>
              <w:jc w:val="right"/>
              <w:rPr>
                <w:b/>
                <w:sz w:val="22"/>
              </w:rPr>
            </w:pPr>
            <w:r>
              <w:rPr>
                <w:b/>
                <w:sz w:val="22"/>
              </w:rPr>
              <w:t>3.6. Análisis FODA y Estrategias FODA…………………………………………………………...</w:t>
            </w:r>
          </w:p>
        </w:tc>
        <w:tc>
          <w:tcPr>
            <w:tcW w:w="808" w:type="dxa"/>
          </w:tcPr>
          <w:p>
            <w:pPr>
              <w:pStyle w:val="TableParagraph"/>
              <w:spacing w:before="54"/>
              <w:ind w:left="238"/>
              <w:rPr>
                <w:sz w:val="22"/>
              </w:rPr>
            </w:pPr>
            <w:r>
              <w:rPr>
                <w:sz w:val="22"/>
              </w:rPr>
              <w:t>90</w:t>
            </w:r>
          </w:p>
        </w:tc>
      </w:tr>
      <w:tr>
        <w:trPr>
          <w:trHeight w:val="379" w:hRule="exact"/>
        </w:trPr>
        <w:tc>
          <w:tcPr>
            <w:tcW w:w="9844" w:type="dxa"/>
          </w:tcPr>
          <w:p>
            <w:pPr>
              <w:pStyle w:val="TableParagraph"/>
              <w:spacing w:before="49"/>
              <w:ind w:right="213"/>
              <w:jc w:val="right"/>
              <w:rPr>
                <w:b/>
                <w:sz w:val="22"/>
              </w:rPr>
            </w:pPr>
            <w:r>
              <w:rPr>
                <w:b/>
                <w:sz w:val="22"/>
              </w:rPr>
              <w:t>3.7. Análisis bajo el Enfoque del Marco Lógico (EML).………………………………………..</w:t>
            </w:r>
          </w:p>
        </w:tc>
        <w:tc>
          <w:tcPr>
            <w:tcW w:w="808" w:type="dxa"/>
          </w:tcPr>
          <w:p>
            <w:pPr>
              <w:pStyle w:val="TableParagraph"/>
              <w:spacing w:before="54"/>
              <w:ind w:left="238"/>
              <w:rPr>
                <w:sz w:val="22"/>
              </w:rPr>
            </w:pPr>
            <w:r>
              <w:rPr>
                <w:sz w:val="22"/>
              </w:rPr>
              <w:t>94</w:t>
            </w:r>
          </w:p>
        </w:tc>
      </w:tr>
      <w:tr>
        <w:trPr>
          <w:trHeight w:val="379" w:hRule="exact"/>
        </w:trPr>
        <w:tc>
          <w:tcPr>
            <w:tcW w:w="9844" w:type="dxa"/>
          </w:tcPr>
          <w:p>
            <w:pPr>
              <w:pStyle w:val="TableParagraph"/>
              <w:spacing w:before="49"/>
              <w:ind w:right="128"/>
              <w:jc w:val="right"/>
              <w:rPr>
                <w:b/>
                <w:sz w:val="22"/>
              </w:rPr>
            </w:pPr>
            <w:r>
              <w:rPr>
                <w:i/>
                <w:sz w:val="22"/>
              </w:rPr>
              <w:t>3.7.1. Análisis de Problemas</w:t>
            </w:r>
            <w:r>
              <w:rPr>
                <w:b/>
                <w:sz w:val="22"/>
              </w:rPr>
              <w:t>.……………………………………..……………………………...</w:t>
            </w:r>
          </w:p>
        </w:tc>
        <w:tc>
          <w:tcPr>
            <w:tcW w:w="808" w:type="dxa"/>
          </w:tcPr>
          <w:p>
            <w:pPr>
              <w:pStyle w:val="TableParagraph"/>
              <w:spacing w:before="54"/>
              <w:ind w:left="238"/>
              <w:rPr>
                <w:sz w:val="22"/>
              </w:rPr>
            </w:pPr>
            <w:r>
              <w:rPr>
                <w:sz w:val="22"/>
              </w:rPr>
              <w:t>94</w:t>
            </w:r>
          </w:p>
        </w:tc>
      </w:tr>
      <w:tr>
        <w:trPr>
          <w:trHeight w:val="379" w:hRule="exact"/>
        </w:trPr>
        <w:tc>
          <w:tcPr>
            <w:tcW w:w="9844" w:type="dxa"/>
          </w:tcPr>
          <w:p>
            <w:pPr>
              <w:pStyle w:val="TableParagraph"/>
              <w:spacing w:before="49"/>
              <w:ind w:right="131"/>
              <w:jc w:val="right"/>
              <w:rPr>
                <w:b/>
                <w:sz w:val="22"/>
              </w:rPr>
            </w:pPr>
            <w:r>
              <w:rPr>
                <w:i/>
                <w:sz w:val="22"/>
              </w:rPr>
              <w:t>3.7.2. Análisis de Objetivos</w:t>
            </w:r>
            <w:r>
              <w:rPr>
                <w:b/>
                <w:sz w:val="22"/>
              </w:rPr>
              <w:t>……………………………………………………………………….</w:t>
            </w:r>
          </w:p>
        </w:tc>
        <w:tc>
          <w:tcPr>
            <w:tcW w:w="808" w:type="dxa"/>
          </w:tcPr>
          <w:p>
            <w:pPr>
              <w:pStyle w:val="TableParagraph"/>
              <w:spacing w:before="54"/>
              <w:ind w:left="238"/>
              <w:rPr>
                <w:sz w:val="22"/>
              </w:rPr>
            </w:pPr>
            <w:r>
              <w:rPr>
                <w:sz w:val="22"/>
              </w:rPr>
              <w:t>96</w:t>
            </w:r>
          </w:p>
        </w:tc>
      </w:tr>
      <w:tr>
        <w:trPr>
          <w:trHeight w:val="379" w:hRule="exact"/>
        </w:trPr>
        <w:tc>
          <w:tcPr>
            <w:tcW w:w="9844" w:type="dxa"/>
          </w:tcPr>
          <w:p>
            <w:pPr>
              <w:pStyle w:val="TableParagraph"/>
              <w:spacing w:before="49"/>
              <w:ind w:right="122"/>
              <w:jc w:val="right"/>
              <w:rPr>
                <w:b/>
                <w:sz w:val="22"/>
              </w:rPr>
            </w:pPr>
            <w:r>
              <w:rPr>
                <w:i/>
                <w:sz w:val="22"/>
              </w:rPr>
              <w:t>3.7.3. Análisis de la participación</w:t>
            </w:r>
            <w:r>
              <w:rPr>
                <w:b/>
                <w:sz w:val="22"/>
              </w:rPr>
              <w:t>………………………………………………………………...</w:t>
            </w:r>
          </w:p>
        </w:tc>
        <w:tc>
          <w:tcPr>
            <w:tcW w:w="808" w:type="dxa"/>
          </w:tcPr>
          <w:p>
            <w:pPr>
              <w:pStyle w:val="TableParagraph"/>
              <w:spacing w:before="54"/>
              <w:ind w:left="238"/>
              <w:rPr>
                <w:sz w:val="22"/>
              </w:rPr>
            </w:pPr>
            <w:r>
              <w:rPr>
                <w:sz w:val="22"/>
              </w:rPr>
              <w:t>97</w:t>
            </w:r>
          </w:p>
        </w:tc>
      </w:tr>
      <w:tr>
        <w:trPr>
          <w:trHeight w:val="379" w:hRule="exact"/>
        </w:trPr>
        <w:tc>
          <w:tcPr>
            <w:tcW w:w="9844" w:type="dxa"/>
          </w:tcPr>
          <w:p>
            <w:pPr>
              <w:pStyle w:val="TableParagraph"/>
              <w:spacing w:before="49"/>
              <w:ind w:right="117"/>
              <w:jc w:val="right"/>
              <w:rPr>
                <w:b/>
                <w:sz w:val="22"/>
              </w:rPr>
            </w:pPr>
            <w:r>
              <w:rPr>
                <w:i/>
                <w:sz w:val="22"/>
              </w:rPr>
              <w:t>3.7.4. Análisis de Alternativas</w:t>
            </w:r>
            <w:r>
              <w:rPr>
                <w:b/>
                <w:sz w:val="22"/>
              </w:rPr>
              <w:t>…………………………………………………………………….</w:t>
            </w:r>
          </w:p>
        </w:tc>
        <w:tc>
          <w:tcPr>
            <w:tcW w:w="808" w:type="dxa"/>
          </w:tcPr>
          <w:p>
            <w:pPr>
              <w:pStyle w:val="TableParagraph"/>
              <w:spacing w:before="54"/>
              <w:ind w:left="238"/>
              <w:rPr>
                <w:sz w:val="22"/>
              </w:rPr>
            </w:pPr>
            <w:r>
              <w:rPr>
                <w:sz w:val="22"/>
              </w:rPr>
              <w:t>98</w:t>
            </w:r>
          </w:p>
        </w:tc>
      </w:tr>
      <w:tr>
        <w:trPr>
          <w:trHeight w:val="380" w:hRule="exact"/>
        </w:trPr>
        <w:tc>
          <w:tcPr>
            <w:tcW w:w="9844" w:type="dxa"/>
          </w:tcPr>
          <w:p>
            <w:pPr>
              <w:pStyle w:val="TableParagraph"/>
              <w:spacing w:before="49"/>
              <w:ind w:right="119"/>
              <w:jc w:val="right"/>
              <w:rPr>
                <w:b/>
                <w:sz w:val="22"/>
              </w:rPr>
            </w:pPr>
            <w:r>
              <w:rPr>
                <w:i/>
                <w:sz w:val="22"/>
              </w:rPr>
              <w:t>3.7.4.1. Análisis Cualitativo de las Alternativas</w:t>
            </w:r>
            <w:r>
              <w:rPr>
                <w:b/>
                <w:sz w:val="22"/>
              </w:rPr>
              <w:t>……………………………………………</w:t>
            </w:r>
          </w:p>
        </w:tc>
        <w:tc>
          <w:tcPr>
            <w:tcW w:w="808" w:type="dxa"/>
          </w:tcPr>
          <w:p>
            <w:pPr>
              <w:pStyle w:val="TableParagraph"/>
              <w:spacing w:before="54"/>
              <w:ind w:left="238"/>
              <w:rPr>
                <w:sz w:val="22"/>
              </w:rPr>
            </w:pPr>
            <w:r>
              <w:rPr>
                <w:sz w:val="22"/>
              </w:rPr>
              <w:t>99</w:t>
            </w:r>
          </w:p>
        </w:tc>
      </w:tr>
      <w:tr>
        <w:trPr>
          <w:trHeight w:val="379" w:hRule="exact"/>
        </w:trPr>
        <w:tc>
          <w:tcPr>
            <w:tcW w:w="9844" w:type="dxa"/>
          </w:tcPr>
          <w:p>
            <w:pPr>
              <w:pStyle w:val="TableParagraph"/>
              <w:spacing w:before="49"/>
              <w:ind w:right="144"/>
              <w:jc w:val="right"/>
              <w:rPr>
                <w:b/>
                <w:sz w:val="22"/>
              </w:rPr>
            </w:pPr>
            <w:r>
              <w:rPr>
                <w:i/>
                <w:sz w:val="22"/>
              </w:rPr>
              <w:t>3.7.4.2. Análisis Cuantitativo de las Alternativas</w:t>
            </w:r>
            <w:r>
              <w:rPr>
                <w:b/>
                <w:sz w:val="22"/>
              </w:rPr>
              <w:t>………………………………………….</w:t>
            </w:r>
          </w:p>
        </w:tc>
        <w:tc>
          <w:tcPr>
            <w:tcW w:w="808" w:type="dxa"/>
          </w:tcPr>
          <w:p>
            <w:pPr>
              <w:pStyle w:val="TableParagraph"/>
              <w:spacing w:before="54"/>
              <w:ind w:left="176"/>
              <w:rPr>
                <w:sz w:val="22"/>
              </w:rPr>
            </w:pPr>
            <w:r>
              <w:rPr>
                <w:sz w:val="22"/>
              </w:rPr>
              <w:t>100</w:t>
            </w:r>
          </w:p>
        </w:tc>
      </w:tr>
      <w:tr>
        <w:trPr>
          <w:trHeight w:val="379" w:hRule="exact"/>
        </w:trPr>
        <w:tc>
          <w:tcPr>
            <w:tcW w:w="9844" w:type="dxa"/>
          </w:tcPr>
          <w:p>
            <w:pPr>
              <w:pStyle w:val="TableParagraph"/>
              <w:spacing w:before="49"/>
              <w:ind w:right="138"/>
              <w:jc w:val="right"/>
              <w:rPr>
                <w:b/>
                <w:sz w:val="22"/>
              </w:rPr>
            </w:pPr>
            <w:r>
              <w:rPr>
                <w:i/>
                <w:sz w:val="22"/>
              </w:rPr>
              <w:t>3.7.5. Propuesta de Conservación y Manejo Ambiental: Matriz de Planificación</w:t>
            </w:r>
            <w:r>
              <w:rPr>
                <w:b/>
                <w:sz w:val="22"/>
              </w:rPr>
              <w:t>…………..</w:t>
            </w:r>
          </w:p>
        </w:tc>
        <w:tc>
          <w:tcPr>
            <w:tcW w:w="808" w:type="dxa"/>
          </w:tcPr>
          <w:p>
            <w:pPr>
              <w:pStyle w:val="TableParagraph"/>
              <w:spacing w:before="54"/>
              <w:ind w:left="238"/>
              <w:rPr>
                <w:sz w:val="22"/>
              </w:rPr>
            </w:pPr>
            <w:r>
              <w:rPr>
                <w:sz w:val="22"/>
              </w:rPr>
              <w:t>102</w:t>
            </w:r>
          </w:p>
        </w:tc>
      </w:tr>
      <w:tr>
        <w:trPr>
          <w:trHeight w:val="759" w:hRule="exact"/>
        </w:trPr>
        <w:tc>
          <w:tcPr>
            <w:tcW w:w="9844" w:type="dxa"/>
          </w:tcPr>
          <w:p>
            <w:pPr>
              <w:pStyle w:val="TableParagraph"/>
              <w:spacing w:line="360" w:lineRule="auto" w:before="49"/>
              <w:ind w:left="1050" w:right="144" w:hanging="423"/>
              <w:rPr>
                <w:b/>
                <w:sz w:val="22"/>
              </w:rPr>
            </w:pPr>
            <w:r>
              <w:rPr>
                <w:b/>
                <w:sz w:val="22"/>
              </w:rPr>
              <w:t>3.8. Propuesta Estratégica de Conservación y Educación Ambiental: Jardín Botánico Regional “José Mariano Mociño”……………………………………………………………..</w:t>
            </w:r>
          </w:p>
        </w:tc>
        <w:tc>
          <w:tcPr>
            <w:tcW w:w="808" w:type="dxa"/>
          </w:tcPr>
          <w:p>
            <w:pPr>
              <w:pStyle w:val="TableParagraph"/>
              <w:rPr>
                <w:rFonts w:ascii="Times New Roman"/>
                <w:sz w:val="22"/>
              </w:rPr>
            </w:pPr>
          </w:p>
          <w:p>
            <w:pPr>
              <w:pStyle w:val="TableParagraph"/>
              <w:spacing w:before="180"/>
              <w:ind w:left="114"/>
              <w:rPr>
                <w:sz w:val="22"/>
              </w:rPr>
            </w:pPr>
            <w:r>
              <w:rPr>
                <w:sz w:val="22"/>
              </w:rPr>
              <w:t>109</w:t>
            </w:r>
          </w:p>
        </w:tc>
      </w:tr>
      <w:tr>
        <w:trPr>
          <w:trHeight w:val="379" w:hRule="exact"/>
        </w:trPr>
        <w:tc>
          <w:tcPr>
            <w:tcW w:w="9844" w:type="dxa"/>
          </w:tcPr>
          <w:p>
            <w:pPr>
              <w:pStyle w:val="TableParagraph"/>
              <w:spacing w:before="49"/>
              <w:ind w:right="130"/>
              <w:jc w:val="right"/>
              <w:rPr>
                <w:b/>
                <w:sz w:val="22"/>
              </w:rPr>
            </w:pPr>
            <w:r>
              <w:rPr>
                <w:i/>
                <w:sz w:val="22"/>
              </w:rPr>
              <w:t>3.8.1. La visión y misión para el Jardín</w:t>
            </w:r>
            <w:r>
              <w:rPr>
                <w:b/>
                <w:sz w:val="22"/>
              </w:rPr>
              <w:t>………………………………………………………….</w:t>
            </w:r>
          </w:p>
        </w:tc>
        <w:tc>
          <w:tcPr>
            <w:tcW w:w="808" w:type="dxa"/>
          </w:tcPr>
          <w:p>
            <w:pPr>
              <w:pStyle w:val="TableParagraph"/>
              <w:spacing w:before="54"/>
              <w:ind w:left="114"/>
              <w:rPr>
                <w:sz w:val="22"/>
              </w:rPr>
            </w:pPr>
            <w:r>
              <w:rPr>
                <w:sz w:val="22"/>
              </w:rPr>
              <w:t>110</w:t>
            </w:r>
          </w:p>
        </w:tc>
      </w:tr>
      <w:tr>
        <w:trPr>
          <w:trHeight w:val="379" w:hRule="exact"/>
        </w:trPr>
        <w:tc>
          <w:tcPr>
            <w:tcW w:w="9844" w:type="dxa"/>
          </w:tcPr>
          <w:p>
            <w:pPr>
              <w:pStyle w:val="TableParagraph"/>
              <w:spacing w:before="49"/>
              <w:ind w:right="170"/>
              <w:jc w:val="right"/>
              <w:rPr>
                <w:b/>
                <w:sz w:val="22"/>
              </w:rPr>
            </w:pPr>
            <w:r>
              <w:rPr>
                <w:i/>
                <w:sz w:val="22"/>
              </w:rPr>
              <w:t>3.8.2. Estudio Técnico</w:t>
            </w:r>
            <w:r>
              <w:rPr>
                <w:b/>
                <w:sz w:val="22"/>
              </w:rPr>
              <w:t>…………………………………………………………………………….</w:t>
            </w:r>
          </w:p>
        </w:tc>
        <w:tc>
          <w:tcPr>
            <w:tcW w:w="808" w:type="dxa"/>
          </w:tcPr>
          <w:p>
            <w:pPr>
              <w:pStyle w:val="TableParagraph"/>
              <w:spacing w:before="54"/>
              <w:ind w:left="114"/>
              <w:rPr>
                <w:sz w:val="22"/>
              </w:rPr>
            </w:pPr>
            <w:r>
              <w:rPr>
                <w:sz w:val="22"/>
              </w:rPr>
              <w:t>111</w:t>
            </w:r>
          </w:p>
        </w:tc>
      </w:tr>
      <w:tr>
        <w:trPr>
          <w:trHeight w:val="379" w:hRule="exact"/>
        </w:trPr>
        <w:tc>
          <w:tcPr>
            <w:tcW w:w="9844" w:type="dxa"/>
          </w:tcPr>
          <w:p>
            <w:pPr>
              <w:pStyle w:val="TableParagraph"/>
              <w:spacing w:before="49"/>
              <w:ind w:right="155"/>
              <w:jc w:val="right"/>
              <w:rPr>
                <w:b/>
                <w:sz w:val="22"/>
              </w:rPr>
            </w:pPr>
            <w:r>
              <w:rPr>
                <w:i/>
                <w:sz w:val="22"/>
              </w:rPr>
              <w:t>3.8.3. Estudio de Organización</w:t>
            </w:r>
            <w:r>
              <w:rPr>
                <w:b/>
                <w:sz w:val="22"/>
              </w:rPr>
              <w:t>…………………………………………………………………..</w:t>
            </w:r>
          </w:p>
        </w:tc>
        <w:tc>
          <w:tcPr>
            <w:tcW w:w="808" w:type="dxa"/>
          </w:tcPr>
          <w:p>
            <w:pPr>
              <w:pStyle w:val="TableParagraph"/>
              <w:spacing w:before="54"/>
              <w:ind w:left="114"/>
              <w:rPr>
                <w:sz w:val="22"/>
              </w:rPr>
            </w:pPr>
            <w:r>
              <w:rPr>
                <w:sz w:val="22"/>
              </w:rPr>
              <w:t>121</w:t>
            </w:r>
          </w:p>
        </w:tc>
      </w:tr>
      <w:tr>
        <w:trPr>
          <w:trHeight w:val="379" w:hRule="exact"/>
        </w:trPr>
        <w:tc>
          <w:tcPr>
            <w:tcW w:w="9844" w:type="dxa"/>
          </w:tcPr>
          <w:p>
            <w:pPr>
              <w:pStyle w:val="TableParagraph"/>
              <w:spacing w:before="49"/>
              <w:ind w:right="140"/>
              <w:jc w:val="right"/>
              <w:rPr>
                <w:b/>
                <w:sz w:val="22"/>
              </w:rPr>
            </w:pPr>
            <w:r>
              <w:rPr>
                <w:b/>
                <w:sz w:val="22"/>
              </w:rPr>
              <w:t>3.9. Artículo Científico……………………..……………………………..…………………………..</w:t>
            </w:r>
          </w:p>
        </w:tc>
        <w:tc>
          <w:tcPr>
            <w:tcW w:w="808" w:type="dxa"/>
          </w:tcPr>
          <w:p>
            <w:pPr>
              <w:pStyle w:val="TableParagraph"/>
              <w:spacing w:before="54"/>
              <w:ind w:left="114"/>
              <w:rPr>
                <w:sz w:val="22"/>
              </w:rPr>
            </w:pPr>
            <w:r>
              <w:rPr>
                <w:sz w:val="22"/>
              </w:rPr>
              <w:t>126</w:t>
            </w:r>
          </w:p>
        </w:tc>
      </w:tr>
      <w:tr>
        <w:trPr>
          <w:trHeight w:val="379" w:hRule="exact"/>
        </w:trPr>
        <w:tc>
          <w:tcPr>
            <w:tcW w:w="9844" w:type="dxa"/>
          </w:tcPr>
          <w:p>
            <w:pPr>
              <w:pStyle w:val="TableParagraph"/>
              <w:spacing w:before="49"/>
              <w:ind w:right="200"/>
              <w:jc w:val="right"/>
              <w:rPr>
                <w:b/>
                <w:sz w:val="22"/>
              </w:rPr>
            </w:pPr>
            <w:r>
              <w:rPr>
                <w:b/>
                <w:sz w:val="22"/>
              </w:rPr>
              <w:t>CONCLUSIONES.…………………..………………………………………………………………………</w:t>
            </w:r>
          </w:p>
        </w:tc>
        <w:tc>
          <w:tcPr>
            <w:tcW w:w="808" w:type="dxa"/>
          </w:tcPr>
          <w:p>
            <w:pPr>
              <w:pStyle w:val="TableParagraph"/>
              <w:spacing w:before="54"/>
              <w:ind w:left="114"/>
              <w:rPr>
                <w:sz w:val="22"/>
              </w:rPr>
            </w:pPr>
            <w:r>
              <w:rPr>
                <w:sz w:val="22"/>
              </w:rPr>
              <w:t>157</w:t>
            </w:r>
          </w:p>
        </w:tc>
      </w:tr>
      <w:tr>
        <w:trPr>
          <w:trHeight w:val="382" w:hRule="exact"/>
        </w:trPr>
        <w:tc>
          <w:tcPr>
            <w:tcW w:w="9844" w:type="dxa"/>
          </w:tcPr>
          <w:p>
            <w:pPr>
              <w:pStyle w:val="TableParagraph"/>
              <w:spacing w:before="49"/>
              <w:ind w:right="204"/>
              <w:jc w:val="right"/>
              <w:rPr>
                <w:b/>
                <w:sz w:val="22"/>
              </w:rPr>
            </w:pPr>
            <w:r>
              <w:rPr>
                <w:b/>
                <w:sz w:val="22"/>
              </w:rPr>
              <w:t>SUGERENCIAS…..…………………………………………………………………………………………</w:t>
            </w:r>
          </w:p>
        </w:tc>
        <w:tc>
          <w:tcPr>
            <w:tcW w:w="808" w:type="dxa"/>
          </w:tcPr>
          <w:p>
            <w:pPr>
              <w:pStyle w:val="TableParagraph"/>
              <w:spacing w:before="54"/>
              <w:ind w:left="114"/>
              <w:rPr>
                <w:sz w:val="22"/>
              </w:rPr>
            </w:pPr>
            <w:r>
              <w:rPr>
                <w:sz w:val="22"/>
              </w:rPr>
              <w:t>159</w:t>
            </w:r>
          </w:p>
        </w:tc>
      </w:tr>
      <w:tr>
        <w:trPr>
          <w:trHeight w:val="382" w:hRule="exact"/>
        </w:trPr>
        <w:tc>
          <w:tcPr>
            <w:tcW w:w="9844" w:type="dxa"/>
          </w:tcPr>
          <w:p>
            <w:pPr>
              <w:pStyle w:val="TableParagraph"/>
              <w:spacing w:before="51"/>
              <w:ind w:right="164"/>
              <w:jc w:val="right"/>
              <w:rPr>
                <w:b/>
                <w:sz w:val="22"/>
              </w:rPr>
            </w:pPr>
            <w:r>
              <w:rPr>
                <w:b/>
                <w:sz w:val="22"/>
              </w:rPr>
              <w:t>REFERENCIAS BIBLIOGRÁFICAS………………………………………………………………………</w:t>
            </w:r>
          </w:p>
        </w:tc>
        <w:tc>
          <w:tcPr>
            <w:tcW w:w="808" w:type="dxa"/>
          </w:tcPr>
          <w:p>
            <w:pPr>
              <w:pStyle w:val="TableParagraph"/>
              <w:spacing w:before="56"/>
              <w:ind w:left="114"/>
              <w:rPr>
                <w:sz w:val="22"/>
              </w:rPr>
            </w:pPr>
            <w:r>
              <w:rPr>
                <w:sz w:val="22"/>
              </w:rPr>
              <w:t>161</w:t>
            </w:r>
          </w:p>
        </w:tc>
      </w:tr>
      <w:tr>
        <w:trPr>
          <w:trHeight w:val="380" w:hRule="exact"/>
        </w:trPr>
        <w:tc>
          <w:tcPr>
            <w:tcW w:w="9844" w:type="dxa"/>
          </w:tcPr>
          <w:p>
            <w:pPr>
              <w:pStyle w:val="TableParagraph"/>
              <w:spacing w:before="49"/>
              <w:ind w:right="189"/>
              <w:jc w:val="right"/>
              <w:rPr>
                <w:b/>
                <w:sz w:val="22"/>
              </w:rPr>
            </w:pPr>
            <w:r>
              <w:rPr>
                <w:b/>
                <w:sz w:val="22"/>
              </w:rPr>
              <w:t>ANEXO 1. Ficha de colecta de plantas…………………………………………………………………</w:t>
            </w:r>
          </w:p>
        </w:tc>
        <w:tc>
          <w:tcPr>
            <w:tcW w:w="808" w:type="dxa"/>
          </w:tcPr>
          <w:p>
            <w:pPr>
              <w:pStyle w:val="TableParagraph"/>
              <w:spacing w:before="54"/>
              <w:ind w:left="114"/>
              <w:rPr>
                <w:sz w:val="22"/>
              </w:rPr>
            </w:pPr>
            <w:r>
              <w:rPr>
                <w:sz w:val="22"/>
              </w:rPr>
              <w:t>178</w:t>
            </w:r>
          </w:p>
        </w:tc>
      </w:tr>
      <w:tr>
        <w:trPr>
          <w:trHeight w:val="380" w:hRule="exact"/>
        </w:trPr>
        <w:tc>
          <w:tcPr>
            <w:tcW w:w="9844" w:type="dxa"/>
          </w:tcPr>
          <w:p>
            <w:pPr>
              <w:pStyle w:val="TableParagraph"/>
              <w:spacing w:before="49"/>
              <w:ind w:right="198"/>
              <w:jc w:val="right"/>
              <w:rPr>
                <w:b/>
                <w:sz w:val="22"/>
              </w:rPr>
            </w:pPr>
            <w:r>
              <w:rPr>
                <w:b/>
                <w:sz w:val="22"/>
              </w:rPr>
              <w:t>ANEXO 2. Cuestionario para identificar el uso tradicional de las plantas………………………</w:t>
            </w:r>
          </w:p>
        </w:tc>
        <w:tc>
          <w:tcPr>
            <w:tcW w:w="808" w:type="dxa"/>
          </w:tcPr>
          <w:p>
            <w:pPr>
              <w:pStyle w:val="TableParagraph"/>
              <w:spacing w:before="54"/>
              <w:ind w:left="114"/>
              <w:rPr>
                <w:sz w:val="22"/>
              </w:rPr>
            </w:pPr>
            <w:r>
              <w:rPr>
                <w:sz w:val="22"/>
              </w:rPr>
              <w:t>180</w:t>
            </w:r>
          </w:p>
        </w:tc>
      </w:tr>
      <w:tr>
        <w:trPr>
          <w:trHeight w:val="379" w:hRule="exact"/>
        </w:trPr>
        <w:tc>
          <w:tcPr>
            <w:tcW w:w="9844" w:type="dxa"/>
          </w:tcPr>
          <w:p>
            <w:pPr>
              <w:pStyle w:val="TableParagraph"/>
              <w:spacing w:before="49"/>
              <w:ind w:left="200" w:right="144"/>
              <w:rPr>
                <w:b/>
                <w:sz w:val="22"/>
              </w:rPr>
            </w:pPr>
            <w:r>
              <w:rPr>
                <w:b/>
                <w:sz w:val="22"/>
              </w:rPr>
              <w:t>ANEXO 3. Listado de las especies identificadas del Parque Universitario “Las Orquídeas”</w:t>
            </w:r>
          </w:p>
        </w:tc>
        <w:tc>
          <w:tcPr>
            <w:tcW w:w="808" w:type="dxa"/>
          </w:tcPr>
          <w:p>
            <w:pPr>
              <w:pStyle w:val="TableParagraph"/>
              <w:spacing w:before="54"/>
              <w:ind w:left="114"/>
              <w:rPr>
                <w:sz w:val="22"/>
              </w:rPr>
            </w:pPr>
            <w:r>
              <w:rPr>
                <w:sz w:val="22"/>
              </w:rPr>
              <w:t>182</w:t>
            </w:r>
          </w:p>
        </w:tc>
      </w:tr>
      <w:tr>
        <w:trPr>
          <w:trHeight w:val="379" w:hRule="exact"/>
        </w:trPr>
        <w:tc>
          <w:tcPr>
            <w:tcW w:w="9844" w:type="dxa"/>
          </w:tcPr>
          <w:p>
            <w:pPr>
              <w:pStyle w:val="TableParagraph"/>
              <w:spacing w:before="49"/>
              <w:ind w:right="152"/>
              <w:jc w:val="right"/>
              <w:rPr>
                <w:b/>
                <w:sz w:val="22"/>
              </w:rPr>
            </w:pPr>
            <w:r>
              <w:rPr>
                <w:b/>
                <w:sz w:val="22"/>
              </w:rPr>
              <w:t>ANEXO 4. Oficio de entrega de ejemplares montados………………………………………………</w:t>
            </w:r>
          </w:p>
        </w:tc>
        <w:tc>
          <w:tcPr>
            <w:tcW w:w="808" w:type="dxa"/>
          </w:tcPr>
          <w:p>
            <w:pPr>
              <w:pStyle w:val="TableParagraph"/>
              <w:spacing w:before="54"/>
              <w:ind w:left="114"/>
              <w:rPr>
                <w:sz w:val="22"/>
              </w:rPr>
            </w:pPr>
            <w:r>
              <w:rPr>
                <w:sz w:val="22"/>
              </w:rPr>
              <w:t>188</w:t>
            </w:r>
          </w:p>
        </w:tc>
      </w:tr>
      <w:tr>
        <w:trPr>
          <w:trHeight w:val="302" w:hRule="exact"/>
        </w:trPr>
        <w:tc>
          <w:tcPr>
            <w:tcW w:w="9844" w:type="dxa"/>
          </w:tcPr>
          <w:p>
            <w:pPr>
              <w:pStyle w:val="TableParagraph"/>
              <w:spacing w:before="49"/>
              <w:ind w:right="178"/>
              <w:jc w:val="right"/>
              <w:rPr>
                <w:b/>
                <w:sz w:val="22"/>
              </w:rPr>
            </w:pPr>
            <w:r>
              <w:rPr>
                <w:b/>
                <w:sz w:val="22"/>
              </w:rPr>
              <w:t>ANEXO 5. Catálogo florístico del Parque Universitario “Las Orquídeas”……………………….</w:t>
            </w:r>
          </w:p>
        </w:tc>
        <w:tc>
          <w:tcPr>
            <w:tcW w:w="808" w:type="dxa"/>
          </w:tcPr>
          <w:p>
            <w:pPr>
              <w:pStyle w:val="TableParagraph"/>
              <w:spacing w:before="54"/>
              <w:ind w:left="114"/>
              <w:rPr>
                <w:sz w:val="22"/>
              </w:rPr>
            </w:pPr>
            <w:r>
              <w:rPr>
                <w:sz w:val="22"/>
              </w:rPr>
              <w:t>189</w:t>
            </w:r>
          </w:p>
        </w:tc>
      </w:tr>
    </w:tbl>
    <w:p>
      <w:pPr>
        <w:spacing w:after="0"/>
        <w:rPr>
          <w:sz w:val="22"/>
        </w:rPr>
        <w:sectPr>
          <w:pgSz w:w="12240" w:h="15840"/>
          <w:pgMar w:header="690" w:footer="1146" w:top="880" w:bottom="1340" w:left="1100" w:right="260"/>
        </w:sectPr>
      </w:pPr>
    </w:p>
    <w:p>
      <w:pPr>
        <w:pStyle w:val="BodyText"/>
        <w:rPr>
          <w:rFonts w:ascii="Times New Roman"/>
          <w:sz w:val="20"/>
        </w:rPr>
      </w:pPr>
    </w:p>
    <w:p>
      <w:pPr>
        <w:pStyle w:val="BodyText"/>
        <w:spacing w:before="6"/>
        <w:rPr>
          <w:rFonts w:ascii="Times New Roman"/>
          <w:sz w:val="18"/>
        </w:rPr>
      </w:pPr>
    </w:p>
    <w:p>
      <w:pPr>
        <w:spacing w:before="70"/>
        <w:ind w:left="3483" w:right="3486" w:firstLine="0"/>
        <w:jc w:val="center"/>
        <w:rPr>
          <w:b/>
          <w:sz w:val="24"/>
        </w:rPr>
      </w:pPr>
      <w:r>
        <w:rPr>
          <w:b/>
          <w:sz w:val="24"/>
        </w:rPr>
        <w:t>ÍNDICE DE CUADROS</w:t>
      </w:r>
    </w:p>
    <w:p>
      <w:pPr>
        <w:pStyle w:val="BodyText"/>
        <w:rPr>
          <w:b/>
          <w:sz w:val="20"/>
        </w:rPr>
      </w:pPr>
    </w:p>
    <w:p>
      <w:pPr>
        <w:pStyle w:val="BodyText"/>
        <w:rPr>
          <w:b/>
          <w:sz w:val="20"/>
        </w:rPr>
      </w:pPr>
    </w:p>
    <w:p>
      <w:pPr>
        <w:pStyle w:val="BodyText"/>
        <w:spacing w:before="4"/>
        <w:rPr>
          <w:b/>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1"/>
        <w:gridCol w:w="8367"/>
        <w:gridCol w:w="778"/>
      </w:tblGrid>
      <w:tr>
        <w:trPr>
          <w:trHeight w:val="302" w:hRule="exact"/>
        </w:trPr>
        <w:tc>
          <w:tcPr>
            <w:tcW w:w="661" w:type="dxa"/>
          </w:tcPr>
          <w:p>
            <w:pPr>
              <w:pStyle w:val="TableParagraph"/>
              <w:spacing w:line="226" w:lineRule="exact"/>
              <w:ind w:left="200"/>
              <w:rPr>
                <w:b/>
                <w:sz w:val="22"/>
              </w:rPr>
            </w:pPr>
            <w:r>
              <w:rPr>
                <w:b/>
                <w:sz w:val="22"/>
              </w:rPr>
              <w:t>No.</w:t>
            </w:r>
          </w:p>
        </w:tc>
        <w:tc>
          <w:tcPr>
            <w:tcW w:w="8367" w:type="dxa"/>
          </w:tcPr>
          <w:p>
            <w:pPr>
              <w:pStyle w:val="TableParagraph"/>
              <w:spacing w:line="226" w:lineRule="exact"/>
              <w:ind w:left="3780" w:right="3777"/>
              <w:jc w:val="center"/>
              <w:rPr>
                <w:b/>
                <w:sz w:val="22"/>
              </w:rPr>
            </w:pPr>
            <w:r>
              <w:rPr>
                <w:b/>
                <w:sz w:val="22"/>
              </w:rPr>
              <w:t>Cuadro</w:t>
            </w:r>
          </w:p>
        </w:tc>
        <w:tc>
          <w:tcPr>
            <w:tcW w:w="778" w:type="dxa"/>
          </w:tcPr>
          <w:p>
            <w:pPr>
              <w:pStyle w:val="TableParagraph"/>
              <w:spacing w:line="226" w:lineRule="exact"/>
              <w:ind w:left="92" w:right="181"/>
              <w:jc w:val="center"/>
              <w:rPr>
                <w:b/>
                <w:sz w:val="22"/>
              </w:rPr>
            </w:pPr>
            <w:r>
              <w:rPr>
                <w:b/>
                <w:sz w:val="22"/>
              </w:rPr>
              <w:t>Pág.</w:t>
            </w:r>
          </w:p>
        </w:tc>
      </w:tr>
      <w:tr>
        <w:trPr>
          <w:trHeight w:val="382" w:hRule="exact"/>
        </w:trPr>
        <w:tc>
          <w:tcPr>
            <w:tcW w:w="661" w:type="dxa"/>
          </w:tcPr>
          <w:p>
            <w:pPr>
              <w:pStyle w:val="TableParagraph"/>
              <w:spacing w:before="54"/>
              <w:ind w:left="92"/>
              <w:jc w:val="center"/>
              <w:rPr>
                <w:sz w:val="22"/>
              </w:rPr>
            </w:pPr>
            <w:r>
              <w:rPr>
                <w:w w:val="100"/>
                <w:sz w:val="22"/>
              </w:rPr>
              <w:t>1</w:t>
            </w:r>
          </w:p>
        </w:tc>
        <w:tc>
          <w:tcPr>
            <w:tcW w:w="8367" w:type="dxa"/>
          </w:tcPr>
          <w:p>
            <w:pPr>
              <w:pStyle w:val="TableParagraph"/>
              <w:spacing w:before="54"/>
              <w:ind w:left="110" w:right="96"/>
              <w:rPr>
                <w:sz w:val="22"/>
              </w:rPr>
            </w:pPr>
            <w:r>
              <w:rPr>
                <w:sz w:val="22"/>
              </w:rPr>
              <w:t>Publicaciones florísticas en el Estado de México……………………………………….</w:t>
            </w:r>
          </w:p>
        </w:tc>
        <w:tc>
          <w:tcPr>
            <w:tcW w:w="778" w:type="dxa"/>
          </w:tcPr>
          <w:p>
            <w:pPr>
              <w:pStyle w:val="TableParagraph"/>
              <w:spacing w:before="54"/>
              <w:ind w:right="89"/>
              <w:jc w:val="center"/>
              <w:rPr>
                <w:sz w:val="22"/>
              </w:rPr>
            </w:pPr>
            <w:r>
              <w:rPr>
                <w:w w:val="100"/>
                <w:sz w:val="22"/>
              </w:rPr>
              <w:t>9</w:t>
            </w:r>
          </w:p>
        </w:tc>
      </w:tr>
      <w:tr>
        <w:trPr>
          <w:trHeight w:val="759" w:hRule="exact"/>
        </w:trPr>
        <w:tc>
          <w:tcPr>
            <w:tcW w:w="661" w:type="dxa"/>
          </w:tcPr>
          <w:p>
            <w:pPr>
              <w:pStyle w:val="TableParagraph"/>
              <w:spacing w:before="51"/>
              <w:ind w:left="92"/>
              <w:jc w:val="center"/>
              <w:rPr>
                <w:sz w:val="22"/>
              </w:rPr>
            </w:pPr>
            <w:r>
              <w:rPr>
                <w:w w:val="100"/>
                <w:sz w:val="22"/>
              </w:rPr>
              <w:t>2</w:t>
            </w:r>
          </w:p>
        </w:tc>
        <w:tc>
          <w:tcPr>
            <w:tcW w:w="8367" w:type="dxa"/>
          </w:tcPr>
          <w:p>
            <w:pPr>
              <w:pStyle w:val="TableParagraph"/>
              <w:tabs>
                <w:tab w:pos="1160" w:val="left" w:leader="none"/>
                <w:tab w:pos="2594" w:val="left" w:leader="none"/>
                <w:tab w:pos="3045" w:val="left" w:leader="none"/>
                <w:tab w:pos="6045" w:val="left" w:leader="none"/>
                <w:tab w:pos="6490" w:val="left" w:leader="none"/>
                <w:tab w:pos="6864" w:val="left" w:leader="none"/>
                <w:tab w:pos="7996" w:val="left" w:leader="none"/>
              </w:tabs>
              <w:spacing w:line="360" w:lineRule="auto" w:before="51"/>
              <w:ind w:left="110" w:right="121"/>
              <w:rPr>
                <w:sz w:val="22"/>
              </w:rPr>
            </w:pPr>
            <w:r>
              <w:rPr>
                <w:sz w:val="22"/>
              </w:rPr>
              <w:t>Estudios</w:t>
              <w:tab/>
              <w:t>taxonómicos</w:t>
              <w:tab/>
              <w:t>de</w:t>
              <w:tab/>
              <w:t>algunas   familias  </w:t>
            </w:r>
            <w:r>
              <w:rPr>
                <w:spacing w:val="28"/>
                <w:sz w:val="22"/>
              </w:rPr>
              <w:t> </w:t>
            </w:r>
            <w:r>
              <w:rPr>
                <w:sz w:val="22"/>
              </w:rPr>
              <w:t>de  </w:t>
            </w:r>
            <w:r>
              <w:rPr>
                <w:spacing w:val="15"/>
                <w:sz w:val="22"/>
              </w:rPr>
              <w:t> </w:t>
            </w:r>
            <w:r>
              <w:rPr>
                <w:sz w:val="22"/>
              </w:rPr>
              <w:t>flora</w:t>
              <w:tab/>
              <w:t>en</w:t>
              <w:tab/>
              <w:t>el</w:t>
              <w:tab/>
              <w:t>municipio</w:t>
              <w:tab/>
              <w:t>de Temascaltepec, Estado de</w:t>
            </w:r>
            <w:r>
              <w:rPr>
                <w:spacing w:val="-11"/>
                <w:sz w:val="22"/>
              </w:rPr>
              <w:t> </w:t>
            </w:r>
            <w:r>
              <w:rPr>
                <w:sz w:val="22"/>
              </w:rPr>
              <w:t>México……………………………………………………….</w:t>
            </w:r>
          </w:p>
        </w:tc>
        <w:tc>
          <w:tcPr>
            <w:tcW w:w="778" w:type="dxa"/>
          </w:tcPr>
          <w:p>
            <w:pPr>
              <w:pStyle w:val="TableParagraph"/>
              <w:rPr>
                <w:b/>
                <w:sz w:val="22"/>
              </w:rPr>
            </w:pPr>
          </w:p>
          <w:p>
            <w:pPr>
              <w:pStyle w:val="TableParagraph"/>
              <w:spacing w:before="178"/>
              <w:ind w:left="92" w:right="180"/>
              <w:jc w:val="center"/>
              <w:rPr>
                <w:sz w:val="22"/>
              </w:rPr>
            </w:pPr>
            <w:r>
              <w:rPr>
                <w:sz w:val="22"/>
              </w:rPr>
              <w:t>10</w:t>
            </w:r>
          </w:p>
        </w:tc>
      </w:tr>
      <w:tr>
        <w:trPr>
          <w:trHeight w:val="379" w:hRule="exact"/>
        </w:trPr>
        <w:tc>
          <w:tcPr>
            <w:tcW w:w="661" w:type="dxa"/>
          </w:tcPr>
          <w:p>
            <w:pPr>
              <w:pStyle w:val="TableParagraph"/>
              <w:spacing w:before="51"/>
              <w:ind w:left="92"/>
              <w:jc w:val="center"/>
              <w:rPr>
                <w:sz w:val="22"/>
              </w:rPr>
            </w:pPr>
            <w:r>
              <w:rPr>
                <w:w w:val="100"/>
                <w:sz w:val="22"/>
              </w:rPr>
              <w:t>3</w:t>
            </w:r>
          </w:p>
        </w:tc>
        <w:tc>
          <w:tcPr>
            <w:tcW w:w="8367" w:type="dxa"/>
          </w:tcPr>
          <w:p>
            <w:pPr>
              <w:pStyle w:val="TableParagraph"/>
              <w:spacing w:before="51"/>
              <w:ind w:left="110" w:right="96"/>
              <w:rPr>
                <w:sz w:val="22"/>
              </w:rPr>
            </w:pPr>
            <w:r>
              <w:rPr>
                <w:sz w:val="22"/>
              </w:rPr>
              <w:t>Coordenadas geográficas, mínimas y máximas del Parque Universitario……………</w:t>
            </w:r>
          </w:p>
        </w:tc>
        <w:tc>
          <w:tcPr>
            <w:tcW w:w="778" w:type="dxa"/>
          </w:tcPr>
          <w:p>
            <w:pPr>
              <w:pStyle w:val="TableParagraph"/>
              <w:spacing w:before="51"/>
              <w:ind w:left="92" w:right="180"/>
              <w:jc w:val="center"/>
              <w:rPr>
                <w:sz w:val="22"/>
              </w:rPr>
            </w:pPr>
            <w:r>
              <w:rPr>
                <w:sz w:val="22"/>
              </w:rPr>
              <w:t>25</w:t>
            </w:r>
          </w:p>
        </w:tc>
      </w:tr>
      <w:tr>
        <w:trPr>
          <w:trHeight w:val="379" w:hRule="exact"/>
        </w:trPr>
        <w:tc>
          <w:tcPr>
            <w:tcW w:w="661" w:type="dxa"/>
          </w:tcPr>
          <w:p>
            <w:pPr>
              <w:pStyle w:val="TableParagraph"/>
              <w:spacing w:before="51"/>
              <w:ind w:left="92"/>
              <w:jc w:val="center"/>
              <w:rPr>
                <w:sz w:val="22"/>
              </w:rPr>
            </w:pPr>
            <w:r>
              <w:rPr>
                <w:w w:val="100"/>
                <w:sz w:val="22"/>
              </w:rPr>
              <w:t>4</w:t>
            </w:r>
          </w:p>
        </w:tc>
        <w:tc>
          <w:tcPr>
            <w:tcW w:w="8367" w:type="dxa"/>
          </w:tcPr>
          <w:p>
            <w:pPr>
              <w:pStyle w:val="TableParagraph"/>
              <w:spacing w:before="51"/>
              <w:ind w:left="110" w:right="96"/>
              <w:rPr>
                <w:sz w:val="22"/>
              </w:rPr>
            </w:pPr>
            <w:r>
              <w:rPr>
                <w:sz w:val="22"/>
              </w:rPr>
              <w:t>Listado preliminar de la flora del Parque Universitario “Las Orquídeas”……………...</w:t>
            </w:r>
          </w:p>
        </w:tc>
        <w:tc>
          <w:tcPr>
            <w:tcW w:w="778" w:type="dxa"/>
          </w:tcPr>
          <w:p>
            <w:pPr>
              <w:pStyle w:val="TableParagraph"/>
              <w:spacing w:before="51"/>
              <w:ind w:left="92" w:right="180"/>
              <w:jc w:val="center"/>
              <w:rPr>
                <w:sz w:val="22"/>
              </w:rPr>
            </w:pPr>
            <w:r>
              <w:rPr>
                <w:sz w:val="22"/>
              </w:rPr>
              <w:t>35</w:t>
            </w:r>
          </w:p>
        </w:tc>
      </w:tr>
      <w:tr>
        <w:trPr>
          <w:trHeight w:val="759" w:hRule="exact"/>
        </w:trPr>
        <w:tc>
          <w:tcPr>
            <w:tcW w:w="661" w:type="dxa"/>
          </w:tcPr>
          <w:p>
            <w:pPr>
              <w:pStyle w:val="TableParagraph"/>
              <w:spacing w:before="51"/>
              <w:ind w:left="92"/>
              <w:jc w:val="center"/>
              <w:rPr>
                <w:sz w:val="22"/>
              </w:rPr>
            </w:pPr>
            <w:r>
              <w:rPr>
                <w:w w:val="100"/>
                <w:sz w:val="22"/>
              </w:rPr>
              <w:t>5</w:t>
            </w:r>
          </w:p>
        </w:tc>
        <w:tc>
          <w:tcPr>
            <w:tcW w:w="8367" w:type="dxa"/>
          </w:tcPr>
          <w:p>
            <w:pPr>
              <w:pStyle w:val="TableParagraph"/>
              <w:spacing w:line="360" w:lineRule="auto" w:before="51"/>
              <w:ind w:left="110" w:right="96"/>
              <w:rPr>
                <w:sz w:val="22"/>
              </w:rPr>
            </w:pPr>
            <w:r>
              <w:rPr>
                <w:sz w:val="22"/>
              </w:rPr>
              <w:t>Listado de especies de la familia Orchidaceae, del Parque Universitario “Las Orquídeas”……………………………………………………………………………………</w:t>
            </w:r>
          </w:p>
        </w:tc>
        <w:tc>
          <w:tcPr>
            <w:tcW w:w="778" w:type="dxa"/>
          </w:tcPr>
          <w:p>
            <w:pPr>
              <w:pStyle w:val="TableParagraph"/>
              <w:rPr>
                <w:b/>
                <w:sz w:val="22"/>
              </w:rPr>
            </w:pPr>
          </w:p>
          <w:p>
            <w:pPr>
              <w:pStyle w:val="TableParagraph"/>
              <w:spacing w:before="178"/>
              <w:ind w:left="92" w:right="180"/>
              <w:jc w:val="center"/>
              <w:rPr>
                <w:sz w:val="22"/>
              </w:rPr>
            </w:pPr>
            <w:r>
              <w:rPr>
                <w:sz w:val="22"/>
              </w:rPr>
              <w:t>50</w:t>
            </w:r>
          </w:p>
        </w:tc>
      </w:tr>
      <w:tr>
        <w:trPr>
          <w:trHeight w:val="761" w:hRule="exact"/>
        </w:trPr>
        <w:tc>
          <w:tcPr>
            <w:tcW w:w="661" w:type="dxa"/>
          </w:tcPr>
          <w:p>
            <w:pPr>
              <w:pStyle w:val="TableParagraph"/>
              <w:spacing w:before="51"/>
              <w:ind w:left="92"/>
              <w:jc w:val="center"/>
              <w:rPr>
                <w:sz w:val="22"/>
              </w:rPr>
            </w:pPr>
            <w:r>
              <w:rPr>
                <w:w w:val="100"/>
                <w:sz w:val="22"/>
              </w:rPr>
              <w:t>6</w:t>
            </w:r>
          </w:p>
        </w:tc>
        <w:tc>
          <w:tcPr>
            <w:tcW w:w="8367" w:type="dxa"/>
          </w:tcPr>
          <w:p>
            <w:pPr>
              <w:pStyle w:val="TableParagraph"/>
              <w:spacing w:line="360" w:lineRule="auto" w:before="51"/>
              <w:ind w:left="110" w:right="109"/>
              <w:rPr>
                <w:sz w:val="22"/>
              </w:rPr>
            </w:pPr>
            <w:r>
              <w:rPr>
                <w:sz w:val="22"/>
              </w:rPr>
              <w:t>Listado de especies de flora de la Zona de Manejo Ambiental: Plantas Medicinales y Aromáticas………………………………………………………………………………..</w:t>
            </w:r>
          </w:p>
        </w:tc>
        <w:tc>
          <w:tcPr>
            <w:tcW w:w="778" w:type="dxa"/>
          </w:tcPr>
          <w:p>
            <w:pPr>
              <w:pStyle w:val="TableParagraph"/>
              <w:rPr>
                <w:b/>
                <w:sz w:val="22"/>
              </w:rPr>
            </w:pPr>
          </w:p>
          <w:p>
            <w:pPr>
              <w:pStyle w:val="TableParagraph"/>
              <w:spacing w:before="178"/>
              <w:ind w:left="92" w:right="180"/>
              <w:jc w:val="center"/>
              <w:rPr>
                <w:sz w:val="22"/>
              </w:rPr>
            </w:pPr>
            <w:r>
              <w:rPr>
                <w:sz w:val="22"/>
              </w:rPr>
              <w:t>67</w:t>
            </w:r>
          </w:p>
        </w:tc>
      </w:tr>
      <w:tr>
        <w:trPr>
          <w:trHeight w:val="382" w:hRule="exact"/>
        </w:trPr>
        <w:tc>
          <w:tcPr>
            <w:tcW w:w="661" w:type="dxa"/>
          </w:tcPr>
          <w:p>
            <w:pPr>
              <w:pStyle w:val="TableParagraph"/>
              <w:spacing w:before="54"/>
              <w:ind w:left="92"/>
              <w:jc w:val="center"/>
              <w:rPr>
                <w:sz w:val="22"/>
              </w:rPr>
            </w:pPr>
            <w:r>
              <w:rPr>
                <w:w w:val="100"/>
                <w:sz w:val="22"/>
              </w:rPr>
              <w:t>7</w:t>
            </w:r>
          </w:p>
        </w:tc>
        <w:tc>
          <w:tcPr>
            <w:tcW w:w="8367" w:type="dxa"/>
          </w:tcPr>
          <w:p>
            <w:pPr>
              <w:pStyle w:val="TableParagraph"/>
              <w:spacing w:before="54"/>
              <w:ind w:left="110" w:right="96"/>
              <w:rPr>
                <w:sz w:val="22"/>
              </w:rPr>
            </w:pPr>
            <w:r>
              <w:rPr>
                <w:sz w:val="22"/>
              </w:rPr>
              <w:t>Listado de especies de flora de la Zona de Manejo Ambiental: Hortalizas……….</w:t>
            </w:r>
          </w:p>
        </w:tc>
        <w:tc>
          <w:tcPr>
            <w:tcW w:w="778" w:type="dxa"/>
          </w:tcPr>
          <w:p>
            <w:pPr>
              <w:pStyle w:val="TableParagraph"/>
              <w:spacing w:before="54"/>
              <w:ind w:left="92" w:right="180"/>
              <w:jc w:val="center"/>
              <w:rPr>
                <w:sz w:val="22"/>
              </w:rPr>
            </w:pPr>
            <w:r>
              <w:rPr>
                <w:sz w:val="22"/>
              </w:rPr>
              <w:t>55</w:t>
            </w:r>
          </w:p>
        </w:tc>
      </w:tr>
      <w:tr>
        <w:trPr>
          <w:trHeight w:val="379" w:hRule="exact"/>
        </w:trPr>
        <w:tc>
          <w:tcPr>
            <w:tcW w:w="661" w:type="dxa"/>
          </w:tcPr>
          <w:p>
            <w:pPr>
              <w:pStyle w:val="TableParagraph"/>
              <w:spacing w:before="52"/>
              <w:ind w:left="92"/>
              <w:jc w:val="center"/>
              <w:rPr>
                <w:sz w:val="22"/>
              </w:rPr>
            </w:pPr>
            <w:r>
              <w:rPr>
                <w:w w:val="100"/>
                <w:sz w:val="22"/>
              </w:rPr>
              <w:t>8</w:t>
            </w:r>
          </w:p>
        </w:tc>
        <w:tc>
          <w:tcPr>
            <w:tcW w:w="8367" w:type="dxa"/>
          </w:tcPr>
          <w:p>
            <w:pPr>
              <w:pStyle w:val="TableParagraph"/>
              <w:spacing w:before="52"/>
              <w:ind w:left="110" w:right="96"/>
              <w:rPr>
                <w:sz w:val="22"/>
              </w:rPr>
            </w:pPr>
            <w:r>
              <w:rPr>
                <w:sz w:val="22"/>
              </w:rPr>
              <w:t>Listado de especies de flora de la Zona de Manejo Ambiental: Cafetal…………..</w:t>
            </w:r>
          </w:p>
        </w:tc>
        <w:tc>
          <w:tcPr>
            <w:tcW w:w="778" w:type="dxa"/>
          </w:tcPr>
          <w:p>
            <w:pPr>
              <w:pStyle w:val="TableParagraph"/>
              <w:spacing w:before="52"/>
              <w:ind w:left="92" w:right="180"/>
              <w:jc w:val="center"/>
              <w:rPr>
                <w:sz w:val="22"/>
              </w:rPr>
            </w:pPr>
            <w:r>
              <w:rPr>
                <w:sz w:val="22"/>
              </w:rPr>
              <w:t>56</w:t>
            </w:r>
          </w:p>
        </w:tc>
      </w:tr>
      <w:tr>
        <w:trPr>
          <w:trHeight w:val="379" w:hRule="exact"/>
        </w:trPr>
        <w:tc>
          <w:tcPr>
            <w:tcW w:w="661" w:type="dxa"/>
          </w:tcPr>
          <w:p>
            <w:pPr>
              <w:pStyle w:val="TableParagraph"/>
              <w:spacing w:before="51"/>
              <w:ind w:left="92"/>
              <w:jc w:val="center"/>
              <w:rPr>
                <w:sz w:val="22"/>
              </w:rPr>
            </w:pPr>
            <w:r>
              <w:rPr>
                <w:w w:val="100"/>
                <w:sz w:val="22"/>
              </w:rPr>
              <w:t>9</w:t>
            </w:r>
          </w:p>
        </w:tc>
        <w:tc>
          <w:tcPr>
            <w:tcW w:w="8367" w:type="dxa"/>
          </w:tcPr>
          <w:p>
            <w:pPr>
              <w:pStyle w:val="TableParagraph"/>
              <w:spacing w:before="51"/>
              <w:ind w:left="110" w:right="96"/>
              <w:rPr>
                <w:sz w:val="22"/>
              </w:rPr>
            </w:pPr>
            <w:r>
              <w:rPr>
                <w:sz w:val="22"/>
              </w:rPr>
              <w:t>Listado de especies de flora de la Zona de Manejo Ambiental: Frutales………….</w:t>
            </w:r>
          </w:p>
        </w:tc>
        <w:tc>
          <w:tcPr>
            <w:tcW w:w="778" w:type="dxa"/>
          </w:tcPr>
          <w:p>
            <w:pPr>
              <w:pStyle w:val="TableParagraph"/>
              <w:spacing w:before="51"/>
              <w:ind w:left="92" w:right="180"/>
              <w:jc w:val="center"/>
              <w:rPr>
                <w:sz w:val="22"/>
              </w:rPr>
            </w:pPr>
            <w:r>
              <w:rPr>
                <w:sz w:val="22"/>
              </w:rPr>
              <w:t>57</w:t>
            </w:r>
          </w:p>
        </w:tc>
      </w:tr>
      <w:tr>
        <w:trPr>
          <w:trHeight w:val="379" w:hRule="exact"/>
        </w:trPr>
        <w:tc>
          <w:tcPr>
            <w:tcW w:w="661" w:type="dxa"/>
          </w:tcPr>
          <w:p>
            <w:pPr>
              <w:pStyle w:val="TableParagraph"/>
              <w:spacing w:before="51"/>
              <w:ind w:left="252"/>
              <w:rPr>
                <w:sz w:val="22"/>
              </w:rPr>
            </w:pPr>
            <w:r>
              <w:rPr>
                <w:sz w:val="22"/>
              </w:rPr>
              <w:t>10</w:t>
            </w:r>
          </w:p>
        </w:tc>
        <w:tc>
          <w:tcPr>
            <w:tcW w:w="8367" w:type="dxa"/>
          </w:tcPr>
          <w:p>
            <w:pPr>
              <w:pStyle w:val="TableParagraph"/>
              <w:spacing w:before="51"/>
              <w:ind w:left="110" w:right="96"/>
              <w:rPr>
                <w:sz w:val="22"/>
              </w:rPr>
            </w:pPr>
            <w:r>
              <w:rPr>
                <w:sz w:val="22"/>
              </w:rPr>
              <w:t>Listado de especies de flora de la Zona de Manejo Ambiental: Mariposario……..</w:t>
            </w:r>
          </w:p>
        </w:tc>
        <w:tc>
          <w:tcPr>
            <w:tcW w:w="778" w:type="dxa"/>
          </w:tcPr>
          <w:p>
            <w:pPr>
              <w:pStyle w:val="TableParagraph"/>
              <w:spacing w:before="51"/>
              <w:ind w:left="92" w:right="180"/>
              <w:jc w:val="center"/>
              <w:rPr>
                <w:sz w:val="22"/>
              </w:rPr>
            </w:pPr>
            <w:r>
              <w:rPr>
                <w:sz w:val="22"/>
              </w:rPr>
              <w:t>59</w:t>
            </w:r>
          </w:p>
        </w:tc>
      </w:tr>
      <w:tr>
        <w:trPr>
          <w:trHeight w:val="379" w:hRule="exact"/>
        </w:trPr>
        <w:tc>
          <w:tcPr>
            <w:tcW w:w="661" w:type="dxa"/>
          </w:tcPr>
          <w:p>
            <w:pPr>
              <w:pStyle w:val="TableParagraph"/>
              <w:spacing w:before="51"/>
              <w:ind w:left="252"/>
              <w:rPr>
                <w:sz w:val="22"/>
              </w:rPr>
            </w:pPr>
            <w:r>
              <w:rPr>
                <w:sz w:val="22"/>
              </w:rPr>
              <w:t>11</w:t>
            </w:r>
          </w:p>
        </w:tc>
        <w:tc>
          <w:tcPr>
            <w:tcW w:w="8367" w:type="dxa"/>
          </w:tcPr>
          <w:p>
            <w:pPr>
              <w:pStyle w:val="TableParagraph"/>
              <w:spacing w:before="51"/>
              <w:ind w:left="110" w:right="96"/>
              <w:rPr>
                <w:sz w:val="22"/>
              </w:rPr>
            </w:pPr>
            <w:r>
              <w:rPr>
                <w:sz w:val="22"/>
              </w:rPr>
              <w:t>Listado de especies de flora de la Zona de Manejo Ambiental: Orquídeario……..</w:t>
            </w:r>
          </w:p>
        </w:tc>
        <w:tc>
          <w:tcPr>
            <w:tcW w:w="778" w:type="dxa"/>
          </w:tcPr>
          <w:p>
            <w:pPr>
              <w:pStyle w:val="TableParagraph"/>
              <w:spacing w:before="51"/>
              <w:ind w:left="92" w:right="180"/>
              <w:jc w:val="center"/>
              <w:rPr>
                <w:sz w:val="22"/>
              </w:rPr>
            </w:pPr>
            <w:r>
              <w:rPr>
                <w:sz w:val="22"/>
              </w:rPr>
              <w:t>62</w:t>
            </w:r>
          </w:p>
        </w:tc>
      </w:tr>
      <w:tr>
        <w:trPr>
          <w:trHeight w:val="379" w:hRule="exact"/>
        </w:trPr>
        <w:tc>
          <w:tcPr>
            <w:tcW w:w="661" w:type="dxa"/>
          </w:tcPr>
          <w:p>
            <w:pPr>
              <w:pStyle w:val="TableParagraph"/>
              <w:spacing w:before="52"/>
              <w:ind w:left="252"/>
              <w:rPr>
                <w:sz w:val="22"/>
              </w:rPr>
            </w:pPr>
            <w:r>
              <w:rPr>
                <w:sz w:val="22"/>
              </w:rPr>
              <w:t>12</w:t>
            </w:r>
          </w:p>
        </w:tc>
        <w:tc>
          <w:tcPr>
            <w:tcW w:w="8367" w:type="dxa"/>
          </w:tcPr>
          <w:p>
            <w:pPr>
              <w:pStyle w:val="TableParagraph"/>
              <w:spacing w:before="52"/>
              <w:ind w:left="110" w:right="96"/>
              <w:rPr>
                <w:sz w:val="22"/>
              </w:rPr>
            </w:pPr>
            <w:r>
              <w:rPr>
                <w:sz w:val="22"/>
              </w:rPr>
              <w:t>Listado de especies de flora de la Zona de Manejo Ambiental: Área Natural…….</w:t>
            </w:r>
          </w:p>
        </w:tc>
        <w:tc>
          <w:tcPr>
            <w:tcW w:w="778" w:type="dxa"/>
          </w:tcPr>
          <w:p>
            <w:pPr>
              <w:pStyle w:val="TableParagraph"/>
              <w:spacing w:before="52"/>
              <w:ind w:left="92" w:right="180"/>
              <w:jc w:val="center"/>
              <w:rPr>
                <w:sz w:val="22"/>
              </w:rPr>
            </w:pPr>
            <w:r>
              <w:rPr>
                <w:sz w:val="22"/>
              </w:rPr>
              <w:t>66</w:t>
            </w:r>
          </w:p>
        </w:tc>
      </w:tr>
      <w:tr>
        <w:trPr>
          <w:trHeight w:val="379" w:hRule="exact"/>
        </w:trPr>
        <w:tc>
          <w:tcPr>
            <w:tcW w:w="661" w:type="dxa"/>
          </w:tcPr>
          <w:p>
            <w:pPr>
              <w:pStyle w:val="TableParagraph"/>
              <w:spacing w:before="51"/>
              <w:ind w:left="252"/>
              <w:rPr>
                <w:sz w:val="22"/>
              </w:rPr>
            </w:pPr>
            <w:r>
              <w:rPr>
                <w:sz w:val="22"/>
              </w:rPr>
              <w:t>13</w:t>
            </w:r>
          </w:p>
        </w:tc>
        <w:tc>
          <w:tcPr>
            <w:tcW w:w="8367" w:type="dxa"/>
          </w:tcPr>
          <w:p>
            <w:pPr>
              <w:pStyle w:val="TableParagraph"/>
              <w:spacing w:before="51"/>
              <w:ind w:left="110" w:right="96"/>
              <w:rPr>
                <w:sz w:val="22"/>
              </w:rPr>
            </w:pPr>
            <w:r>
              <w:rPr>
                <w:sz w:val="22"/>
              </w:rPr>
              <w:t>Matriz FODA del Parque Universitario “Las Orquídeas” Temascaltepec……………..</w:t>
            </w:r>
          </w:p>
        </w:tc>
        <w:tc>
          <w:tcPr>
            <w:tcW w:w="778" w:type="dxa"/>
          </w:tcPr>
          <w:p>
            <w:pPr>
              <w:pStyle w:val="TableParagraph"/>
              <w:spacing w:before="51"/>
              <w:ind w:left="92" w:right="180"/>
              <w:jc w:val="center"/>
              <w:rPr>
                <w:sz w:val="22"/>
              </w:rPr>
            </w:pPr>
            <w:r>
              <w:rPr>
                <w:sz w:val="22"/>
              </w:rPr>
              <w:t>70</w:t>
            </w:r>
          </w:p>
        </w:tc>
      </w:tr>
      <w:tr>
        <w:trPr>
          <w:trHeight w:val="379" w:hRule="exact"/>
        </w:trPr>
        <w:tc>
          <w:tcPr>
            <w:tcW w:w="661" w:type="dxa"/>
          </w:tcPr>
          <w:p>
            <w:pPr>
              <w:pStyle w:val="TableParagraph"/>
              <w:spacing w:before="51"/>
              <w:ind w:left="252"/>
              <w:rPr>
                <w:sz w:val="22"/>
              </w:rPr>
            </w:pPr>
            <w:r>
              <w:rPr>
                <w:sz w:val="22"/>
              </w:rPr>
              <w:t>14</w:t>
            </w:r>
          </w:p>
        </w:tc>
        <w:tc>
          <w:tcPr>
            <w:tcW w:w="8367" w:type="dxa"/>
          </w:tcPr>
          <w:p>
            <w:pPr>
              <w:pStyle w:val="TableParagraph"/>
              <w:spacing w:before="51"/>
              <w:ind w:left="110"/>
              <w:rPr>
                <w:sz w:val="22"/>
              </w:rPr>
            </w:pPr>
            <w:r>
              <w:rPr>
                <w:sz w:val="22"/>
              </w:rPr>
              <w:t>Matriz estrategias FODA del Parque Universitario “Las Orquídeas”…………………..</w:t>
            </w:r>
          </w:p>
        </w:tc>
        <w:tc>
          <w:tcPr>
            <w:tcW w:w="778" w:type="dxa"/>
          </w:tcPr>
          <w:p>
            <w:pPr>
              <w:pStyle w:val="TableParagraph"/>
              <w:spacing w:before="51"/>
              <w:ind w:left="92" w:right="180"/>
              <w:jc w:val="center"/>
              <w:rPr>
                <w:sz w:val="22"/>
              </w:rPr>
            </w:pPr>
            <w:r>
              <w:rPr>
                <w:sz w:val="22"/>
              </w:rPr>
              <w:t>72</w:t>
            </w:r>
          </w:p>
        </w:tc>
      </w:tr>
      <w:tr>
        <w:trPr>
          <w:trHeight w:val="380" w:hRule="exact"/>
        </w:trPr>
        <w:tc>
          <w:tcPr>
            <w:tcW w:w="661" w:type="dxa"/>
          </w:tcPr>
          <w:p>
            <w:pPr>
              <w:pStyle w:val="TableParagraph"/>
              <w:spacing w:before="51"/>
              <w:ind w:left="252"/>
              <w:rPr>
                <w:sz w:val="22"/>
              </w:rPr>
            </w:pPr>
            <w:r>
              <w:rPr>
                <w:sz w:val="22"/>
              </w:rPr>
              <w:t>15</w:t>
            </w:r>
          </w:p>
        </w:tc>
        <w:tc>
          <w:tcPr>
            <w:tcW w:w="8367" w:type="dxa"/>
          </w:tcPr>
          <w:p>
            <w:pPr>
              <w:pStyle w:val="TableParagraph"/>
              <w:spacing w:before="51"/>
              <w:ind w:left="110" w:right="96"/>
              <w:rPr>
                <w:sz w:val="22"/>
              </w:rPr>
            </w:pPr>
            <w:r>
              <w:rPr>
                <w:sz w:val="22"/>
              </w:rPr>
              <w:t>Análisis de la Participación…………………………………………………………………</w:t>
            </w:r>
          </w:p>
        </w:tc>
        <w:tc>
          <w:tcPr>
            <w:tcW w:w="778" w:type="dxa"/>
          </w:tcPr>
          <w:p>
            <w:pPr>
              <w:pStyle w:val="TableParagraph"/>
              <w:spacing w:before="51"/>
              <w:ind w:left="92" w:right="180"/>
              <w:jc w:val="center"/>
              <w:rPr>
                <w:sz w:val="22"/>
              </w:rPr>
            </w:pPr>
            <w:r>
              <w:rPr>
                <w:sz w:val="22"/>
              </w:rPr>
              <w:t>76</w:t>
            </w:r>
          </w:p>
        </w:tc>
      </w:tr>
      <w:tr>
        <w:trPr>
          <w:trHeight w:val="379" w:hRule="exact"/>
        </w:trPr>
        <w:tc>
          <w:tcPr>
            <w:tcW w:w="661" w:type="dxa"/>
          </w:tcPr>
          <w:p>
            <w:pPr>
              <w:pStyle w:val="TableParagraph"/>
              <w:spacing w:before="52"/>
              <w:ind w:left="252"/>
              <w:rPr>
                <w:sz w:val="22"/>
              </w:rPr>
            </w:pPr>
            <w:r>
              <w:rPr>
                <w:sz w:val="22"/>
              </w:rPr>
              <w:t>16</w:t>
            </w:r>
          </w:p>
        </w:tc>
        <w:tc>
          <w:tcPr>
            <w:tcW w:w="8367" w:type="dxa"/>
          </w:tcPr>
          <w:p>
            <w:pPr>
              <w:pStyle w:val="TableParagraph"/>
              <w:spacing w:before="52"/>
              <w:ind w:left="110"/>
              <w:rPr>
                <w:sz w:val="22"/>
              </w:rPr>
            </w:pPr>
            <w:r>
              <w:rPr>
                <w:sz w:val="22"/>
              </w:rPr>
              <w:t>Evaluación cualitativa de las alternativas…………………………………………………</w:t>
            </w:r>
          </w:p>
        </w:tc>
        <w:tc>
          <w:tcPr>
            <w:tcW w:w="778" w:type="dxa"/>
          </w:tcPr>
          <w:p>
            <w:pPr>
              <w:pStyle w:val="TableParagraph"/>
              <w:spacing w:before="52"/>
              <w:ind w:left="92" w:right="180"/>
              <w:jc w:val="center"/>
              <w:rPr>
                <w:sz w:val="22"/>
              </w:rPr>
            </w:pPr>
            <w:r>
              <w:rPr>
                <w:sz w:val="22"/>
              </w:rPr>
              <w:t>79</w:t>
            </w:r>
          </w:p>
        </w:tc>
      </w:tr>
      <w:tr>
        <w:trPr>
          <w:trHeight w:val="379" w:hRule="exact"/>
        </w:trPr>
        <w:tc>
          <w:tcPr>
            <w:tcW w:w="661" w:type="dxa"/>
          </w:tcPr>
          <w:p>
            <w:pPr>
              <w:pStyle w:val="TableParagraph"/>
              <w:spacing w:before="51"/>
              <w:ind w:left="252"/>
              <w:rPr>
                <w:sz w:val="22"/>
              </w:rPr>
            </w:pPr>
            <w:r>
              <w:rPr>
                <w:sz w:val="22"/>
              </w:rPr>
              <w:t>17</w:t>
            </w:r>
          </w:p>
        </w:tc>
        <w:tc>
          <w:tcPr>
            <w:tcW w:w="8367" w:type="dxa"/>
          </w:tcPr>
          <w:p>
            <w:pPr>
              <w:pStyle w:val="TableParagraph"/>
              <w:spacing w:before="51"/>
              <w:ind w:left="110" w:right="96"/>
              <w:rPr>
                <w:sz w:val="22"/>
              </w:rPr>
            </w:pPr>
            <w:r>
              <w:rPr>
                <w:sz w:val="22"/>
              </w:rPr>
              <w:t>Evaluación cuantitativa de las alternativas……………………………………………….</w:t>
            </w:r>
          </w:p>
        </w:tc>
        <w:tc>
          <w:tcPr>
            <w:tcW w:w="778" w:type="dxa"/>
          </w:tcPr>
          <w:p>
            <w:pPr>
              <w:pStyle w:val="TableParagraph"/>
              <w:spacing w:before="51"/>
              <w:ind w:left="92" w:right="180"/>
              <w:jc w:val="center"/>
              <w:rPr>
                <w:sz w:val="22"/>
              </w:rPr>
            </w:pPr>
            <w:r>
              <w:rPr>
                <w:sz w:val="22"/>
              </w:rPr>
              <w:t>80</w:t>
            </w:r>
          </w:p>
        </w:tc>
      </w:tr>
      <w:tr>
        <w:trPr>
          <w:trHeight w:val="379" w:hRule="exact"/>
        </w:trPr>
        <w:tc>
          <w:tcPr>
            <w:tcW w:w="661" w:type="dxa"/>
          </w:tcPr>
          <w:p>
            <w:pPr>
              <w:pStyle w:val="TableParagraph"/>
              <w:spacing w:before="51"/>
              <w:ind w:left="252"/>
              <w:rPr>
                <w:sz w:val="22"/>
              </w:rPr>
            </w:pPr>
            <w:r>
              <w:rPr>
                <w:sz w:val="22"/>
              </w:rPr>
              <w:t>18</w:t>
            </w:r>
          </w:p>
        </w:tc>
        <w:tc>
          <w:tcPr>
            <w:tcW w:w="8367" w:type="dxa"/>
          </w:tcPr>
          <w:p>
            <w:pPr>
              <w:pStyle w:val="TableParagraph"/>
              <w:spacing w:before="51"/>
              <w:ind w:left="110" w:right="96"/>
              <w:rPr>
                <w:sz w:val="22"/>
              </w:rPr>
            </w:pPr>
            <w:r>
              <w:rPr>
                <w:sz w:val="22"/>
              </w:rPr>
              <w:t>Matriz de planificación del EML……………………………………………………………</w:t>
            </w:r>
          </w:p>
        </w:tc>
        <w:tc>
          <w:tcPr>
            <w:tcW w:w="778" w:type="dxa"/>
          </w:tcPr>
          <w:p>
            <w:pPr>
              <w:pStyle w:val="TableParagraph"/>
              <w:spacing w:before="51"/>
              <w:ind w:left="92" w:right="180"/>
              <w:jc w:val="center"/>
              <w:rPr>
                <w:sz w:val="22"/>
              </w:rPr>
            </w:pPr>
            <w:r>
              <w:rPr>
                <w:sz w:val="22"/>
              </w:rPr>
              <w:t>82</w:t>
            </w:r>
          </w:p>
        </w:tc>
      </w:tr>
      <w:tr>
        <w:trPr>
          <w:trHeight w:val="379" w:hRule="exact"/>
        </w:trPr>
        <w:tc>
          <w:tcPr>
            <w:tcW w:w="661" w:type="dxa"/>
          </w:tcPr>
          <w:p>
            <w:pPr>
              <w:pStyle w:val="TableParagraph"/>
              <w:spacing w:before="51"/>
              <w:ind w:left="252"/>
              <w:rPr>
                <w:sz w:val="22"/>
              </w:rPr>
            </w:pPr>
            <w:r>
              <w:rPr>
                <w:sz w:val="22"/>
              </w:rPr>
              <w:t>19</w:t>
            </w:r>
          </w:p>
        </w:tc>
        <w:tc>
          <w:tcPr>
            <w:tcW w:w="8367" w:type="dxa"/>
          </w:tcPr>
          <w:p>
            <w:pPr>
              <w:pStyle w:val="TableParagraph"/>
              <w:spacing w:before="51"/>
              <w:ind w:left="110" w:right="96"/>
              <w:rPr>
                <w:sz w:val="22"/>
              </w:rPr>
            </w:pPr>
            <w:r>
              <w:rPr>
                <w:sz w:val="22"/>
              </w:rPr>
              <w:t>Actividades de la Matriz de planificación del EML………………………………………</w:t>
            </w:r>
          </w:p>
        </w:tc>
        <w:tc>
          <w:tcPr>
            <w:tcW w:w="778" w:type="dxa"/>
          </w:tcPr>
          <w:p>
            <w:pPr>
              <w:pStyle w:val="TableParagraph"/>
              <w:spacing w:before="51"/>
              <w:ind w:left="92" w:right="180"/>
              <w:jc w:val="center"/>
              <w:rPr>
                <w:sz w:val="22"/>
              </w:rPr>
            </w:pPr>
            <w:r>
              <w:rPr>
                <w:sz w:val="22"/>
              </w:rPr>
              <w:t>84</w:t>
            </w:r>
          </w:p>
        </w:tc>
      </w:tr>
      <w:tr>
        <w:trPr>
          <w:trHeight w:val="379" w:hRule="exact"/>
        </w:trPr>
        <w:tc>
          <w:tcPr>
            <w:tcW w:w="661" w:type="dxa"/>
          </w:tcPr>
          <w:p>
            <w:pPr>
              <w:pStyle w:val="TableParagraph"/>
              <w:spacing w:before="52"/>
              <w:ind w:left="252"/>
              <w:rPr>
                <w:sz w:val="22"/>
              </w:rPr>
            </w:pPr>
            <w:r>
              <w:rPr>
                <w:sz w:val="22"/>
              </w:rPr>
              <w:t>20</w:t>
            </w:r>
          </w:p>
        </w:tc>
        <w:tc>
          <w:tcPr>
            <w:tcW w:w="8367" w:type="dxa"/>
          </w:tcPr>
          <w:p>
            <w:pPr>
              <w:pStyle w:val="TableParagraph"/>
              <w:spacing w:before="52"/>
              <w:ind w:left="110" w:right="96"/>
              <w:rPr>
                <w:sz w:val="22"/>
              </w:rPr>
            </w:pPr>
            <w:r>
              <w:rPr>
                <w:sz w:val="22"/>
              </w:rPr>
              <w:t>Recursos involucrados de la Matriz de planificación del EML…………………………</w:t>
            </w:r>
          </w:p>
        </w:tc>
        <w:tc>
          <w:tcPr>
            <w:tcW w:w="778" w:type="dxa"/>
          </w:tcPr>
          <w:p>
            <w:pPr>
              <w:pStyle w:val="TableParagraph"/>
              <w:spacing w:before="52"/>
              <w:ind w:left="92" w:right="180"/>
              <w:jc w:val="center"/>
              <w:rPr>
                <w:sz w:val="22"/>
              </w:rPr>
            </w:pPr>
            <w:r>
              <w:rPr>
                <w:sz w:val="22"/>
              </w:rPr>
              <w:t>88</w:t>
            </w:r>
          </w:p>
        </w:tc>
      </w:tr>
      <w:tr>
        <w:trPr>
          <w:trHeight w:val="379" w:hRule="exact"/>
        </w:trPr>
        <w:tc>
          <w:tcPr>
            <w:tcW w:w="661" w:type="dxa"/>
          </w:tcPr>
          <w:p>
            <w:pPr>
              <w:pStyle w:val="TableParagraph"/>
              <w:spacing w:before="51"/>
              <w:ind w:left="252"/>
              <w:rPr>
                <w:sz w:val="22"/>
              </w:rPr>
            </w:pPr>
            <w:r>
              <w:rPr>
                <w:sz w:val="22"/>
              </w:rPr>
              <w:t>21</w:t>
            </w:r>
          </w:p>
        </w:tc>
        <w:tc>
          <w:tcPr>
            <w:tcW w:w="8367" w:type="dxa"/>
          </w:tcPr>
          <w:p>
            <w:pPr>
              <w:pStyle w:val="TableParagraph"/>
              <w:spacing w:before="51"/>
              <w:ind w:left="110" w:right="96"/>
              <w:rPr>
                <w:sz w:val="22"/>
              </w:rPr>
            </w:pPr>
            <w:r>
              <w:rPr>
                <w:sz w:val="22"/>
              </w:rPr>
              <w:t>Áreas actualmente establecidas en el Parque…………………………………………..</w:t>
            </w:r>
          </w:p>
        </w:tc>
        <w:tc>
          <w:tcPr>
            <w:tcW w:w="778" w:type="dxa"/>
          </w:tcPr>
          <w:p>
            <w:pPr>
              <w:pStyle w:val="TableParagraph"/>
              <w:spacing w:before="51"/>
              <w:ind w:left="92" w:right="180"/>
              <w:jc w:val="center"/>
              <w:rPr>
                <w:sz w:val="22"/>
              </w:rPr>
            </w:pPr>
            <w:r>
              <w:rPr>
                <w:sz w:val="22"/>
              </w:rPr>
              <w:t>91</w:t>
            </w:r>
          </w:p>
        </w:tc>
      </w:tr>
      <w:tr>
        <w:trPr>
          <w:trHeight w:val="300" w:hRule="exact"/>
        </w:trPr>
        <w:tc>
          <w:tcPr>
            <w:tcW w:w="661" w:type="dxa"/>
          </w:tcPr>
          <w:p>
            <w:pPr>
              <w:pStyle w:val="TableParagraph"/>
              <w:spacing w:before="51"/>
              <w:ind w:left="252"/>
              <w:rPr>
                <w:sz w:val="22"/>
              </w:rPr>
            </w:pPr>
            <w:r>
              <w:rPr>
                <w:sz w:val="22"/>
              </w:rPr>
              <w:t>22</w:t>
            </w:r>
          </w:p>
        </w:tc>
        <w:tc>
          <w:tcPr>
            <w:tcW w:w="8367" w:type="dxa"/>
          </w:tcPr>
          <w:p>
            <w:pPr>
              <w:pStyle w:val="TableParagraph"/>
              <w:spacing w:before="51"/>
              <w:ind w:left="110" w:right="96"/>
              <w:rPr>
                <w:sz w:val="22"/>
              </w:rPr>
            </w:pPr>
            <w:r>
              <w:rPr>
                <w:sz w:val="22"/>
              </w:rPr>
              <w:t>Áreas nuevas para incorporar al diseño del Jardín Botánico Regional……………….</w:t>
            </w:r>
          </w:p>
        </w:tc>
        <w:tc>
          <w:tcPr>
            <w:tcW w:w="778" w:type="dxa"/>
          </w:tcPr>
          <w:p>
            <w:pPr>
              <w:pStyle w:val="TableParagraph"/>
              <w:spacing w:before="51"/>
              <w:ind w:left="92" w:right="180"/>
              <w:jc w:val="center"/>
              <w:rPr>
                <w:sz w:val="22"/>
              </w:rPr>
            </w:pPr>
            <w:r>
              <w:rPr>
                <w:sz w:val="22"/>
              </w:rPr>
              <w:t>92</w:t>
            </w:r>
          </w:p>
        </w:tc>
      </w:tr>
    </w:tbl>
    <w:p>
      <w:pPr>
        <w:spacing w:after="0"/>
        <w:jc w:val="center"/>
        <w:rPr>
          <w:sz w:val="22"/>
        </w:rPr>
        <w:sectPr>
          <w:pgSz w:w="12240" w:h="15840"/>
          <w:pgMar w:header="690" w:footer="1146" w:top="880" w:bottom="1340" w:left="1100" w:right="1100"/>
        </w:sectPr>
      </w:pPr>
    </w:p>
    <w:p>
      <w:pPr>
        <w:pStyle w:val="BodyText"/>
        <w:rPr>
          <w:b/>
          <w:sz w:val="20"/>
        </w:rPr>
      </w:pPr>
    </w:p>
    <w:p>
      <w:pPr>
        <w:pStyle w:val="BodyText"/>
        <w:rPr>
          <w:b/>
          <w:sz w:val="20"/>
        </w:rPr>
      </w:pPr>
    </w:p>
    <w:p>
      <w:pPr>
        <w:pStyle w:val="BodyText"/>
        <w:rPr>
          <w:b/>
          <w:sz w:val="20"/>
        </w:rPr>
      </w:pPr>
    </w:p>
    <w:p>
      <w:pPr>
        <w:pStyle w:val="BodyText"/>
        <w:spacing w:before="7"/>
        <w:rPr>
          <w:b/>
          <w:sz w:val="23"/>
        </w:rPr>
      </w:pPr>
    </w:p>
    <w:p>
      <w:pPr>
        <w:spacing w:before="70"/>
        <w:ind w:left="3483" w:right="3490" w:firstLine="0"/>
        <w:jc w:val="center"/>
        <w:rPr>
          <w:b/>
          <w:sz w:val="24"/>
        </w:rPr>
      </w:pPr>
      <w:r>
        <w:rPr>
          <w:b/>
          <w:sz w:val="24"/>
        </w:rPr>
        <w:t>ÍNDICE DE FIGURAS</w:t>
      </w:r>
    </w:p>
    <w:p>
      <w:pPr>
        <w:pStyle w:val="BodyText"/>
        <w:spacing w:before="3"/>
        <w:rPr>
          <w:b/>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1"/>
        <w:gridCol w:w="8371"/>
        <w:gridCol w:w="783"/>
      </w:tblGrid>
      <w:tr>
        <w:trPr>
          <w:trHeight w:val="302" w:hRule="exact"/>
        </w:trPr>
        <w:tc>
          <w:tcPr>
            <w:tcW w:w="661" w:type="dxa"/>
          </w:tcPr>
          <w:p>
            <w:pPr>
              <w:pStyle w:val="TableParagraph"/>
              <w:spacing w:line="226" w:lineRule="exact"/>
              <w:ind w:left="177" w:right="88"/>
              <w:jc w:val="center"/>
              <w:rPr>
                <w:b/>
                <w:sz w:val="22"/>
              </w:rPr>
            </w:pPr>
            <w:r>
              <w:rPr>
                <w:b/>
                <w:sz w:val="22"/>
              </w:rPr>
              <w:t>No.</w:t>
            </w:r>
          </w:p>
        </w:tc>
        <w:tc>
          <w:tcPr>
            <w:tcW w:w="8371" w:type="dxa"/>
          </w:tcPr>
          <w:p>
            <w:pPr>
              <w:pStyle w:val="TableParagraph"/>
              <w:spacing w:line="226" w:lineRule="exact"/>
              <w:ind w:left="89" w:right="88"/>
              <w:jc w:val="center"/>
              <w:rPr>
                <w:b/>
                <w:sz w:val="22"/>
              </w:rPr>
            </w:pPr>
            <w:r>
              <w:rPr>
                <w:b/>
                <w:sz w:val="22"/>
              </w:rPr>
              <w:t>Figura</w:t>
            </w:r>
          </w:p>
        </w:tc>
        <w:tc>
          <w:tcPr>
            <w:tcW w:w="783" w:type="dxa"/>
          </w:tcPr>
          <w:p>
            <w:pPr>
              <w:pStyle w:val="TableParagraph"/>
              <w:spacing w:line="226" w:lineRule="exact"/>
              <w:ind w:left="97" w:right="181"/>
              <w:jc w:val="center"/>
              <w:rPr>
                <w:b/>
                <w:sz w:val="22"/>
              </w:rPr>
            </w:pPr>
            <w:r>
              <w:rPr>
                <w:b/>
                <w:sz w:val="22"/>
              </w:rPr>
              <w:t>Pág.</w:t>
            </w:r>
          </w:p>
        </w:tc>
      </w:tr>
      <w:tr>
        <w:trPr>
          <w:trHeight w:val="382" w:hRule="exact"/>
        </w:trPr>
        <w:tc>
          <w:tcPr>
            <w:tcW w:w="661" w:type="dxa"/>
          </w:tcPr>
          <w:p>
            <w:pPr>
              <w:pStyle w:val="TableParagraph"/>
              <w:spacing w:before="54"/>
              <w:ind w:left="92"/>
              <w:jc w:val="center"/>
              <w:rPr>
                <w:sz w:val="22"/>
              </w:rPr>
            </w:pPr>
            <w:r>
              <w:rPr>
                <w:w w:val="100"/>
                <w:sz w:val="22"/>
              </w:rPr>
              <w:t>1</w:t>
            </w:r>
          </w:p>
        </w:tc>
        <w:tc>
          <w:tcPr>
            <w:tcW w:w="8371" w:type="dxa"/>
          </w:tcPr>
          <w:p>
            <w:pPr>
              <w:pStyle w:val="TableParagraph"/>
              <w:spacing w:before="54"/>
              <w:ind w:left="74" w:right="94"/>
              <w:jc w:val="center"/>
              <w:rPr>
                <w:sz w:val="22"/>
              </w:rPr>
            </w:pPr>
            <w:r>
              <w:rPr>
                <w:sz w:val="22"/>
              </w:rPr>
              <w:t>Mapa de localización del municipio de Temascaltepec, Estado de México…………..</w:t>
            </w:r>
          </w:p>
        </w:tc>
        <w:tc>
          <w:tcPr>
            <w:tcW w:w="783" w:type="dxa"/>
          </w:tcPr>
          <w:p>
            <w:pPr>
              <w:pStyle w:val="TableParagraph"/>
              <w:spacing w:before="54"/>
              <w:ind w:left="97" w:right="181"/>
              <w:jc w:val="center"/>
              <w:rPr>
                <w:sz w:val="22"/>
              </w:rPr>
            </w:pPr>
            <w:r>
              <w:rPr>
                <w:sz w:val="22"/>
              </w:rPr>
              <w:t>26</w:t>
            </w:r>
          </w:p>
        </w:tc>
      </w:tr>
      <w:tr>
        <w:trPr>
          <w:trHeight w:val="379" w:hRule="exact"/>
        </w:trPr>
        <w:tc>
          <w:tcPr>
            <w:tcW w:w="661" w:type="dxa"/>
          </w:tcPr>
          <w:p>
            <w:pPr>
              <w:pStyle w:val="TableParagraph"/>
              <w:spacing w:before="51"/>
              <w:ind w:left="92"/>
              <w:jc w:val="center"/>
              <w:rPr>
                <w:sz w:val="22"/>
              </w:rPr>
            </w:pPr>
            <w:r>
              <w:rPr>
                <w:w w:val="100"/>
                <w:sz w:val="22"/>
              </w:rPr>
              <w:t>2</w:t>
            </w:r>
          </w:p>
        </w:tc>
        <w:tc>
          <w:tcPr>
            <w:tcW w:w="8371" w:type="dxa"/>
          </w:tcPr>
          <w:p>
            <w:pPr>
              <w:pStyle w:val="TableParagraph"/>
              <w:spacing w:before="51"/>
              <w:ind w:left="89" w:right="92"/>
              <w:jc w:val="center"/>
              <w:rPr>
                <w:sz w:val="22"/>
              </w:rPr>
            </w:pPr>
            <w:r>
              <w:rPr>
                <w:sz w:val="22"/>
              </w:rPr>
              <w:t>Mapa Topográfico del parque Universitario “”Las Orquídeas”………………………….</w:t>
            </w:r>
          </w:p>
        </w:tc>
        <w:tc>
          <w:tcPr>
            <w:tcW w:w="783" w:type="dxa"/>
          </w:tcPr>
          <w:p>
            <w:pPr>
              <w:pStyle w:val="TableParagraph"/>
              <w:spacing w:before="51"/>
              <w:ind w:left="97" w:right="180"/>
              <w:jc w:val="center"/>
              <w:rPr>
                <w:sz w:val="22"/>
              </w:rPr>
            </w:pPr>
            <w:r>
              <w:rPr>
                <w:sz w:val="22"/>
              </w:rPr>
              <w:t>30</w:t>
            </w:r>
          </w:p>
        </w:tc>
      </w:tr>
      <w:tr>
        <w:trPr>
          <w:trHeight w:val="379" w:hRule="exact"/>
        </w:trPr>
        <w:tc>
          <w:tcPr>
            <w:tcW w:w="661" w:type="dxa"/>
          </w:tcPr>
          <w:p>
            <w:pPr>
              <w:pStyle w:val="TableParagraph"/>
              <w:spacing w:before="52"/>
              <w:ind w:left="92"/>
              <w:jc w:val="center"/>
              <w:rPr>
                <w:sz w:val="22"/>
              </w:rPr>
            </w:pPr>
            <w:r>
              <w:rPr>
                <w:w w:val="100"/>
                <w:sz w:val="22"/>
              </w:rPr>
              <w:t>3</w:t>
            </w:r>
          </w:p>
        </w:tc>
        <w:tc>
          <w:tcPr>
            <w:tcW w:w="8371" w:type="dxa"/>
          </w:tcPr>
          <w:p>
            <w:pPr>
              <w:pStyle w:val="TableParagraph"/>
              <w:spacing w:before="52"/>
              <w:ind w:left="67" w:right="94"/>
              <w:jc w:val="center"/>
              <w:rPr>
                <w:sz w:val="22"/>
              </w:rPr>
            </w:pPr>
            <w:r>
              <w:rPr>
                <w:sz w:val="22"/>
              </w:rPr>
              <w:t>Mapa de Geología presente en el parque Universitario………………………………...</w:t>
            </w:r>
          </w:p>
        </w:tc>
        <w:tc>
          <w:tcPr>
            <w:tcW w:w="783" w:type="dxa"/>
          </w:tcPr>
          <w:p>
            <w:pPr>
              <w:pStyle w:val="TableParagraph"/>
              <w:spacing w:before="52"/>
              <w:ind w:left="97" w:right="180"/>
              <w:jc w:val="center"/>
              <w:rPr>
                <w:sz w:val="22"/>
              </w:rPr>
            </w:pPr>
            <w:r>
              <w:rPr>
                <w:sz w:val="22"/>
              </w:rPr>
              <w:t>32</w:t>
            </w:r>
          </w:p>
        </w:tc>
      </w:tr>
      <w:tr>
        <w:trPr>
          <w:trHeight w:val="379" w:hRule="exact"/>
        </w:trPr>
        <w:tc>
          <w:tcPr>
            <w:tcW w:w="661" w:type="dxa"/>
          </w:tcPr>
          <w:p>
            <w:pPr>
              <w:pStyle w:val="TableParagraph"/>
              <w:spacing w:before="51"/>
              <w:ind w:left="92"/>
              <w:jc w:val="center"/>
              <w:rPr>
                <w:sz w:val="22"/>
              </w:rPr>
            </w:pPr>
            <w:r>
              <w:rPr>
                <w:w w:val="100"/>
                <w:sz w:val="22"/>
              </w:rPr>
              <w:t>4</w:t>
            </w:r>
          </w:p>
        </w:tc>
        <w:tc>
          <w:tcPr>
            <w:tcW w:w="8371" w:type="dxa"/>
          </w:tcPr>
          <w:p>
            <w:pPr>
              <w:pStyle w:val="TableParagraph"/>
              <w:spacing w:before="51"/>
              <w:ind w:left="4" w:right="94"/>
              <w:jc w:val="center"/>
              <w:rPr>
                <w:sz w:val="22"/>
              </w:rPr>
            </w:pPr>
            <w:r>
              <w:rPr>
                <w:sz w:val="22"/>
              </w:rPr>
              <w:t>Mapa Hidrológico del municipio de Temascaltepec…………………………………….</w:t>
            </w:r>
          </w:p>
        </w:tc>
        <w:tc>
          <w:tcPr>
            <w:tcW w:w="783" w:type="dxa"/>
          </w:tcPr>
          <w:p>
            <w:pPr>
              <w:pStyle w:val="TableParagraph"/>
              <w:spacing w:before="51"/>
              <w:ind w:left="97" w:right="180"/>
              <w:jc w:val="center"/>
              <w:rPr>
                <w:sz w:val="22"/>
              </w:rPr>
            </w:pPr>
            <w:r>
              <w:rPr>
                <w:sz w:val="22"/>
              </w:rPr>
              <w:t>40</w:t>
            </w:r>
          </w:p>
        </w:tc>
      </w:tr>
      <w:tr>
        <w:trPr>
          <w:trHeight w:val="379" w:hRule="exact"/>
        </w:trPr>
        <w:tc>
          <w:tcPr>
            <w:tcW w:w="661" w:type="dxa"/>
          </w:tcPr>
          <w:p>
            <w:pPr>
              <w:pStyle w:val="TableParagraph"/>
              <w:spacing w:before="51"/>
              <w:ind w:left="92"/>
              <w:jc w:val="center"/>
              <w:rPr>
                <w:sz w:val="22"/>
              </w:rPr>
            </w:pPr>
            <w:r>
              <w:rPr>
                <w:w w:val="100"/>
                <w:sz w:val="22"/>
              </w:rPr>
              <w:t>5</w:t>
            </w:r>
          </w:p>
        </w:tc>
        <w:tc>
          <w:tcPr>
            <w:tcW w:w="8371" w:type="dxa"/>
          </w:tcPr>
          <w:p>
            <w:pPr>
              <w:pStyle w:val="TableParagraph"/>
              <w:spacing w:before="51"/>
              <w:ind w:left="22" w:right="94"/>
              <w:jc w:val="center"/>
              <w:rPr>
                <w:sz w:val="22"/>
              </w:rPr>
            </w:pPr>
            <w:r>
              <w:rPr>
                <w:sz w:val="22"/>
              </w:rPr>
              <w:t>Delimitación de las Zonas de Manejo Ambiental………………………………………..</w:t>
            </w:r>
          </w:p>
        </w:tc>
        <w:tc>
          <w:tcPr>
            <w:tcW w:w="783" w:type="dxa"/>
          </w:tcPr>
          <w:p>
            <w:pPr>
              <w:pStyle w:val="TableParagraph"/>
              <w:spacing w:before="51"/>
              <w:ind w:left="97" w:right="180"/>
              <w:jc w:val="center"/>
              <w:rPr>
                <w:sz w:val="22"/>
              </w:rPr>
            </w:pPr>
            <w:r>
              <w:rPr>
                <w:sz w:val="22"/>
              </w:rPr>
              <w:t>43</w:t>
            </w:r>
          </w:p>
        </w:tc>
      </w:tr>
      <w:tr>
        <w:trPr>
          <w:trHeight w:val="380" w:hRule="exact"/>
        </w:trPr>
        <w:tc>
          <w:tcPr>
            <w:tcW w:w="661" w:type="dxa"/>
          </w:tcPr>
          <w:p>
            <w:pPr>
              <w:pStyle w:val="TableParagraph"/>
              <w:spacing w:before="51"/>
              <w:ind w:left="92"/>
              <w:jc w:val="center"/>
              <w:rPr>
                <w:sz w:val="22"/>
              </w:rPr>
            </w:pPr>
            <w:r>
              <w:rPr>
                <w:w w:val="100"/>
                <w:sz w:val="22"/>
              </w:rPr>
              <w:t>6</w:t>
            </w:r>
          </w:p>
        </w:tc>
        <w:tc>
          <w:tcPr>
            <w:tcW w:w="8371" w:type="dxa"/>
          </w:tcPr>
          <w:p>
            <w:pPr>
              <w:pStyle w:val="TableParagraph"/>
              <w:spacing w:before="51"/>
              <w:ind w:left="89" w:right="89"/>
              <w:jc w:val="center"/>
              <w:rPr>
                <w:sz w:val="22"/>
              </w:rPr>
            </w:pPr>
            <w:r>
              <w:rPr>
                <w:sz w:val="22"/>
              </w:rPr>
              <w:t>Porcentaje de especies por forma biológica ……………………………………………..</w:t>
            </w:r>
          </w:p>
        </w:tc>
        <w:tc>
          <w:tcPr>
            <w:tcW w:w="783" w:type="dxa"/>
          </w:tcPr>
          <w:p>
            <w:pPr>
              <w:pStyle w:val="TableParagraph"/>
              <w:spacing w:before="51"/>
              <w:ind w:left="97" w:right="180"/>
              <w:jc w:val="center"/>
              <w:rPr>
                <w:sz w:val="22"/>
              </w:rPr>
            </w:pPr>
            <w:r>
              <w:rPr>
                <w:sz w:val="22"/>
              </w:rPr>
              <w:t>45</w:t>
            </w:r>
          </w:p>
        </w:tc>
      </w:tr>
      <w:tr>
        <w:trPr>
          <w:trHeight w:val="300" w:hRule="exact"/>
        </w:trPr>
        <w:tc>
          <w:tcPr>
            <w:tcW w:w="661" w:type="dxa"/>
          </w:tcPr>
          <w:p>
            <w:pPr>
              <w:pStyle w:val="TableParagraph"/>
              <w:spacing w:before="52"/>
              <w:ind w:left="92"/>
              <w:jc w:val="center"/>
              <w:rPr>
                <w:sz w:val="22"/>
              </w:rPr>
            </w:pPr>
            <w:r>
              <w:rPr>
                <w:w w:val="100"/>
                <w:sz w:val="22"/>
              </w:rPr>
              <w:t>7</w:t>
            </w:r>
          </w:p>
        </w:tc>
        <w:tc>
          <w:tcPr>
            <w:tcW w:w="8371" w:type="dxa"/>
          </w:tcPr>
          <w:p>
            <w:pPr>
              <w:pStyle w:val="TableParagraph"/>
              <w:spacing w:before="52"/>
              <w:ind w:left="47" w:right="94"/>
              <w:jc w:val="center"/>
              <w:rPr>
                <w:sz w:val="22"/>
              </w:rPr>
            </w:pPr>
            <w:r>
              <w:rPr>
                <w:sz w:val="22"/>
              </w:rPr>
              <w:t>Mapa representativo de áreas y componentes de la propuesta.………………………</w:t>
            </w:r>
          </w:p>
        </w:tc>
        <w:tc>
          <w:tcPr>
            <w:tcW w:w="783" w:type="dxa"/>
          </w:tcPr>
          <w:p>
            <w:pPr>
              <w:pStyle w:val="TableParagraph"/>
              <w:spacing w:before="52"/>
              <w:ind w:left="97" w:right="180"/>
              <w:jc w:val="center"/>
              <w:rPr>
                <w:sz w:val="22"/>
              </w:rPr>
            </w:pPr>
            <w:r>
              <w:rPr>
                <w:sz w:val="22"/>
              </w:rPr>
              <w:t>93</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p>
    <w:p>
      <w:pPr>
        <w:spacing w:before="70"/>
        <w:ind w:left="3483" w:right="3490" w:firstLine="0"/>
        <w:jc w:val="center"/>
        <w:rPr>
          <w:b/>
          <w:sz w:val="24"/>
        </w:rPr>
      </w:pPr>
      <w:r>
        <w:rPr>
          <w:b/>
          <w:sz w:val="24"/>
        </w:rPr>
        <w:t>ÍNDICE DE FOTOGRAFÍAS</w:t>
      </w:r>
    </w:p>
    <w:p>
      <w:pPr>
        <w:pStyle w:val="BodyText"/>
        <w:spacing w:before="3"/>
        <w:rPr>
          <w:b/>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1"/>
        <w:gridCol w:w="8372"/>
        <w:gridCol w:w="782"/>
      </w:tblGrid>
      <w:tr>
        <w:trPr>
          <w:trHeight w:val="302" w:hRule="exact"/>
        </w:trPr>
        <w:tc>
          <w:tcPr>
            <w:tcW w:w="661" w:type="dxa"/>
          </w:tcPr>
          <w:p>
            <w:pPr>
              <w:pStyle w:val="TableParagraph"/>
              <w:spacing w:line="226" w:lineRule="exact"/>
              <w:ind w:left="200"/>
              <w:rPr>
                <w:b/>
                <w:sz w:val="22"/>
              </w:rPr>
            </w:pPr>
            <w:r>
              <w:rPr>
                <w:b/>
                <w:sz w:val="22"/>
              </w:rPr>
              <w:t>No.</w:t>
            </w:r>
          </w:p>
        </w:tc>
        <w:tc>
          <w:tcPr>
            <w:tcW w:w="8372" w:type="dxa"/>
          </w:tcPr>
          <w:p>
            <w:pPr>
              <w:pStyle w:val="TableParagraph"/>
              <w:spacing w:line="226" w:lineRule="exact"/>
              <w:ind w:left="91" w:right="86"/>
              <w:jc w:val="center"/>
              <w:rPr>
                <w:b/>
                <w:sz w:val="22"/>
              </w:rPr>
            </w:pPr>
            <w:r>
              <w:rPr>
                <w:b/>
                <w:sz w:val="22"/>
              </w:rPr>
              <w:t>Fotografía</w:t>
            </w:r>
          </w:p>
        </w:tc>
        <w:tc>
          <w:tcPr>
            <w:tcW w:w="782" w:type="dxa"/>
          </w:tcPr>
          <w:p>
            <w:pPr>
              <w:pStyle w:val="TableParagraph"/>
              <w:spacing w:line="226" w:lineRule="exact"/>
              <w:ind w:left="112"/>
              <w:rPr>
                <w:b/>
                <w:sz w:val="22"/>
              </w:rPr>
            </w:pPr>
            <w:r>
              <w:rPr>
                <w:b/>
                <w:sz w:val="22"/>
              </w:rPr>
              <w:t>Pág.</w:t>
            </w:r>
          </w:p>
        </w:tc>
      </w:tr>
      <w:tr>
        <w:trPr>
          <w:trHeight w:val="382" w:hRule="exact"/>
        </w:trPr>
        <w:tc>
          <w:tcPr>
            <w:tcW w:w="661" w:type="dxa"/>
          </w:tcPr>
          <w:p>
            <w:pPr>
              <w:pStyle w:val="TableParagraph"/>
              <w:spacing w:before="54"/>
              <w:ind w:left="92"/>
              <w:jc w:val="center"/>
              <w:rPr>
                <w:sz w:val="22"/>
              </w:rPr>
            </w:pPr>
            <w:r>
              <w:rPr>
                <w:w w:val="100"/>
                <w:sz w:val="22"/>
              </w:rPr>
              <w:t>1</w:t>
            </w:r>
          </w:p>
        </w:tc>
        <w:tc>
          <w:tcPr>
            <w:tcW w:w="8372" w:type="dxa"/>
          </w:tcPr>
          <w:p>
            <w:pPr>
              <w:pStyle w:val="TableParagraph"/>
              <w:spacing w:before="54"/>
              <w:ind w:left="67" w:right="93"/>
              <w:jc w:val="center"/>
              <w:rPr>
                <w:sz w:val="22"/>
              </w:rPr>
            </w:pPr>
            <w:r>
              <w:rPr>
                <w:sz w:val="22"/>
              </w:rPr>
              <w:t>Zona de Manejo Ambiental: Plantas medicinales y aromáticas………………………..</w:t>
            </w:r>
          </w:p>
        </w:tc>
        <w:tc>
          <w:tcPr>
            <w:tcW w:w="782" w:type="dxa"/>
          </w:tcPr>
          <w:p>
            <w:pPr>
              <w:pStyle w:val="TableParagraph"/>
              <w:spacing w:before="54"/>
              <w:ind w:left="223"/>
              <w:rPr>
                <w:sz w:val="22"/>
              </w:rPr>
            </w:pPr>
            <w:r>
              <w:rPr>
                <w:sz w:val="22"/>
              </w:rPr>
              <w:t>50</w:t>
            </w:r>
          </w:p>
        </w:tc>
      </w:tr>
      <w:tr>
        <w:trPr>
          <w:trHeight w:val="379" w:hRule="exact"/>
        </w:trPr>
        <w:tc>
          <w:tcPr>
            <w:tcW w:w="661" w:type="dxa"/>
          </w:tcPr>
          <w:p>
            <w:pPr>
              <w:pStyle w:val="TableParagraph"/>
              <w:spacing w:before="52"/>
              <w:ind w:left="92"/>
              <w:jc w:val="center"/>
              <w:rPr>
                <w:sz w:val="22"/>
              </w:rPr>
            </w:pPr>
            <w:r>
              <w:rPr>
                <w:w w:val="100"/>
                <w:sz w:val="22"/>
              </w:rPr>
              <w:t>2</w:t>
            </w:r>
          </w:p>
        </w:tc>
        <w:tc>
          <w:tcPr>
            <w:tcW w:w="8372" w:type="dxa"/>
          </w:tcPr>
          <w:p>
            <w:pPr>
              <w:pStyle w:val="TableParagraph"/>
              <w:spacing w:before="52"/>
              <w:ind w:left="78" w:right="93"/>
              <w:jc w:val="center"/>
              <w:rPr>
                <w:sz w:val="22"/>
              </w:rPr>
            </w:pPr>
            <w:r>
              <w:rPr>
                <w:sz w:val="22"/>
              </w:rPr>
              <w:t>Zona de Manejo Ambiental: Cafetal……………………………………………………….</w:t>
            </w:r>
          </w:p>
        </w:tc>
        <w:tc>
          <w:tcPr>
            <w:tcW w:w="782" w:type="dxa"/>
          </w:tcPr>
          <w:p>
            <w:pPr>
              <w:pStyle w:val="TableParagraph"/>
              <w:spacing w:before="52"/>
              <w:ind w:left="223"/>
              <w:rPr>
                <w:sz w:val="22"/>
              </w:rPr>
            </w:pPr>
            <w:r>
              <w:rPr>
                <w:sz w:val="22"/>
              </w:rPr>
              <w:t>52</w:t>
            </w:r>
          </w:p>
        </w:tc>
      </w:tr>
      <w:tr>
        <w:trPr>
          <w:trHeight w:val="379" w:hRule="exact"/>
        </w:trPr>
        <w:tc>
          <w:tcPr>
            <w:tcW w:w="661" w:type="dxa"/>
          </w:tcPr>
          <w:p>
            <w:pPr>
              <w:pStyle w:val="TableParagraph"/>
              <w:spacing w:before="51"/>
              <w:ind w:left="92"/>
              <w:jc w:val="center"/>
              <w:rPr>
                <w:sz w:val="22"/>
              </w:rPr>
            </w:pPr>
            <w:r>
              <w:rPr>
                <w:w w:val="100"/>
                <w:sz w:val="22"/>
              </w:rPr>
              <w:t>3</w:t>
            </w:r>
          </w:p>
        </w:tc>
        <w:tc>
          <w:tcPr>
            <w:tcW w:w="8372" w:type="dxa"/>
          </w:tcPr>
          <w:p>
            <w:pPr>
              <w:pStyle w:val="TableParagraph"/>
              <w:spacing w:before="51"/>
              <w:ind w:left="77" w:right="93"/>
              <w:jc w:val="center"/>
              <w:rPr>
                <w:sz w:val="22"/>
              </w:rPr>
            </w:pPr>
            <w:r>
              <w:rPr>
                <w:sz w:val="22"/>
              </w:rPr>
              <w:t>Zona de Manejo Ambiental: Hortalizas……………………………………………………</w:t>
            </w:r>
          </w:p>
        </w:tc>
        <w:tc>
          <w:tcPr>
            <w:tcW w:w="782" w:type="dxa"/>
          </w:tcPr>
          <w:p>
            <w:pPr>
              <w:pStyle w:val="TableParagraph"/>
              <w:spacing w:before="51"/>
              <w:ind w:left="223"/>
              <w:rPr>
                <w:sz w:val="22"/>
              </w:rPr>
            </w:pPr>
            <w:r>
              <w:rPr>
                <w:sz w:val="22"/>
              </w:rPr>
              <w:t>53</w:t>
            </w:r>
          </w:p>
        </w:tc>
      </w:tr>
      <w:tr>
        <w:trPr>
          <w:trHeight w:val="379" w:hRule="exact"/>
        </w:trPr>
        <w:tc>
          <w:tcPr>
            <w:tcW w:w="661" w:type="dxa"/>
          </w:tcPr>
          <w:p>
            <w:pPr>
              <w:pStyle w:val="TableParagraph"/>
              <w:spacing w:before="51"/>
              <w:ind w:left="92"/>
              <w:jc w:val="center"/>
              <w:rPr>
                <w:sz w:val="22"/>
              </w:rPr>
            </w:pPr>
            <w:r>
              <w:rPr>
                <w:w w:val="100"/>
                <w:sz w:val="22"/>
              </w:rPr>
              <w:t>4</w:t>
            </w:r>
          </w:p>
        </w:tc>
        <w:tc>
          <w:tcPr>
            <w:tcW w:w="8372" w:type="dxa"/>
          </w:tcPr>
          <w:p>
            <w:pPr>
              <w:pStyle w:val="TableParagraph"/>
              <w:spacing w:before="51"/>
              <w:ind w:left="80" w:right="93"/>
              <w:jc w:val="center"/>
              <w:rPr>
                <w:sz w:val="22"/>
              </w:rPr>
            </w:pPr>
            <w:r>
              <w:rPr>
                <w:sz w:val="22"/>
              </w:rPr>
              <w:t>Zona de Manejo Ambiental: Frutales……………………………………………………...</w:t>
            </w:r>
          </w:p>
        </w:tc>
        <w:tc>
          <w:tcPr>
            <w:tcW w:w="782" w:type="dxa"/>
          </w:tcPr>
          <w:p>
            <w:pPr>
              <w:pStyle w:val="TableParagraph"/>
              <w:spacing w:before="51"/>
              <w:ind w:left="223"/>
              <w:rPr>
                <w:sz w:val="22"/>
              </w:rPr>
            </w:pPr>
            <w:r>
              <w:rPr>
                <w:sz w:val="22"/>
              </w:rPr>
              <w:t>55</w:t>
            </w:r>
          </w:p>
        </w:tc>
      </w:tr>
      <w:tr>
        <w:trPr>
          <w:trHeight w:val="380" w:hRule="exact"/>
        </w:trPr>
        <w:tc>
          <w:tcPr>
            <w:tcW w:w="661" w:type="dxa"/>
          </w:tcPr>
          <w:p>
            <w:pPr>
              <w:pStyle w:val="TableParagraph"/>
              <w:spacing w:before="51"/>
              <w:ind w:left="92"/>
              <w:jc w:val="center"/>
              <w:rPr>
                <w:sz w:val="22"/>
              </w:rPr>
            </w:pPr>
            <w:r>
              <w:rPr>
                <w:w w:val="100"/>
                <w:sz w:val="22"/>
              </w:rPr>
              <w:t>5</w:t>
            </w:r>
          </w:p>
        </w:tc>
        <w:tc>
          <w:tcPr>
            <w:tcW w:w="8372" w:type="dxa"/>
          </w:tcPr>
          <w:p>
            <w:pPr>
              <w:pStyle w:val="TableParagraph"/>
              <w:spacing w:before="51"/>
              <w:ind w:left="91" w:right="91"/>
              <w:jc w:val="center"/>
              <w:rPr>
                <w:sz w:val="22"/>
              </w:rPr>
            </w:pPr>
            <w:r>
              <w:rPr>
                <w:sz w:val="22"/>
              </w:rPr>
              <w:t>Zona de Manejo Ambiental: Mariposario………………………………………………….</w:t>
            </w:r>
          </w:p>
        </w:tc>
        <w:tc>
          <w:tcPr>
            <w:tcW w:w="782" w:type="dxa"/>
          </w:tcPr>
          <w:p>
            <w:pPr>
              <w:pStyle w:val="TableParagraph"/>
              <w:spacing w:before="51"/>
              <w:ind w:left="223"/>
              <w:rPr>
                <w:sz w:val="22"/>
              </w:rPr>
            </w:pPr>
            <w:r>
              <w:rPr>
                <w:sz w:val="22"/>
              </w:rPr>
              <w:t>56</w:t>
            </w:r>
          </w:p>
        </w:tc>
      </w:tr>
      <w:tr>
        <w:trPr>
          <w:trHeight w:val="379" w:hRule="exact"/>
        </w:trPr>
        <w:tc>
          <w:tcPr>
            <w:tcW w:w="661" w:type="dxa"/>
          </w:tcPr>
          <w:p>
            <w:pPr>
              <w:pStyle w:val="TableParagraph"/>
              <w:spacing w:before="52"/>
              <w:ind w:left="92"/>
              <w:jc w:val="center"/>
              <w:rPr>
                <w:sz w:val="22"/>
              </w:rPr>
            </w:pPr>
            <w:r>
              <w:rPr>
                <w:w w:val="100"/>
                <w:sz w:val="22"/>
              </w:rPr>
              <w:t>6</w:t>
            </w:r>
          </w:p>
        </w:tc>
        <w:tc>
          <w:tcPr>
            <w:tcW w:w="8372" w:type="dxa"/>
          </w:tcPr>
          <w:p>
            <w:pPr>
              <w:pStyle w:val="TableParagraph"/>
              <w:spacing w:before="52"/>
              <w:ind w:left="37" w:right="93"/>
              <w:jc w:val="center"/>
              <w:rPr>
                <w:sz w:val="22"/>
              </w:rPr>
            </w:pPr>
            <w:r>
              <w:rPr>
                <w:sz w:val="22"/>
              </w:rPr>
              <w:t>Zona de Manejo Ambiental: Orquídeario…………………………………………………</w:t>
            </w:r>
          </w:p>
        </w:tc>
        <w:tc>
          <w:tcPr>
            <w:tcW w:w="782" w:type="dxa"/>
          </w:tcPr>
          <w:p>
            <w:pPr>
              <w:pStyle w:val="TableParagraph"/>
              <w:spacing w:before="52"/>
              <w:ind w:left="223"/>
              <w:rPr>
                <w:sz w:val="22"/>
              </w:rPr>
            </w:pPr>
            <w:r>
              <w:rPr>
                <w:sz w:val="22"/>
              </w:rPr>
              <w:t>57</w:t>
            </w:r>
          </w:p>
        </w:tc>
      </w:tr>
      <w:tr>
        <w:trPr>
          <w:trHeight w:val="379" w:hRule="exact"/>
        </w:trPr>
        <w:tc>
          <w:tcPr>
            <w:tcW w:w="661" w:type="dxa"/>
          </w:tcPr>
          <w:p>
            <w:pPr>
              <w:pStyle w:val="TableParagraph"/>
              <w:spacing w:before="51"/>
              <w:ind w:left="92"/>
              <w:jc w:val="center"/>
              <w:rPr>
                <w:sz w:val="22"/>
              </w:rPr>
            </w:pPr>
            <w:r>
              <w:rPr>
                <w:w w:val="100"/>
                <w:sz w:val="22"/>
              </w:rPr>
              <w:t>7</w:t>
            </w:r>
          </w:p>
        </w:tc>
        <w:tc>
          <w:tcPr>
            <w:tcW w:w="8372" w:type="dxa"/>
          </w:tcPr>
          <w:p>
            <w:pPr>
              <w:pStyle w:val="TableParagraph"/>
              <w:spacing w:before="51"/>
              <w:ind w:left="83" w:right="93"/>
              <w:jc w:val="center"/>
              <w:rPr>
                <w:sz w:val="22"/>
              </w:rPr>
            </w:pPr>
            <w:r>
              <w:rPr>
                <w:sz w:val="22"/>
              </w:rPr>
              <w:t>Zona de Manejo Ambiental: Área Natural………………………………………………...</w:t>
            </w:r>
          </w:p>
        </w:tc>
        <w:tc>
          <w:tcPr>
            <w:tcW w:w="782" w:type="dxa"/>
          </w:tcPr>
          <w:p>
            <w:pPr>
              <w:pStyle w:val="TableParagraph"/>
              <w:spacing w:before="51"/>
              <w:ind w:left="223"/>
              <w:rPr>
                <w:sz w:val="22"/>
              </w:rPr>
            </w:pPr>
            <w:r>
              <w:rPr>
                <w:sz w:val="22"/>
              </w:rPr>
              <w:t>58</w:t>
            </w:r>
          </w:p>
        </w:tc>
      </w:tr>
      <w:tr>
        <w:trPr>
          <w:trHeight w:val="379" w:hRule="exact"/>
        </w:trPr>
        <w:tc>
          <w:tcPr>
            <w:tcW w:w="661" w:type="dxa"/>
          </w:tcPr>
          <w:p>
            <w:pPr>
              <w:pStyle w:val="TableParagraph"/>
              <w:spacing w:before="51"/>
              <w:ind w:left="92"/>
              <w:jc w:val="center"/>
              <w:rPr>
                <w:sz w:val="22"/>
              </w:rPr>
            </w:pPr>
            <w:r>
              <w:rPr>
                <w:w w:val="100"/>
                <w:sz w:val="22"/>
              </w:rPr>
              <w:t>8</w:t>
            </w:r>
          </w:p>
        </w:tc>
        <w:tc>
          <w:tcPr>
            <w:tcW w:w="8372" w:type="dxa"/>
          </w:tcPr>
          <w:p>
            <w:pPr>
              <w:pStyle w:val="TableParagraph"/>
              <w:spacing w:before="51"/>
              <w:ind w:left="54" w:right="93"/>
              <w:jc w:val="center"/>
              <w:rPr>
                <w:sz w:val="22"/>
              </w:rPr>
            </w:pPr>
            <w:r>
              <w:rPr>
                <w:sz w:val="22"/>
              </w:rPr>
              <w:t>Tipo de letrero en el Jardín Botánico de Río de Janeiro.……………………………….</w:t>
            </w:r>
          </w:p>
        </w:tc>
        <w:tc>
          <w:tcPr>
            <w:tcW w:w="782" w:type="dxa"/>
          </w:tcPr>
          <w:p>
            <w:pPr>
              <w:pStyle w:val="TableParagraph"/>
              <w:spacing w:before="51"/>
              <w:ind w:left="223"/>
              <w:rPr>
                <w:sz w:val="22"/>
              </w:rPr>
            </w:pPr>
            <w:r>
              <w:rPr>
                <w:sz w:val="22"/>
              </w:rPr>
              <w:t>95</w:t>
            </w:r>
          </w:p>
        </w:tc>
      </w:tr>
      <w:tr>
        <w:trPr>
          <w:trHeight w:val="379" w:hRule="exact"/>
        </w:trPr>
        <w:tc>
          <w:tcPr>
            <w:tcW w:w="661" w:type="dxa"/>
          </w:tcPr>
          <w:p>
            <w:pPr>
              <w:pStyle w:val="TableParagraph"/>
              <w:spacing w:before="51"/>
              <w:ind w:left="92"/>
              <w:jc w:val="center"/>
              <w:rPr>
                <w:sz w:val="22"/>
              </w:rPr>
            </w:pPr>
            <w:r>
              <w:rPr>
                <w:w w:val="100"/>
                <w:sz w:val="22"/>
              </w:rPr>
              <w:t>9</w:t>
            </w:r>
          </w:p>
        </w:tc>
        <w:tc>
          <w:tcPr>
            <w:tcW w:w="8372" w:type="dxa"/>
          </w:tcPr>
          <w:p>
            <w:pPr>
              <w:pStyle w:val="TableParagraph"/>
              <w:spacing w:before="51"/>
              <w:ind w:left="45" w:right="93"/>
              <w:jc w:val="center"/>
              <w:rPr>
                <w:sz w:val="22"/>
              </w:rPr>
            </w:pPr>
            <w:r>
              <w:rPr>
                <w:sz w:val="22"/>
              </w:rPr>
              <w:t>Tipo de letrero en el Jardín Botánico “Francisco Javier Clavijero”…………………….</w:t>
            </w:r>
          </w:p>
        </w:tc>
        <w:tc>
          <w:tcPr>
            <w:tcW w:w="782" w:type="dxa"/>
          </w:tcPr>
          <w:p>
            <w:pPr>
              <w:pStyle w:val="TableParagraph"/>
              <w:spacing w:before="51"/>
              <w:ind w:left="223"/>
              <w:rPr>
                <w:sz w:val="22"/>
              </w:rPr>
            </w:pPr>
            <w:r>
              <w:rPr>
                <w:sz w:val="22"/>
              </w:rPr>
              <w:t>95</w:t>
            </w:r>
          </w:p>
        </w:tc>
      </w:tr>
      <w:tr>
        <w:trPr>
          <w:trHeight w:val="379" w:hRule="exact"/>
        </w:trPr>
        <w:tc>
          <w:tcPr>
            <w:tcW w:w="661" w:type="dxa"/>
          </w:tcPr>
          <w:p>
            <w:pPr>
              <w:pStyle w:val="TableParagraph"/>
              <w:spacing w:before="52"/>
              <w:ind w:left="252"/>
              <w:rPr>
                <w:sz w:val="22"/>
              </w:rPr>
            </w:pPr>
            <w:r>
              <w:rPr>
                <w:sz w:val="22"/>
              </w:rPr>
              <w:t>10</w:t>
            </w:r>
          </w:p>
        </w:tc>
        <w:tc>
          <w:tcPr>
            <w:tcW w:w="8372" w:type="dxa"/>
          </w:tcPr>
          <w:p>
            <w:pPr>
              <w:pStyle w:val="TableParagraph"/>
              <w:spacing w:before="52"/>
              <w:ind w:left="91" w:right="91"/>
              <w:jc w:val="center"/>
              <w:rPr>
                <w:sz w:val="22"/>
              </w:rPr>
            </w:pPr>
            <w:r>
              <w:rPr>
                <w:sz w:val="22"/>
              </w:rPr>
              <w:t>Arborantes de señalización en el Jardín Botánico de Río de Janeiro.………………...</w:t>
            </w:r>
          </w:p>
        </w:tc>
        <w:tc>
          <w:tcPr>
            <w:tcW w:w="782" w:type="dxa"/>
          </w:tcPr>
          <w:p>
            <w:pPr>
              <w:pStyle w:val="TableParagraph"/>
              <w:spacing w:before="52"/>
              <w:ind w:left="223"/>
              <w:rPr>
                <w:sz w:val="22"/>
              </w:rPr>
            </w:pPr>
            <w:r>
              <w:rPr>
                <w:sz w:val="22"/>
              </w:rPr>
              <w:t>95</w:t>
            </w:r>
          </w:p>
        </w:tc>
      </w:tr>
      <w:tr>
        <w:trPr>
          <w:trHeight w:val="379" w:hRule="exact"/>
        </w:trPr>
        <w:tc>
          <w:tcPr>
            <w:tcW w:w="661" w:type="dxa"/>
          </w:tcPr>
          <w:p>
            <w:pPr>
              <w:pStyle w:val="TableParagraph"/>
              <w:spacing w:before="51"/>
              <w:ind w:left="252"/>
              <w:rPr>
                <w:sz w:val="22"/>
              </w:rPr>
            </w:pPr>
            <w:r>
              <w:rPr>
                <w:sz w:val="22"/>
              </w:rPr>
              <w:t>11</w:t>
            </w:r>
          </w:p>
        </w:tc>
        <w:tc>
          <w:tcPr>
            <w:tcW w:w="8372" w:type="dxa"/>
          </w:tcPr>
          <w:p>
            <w:pPr>
              <w:pStyle w:val="TableParagraph"/>
              <w:spacing w:before="51"/>
              <w:ind w:left="91" w:right="91"/>
              <w:jc w:val="center"/>
              <w:rPr>
                <w:sz w:val="22"/>
              </w:rPr>
            </w:pPr>
            <w:r>
              <w:rPr>
                <w:sz w:val="22"/>
              </w:rPr>
              <w:t>Arroyo y flujo de agua presente en el Jardín Botánico de Río de Janeiro.……………</w:t>
            </w:r>
          </w:p>
        </w:tc>
        <w:tc>
          <w:tcPr>
            <w:tcW w:w="782" w:type="dxa"/>
          </w:tcPr>
          <w:p>
            <w:pPr>
              <w:pStyle w:val="TableParagraph"/>
              <w:spacing w:before="51"/>
              <w:ind w:left="223"/>
              <w:rPr>
                <w:sz w:val="22"/>
              </w:rPr>
            </w:pPr>
            <w:r>
              <w:rPr>
                <w:sz w:val="22"/>
              </w:rPr>
              <w:t>96</w:t>
            </w:r>
          </w:p>
        </w:tc>
      </w:tr>
      <w:tr>
        <w:trPr>
          <w:trHeight w:val="379" w:hRule="exact"/>
        </w:trPr>
        <w:tc>
          <w:tcPr>
            <w:tcW w:w="661" w:type="dxa"/>
          </w:tcPr>
          <w:p>
            <w:pPr>
              <w:pStyle w:val="TableParagraph"/>
              <w:spacing w:before="51"/>
              <w:ind w:left="252"/>
              <w:rPr>
                <w:sz w:val="22"/>
              </w:rPr>
            </w:pPr>
            <w:r>
              <w:rPr>
                <w:sz w:val="22"/>
              </w:rPr>
              <w:t>12</w:t>
            </w:r>
          </w:p>
        </w:tc>
        <w:tc>
          <w:tcPr>
            <w:tcW w:w="8372" w:type="dxa"/>
          </w:tcPr>
          <w:p>
            <w:pPr>
              <w:pStyle w:val="TableParagraph"/>
              <w:spacing w:before="51"/>
              <w:ind w:left="91" w:right="91"/>
              <w:jc w:val="center"/>
              <w:rPr>
                <w:sz w:val="22"/>
              </w:rPr>
            </w:pPr>
            <w:r>
              <w:rPr>
                <w:sz w:val="22"/>
              </w:rPr>
              <w:t>Fuente con fosa y setos, en el Jardín Botánico de Río de Janeiro.……………………</w:t>
            </w:r>
          </w:p>
        </w:tc>
        <w:tc>
          <w:tcPr>
            <w:tcW w:w="782" w:type="dxa"/>
          </w:tcPr>
          <w:p>
            <w:pPr>
              <w:pStyle w:val="TableParagraph"/>
              <w:spacing w:before="51"/>
              <w:ind w:left="223"/>
              <w:rPr>
                <w:sz w:val="22"/>
              </w:rPr>
            </w:pPr>
            <w:r>
              <w:rPr>
                <w:sz w:val="22"/>
              </w:rPr>
              <w:t>96</w:t>
            </w:r>
          </w:p>
        </w:tc>
      </w:tr>
      <w:tr>
        <w:trPr>
          <w:trHeight w:val="379" w:hRule="exact"/>
        </w:trPr>
        <w:tc>
          <w:tcPr>
            <w:tcW w:w="661" w:type="dxa"/>
          </w:tcPr>
          <w:p>
            <w:pPr>
              <w:pStyle w:val="TableParagraph"/>
              <w:spacing w:before="51"/>
              <w:ind w:left="252"/>
              <w:rPr>
                <w:sz w:val="22"/>
              </w:rPr>
            </w:pPr>
            <w:r>
              <w:rPr>
                <w:sz w:val="22"/>
              </w:rPr>
              <w:t>13</w:t>
            </w:r>
          </w:p>
        </w:tc>
        <w:tc>
          <w:tcPr>
            <w:tcW w:w="8372" w:type="dxa"/>
          </w:tcPr>
          <w:p>
            <w:pPr>
              <w:pStyle w:val="TableParagraph"/>
              <w:spacing w:before="51"/>
              <w:ind w:left="84" w:right="93"/>
              <w:jc w:val="center"/>
              <w:rPr>
                <w:sz w:val="22"/>
              </w:rPr>
            </w:pPr>
            <w:r>
              <w:rPr>
                <w:sz w:val="22"/>
              </w:rPr>
              <w:t>Área de plantas medicinales en el Jardín Botánico Francisco Javier Clavijero………</w:t>
            </w:r>
          </w:p>
        </w:tc>
        <w:tc>
          <w:tcPr>
            <w:tcW w:w="782" w:type="dxa"/>
          </w:tcPr>
          <w:p>
            <w:pPr>
              <w:pStyle w:val="TableParagraph"/>
              <w:spacing w:before="51"/>
              <w:ind w:left="160"/>
              <w:rPr>
                <w:sz w:val="22"/>
              </w:rPr>
            </w:pPr>
            <w:r>
              <w:rPr>
                <w:sz w:val="22"/>
              </w:rPr>
              <w:t>118</w:t>
            </w:r>
          </w:p>
        </w:tc>
      </w:tr>
      <w:tr>
        <w:trPr>
          <w:trHeight w:val="379" w:hRule="exact"/>
        </w:trPr>
        <w:tc>
          <w:tcPr>
            <w:tcW w:w="661" w:type="dxa"/>
          </w:tcPr>
          <w:p>
            <w:pPr>
              <w:pStyle w:val="TableParagraph"/>
              <w:spacing w:before="52"/>
              <w:ind w:left="252"/>
              <w:rPr>
                <w:sz w:val="22"/>
              </w:rPr>
            </w:pPr>
            <w:r>
              <w:rPr>
                <w:sz w:val="22"/>
              </w:rPr>
              <w:t>14</w:t>
            </w:r>
          </w:p>
        </w:tc>
        <w:tc>
          <w:tcPr>
            <w:tcW w:w="8372" w:type="dxa"/>
          </w:tcPr>
          <w:p>
            <w:pPr>
              <w:pStyle w:val="TableParagraph"/>
              <w:spacing w:before="52"/>
              <w:ind w:left="45" w:right="93"/>
              <w:jc w:val="center"/>
              <w:rPr>
                <w:sz w:val="22"/>
              </w:rPr>
            </w:pPr>
            <w:r>
              <w:rPr>
                <w:sz w:val="22"/>
              </w:rPr>
              <w:t>Colección Nacional de Cycadas en el Jardín Botánico Francisco Javier Clavijero….</w:t>
            </w:r>
          </w:p>
        </w:tc>
        <w:tc>
          <w:tcPr>
            <w:tcW w:w="782" w:type="dxa"/>
          </w:tcPr>
          <w:p>
            <w:pPr>
              <w:pStyle w:val="TableParagraph"/>
              <w:spacing w:before="52"/>
              <w:ind w:left="160"/>
              <w:rPr>
                <w:sz w:val="22"/>
              </w:rPr>
            </w:pPr>
            <w:r>
              <w:rPr>
                <w:sz w:val="22"/>
              </w:rPr>
              <w:t>118</w:t>
            </w:r>
          </w:p>
        </w:tc>
      </w:tr>
      <w:tr>
        <w:trPr>
          <w:trHeight w:val="300" w:hRule="exact"/>
        </w:trPr>
        <w:tc>
          <w:tcPr>
            <w:tcW w:w="661" w:type="dxa"/>
          </w:tcPr>
          <w:p>
            <w:pPr>
              <w:pStyle w:val="TableParagraph"/>
              <w:spacing w:before="51"/>
              <w:ind w:left="252"/>
              <w:rPr>
                <w:sz w:val="22"/>
              </w:rPr>
            </w:pPr>
            <w:r>
              <w:rPr>
                <w:sz w:val="22"/>
              </w:rPr>
              <w:t>15</w:t>
            </w:r>
          </w:p>
        </w:tc>
        <w:tc>
          <w:tcPr>
            <w:tcW w:w="8372" w:type="dxa"/>
          </w:tcPr>
          <w:p>
            <w:pPr>
              <w:pStyle w:val="TableParagraph"/>
              <w:spacing w:before="51"/>
              <w:ind w:left="91" w:right="203"/>
              <w:jc w:val="center"/>
              <w:rPr>
                <w:sz w:val="22"/>
              </w:rPr>
            </w:pPr>
            <w:r>
              <w:rPr>
                <w:sz w:val="22"/>
              </w:rPr>
              <w:t>Áreas del Jardín Botánico de Colonia, Alemania……………………………………….</w:t>
            </w:r>
          </w:p>
        </w:tc>
        <w:tc>
          <w:tcPr>
            <w:tcW w:w="782" w:type="dxa"/>
          </w:tcPr>
          <w:p>
            <w:pPr/>
          </w:p>
        </w:tc>
      </w:tr>
    </w:tbl>
    <w:p>
      <w:pPr>
        <w:spacing w:after="0"/>
        <w:sectPr>
          <w:pgSz w:w="12240" w:h="15840"/>
          <w:pgMar w:header="690" w:footer="1146" w:top="880" w:bottom="1340" w:left="1100" w:right="11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8"/>
        </w:rPr>
      </w:pPr>
    </w:p>
    <w:p>
      <w:pPr>
        <w:spacing w:before="69"/>
        <w:ind w:left="3518" w:right="3620" w:firstLine="0"/>
        <w:jc w:val="center"/>
        <w:rPr>
          <w:b/>
          <w:sz w:val="24"/>
        </w:rPr>
      </w:pPr>
      <w:r>
        <w:rPr>
          <w:b/>
          <w:sz w:val="24"/>
        </w:rPr>
        <w:t>ÍNDICE DE DIAGRAMAS</w:t>
      </w:r>
    </w:p>
    <w:p>
      <w:pPr>
        <w:pStyle w:val="BodyText"/>
        <w:rPr>
          <w:b/>
          <w:sz w:val="20"/>
        </w:rPr>
      </w:pPr>
    </w:p>
    <w:p>
      <w:pPr>
        <w:pStyle w:val="BodyText"/>
        <w:rPr>
          <w:b/>
          <w:sz w:val="20"/>
        </w:rPr>
      </w:pPr>
    </w:p>
    <w:p>
      <w:pPr>
        <w:pStyle w:val="BodyText"/>
        <w:spacing w:before="4"/>
        <w:rPr>
          <w:b/>
          <w:sz w:val="2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1"/>
        <w:gridCol w:w="8224"/>
        <w:gridCol w:w="779"/>
      </w:tblGrid>
      <w:tr>
        <w:trPr>
          <w:trHeight w:val="303" w:hRule="exact"/>
        </w:trPr>
        <w:tc>
          <w:tcPr>
            <w:tcW w:w="711" w:type="dxa"/>
          </w:tcPr>
          <w:p>
            <w:pPr>
              <w:pStyle w:val="TableParagraph"/>
              <w:spacing w:line="226" w:lineRule="exact"/>
              <w:ind w:left="177" w:right="139"/>
              <w:jc w:val="center"/>
              <w:rPr>
                <w:b/>
                <w:sz w:val="22"/>
              </w:rPr>
            </w:pPr>
            <w:r>
              <w:rPr>
                <w:b/>
                <w:sz w:val="22"/>
              </w:rPr>
              <w:t>No.</w:t>
            </w:r>
          </w:p>
        </w:tc>
        <w:tc>
          <w:tcPr>
            <w:tcW w:w="8224" w:type="dxa"/>
          </w:tcPr>
          <w:p>
            <w:pPr>
              <w:pStyle w:val="TableParagraph"/>
              <w:spacing w:line="226" w:lineRule="exact"/>
              <w:ind w:left="135" w:right="92"/>
              <w:jc w:val="center"/>
              <w:rPr>
                <w:b/>
                <w:sz w:val="22"/>
              </w:rPr>
            </w:pPr>
            <w:r>
              <w:rPr>
                <w:b/>
                <w:sz w:val="22"/>
              </w:rPr>
              <w:t>Diagrama</w:t>
            </w:r>
          </w:p>
        </w:tc>
        <w:tc>
          <w:tcPr>
            <w:tcW w:w="779" w:type="dxa"/>
          </w:tcPr>
          <w:p>
            <w:pPr>
              <w:pStyle w:val="TableParagraph"/>
              <w:spacing w:line="226" w:lineRule="exact"/>
              <w:ind w:left="93" w:right="181"/>
              <w:jc w:val="center"/>
              <w:rPr>
                <w:b/>
                <w:sz w:val="22"/>
              </w:rPr>
            </w:pPr>
            <w:r>
              <w:rPr>
                <w:b/>
                <w:sz w:val="22"/>
              </w:rPr>
              <w:t>Pág.</w:t>
            </w:r>
          </w:p>
        </w:tc>
      </w:tr>
      <w:tr>
        <w:trPr>
          <w:trHeight w:val="382" w:hRule="exact"/>
        </w:trPr>
        <w:tc>
          <w:tcPr>
            <w:tcW w:w="711" w:type="dxa"/>
          </w:tcPr>
          <w:p>
            <w:pPr>
              <w:pStyle w:val="TableParagraph"/>
              <w:spacing w:before="54"/>
              <w:ind w:left="41"/>
              <w:jc w:val="center"/>
              <w:rPr>
                <w:sz w:val="22"/>
              </w:rPr>
            </w:pPr>
            <w:r>
              <w:rPr>
                <w:w w:val="100"/>
                <w:sz w:val="22"/>
              </w:rPr>
              <w:t>1</w:t>
            </w:r>
          </w:p>
        </w:tc>
        <w:tc>
          <w:tcPr>
            <w:tcW w:w="8224" w:type="dxa"/>
          </w:tcPr>
          <w:p>
            <w:pPr>
              <w:pStyle w:val="TableParagraph"/>
              <w:spacing w:before="54"/>
              <w:ind w:left="140" w:right="89"/>
              <w:jc w:val="center"/>
              <w:rPr>
                <w:sz w:val="22"/>
              </w:rPr>
            </w:pPr>
            <w:r>
              <w:rPr>
                <w:sz w:val="22"/>
              </w:rPr>
              <w:t>Árbol de problemas del Parque Universitario “Las Orquídeas”………………………</w:t>
            </w:r>
          </w:p>
        </w:tc>
        <w:tc>
          <w:tcPr>
            <w:tcW w:w="779" w:type="dxa"/>
          </w:tcPr>
          <w:p>
            <w:pPr>
              <w:pStyle w:val="TableParagraph"/>
              <w:spacing w:before="54"/>
              <w:ind w:left="93" w:right="181"/>
              <w:jc w:val="center"/>
              <w:rPr>
                <w:sz w:val="22"/>
              </w:rPr>
            </w:pPr>
            <w:r>
              <w:rPr>
                <w:sz w:val="22"/>
              </w:rPr>
              <w:t>74</w:t>
            </w:r>
          </w:p>
        </w:tc>
      </w:tr>
      <w:tr>
        <w:trPr>
          <w:trHeight w:val="379" w:hRule="exact"/>
        </w:trPr>
        <w:tc>
          <w:tcPr>
            <w:tcW w:w="711" w:type="dxa"/>
          </w:tcPr>
          <w:p>
            <w:pPr>
              <w:pStyle w:val="TableParagraph"/>
              <w:spacing w:before="51"/>
              <w:ind w:left="41"/>
              <w:jc w:val="center"/>
              <w:rPr>
                <w:sz w:val="22"/>
              </w:rPr>
            </w:pPr>
            <w:r>
              <w:rPr>
                <w:w w:val="100"/>
                <w:sz w:val="22"/>
              </w:rPr>
              <w:t>2</w:t>
            </w:r>
          </w:p>
        </w:tc>
        <w:tc>
          <w:tcPr>
            <w:tcW w:w="8224" w:type="dxa"/>
          </w:tcPr>
          <w:p>
            <w:pPr>
              <w:pStyle w:val="TableParagraph"/>
              <w:spacing w:before="51"/>
              <w:ind w:left="100" w:right="92"/>
              <w:jc w:val="center"/>
              <w:rPr>
                <w:sz w:val="22"/>
              </w:rPr>
            </w:pPr>
            <w:r>
              <w:rPr>
                <w:sz w:val="22"/>
              </w:rPr>
              <w:t>Árbol de objetivos del Parque Universitario “Las Orquídeas”………………………..</w:t>
            </w:r>
          </w:p>
        </w:tc>
        <w:tc>
          <w:tcPr>
            <w:tcW w:w="779" w:type="dxa"/>
          </w:tcPr>
          <w:p>
            <w:pPr>
              <w:pStyle w:val="TableParagraph"/>
              <w:spacing w:before="51"/>
              <w:ind w:left="93" w:right="180"/>
              <w:jc w:val="center"/>
              <w:rPr>
                <w:sz w:val="22"/>
              </w:rPr>
            </w:pPr>
            <w:r>
              <w:rPr>
                <w:sz w:val="22"/>
              </w:rPr>
              <w:t>75</w:t>
            </w:r>
          </w:p>
        </w:tc>
      </w:tr>
      <w:tr>
        <w:trPr>
          <w:trHeight w:val="379" w:hRule="exact"/>
        </w:trPr>
        <w:tc>
          <w:tcPr>
            <w:tcW w:w="711" w:type="dxa"/>
          </w:tcPr>
          <w:p>
            <w:pPr>
              <w:pStyle w:val="TableParagraph"/>
              <w:spacing w:before="51"/>
              <w:ind w:left="41"/>
              <w:jc w:val="center"/>
              <w:rPr>
                <w:sz w:val="22"/>
              </w:rPr>
            </w:pPr>
            <w:r>
              <w:rPr>
                <w:w w:val="100"/>
                <w:sz w:val="22"/>
              </w:rPr>
              <w:t>3</w:t>
            </w:r>
          </w:p>
        </w:tc>
        <w:tc>
          <w:tcPr>
            <w:tcW w:w="8224" w:type="dxa"/>
          </w:tcPr>
          <w:p>
            <w:pPr>
              <w:pStyle w:val="TableParagraph"/>
              <w:spacing w:before="51"/>
              <w:ind w:left="132" w:right="92"/>
              <w:jc w:val="center"/>
              <w:rPr>
                <w:sz w:val="22"/>
              </w:rPr>
            </w:pPr>
            <w:r>
              <w:rPr>
                <w:sz w:val="22"/>
              </w:rPr>
              <w:t>Diagrama de las alternativa……………………………………………………..............</w:t>
            </w:r>
          </w:p>
        </w:tc>
        <w:tc>
          <w:tcPr>
            <w:tcW w:w="779" w:type="dxa"/>
          </w:tcPr>
          <w:p>
            <w:pPr>
              <w:pStyle w:val="TableParagraph"/>
              <w:spacing w:before="51"/>
              <w:ind w:left="93" w:right="180"/>
              <w:jc w:val="center"/>
              <w:rPr>
                <w:sz w:val="22"/>
              </w:rPr>
            </w:pPr>
            <w:r>
              <w:rPr>
                <w:sz w:val="22"/>
              </w:rPr>
              <w:t>77</w:t>
            </w:r>
          </w:p>
        </w:tc>
      </w:tr>
      <w:tr>
        <w:trPr>
          <w:trHeight w:val="380" w:hRule="exact"/>
        </w:trPr>
        <w:tc>
          <w:tcPr>
            <w:tcW w:w="711" w:type="dxa"/>
          </w:tcPr>
          <w:p>
            <w:pPr>
              <w:pStyle w:val="TableParagraph"/>
              <w:spacing w:before="51"/>
              <w:ind w:left="41"/>
              <w:jc w:val="center"/>
              <w:rPr>
                <w:sz w:val="22"/>
              </w:rPr>
            </w:pPr>
            <w:r>
              <w:rPr>
                <w:w w:val="100"/>
                <w:sz w:val="22"/>
              </w:rPr>
              <w:t>4</w:t>
            </w:r>
          </w:p>
        </w:tc>
        <w:tc>
          <w:tcPr>
            <w:tcW w:w="8224" w:type="dxa"/>
          </w:tcPr>
          <w:p>
            <w:pPr>
              <w:pStyle w:val="TableParagraph"/>
              <w:spacing w:before="51"/>
              <w:ind w:left="114" w:right="92"/>
              <w:jc w:val="center"/>
              <w:rPr>
                <w:sz w:val="22"/>
              </w:rPr>
            </w:pPr>
            <w:r>
              <w:rPr>
                <w:sz w:val="22"/>
              </w:rPr>
              <w:t>Estructura organizacional actual del Manejo del Parque……………………….........</w:t>
            </w:r>
          </w:p>
        </w:tc>
        <w:tc>
          <w:tcPr>
            <w:tcW w:w="779" w:type="dxa"/>
          </w:tcPr>
          <w:p>
            <w:pPr>
              <w:pStyle w:val="TableParagraph"/>
              <w:spacing w:before="51"/>
              <w:ind w:left="93" w:right="180"/>
              <w:jc w:val="center"/>
              <w:rPr>
                <w:sz w:val="22"/>
              </w:rPr>
            </w:pPr>
            <w:r>
              <w:rPr>
                <w:sz w:val="22"/>
              </w:rPr>
              <w:t>97</w:t>
            </w:r>
          </w:p>
        </w:tc>
      </w:tr>
      <w:tr>
        <w:trPr>
          <w:trHeight w:val="300" w:hRule="exact"/>
        </w:trPr>
        <w:tc>
          <w:tcPr>
            <w:tcW w:w="711" w:type="dxa"/>
          </w:tcPr>
          <w:p>
            <w:pPr>
              <w:pStyle w:val="TableParagraph"/>
              <w:spacing w:before="52"/>
              <w:ind w:left="41"/>
              <w:jc w:val="center"/>
              <w:rPr>
                <w:sz w:val="22"/>
              </w:rPr>
            </w:pPr>
            <w:r>
              <w:rPr>
                <w:w w:val="100"/>
                <w:sz w:val="22"/>
              </w:rPr>
              <w:t>5</w:t>
            </w:r>
          </w:p>
        </w:tc>
        <w:tc>
          <w:tcPr>
            <w:tcW w:w="8224" w:type="dxa"/>
          </w:tcPr>
          <w:p>
            <w:pPr>
              <w:pStyle w:val="TableParagraph"/>
              <w:spacing w:before="52"/>
              <w:ind w:left="130" w:right="92"/>
              <w:jc w:val="center"/>
              <w:rPr>
                <w:sz w:val="22"/>
              </w:rPr>
            </w:pPr>
            <w:r>
              <w:rPr>
                <w:sz w:val="22"/>
              </w:rPr>
              <w:t>Estructura organizacional propuesta para el Manejo del Parque……………...........</w:t>
            </w:r>
          </w:p>
        </w:tc>
        <w:tc>
          <w:tcPr>
            <w:tcW w:w="779" w:type="dxa"/>
          </w:tcPr>
          <w:p>
            <w:pPr>
              <w:pStyle w:val="TableParagraph"/>
              <w:spacing w:before="52"/>
              <w:ind w:left="93" w:right="180"/>
              <w:jc w:val="center"/>
              <w:rPr>
                <w:sz w:val="22"/>
              </w:rPr>
            </w:pPr>
            <w:r>
              <w:rPr>
                <w:sz w:val="22"/>
              </w:rPr>
              <w:t>98</w:t>
            </w:r>
          </w:p>
        </w:tc>
      </w:tr>
    </w:tbl>
    <w:p>
      <w:pPr>
        <w:spacing w:after="0"/>
        <w:jc w:val="center"/>
        <w:rPr>
          <w:sz w:val="22"/>
        </w:rPr>
        <w:sectPr>
          <w:pgSz w:w="12240" w:h="15840"/>
          <w:pgMar w:header="690" w:footer="1146" w:top="880" w:bottom="1340" w:left="1200" w:right="1100"/>
        </w:sectPr>
      </w:pPr>
    </w:p>
    <w:p>
      <w:pPr>
        <w:pStyle w:val="BodyText"/>
        <w:rPr>
          <w:b/>
          <w:sz w:val="20"/>
        </w:rPr>
      </w:pPr>
    </w:p>
    <w:p>
      <w:pPr>
        <w:pStyle w:val="BodyText"/>
        <w:spacing w:before="11"/>
        <w:rPr>
          <w:b/>
          <w:sz w:val="18"/>
        </w:rPr>
      </w:pPr>
    </w:p>
    <w:p>
      <w:pPr>
        <w:pStyle w:val="Heading2"/>
        <w:spacing w:before="69"/>
        <w:ind w:left="3885" w:right="3888"/>
        <w:jc w:val="center"/>
      </w:pPr>
      <w:r>
        <w:rPr/>
        <w:t>INTRODUCCIÓN</w:t>
      </w:r>
    </w:p>
    <w:p>
      <w:pPr>
        <w:pStyle w:val="BodyText"/>
        <w:rPr>
          <w:b/>
        </w:rPr>
      </w:pPr>
    </w:p>
    <w:p>
      <w:pPr>
        <w:pStyle w:val="BodyText"/>
        <w:spacing w:line="360" w:lineRule="auto" w:before="144"/>
        <w:ind w:left="136" w:right="130"/>
        <w:jc w:val="both"/>
      </w:pPr>
      <w:r>
        <w:rPr/>
        <w:t>El Parque Universitario “Las Orquídeas” pertenece al Centro Universitario Temascaltepec de la Universidad Autónoma del Estado de México. En el año de 1998 fue establecido </w:t>
      </w:r>
      <w:r>
        <w:rPr>
          <w:spacing w:val="-4"/>
        </w:rPr>
        <w:t>como </w:t>
      </w:r>
      <w:r>
        <w:rPr/>
        <w:t>área de conservación de flora y fauna; contempló </w:t>
      </w:r>
      <w:r>
        <w:rPr>
          <w:spacing w:val="-4"/>
        </w:rPr>
        <w:t>como </w:t>
      </w:r>
      <w:r>
        <w:rPr/>
        <w:t>una de  las metas principales: realizar educación ambiental y turismo ecológico, para contribuir al conocimiento y esparcimiento de la población mexiquense y visitantes. Cabe aclarar que el título de Parque no </w:t>
      </w:r>
      <w:r>
        <w:rPr>
          <w:spacing w:val="-3"/>
        </w:rPr>
        <w:t>se </w:t>
      </w:r>
      <w:r>
        <w:rPr/>
        <w:t>refiere a que </w:t>
      </w:r>
      <w:r>
        <w:rPr>
          <w:spacing w:val="-3"/>
        </w:rPr>
        <w:t>se </w:t>
      </w:r>
      <w:r>
        <w:rPr/>
        <w:t>encuentre decretado ante la Legislación Ambiental Mexicana, sino </w:t>
      </w:r>
      <w:r>
        <w:rPr>
          <w:spacing w:val="-3"/>
        </w:rPr>
        <w:t>más </w:t>
      </w:r>
      <w:r>
        <w:rPr/>
        <w:t>bien como una forma de motivar el interés por</w:t>
      </w:r>
      <w:r>
        <w:rPr>
          <w:spacing w:val="-13"/>
        </w:rPr>
        <w:t> </w:t>
      </w:r>
      <w:r>
        <w:rPr/>
        <w:t>conocerlo.</w:t>
      </w:r>
    </w:p>
    <w:p>
      <w:pPr>
        <w:pStyle w:val="BodyText"/>
      </w:pPr>
    </w:p>
    <w:p>
      <w:pPr>
        <w:pStyle w:val="BodyText"/>
        <w:spacing w:line="360" w:lineRule="auto" w:before="140"/>
        <w:ind w:left="136" w:right="132"/>
        <w:jc w:val="both"/>
      </w:pPr>
      <w:r>
        <w:rPr/>
        <w:t>El Parque está ubicado en el Barrio de Santiago, en el municipio de Temascaltepec de González, en el Estado de México. El Centro Universitario Temascaltepec tiene una superficie aproximada de 13.54 hectáreas, de las cuales el 15% está construido y el porcentaje restante es vegetación natural (bosque mesófilo de montaña, bosque tropical caducifolio y bosque de galerías) y vegetación secundaría (plantas introducidas por su interés medicinal, aromática, ornamental, comestibles, cultural y didáctica).</w:t>
      </w:r>
    </w:p>
    <w:p>
      <w:pPr>
        <w:pStyle w:val="BodyText"/>
      </w:pPr>
    </w:p>
    <w:p>
      <w:pPr>
        <w:pStyle w:val="BodyText"/>
        <w:spacing w:line="360" w:lineRule="auto" w:before="144"/>
        <w:ind w:left="136" w:right="132"/>
        <w:jc w:val="both"/>
      </w:pPr>
      <w:r>
        <w:rPr/>
        <w:t>Existen dos estudios botánicos en relación al Parque. La contribución de Valdez (2003) quién reporta 41 familias, 75 géneros y 86 especies, considerado como un estudio preliminar, es la primera aportación al conocimiento de la flora y posteriormente el trabajo de González (2011), quien determinó y realizó una descripción morfológica, ecológica y fenológica; así como datos de distribución nacional, municipal y local, de 22 especies (trece de ellas con hábito epifito, una litofita y ocho terrestres) de la familia Orchidaceae.</w:t>
      </w:r>
    </w:p>
    <w:p>
      <w:pPr>
        <w:pStyle w:val="BodyText"/>
      </w:pPr>
    </w:p>
    <w:p>
      <w:pPr>
        <w:spacing w:line="360" w:lineRule="auto" w:before="144"/>
        <w:ind w:left="136" w:right="133" w:firstLine="0"/>
        <w:jc w:val="both"/>
        <w:rPr>
          <w:i/>
          <w:sz w:val="24"/>
        </w:rPr>
      </w:pPr>
      <w:r>
        <w:rPr/>
        <w:pict>
          <v:group style="position:absolute;margin-left:69.384003pt;margin-top:131.521866pt;width:473.25pt;height:20.7pt;mso-position-horizontal-relative:page;mso-position-vertical-relative:paragraph;z-index:-354712" coordorigin="1388,2630" coordsize="9465,414">
            <v:rect style="position:absolute;left:1388;top:2630;width:9465;height:413" filled="true" fillcolor="#ffffff" stroked="false">
              <v:fill type="solid"/>
            </v:rect>
            <v:shape style="position:absolute;left:1388;top:2630;width:9465;height:414" type="#_x0000_t202" filled="false" stroked="false">
              <v:textbox inset="0,0,0,0">
                <w:txbxContent>
                  <w:p>
                    <w:pPr>
                      <w:spacing w:line="272" w:lineRule="exact" w:before="0"/>
                      <w:ind w:left="28" w:right="0" w:firstLine="0"/>
                      <w:jc w:val="left"/>
                      <w:rPr>
                        <w:i/>
                        <w:sz w:val="24"/>
                      </w:rPr>
                    </w:pPr>
                    <w:r>
                      <w:rPr>
                        <w:i/>
                        <w:sz w:val="24"/>
                      </w:rPr>
                      <w:t>conservación y la educación ambiental.</w:t>
                    </w:r>
                  </w:p>
                </w:txbxContent>
              </v:textbox>
              <w10:wrap type="none"/>
            </v:shape>
            <w10:wrap type="none"/>
          </v:group>
        </w:pict>
      </w:r>
      <w:r>
        <w:rPr>
          <w:sz w:val="24"/>
        </w:rPr>
        <w:t>Los estudios realizados en el parque han contribuido al conocimiento de las especies  de flora presentes en el parque, sin embargo, existen otras por identificar, </w:t>
      </w:r>
      <w:r>
        <w:rPr>
          <w:spacing w:val="-2"/>
          <w:sz w:val="24"/>
        </w:rPr>
        <w:t>además </w:t>
      </w:r>
      <w:r>
        <w:rPr>
          <w:sz w:val="24"/>
        </w:rPr>
        <w:t>que se requiere conocer las Zonas de Manejo Ambiental donde se ubican, por lo que la presente investigación se planteó el siguiente objetivo general: </w:t>
      </w:r>
      <w:r>
        <w:rPr>
          <w:i/>
          <w:sz w:val="24"/>
        </w:rPr>
        <w:t>Realizar un estudio </w:t>
      </w:r>
      <w:r>
        <w:rPr>
          <w:i/>
          <w:sz w:val="24"/>
        </w:rPr>
        <w:t>florístico para identificar taxonómicamente las especies de flora del Parque Universitario “Las  Orquídeas”,  ubicándolas  en  Zonas  de  Manejo  Ambiental  como  base  para </w:t>
      </w:r>
      <w:r>
        <w:rPr>
          <w:i/>
          <w:spacing w:val="63"/>
          <w:sz w:val="24"/>
        </w:rPr>
        <w:t> </w:t>
      </w:r>
      <w:r>
        <w:rPr>
          <w:i/>
          <w:sz w:val="24"/>
        </w:rPr>
        <w:t>la</w:t>
      </w:r>
    </w:p>
    <w:p>
      <w:pPr>
        <w:spacing w:after="0" w:line="360" w:lineRule="auto"/>
        <w:jc w:val="both"/>
        <w:rPr>
          <w:sz w:val="24"/>
        </w:rPr>
        <w:sectPr>
          <w:footerReference w:type="default" r:id="rId12"/>
          <w:pgSz w:w="12240" w:h="15840"/>
          <w:pgMar w:footer="1146" w:header="690" w:top="880" w:bottom="1340" w:left="1280" w:right="1280"/>
          <w:pgNumType w:start="1"/>
        </w:sectPr>
      </w:pPr>
    </w:p>
    <w:p>
      <w:pPr>
        <w:pStyle w:val="BodyText"/>
        <w:rPr>
          <w:i/>
          <w:sz w:val="20"/>
        </w:rPr>
      </w:pPr>
    </w:p>
    <w:p>
      <w:pPr>
        <w:pStyle w:val="BodyText"/>
        <w:spacing w:before="11"/>
        <w:rPr>
          <w:i/>
          <w:sz w:val="18"/>
        </w:rPr>
      </w:pPr>
    </w:p>
    <w:p>
      <w:pPr>
        <w:pStyle w:val="Heading2"/>
        <w:spacing w:before="69"/>
      </w:pPr>
      <w:r>
        <w:rPr/>
        <w:t>Justificación</w:t>
      </w:r>
    </w:p>
    <w:p>
      <w:pPr>
        <w:pStyle w:val="BodyText"/>
        <w:spacing w:line="360" w:lineRule="auto" w:before="146"/>
        <w:ind w:left="116" w:right="112"/>
        <w:jc w:val="both"/>
      </w:pPr>
      <w:r>
        <w:rPr/>
        <w:t>El parque universitario “Las Orquídeas” es un proyecto interinstitucional de la Universidad Autónoma del Estado de México (UAEMex), a través de la Facultad de Ciencias Agrícolas y el Centro Universitario Temascaltepec, en el cual se realizan actividades de conservación, investigación y educación ambiental, además a  largo plazo se pretende realizar actividades ecoturísticas.</w:t>
      </w:r>
    </w:p>
    <w:p>
      <w:pPr>
        <w:pStyle w:val="BodyText"/>
      </w:pPr>
    </w:p>
    <w:p>
      <w:pPr>
        <w:pStyle w:val="BodyText"/>
        <w:spacing w:line="360" w:lineRule="auto" w:before="140"/>
        <w:ind w:left="116" w:right="110"/>
        <w:jc w:val="both"/>
      </w:pPr>
      <w:r>
        <w:rPr/>
        <w:t>Conocer la biodiversidad del parque universitario, contribuirá a establecer acciones de conservación que coadyuvaran con la Estrategia Mexicana para la Conservación Vegetal (EMCV), específicamente con el objetivo 2 “Conservar la diversidad vegetal”, determinando las especies importantes en el parque y fomentar su reproducción; objetivo 4 “Promover la educación y concientización acerca de la diversidad vegetal” (CONABIO, CONANP y SEMARNAT, 2008); y en su caso, restauración, ya que sitios como éste permiten el reciclaje de nutrientes, la filtración del agua y el aire, la absorción de la contaminación; como bancos genéticos; brinda belleza escénica, espacios para la recreación y son hábitats de la vida silvestre.</w:t>
      </w:r>
    </w:p>
    <w:p>
      <w:pPr>
        <w:pStyle w:val="BodyText"/>
      </w:pPr>
    </w:p>
    <w:p>
      <w:pPr>
        <w:pStyle w:val="BodyText"/>
        <w:spacing w:line="360" w:lineRule="auto" w:before="144"/>
        <w:ind w:left="116" w:right="113"/>
        <w:jc w:val="both"/>
      </w:pPr>
      <w:r>
        <w:rPr/>
        <w:t>Identificar elementos que son relevantes para la conservación, tales como especies que están en peligro de extinción, ya sea por normas nacionales o internacionales; especies endémicas, de distribución restringida o rara.</w:t>
      </w:r>
    </w:p>
    <w:p>
      <w:pPr>
        <w:pStyle w:val="BodyText"/>
      </w:pPr>
    </w:p>
    <w:p>
      <w:pPr>
        <w:pStyle w:val="BodyText"/>
        <w:spacing w:line="360" w:lineRule="auto" w:before="145"/>
        <w:ind w:left="116" w:right="111"/>
        <w:jc w:val="both"/>
      </w:pPr>
      <w:r>
        <w:rPr/>
        <w:t>La actividad de los investigadores y alumnos de la UAEMex y de otras instituciones también puede verse beneficiada, debido a que contará con el catálogo de especies de flora del parque, que facilitará su identificación para posteriores investigaciones científicas en áreas como la Botánica, Taxonomía, Hidrología, Entomología, Fenología, Fitopatología, Dendrología, entre otras. Además de existir especies de interés alimenticio, medicinal, aromático, ornamental, forestal y que ofrecen servicios ambientales.</w:t>
      </w:r>
    </w:p>
    <w:p>
      <w:pPr>
        <w:pStyle w:val="BodyText"/>
      </w:pPr>
    </w:p>
    <w:p>
      <w:pPr>
        <w:pStyle w:val="BodyText"/>
        <w:spacing w:line="362" w:lineRule="auto" w:before="140"/>
        <w:ind w:left="116" w:right="112"/>
        <w:jc w:val="both"/>
      </w:pPr>
      <w:r>
        <w:rPr/>
        <w:t>Se pretende que los resultados de esta investigación </w:t>
      </w:r>
      <w:r>
        <w:rPr>
          <w:spacing w:val="2"/>
        </w:rPr>
        <w:t>sean </w:t>
      </w:r>
      <w:r>
        <w:rPr/>
        <w:t>de utilidad a la comunidad  de Temascaltepec, visitantes, a los estudiantes de licenciatura del Centro </w:t>
      </w:r>
      <w:r>
        <w:rPr>
          <w:spacing w:val="19"/>
        </w:rPr>
        <w:t> </w:t>
      </w:r>
      <w:r>
        <w:rPr/>
        <w:t>Universitario,</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12"/>
        <w:jc w:val="both"/>
      </w:pPr>
      <w:r>
        <w:rPr/>
        <w:t>así como a cualquier persona interesada en conocer un poco sobre los nombres, distribución y los usos de las plantas con las que convive diariamente; a través de  visitas guiadas, cursos, talleres, pláticas, conferencias, asesorías y material</w:t>
      </w:r>
      <w:r>
        <w:rPr>
          <w:spacing w:val="-26"/>
        </w:rPr>
        <w:t> </w:t>
      </w:r>
      <w:r>
        <w:rPr/>
        <w:t>didáctico.</w:t>
      </w:r>
    </w:p>
    <w:p>
      <w:pPr>
        <w:pStyle w:val="BodyText"/>
        <w:spacing w:before="10"/>
        <w:rPr>
          <w:sz w:val="35"/>
        </w:rPr>
      </w:pPr>
    </w:p>
    <w:p>
      <w:pPr>
        <w:pStyle w:val="BodyText"/>
        <w:spacing w:line="362" w:lineRule="auto"/>
        <w:ind w:left="116" w:right="114"/>
        <w:jc w:val="both"/>
      </w:pPr>
      <w:r>
        <w:rPr/>
        <w:t>Además de obtener beneficios de carácter económico, ya que atraerá al turismo, que económicamente beneficiará a la población que habita </w:t>
      </w:r>
      <w:r>
        <w:rPr>
          <w:spacing w:val="6"/>
        </w:rPr>
        <w:t>en</w:t>
      </w:r>
      <w:r>
        <w:rPr>
          <w:spacing w:val="78"/>
        </w:rPr>
        <w:t> </w:t>
      </w:r>
      <w:r>
        <w:rPr/>
        <w:t>el municipio de Temascaltepec, así como confort y recreación.</w:t>
      </w:r>
    </w:p>
    <w:p>
      <w:pPr>
        <w:pStyle w:val="BodyText"/>
        <w:spacing w:before="5"/>
        <w:rPr>
          <w:sz w:val="35"/>
        </w:rPr>
      </w:pPr>
    </w:p>
    <w:p>
      <w:pPr>
        <w:pStyle w:val="Heading2"/>
      </w:pPr>
      <w:r>
        <w:rPr/>
        <w:t>Problema de investigación</w:t>
      </w:r>
    </w:p>
    <w:p>
      <w:pPr>
        <w:pStyle w:val="BodyText"/>
        <w:spacing w:line="360" w:lineRule="auto" w:before="147"/>
        <w:ind w:left="116" w:right="112"/>
        <w:jc w:val="both"/>
      </w:pPr>
      <w:r>
        <w:rPr/>
        <w:t>Actualmente no se cuenta con un inventario florístico que permita indicar la distribución de las especies presentes en el parque universitarios “Las Orquídeas”, en las Zonas de Manejo Ambiental como son Plantas Medicinales y Aromáticas, Cafetal, Hortalizas, Frutales, Mariposario, Orquídeario, y Área Natural.</w:t>
      </w:r>
    </w:p>
    <w:p>
      <w:pPr>
        <w:pStyle w:val="BodyText"/>
        <w:spacing w:before="5"/>
      </w:pPr>
    </w:p>
    <w:p>
      <w:pPr>
        <w:pStyle w:val="BodyText"/>
        <w:spacing w:line="360" w:lineRule="auto"/>
        <w:ind w:left="116" w:right="111"/>
        <w:jc w:val="both"/>
      </w:pPr>
      <w:r>
        <w:rPr/>
        <w:t>Debido a la falta de información hace difícil o en algunos casos imposible llevar a cabo el monitoreo necesario para el manejo de estas áreas, así como incrementar nuestro entendimiento de la biodiversidad del parque, lo cual nos permitirá trasmitir el conocimiento a través de la educación ambiental, por lo tanto, en la presente investigación </w:t>
      </w:r>
      <w:r>
        <w:rPr>
          <w:spacing w:val="-3"/>
        </w:rPr>
        <w:t>se </w:t>
      </w:r>
      <w:r>
        <w:rPr/>
        <w:t>plantea las siguientes preguntas ¿Qué especies de flora se ubican en cada Zona de Manejo Ambiental?, ¿Cuáles son los usos que la comunidad de Temascaltepec asigna a las especies de flora previamente identificadas?, ¿Cuáles y cuántas especies son de distribución del Continente Americano? y ¿Qué estrategias de conservación y educación ambiental pueden aplicarse al</w:t>
      </w:r>
      <w:r>
        <w:rPr>
          <w:spacing w:val="-20"/>
        </w:rPr>
        <w:t> </w:t>
      </w:r>
      <w:r>
        <w:rPr/>
        <w:t>Parque?</w:t>
      </w:r>
    </w:p>
    <w:p>
      <w:pPr>
        <w:pStyle w:val="BodyText"/>
        <w:spacing w:before="8"/>
        <w:rPr>
          <w:sz w:val="35"/>
        </w:rPr>
      </w:pPr>
    </w:p>
    <w:p>
      <w:pPr>
        <w:pStyle w:val="Heading2"/>
      </w:pPr>
      <w:r>
        <w:rPr/>
        <w:t>Hipótesis</w:t>
      </w:r>
    </w:p>
    <w:p>
      <w:pPr>
        <w:pStyle w:val="BodyText"/>
        <w:spacing w:line="360" w:lineRule="auto" w:before="146"/>
        <w:ind w:left="116" w:right="111"/>
        <w:jc w:val="both"/>
      </w:pPr>
      <w:r>
        <w:rPr/>
        <w:t>El conocimiento de la diversidad florística y su distribución a través de Zonas de Manejo Ambiental, permite establecer estrategias de conservación y educación ambiental para el desarrollo sustentable del Parque Universitario “Las Orquídeas”.</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pPr>
      <w:r>
        <w:rPr/>
        <w:t>Objetivo General</w:t>
      </w:r>
    </w:p>
    <w:p>
      <w:pPr>
        <w:pStyle w:val="BodyText"/>
        <w:spacing w:line="360" w:lineRule="auto" w:before="146"/>
        <w:ind w:left="116" w:right="110"/>
        <w:jc w:val="both"/>
      </w:pPr>
      <w:r>
        <w:rPr/>
        <w:t>Realizar un estudio florístico para identificar taxonómicamente las especies de plantas vasculares (árboles, arbustos y algunas herbáceas), así como un estudio etnobotánico del Parque Universitario “Las Orquídeas”, ubicándolas en Zonas de Manejo Ambiental como base para la conservación y educación ambiental.</w:t>
      </w:r>
    </w:p>
    <w:p>
      <w:pPr>
        <w:pStyle w:val="BodyText"/>
      </w:pPr>
    </w:p>
    <w:p>
      <w:pPr>
        <w:pStyle w:val="Heading2"/>
        <w:spacing w:before="140"/>
      </w:pPr>
      <w:r>
        <w:rPr/>
        <w:t>Objetivos Particulares</w:t>
      </w:r>
    </w:p>
    <w:p>
      <w:pPr>
        <w:pStyle w:val="BodyText"/>
        <w:spacing w:before="2"/>
        <w:rPr>
          <w:b/>
          <w:sz w:val="33"/>
        </w:rPr>
      </w:pPr>
    </w:p>
    <w:p>
      <w:pPr>
        <w:pStyle w:val="ListParagraph"/>
        <w:numPr>
          <w:ilvl w:val="0"/>
          <w:numId w:val="1"/>
        </w:numPr>
        <w:tabs>
          <w:tab w:pos="400" w:val="left" w:leader="none"/>
        </w:tabs>
        <w:spacing w:line="360" w:lineRule="auto" w:before="0" w:after="0"/>
        <w:ind w:left="399" w:right="127" w:hanging="283"/>
        <w:jc w:val="left"/>
        <w:rPr>
          <w:sz w:val="24"/>
        </w:rPr>
      </w:pPr>
      <w:r>
        <w:rPr>
          <w:sz w:val="24"/>
        </w:rPr>
        <w:t>Establecer y delimitar la distribución espacial de las especies de flora a través de Zonas de Manejo</w:t>
      </w:r>
      <w:r>
        <w:rPr>
          <w:spacing w:val="-10"/>
          <w:sz w:val="24"/>
        </w:rPr>
        <w:t> </w:t>
      </w:r>
      <w:r>
        <w:rPr>
          <w:sz w:val="24"/>
        </w:rPr>
        <w:t>Ambiental.</w:t>
      </w:r>
    </w:p>
    <w:p>
      <w:pPr>
        <w:pStyle w:val="ListParagraph"/>
        <w:numPr>
          <w:ilvl w:val="0"/>
          <w:numId w:val="1"/>
        </w:numPr>
        <w:tabs>
          <w:tab w:pos="400" w:val="left" w:leader="none"/>
        </w:tabs>
        <w:spacing w:line="360" w:lineRule="auto" w:before="8" w:after="0"/>
        <w:ind w:left="399" w:right="118" w:hanging="283"/>
        <w:jc w:val="left"/>
        <w:rPr>
          <w:sz w:val="24"/>
        </w:rPr>
      </w:pPr>
      <w:r>
        <w:rPr>
          <w:sz w:val="24"/>
        </w:rPr>
        <w:t>Identificar taxonómicamente las especies de flora considerando </w:t>
      </w:r>
      <w:r>
        <w:rPr>
          <w:spacing w:val="-3"/>
          <w:sz w:val="24"/>
        </w:rPr>
        <w:t>su </w:t>
      </w:r>
      <w:r>
        <w:rPr>
          <w:sz w:val="24"/>
        </w:rPr>
        <w:t>distribución dentro del</w:t>
      </w:r>
      <w:r>
        <w:rPr>
          <w:spacing w:val="-5"/>
          <w:sz w:val="24"/>
        </w:rPr>
        <w:t> </w:t>
      </w:r>
      <w:r>
        <w:rPr>
          <w:sz w:val="24"/>
        </w:rPr>
        <w:t>parque.</w:t>
      </w:r>
    </w:p>
    <w:p>
      <w:pPr>
        <w:pStyle w:val="ListParagraph"/>
        <w:numPr>
          <w:ilvl w:val="0"/>
          <w:numId w:val="1"/>
        </w:numPr>
        <w:tabs>
          <w:tab w:pos="400" w:val="left" w:leader="none"/>
        </w:tabs>
        <w:spacing w:line="360" w:lineRule="auto" w:before="2" w:after="0"/>
        <w:ind w:left="399" w:right="126" w:hanging="283"/>
        <w:jc w:val="left"/>
        <w:rPr>
          <w:sz w:val="24"/>
        </w:rPr>
      </w:pPr>
      <w:r>
        <w:rPr>
          <w:sz w:val="24"/>
        </w:rPr>
        <w:t>Determinar la utilidad que </w:t>
      </w:r>
      <w:r>
        <w:rPr>
          <w:spacing w:val="-3"/>
          <w:sz w:val="24"/>
        </w:rPr>
        <w:t>se </w:t>
      </w:r>
      <w:r>
        <w:rPr>
          <w:sz w:val="24"/>
        </w:rPr>
        <w:t>atribuye a cada especie de flora desde un enfoque etnobotánico, considerando a la población de la cabecera</w:t>
      </w:r>
      <w:r>
        <w:rPr>
          <w:spacing w:val="-35"/>
          <w:sz w:val="24"/>
        </w:rPr>
        <w:t> </w:t>
      </w:r>
      <w:r>
        <w:rPr>
          <w:sz w:val="24"/>
        </w:rPr>
        <w:t>municipal.</w:t>
      </w:r>
    </w:p>
    <w:p>
      <w:pPr>
        <w:pStyle w:val="ListParagraph"/>
        <w:numPr>
          <w:ilvl w:val="0"/>
          <w:numId w:val="1"/>
        </w:numPr>
        <w:tabs>
          <w:tab w:pos="400" w:val="left" w:leader="none"/>
        </w:tabs>
        <w:spacing w:line="240" w:lineRule="auto" w:before="7" w:after="0"/>
        <w:ind w:left="399" w:right="0" w:hanging="283"/>
        <w:jc w:val="both"/>
        <w:rPr>
          <w:sz w:val="24"/>
        </w:rPr>
      </w:pPr>
      <w:r>
        <w:rPr>
          <w:sz w:val="24"/>
        </w:rPr>
        <w:t>Proponer estrategias para la conservación y la educación</w:t>
      </w:r>
      <w:r>
        <w:rPr>
          <w:spacing w:val="-24"/>
          <w:sz w:val="24"/>
        </w:rPr>
        <w:t> </w:t>
      </w:r>
      <w:r>
        <w:rPr>
          <w:sz w:val="24"/>
        </w:rPr>
        <w:t>ambiental.</w:t>
      </w:r>
    </w:p>
    <w:p>
      <w:pPr>
        <w:pStyle w:val="BodyText"/>
        <w:spacing w:before="8"/>
        <w:rPr>
          <w:sz w:val="32"/>
        </w:rPr>
      </w:pPr>
    </w:p>
    <w:p>
      <w:pPr>
        <w:pStyle w:val="BodyText"/>
        <w:spacing w:line="360" w:lineRule="auto" w:before="1"/>
        <w:ind w:left="116" w:right="110"/>
        <w:jc w:val="both"/>
      </w:pPr>
      <w:r>
        <w:rPr/>
        <w:t>El presente trabajo esta integrado por el capítulo I </w:t>
      </w:r>
      <w:r>
        <w:rPr>
          <w:i/>
        </w:rPr>
        <w:t>Marco teórico</w:t>
      </w:r>
      <w:r>
        <w:rPr/>
        <w:t>: Se hace enfásis en la importancia de la flora, para posteriormente señalar algunas investigaciones florísticas realizadas en el Estado de México, así como considerar las estrategias de conservación de las especies, entre las cuales se indica a los jardines botánicos y la educación ambiental; además de puntualizar en la importancia del estudio etnobotánico y </w:t>
      </w:r>
      <w:r>
        <w:rPr>
          <w:spacing w:val="-3"/>
        </w:rPr>
        <w:t>su </w:t>
      </w:r>
      <w:r>
        <w:rPr/>
        <w:t>desarrollo en México, finalizando con el análisis del Enfoque del Marco Lógico como un método para conocer la problemática y las estrategías para minimizar el impacto ambiental por las actividades académicas y administrativas en área de estudio; en el capítulo II </w:t>
      </w:r>
      <w:r>
        <w:rPr>
          <w:i/>
        </w:rPr>
        <w:t>Metodología</w:t>
      </w:r>
      <w:r>
        <w:rPr/>
        <w:t>, se describe las etapas que integraron el estudio como: caracterización geográfica, delimitación de las Zonas de Manejo Ambiental, identificación taxonómica, estudio etnobotánico y las estrategías para la conservación y educación ambiental; en el capítulo III </w:t>
      </w:r>
      <w:r>
        <w:rPr>
          <w:i/>
        </w:rPr>
        <w:t>Resultados y discusión</w:t>
      </w:r>
      <w:r>
        <w:rPr/>
        <w:t>, se presentan los resultados en el </w:t>
      </w:r>
      <w:r>
        <w:rPr>
          <w:spacing w:val="-3"/>
        </w:rPr>
        <w:t>mismo </w:t>
      </w:r>
      <w:r>
        <w:rPr/>
        <w:t>orden que el capítulo de metodología; para finalizar se  presentan las </w:t>
      </w:r>
      <w:r>
        <w:rPr>
          <w:i/>
        </w:rPr>
        <w:t>Conclusiones</w:t>
      </w:r>
      <w:r>
        <w:rPr/>
        <w:t>, </w:t>
      </w:r>
      <w:r>
        <w:rPr>
          <w:i/>
        </w:rPr>
        <w:t>Sugerencias</w:t>
      </w:r>
      <w:r>
        <w:rPr/>
        <w:t>, </w:t>
      </w:r>
      <w:r>
        <w:rPr>
          <w:i/>
        </w:rPr>
        <w:t>Referencias bibliográficas </w:t>
      </w:r>
      <w:r>
        <w:rPr/>
        <w:t>y</w:t>
      </w:r>
      <w:r>
        <w:rPr>
          <w:spacing w:val="-32"/>
        </w:rPr>
        <w:t> </w:t>
      </w:r>
      <w:r>
        <w:rPr>
          <w:i/>
        </w:rPr>
        <w:t>Anexos</w:t>
      </w:r>
      <w:r>
        <w:rPr/>
        <w:t>.</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ind w:left="3218" w:right="78"/>
        <w:jc w:val="left"/>
      </w:pPr>
      <w:r>
        <w:rPr/>
        <w:t>CAPÍTULO I. MARCO TEÓRICO</w:t>
      </w:r>
    </w:p>
    <w:p>
      <w:pPr>
        <w:pStyle w:val="BodyText"/>
        <w:spacing w:line="360" w:lineRule="auto" w:before="146"/>
        <w:ind w:left="116" w:right="112"/>
        <w:jc w:val="both"/>
      </w:pPr>
      <w:r>
        <w:rPr/>
        <w:t>El primer capítulo describe a base de ejemplos, la importancia de las plantas en las actividades diarias de la sociedad, haciendo enfásis en los antecedentes sobre investigaciones florísticas en el Estado de México (estado donde se ubica el área de estudio).</w:t>
      </w:r>
    </w:p>
    <w:p>
      <w:pPr>
        <w:pStyle w:val="BodyText"/>
      </w:pPr>
    </w:p>
    <w:p>
      <w:pPr>
        <w:pStyle w:val="BodyText"/>
        <w:spacing w:line="360" w:lineRule="auto" w:before="144"/>
        <w:ind w:left="116" w:right="114"/>
        <w:jc w:val="both"/>
      </w:pPr>
      <w:r>
        <w:rPr/>
        <w:t>Posteriormente se describen las estrategias de conservación a nivel nacional e internacional, considerando a los jardines botánicos como un sitio dedicado a la preservación de las especies y a la educación ambiental de los visitantes. Además se habla de manera general de la Etnobotánica como una disciplina para conocer la interacción sociedad-ambiente; por último se describe el análisis del Enfoque del Marco Lógico que contribuye a conocer las causas y los efectos de la problemática ambiental en el Parque y de esta manera establecer las estrategías para la conservación ambiental.</w:t>
      </w:r>
    </w:p>
    <w:p>
      <w:pPr>
        <w:pStyle w:val="BodyText"/>
        <w:spacing w:before="8"/>
        <w:rPr>
          <w:sz w:val="35"/>
        </w:rPr>
      </w:pPr>
    </w:p>
    <w:p>
      <w:pPr>
        <w:pStyle w:val="Heading2"/>
        <w:numPr>
          <w:ilvl w:val="1"/>
          <w:numId w:val="2"/>
        </w:numPr>
        <w:tabs>
          <w:tab w:pos="828" w:val="left" w:leader="none"/>
        </w:tabs>
        <w:spacing w:line="240" w:lineRule="auto" w:before="0" w:after="0"/>
        <w:ind w:left="827" w:right="0" w:hanging="543"/>
        <w:jc w:val="both"/>
      </w:pPr>
      <w:r>
        <w:rPr/>
        <w:t>Importancia de la</w:t>
      </w:r>
      <w:r>
        <w:rPr>
          <w:spacing w:val="-11"/>
        </w:rPr>
        <w:t> </w:t>
      </w:r>
      <w:r>
        <w:rPr/>
        <w:t>flora</w:t>
      </w:r>
    </w:p>
    <w:p>
      <w:pPr>
        <w:pStyle w:val="BodyText"/>
        <w:rPr>
          <w:b/>
        </w:rPr>
      </w:pPr>
    </w:p>
    <w:p>
      <w:pPr>
        <w:pStyle w:val="BodyText"/>
        <w:spacing w:before="7"/>
        <w:rPr>
          <w:b/>
        </w:rPr>
      </w:pPr>
    </w:p>
    <w:p>
      <w:pPr>
        <w:pStyle w:val="BodyText"/>
        <w:spacing w:line="360" w:lineRule="auto"/>
        <w:ind w:left="284" w:right="109"/>
        <w:jc w:val="both"/>
      </w:pPr>
      <w:r>
        <w:rPr/>
        <w:t>La interacción sociedad – ambiente inició </w:t>
      </w:r>
      <w:r>
        <w:rPr>
          <w:spacing w:val="-3"/>
        </w:rPr>
        <w:t>hace </w:t>
      </w:r>
      <w:r>
        <w:rPr/>
        <w:t>miles de años, debido en gran medida a que las actividades antropogénicas dependen de la habilidad para diferenciar y reconocer los diversos ecosistemas, siendo estos los que albergan aquellas especies útiles (Rzedowski, 2006). Principalmente, las especies y los ecosistemas brindan una gran cantidad de bienes y servicios ambientales (Nabors, 2006; Hanson </w:t>
      </w:r>
      <w:r>
        <w:rPr>
          <w:i/>
        </w:rPr>
        <w:t>et al., </w:t>
      </w:r>
      <w:r>
        <w:rPr/>
        <w:t>2008; Ranganathan </w:t>
      </w:r>
      <w:r>
        <w:rPr>
          <w:i/>
        </w:rPr>
        <w:t>et al., </w:t>
      </w:r>
      <w:r>
        <w:rPr/>
        <w:t>2008; Mader, 2008)</w:t>
      </w:r>
      <w:r>
        <w:rPr>
          <w:spacing w:val="-17"/>
        </w:rPr>
        <w:t> </w:t>
      </w:r>
      <w:r>
        <w:rPr/>
        <w:t>como:</w:t>
      </w:r>
    </w:p>
    <w:p>
      <w:pPr>
        <w:pStyle w:val="BodyText"/>
      </w:pPr>
    </w:p>
    <w:p>
      <w:pPr>
        <w:pStyle w:val="ListParagraph"/>
        <w:numPr>
          <w:ilvl w:val="1"/>
          <w:numId w:val="1"/>
        </w:numPr>
        <w:tabs>
          <w:tab w:pos="837" w:val="left" w:leader="none"/>
        </w:tabs>
        <w:spacing w:line="360" w:lineRule="auto" w:before="140" w:after="0"/>
        <w:ind w:left="837" w:right="110" w:hanging="361"/>
        <w:jc w:val="both"/>
        <w:rPr>
          <w:sz w:val="24"/>
        </w:rPr>
      </w:pPr>
      <w:r>
        <w:rPr>
          <w:sz w:val="24"/>
        </w:rPr>
        <w:t>Alimentos: Mango, </w:t>
      </w:r>
      <w:r>
        <w:rPr>
          <w:i/>
          <w:sz w:val="24"/>
        </w:rPr>
        <w:t>(Mangifera indica </w:t>
      </w:r>
      <w:r>
        <w:rPr>
          <w:sz w:val="24"/>
        </w:rPr>
        <w:t>L.), Papaya, (</w:t>
      </w:r>
      <w:r>
        <w:rPr>
          <w:i/>
          <w:sz w:val="24"/>
        </w:rPr>
        <w:t>Carica papaya </w:t>
      </w:r>
      <w:r>
        <w:rPr>
          <w:sz w:val="24"/>
        </w:rPr>
        <w:t>L.), Calabaza, (</w:t>
      </w:r>
      <w:r>
        <w:rPr>
          <w:i/>
          <w:sz w:val="24"/>
        </w:rPr>
        <w:t>Cucurbita pepo </w:t>
      </w:r>
      <w:r>
        <w:rPr>
          <w:sz w:val="24"/>
        </w:rPr>
        <w:t>L.); Chile (</w:t>
      </w:r>
      <w:r>
        <w:rPr>
          <w:i/>
          <w:sz w:val="24"/>
        </w:rPr>
        <w:t>Capsicum annuum </w:t>
      </w:r>
      <w:r>
        <w:rPr>
          <w:sz w:val="24"/>
        </w:rPr>
        <w:t>L.), Cebolla (</w:t>
      </w:r>
      <w:r>
        <w:rPr>
          <w:i/>
          <w:sz w:val="24"/>
        </w:rPr>
        <w:t>Allium cepa </w:t>
      </w:r>
      <w:r>
        <w:rPr>
          <w:sz w:val="24"/>
        </w:rPr>
        <w:t>L.), Cilantro </w:t>
      </w:r>
      <w:r>
        <w:rPr>
          <w:i/>
          <w:sz w:val="24"/>
        </w:rPr>
        <w:t>(Coriandrum sativum </w:t>
      </w:r>
      <w:r>
        <w:rPr>
          <w:sz w:val="24"/>
        </w:rPr>
        <w:t>L.), entre</w:t>
      </w:r>
      <w:r>
        <w:rPr>
          <w:spacing w:val="-16"/>
          <w:sz w:val="24"/>
        </w:rPr>
        <w:t> </w:t>
      </w:r>
      <w:r>
        <w:rPr>
          <w:sz w:val="24"/>
        </w:rPr>
        <w:t>otros.</w:t>
      </w:r>
    </w:p>
    <w:p>
      <w:pPr>
        <w:pStyle w:val="BodyText"/>
      </w:pPr>
    </w:p>
    <w:p>
      <w:pPr>
        <w:pStyle w:val="ListParagraph"/>
        <w:numPr>
          <w:ilvl w:val="1"/>
          <w:numId w:val="1"/>
        </w:numPr>
        <w:tabs>
          <w:tab w:pos="837" w:val="left" w:leader="none"/>
        </w:tabs>
        <w:spacing w:line="240" w:lineRule="auto" w:before="140" w:after="0"/>
        <w:ind w:left="837" w:right="0" w:hanging="361"/>
        <w:jc w:val="left"/>
        <w:rPr>
          <w:sz w:val="24"/>
        </w:rPr>
      </w:pPr>
      <w:r>
        <w:rPr>
          <w:sz w:val="24"/>
        </w:rPr>
        <w:t>Los principios activos de los productos farmacéuticos y</w:t>
      </w:r>
      <w:r>
        <w:rPr>
          <w:spacing w:val="-14"/>
          <w:sz w:val="24"/>
        </w:rPr>
        <w:t> </w:t>
      </w:r>
      <w:r>
        <w:rPr>
          <w:sz w:val="24"/>
        </w:rPr>
        <w:t>naturistas:</w:t>
      </w:r>
    </w:p>
    <w:p>
      <w:pPr>
        <w:spacing w:after="0" w:line="240" w:lineRule="auto"/>
        <w:jc w:val="left"/>
        <w:rPr>
          <w:sz w:val="24"/>
        </w:rPr>
        <w:sectPr>
          <w:pgSz w:w="12240" w:h="15840"/>
          <w:pgMar w:header="690" w:footer="1146" w:top="880" w:bottom="1340" w:left="1300" w:right="1300"/>
        </w:sectPr>
      </w:pPr>
    </w:p>
    <w:p>
      <w:pPr>
        <w:pStyle w:val="BodyText"/>
        <w:rPr>
          <w:sz w:val="20"/>
        </w:rPr>
      </w:pPr>
    </w:p>
    <w:p>
      <w:pPr>
        <w:pStyle w:val="BodyText"/>
        <w:spacing w:before="5"/>
        <w:rPr>
          <w:sz w:val="20"/>
        </w:rPr>
      </w:pPr>
    </w:p>
    <w:p>
      <w:pPr>
        <w:pStyle w:val="ListParagraph"/>
        <w:numPr>
          <w:ilvl w:val="2"/>
          <w:numId w:val="1"/>
        </w:numPr>
        <w:tabs>
          <w:tab w:pos="1460" w:val="left" w:leader="none"/>
          <w:tab w:pos="1461" w:val="left" w:leader="none"/>
          <w:tab w:pos="2491" w:val="left" w:leader="none"/>
          <w:tab w:pos="4053" w:val="left" w:leader="none"/>
          <w:tab w:pos="4969" w:val="left" w:leader="none"/>
          <w:tab w:pos="6529" w:val="left" w:leader="none"/>
          <w:tab w:pos="7564" w:val="left" w:leader="none"/>
          <w:tab w:pos="8380" w:val="left" w:leader="none"/>
        </w:tabs>
        <w:spacing w:line="355" w:lineRule="auto" w:before="55" w:after="0"/>
        <w:ind w:left="1393" w:right="112" w:hanging="283"/>
        <w:jc w:val="left"/>
        <w:rPr>
          <w:sz w:val="24"/>
        </w:rPr>
      </w:pPr>
      <w:r>
        <w:rPr>
          <w:sz w:val="24"/>
        </w:rPr>
        <w:t>Aceites</w:t>
        <w:tab/>
        <w:t>escenciales:</w:t>
        <w:tab/>
        <w:t>Hinojo</w:t>
        <w:tab/>
        <w:t>(</w:t>
      </w:r>
      <w:r>
        <w:rPr>
          <w:i/>
          <w:sz w:val="24"/>
        </w:rPr>
        <w:t>Foeniculum</w:t>
        <w:tab/>
        <w:t>vulgare</w:t>
        <w:tab/>
      </w:r>
      <w:r>
        <w:rPr>
          <w:sz w:val="24"/>
        </w:rPr>
        <w:t>Mill.),</w:t>
        <w:tab/>
      </w:r>
      <w:r>
        <w:rPr>
          <w:spacing w:val="-1"/>
          <w:sz w:val="24"/>
        </w:rPr>
        <w:t>Manzanilla </w:t>
      </w:r>
      <w:r>
        <w:rPr>
          <w:sz w:val="24"/>
        </w:rPr>
        <w:t>(</w:t>
      </w:r>
      <w:r>
        <w:rPr>
          <w:i/>
          <w:sz w:val="24"/>
        </w:rPr>
        <w:t>Matricaria recutita </w:t>
      </w:r>
      <w:r>
        <w:rPr>
          <w:sz w:val="24"/>
        </w:rPr>
        <w:t>L.), Romero (</w:t>
      </w:r>
      <w:r>
        <w:rPr>
          <w:i/>
          <w:sz w:val="24"/>
        </w:rPr>
        <w:t>Rosmarinus officinalis </w:t>
      </w:r>
      <w:r>
        <w:rPr>
          <w:sz w:val="24"/>
        </w:rPr>
        <w:t>L.), entre</w:t>
      </w:r>
      <w:r>
        <w:rPr>
          <w:spacing w:val="-28"/>
          <w:sz w:val="24"/>
        </w:rPr>
        <w:t> </w:t>
      </w:r>
      <w:r>
        <w:rPr>
          <w:sz w:val="24"/>
        </w:rPr>
        <w:t>otros.</w:t>
      </w:r>
    </w:p>
    <w:p>
      <w:pPr>
        <w:pStyle w:val="ListParagraph"/>
        <w:numPr>
          <w:ilvl w:val="2"/>
          <w:numId w:val="1"/>
        </w:numPr>
        <w:tabs>
          <w:tab w:pos="1460" w:val="left" w:leader="none"/>
          <w:tab w:pos="1461" w:val="left" w:leader="none"/>
        </w:tabs>
        <w:spacing w:line="355" w:lineRule="auto" w:before="7" w:after="0"/>
        <w:ind w:left="1393" w:right="119" w:hanging="283"/>
        <w:jc w:val="left"/>
        <w:rPr>
          <w:sz w:val="24"/>
        </w:rPr>
      </w:pPr>
      <w:r>
        <w:rPr>
          <w:sz w:val="24"/>
        </w:rPr>
        <w:t>Resinas: Pino (</w:t>
      </w:r>
      <w:r>
        <w:rPr>
          <w:i/>
          <w:sz w:val="24"/>
        </w:rPr>
        <w:t>Pinus sp.</w:t>
      </w:r>
      <w:r>
        <w:rPr>
          <w:sz w:val="24"/>
        </w:rPr>
        <w:t>), Ocote chino (</w:t>
      </w:r>
      <w:r>
        <w:rPr>
          <w:i/>
          <w:sz w:val="24"/>
        </w:rPr>
        <w:t>Pinus teocote </w:t>
      </w:r>
      <w:r>
        <w:rPr>
          <w:sz w:val="24"/>
        </w:rPr>
        <w:t>Schltdl. &amp; Cham.), Linaloe (</w:t>
      </w:r>
      <w:r>
        <w:rPr>
          <w:i/>
          <w:sz w:val="24"/>
        </w:rPr>
        <w:t>Bursera linanoe </w:t>
      </w:r>
      <w:r>
        <w:rPr>
          <w:sz w:val="24"/>
        </w:rPr>
        <w:t>(La Llave) Rzed., Calderón &amp; Medina), entre</w:t>
      </w:r>
      <w:r>
        <w:rPr>
          <w:spacing w:val="-29"/>
          <w:sz w:val="24"/>
        </w:rPr>
        <w:t> </w:t>
      </w:r>
      <w:r>
        <w:rPr>
          <w:sz w:val="24"/>
        </w:rPr>
        <w:t>otros.</w:t>
      </w:r>
    </w:p>
    <w:p>
      <w:pPr>
        <w:pStyle w:val="ListParagraph"/>
        <w:numPr>
          <w:ilvl w:val="2"/>
          <w:numId w:val="1"/>
        </w:numPr>
        <w:tabs>
          <w:tab w:pos="1394" w:val="left" w:leader="none"/>
        </w:tabs>
        <w:spacing w:line="355" w:lineRule="auto" w:before="6" w:after="0"/>
        <w:ind w:left="1393" w:right="114" w:hanging="283"/>
        <w:jc w:val="left"/>
        <w:rPr>
          <w:sz w:val="24"/>
        </w:rPr>
      </w:pPr>
      <w:r>
        <w:rPr>
          <w:sz w:val="24"/>
        </w:rPr>
        <w:t>Alcaloides: Café (</w:t>
      </w:r>
      <w:r>
        <w:rPr>
          <w:i/>
          <w:sz w:val="24"/>
        </w:rPr>
        <w:t>Coffea arabica </w:t>
      </w:r>
      <w:r>
        <w:rPr>
          <w:sz w:val="24"/>
        </w:rPr>
        <w:t>L.), Cocaína (</w:t>
      </w:r>
      <w:r>
        <w:rPr>
          <w:i/>
          <w:sz w:val="24"/>
        </w:rPr>
        <w:t>Erythroxylon coca </w:t>
      </w:r>
      <w:r>
        <w:rPr>
          <w:sz w:val="24"/>
        </w:rPr>
        <w:t>Lam.)</w:t>
      </w:r>
      <w:r>
        <w:rPr>
          <w:i/>
          <w:sz w:val="24"/>
        </w:rPr>
        <w:t>, </w:t>
      </w:r>
      <w:r>
        <w:rPr>
          <w:sz w:val="24"/>
        </w:rPr>
        <w:t>Nicotina del tabaco (</w:t>
      </w:r>
      <w:r>
        <w:rPr>
          <w:i/>
          <w:sz w:val="24"/>
        </w:rPr>
        <w:t>Nicotiana tabacum</w:t>
      </w:r>
      <w:r>
        <w:rPr>
          <w:i/>
          <w:spacing w:val="-12"/>
          <w:sz w:val="24"/>
        </w:rPr>
        <w:t> </w:t>
      </w:r>
      <w:r>
        <w:rPr>
          <w:sz w:val="24"/>
        </w:rPr>
        <w:t>L.).</w:t>
      </w:r>
    </w:p>
    <w:p>
      <w:pPr>
        <w:pStyle w:val="ListParagraph"/>
        <w:numPr>
          <w:ilvl w:val="2"/>
          <w:numId w:val="1"/>
        </w:numPr>
        <w:tabs>
          <w:tab w:pos="1394" w:val="left" w:leader="none"/>
        </w:tabs>
        <w:spacing w:line="240" w:lineRule="auto" w:before="6" w:after="0"/>
        <w:ind w:left="1393" w:right="0" w:hanging="283"/>
        <w:jc w:val="left"/>
        <w:rPr>
          <w:sz w:val="24"/>
        </w:rPr>
      </w:pPr>
      <w:r>
        <w:rPr>
          <w:sz w:val="24"/>
        </w:rPr>
        <w:t>Antibiótico: Cebolla (</w:t>
      </w:r>
      <w:r>
        <w:rPr>
          <w:i/>
          <w:sz w:val="24"/>
        </w:rPr>
        <w:t>Allium cepa </w:t>
      </w:r>
      <w:r>
        <w:rPr>
          <w:sz w:val="24"/>
        </w:rPr>
        <w:t>L.); Lampazo (</w:t>
      </w:r>
      <w:r>
        <w:rPr>
          <w:i/>
          <w:sz w:val="24"/>
        </w:rPr>
        <w:t>Arctium minus </w:t>
      </w:r>
      <w:r>
        <w:rPr>
          <w:sz w:val="24"/>
        </w:rPr>
        <w:t>(Hill)</w:t>
      </w:r>
      <w:r>
        <w:rPr>
          <w:spacing w:val="-20"/>
          <w:sz w:val="24"/>
        </w:rPr>
        <w:t> </w:t>
      </w:r>
      <w:r>
        <w:rPr>
          <w:sz w:val="24"/>
        </w:rPr>
        <w:t>Bernh).</w:t>
      </w:r>
    </w:p>
    <w:p>
      <w:pPr>
        <w:pStyle w:val="BodyText"/>
      </w:pPr>
    </w:p>
    <w:p>
      <w:pPr>
        <w:pStyle w:val="ListParagraph"/>
        <w:numPr>
          <w:ilvl w:val="1"/>
          <w:numId w:val="1"/>
        </w:numPr>
        <w:tabs>
          <w:tab w:pos="837" w:val="left" w:leader="none"/>
        </w:tabs>
        <w:spacing w:line="360" w:lineRule="auto" w:before="180" w:after="0"/>
        <w:ind w:left="837" w:right="111" w:hanging="361"/>
        <w:jc w:val="both"/>
        <w:rPr>
          <w:sz w:val="24"/>
        </w:rPr>
      </w:pPr>
      <w:r>
        <w:rPr>
          <w:sz w:val="24"/>
        </w:rPr>
        <w:t>Fibras para elaborar tejidos: Algodón (</w:t>
      </w:r>
      <w:r>
        <w:rPr>
          <w:i/>
          <w:sz w:val="24"/>
        </w:rPr>
        <w:t>Gossypium hirsutum </w:t>
      </w:r>
      <w:r>
        <w:rPr>
          <w:sz w:val="24"/>
        </w:rPr>
        <w:t>L.), Yute (</w:t>
      </w:r>
      <w:r>
        <w:rPr>
          <w:i/>
          <w:sz w:val="24"/>
        </w:rPr>
        <w:t>Corchorus </w:t>
      </w:r>
      <w:r>
        <w:rPr>
          <w:i/>
          <w:sz w:val="24"/>
        </w:rPr>
        <w:t>capsularis </w:t>
      </w:r>
      <w:r>
        <w:rPr>
          <w:sz w:val="24"/>
        </w:rPr>
        <w:t>L.), Sisal (</w:t>
      </w:r>
      <w:r>
        <w:rPr>
          <w:i/>
          <w:sz w:val="24"/>
        </w:rPr>
        <w:t>Agave sisalana </w:t>
      </w:r>
      <w:r>
        <w:rPr>
          <w:sz w:val="24"/>
        </w:rPr>
        <w:t>Perrine ex Engelm.), Lino (</w:t>
      </w:r>
      <w:r>
        <w:rPr>
          <w:i/>
          <w:sz w:val="24"/>
        </w:rPr>
        <w:t>Linum </w:t>
      </w:r>
      <w:r>
        <w:rPr>
          <w:i/>
          <w:sz w:val="24"/>
        </w:rPr>
        <w:t>usitatissimum </w:t>
      </w:r>
      <w:r>
        <w:rPr>
          <w:sz w:val="24"/>
        </w:rPr>
        <w:t>L.), Cáñamo (</w:t>
      </w:r>
      <w:r>
        <w:rPr>
          <w:i/>
          <w:sz w:val="24"/>
        </w:rPr>
        <w:t>Cannabis sativa </w:t>
      </w:r>
      <w:r>
        <w:rPr>
          <w:sz w:val="24"/>
        </w:rPr>
        <w:t>L. </w:t>
      </w:r>
      <w:r>
        <w:rPr>
          <w:i/>
          <w:sz w:val="24"/>
        </w:rPr>
        <w:t>var. sativa</w:t>
      </w:r>
      <w:r>
        <w:rPr>
          <w:sz w:val="24"/>
        </w:rPr>
        <w:t>), Bonote (</w:t>
      </w:r>
      <w:r>
        <w:rPr>
          <w:i/>
          <w:sz w:val="24"/>
        </w:rPr>
        <w:t>Cocos </w:t>
      </w:r>
      <w:r>
        <w:rPr>
          <w:i/>
          <w:sz w:val="24"/>
        </w:rPr>
        <w:t>nucifera </w:t>
      </w:r>
      <w:r>
        <w:rPr>
          <w:sz w:val="24"/>
        </w:rPr>
        <w:t>L.), entre otros (FAO,</w:t>
      </w:r>
      <w:r>
        <w:rPr>
          <w:spacing w:val="-12"/>
          <w:sz w:val="24"/>
        </w:rPr>
        <w:t> </w:t>
      </w:r>
      <w:r>
        <w:rPr>
          <w:sz w:val="24"/>
        </w:rPr>
        <w:t>2009).</w:t>
      </w:r>
    </w:p>
    <w:p>
      <w:pPr>
        <w:pStyle w:val="BodyText"/>
        <w:spacing w:before="2"/>
        <w:rPr>
          <w:sz w:val="28"/>
        </w:rPr>
      </w:pPr>
    </w:p>
    <w:p>
      <w:pPr>
        <w:pStyle w:val="ListParagraph"/>
        <w:numPr>
          <w:ilvl w:val="1"/>
          <w:numId w:val="1"/>
        </w:numPr>
        <w:tabs>
          <w:tab w:pos="837" w:val="left" w:leader="none"/>
        </w:tabs>
        <w:spacing w:line="240" w:lineRule="auto" w:before="0" w:after="0"/>
        <w:ind w:left="837" w:right="0" w:hanging="361"/>
        <w:jc w:val="left"/>
        <w:rPr>
          <w:i/>
          <w:sz w:val="24"/>
        </w:rPr>
      </w:pPr>
      <w:r>
        <w:rPr>
          <w:sz w:val="24"/>
        </w:rPr>
        <w:t>Madera para fabricar muebles: Roble (</w:t>
      </w:r>
      <w:r>
        <w:rPr>
          <w:i/>
          <w:sz w:val="24"/>
        </w:rPr>
        <w:t>Quercus robur  </w:t>
      </w:r>
      <w:r>
        <w:rPr>
          <w:sz w:val="24"/>
        </w:rPr>
        <w:t>L.), Nogal  (</w:t>
      </w:r>
      <w:r>
        <w:rPr>
          <w:i/>
          <w:sz w:val="24"/>
        </w:rPr>
        <w:t>Juglans  </w:t>
      </w:r>
      <w:r>
        <w:rPr>
          <w:i/>
          <w:spacing w:val="62"/>
          <w:sz w:val="24"/>
        </w:rPr>
        <w:t> </w:t>
      </w:r>
      <w:r>
        <w:rPr>
          <w:i/>
          <w:sz w:val="24"/>
        </w:rPr>
        <w:t>nigra</w:t>
      </w:r>
    </w:p>
    <w:p>
      <w:pPr>
        <w:spacing w:before="137"/>
        <w:ind w:left="836" w:right="78" w:firstLine="0"/>
        <w:jc w:val="left"/>
        <w:rPr>
          <w:sz w:val="24"/>
        </w:rPr>
      </w:pPr>
      <w:r>
        <w:rPr>
          <w:sz w:val="24"/>
        </w:rPr>
        <w:t>L.), Castaño (</w:t>
      </w:r>
      <w:r>
        <w:rPr>
          <w:i/>
          <w:sz w:val="24"/>
        </w:rPr>
        <w:t>Castanea sativa </w:t>
      </w:r>
      <w:r>
        <w:rPr>
          <w:sz w:val="24"/>
        </w:rPr>
        <w:t>Mill.), entre otros (Trópicos, 2014).</w:t>
      </w:r>
    </w:p>
    <w:p>
      <w:pPr>
        <w:pStyle w:val="BodyText"/>
      </w:pPr>
    </w:p>
    <w:p>
      <w:pPr>
        <w:pStyle w:val="ListParagraph"/>
        <w:numPr>
          <w:ilvl w:val="1"/>
          <w:numId w:val="1"/>
        </w:numPr>
        <w:tabs>
          <w:tab w:pos="837" w:val="left" w:leader="none"/>
        </w:tabs>
        <w:spacing w:line="362" w:lineRule="auto" w:before="177" w:after="0"/>
        <w:ind w:left="837" w:right="110" w:hanging="361"/>
        <w:jc w:val="both"/>
        <w:rPr>
          <w:sz w:val="24"/>
        </w:rPr>
      </w:pPr>
      <w:r>
        <w:rPr>
          <w:sz w:val="24"/>
        </w:rPr>
        <w:t>Tintes, materias primas, hábitats para la conservación de la vida silvestre, recursos genéticos para la bioingeniería, entre otros (Nabors, </w:t>
      </w:r>
      <w:r>
        <w:rPr>
          <w:i/>
          <w:sz w:val="24"/>
        </w:rPr>
        <w:t>op. cit</w:t>
      </w:r>
      <w:r>
        <w:rPr>
          <w:sz w:val="24"/>
        </w:rPr>
        <w:t>; Hanson </w:t>
      </w:r>
      <w:r>
        <w:rPr>
          <w:i/>
          <w:sz w:val="24"/>
        </w:rPr>
        <w:t>et </w:t>
      </w:r>
      <w:r>
        <w:rPr>
          <w:i/>
          <w:sz w:val="24"/>
        </w:rPr>
        <w:t>al., op. cit.</w:t>
      </w:r>
      <w:r>
        <w:rPr>
          <w:sz w:val="24"/>
        </w:rPr>
        <w:t>; Mader, </w:t>
      </w:r>
      <w:r>
        <w:rPr>
          <w:i/>
          <w:sz w:val="24"/>
        </w:rPr>
        <w:t>op.</w:t>
      </w:r>
      <w:r>
        <w:rPr>
          <w:i/>
          <w:spacing w:val="-11"/>
          <w:sz w:val="24"/>
        </w:rPr>
        <w:t> </w:t>
      </w:r>
      <w:r>
        <w:rPr>
          <w:i/>
          <w:sz w:val="24"/>
        </w:rPr>
        <w:t>cit.</w:t>
      </w:r>
      <w:r>
        <w:rPr>
          <w:sz w:val="24"/>
        </w:rPr>
        <w:t>).</w:t>
      </w:r>
    </w:p>
    <w:p>
      <w:pPr>
        <w:pStyle w:val="BodyText"/>
        <w:spacing w:before="10"/>
        <w:rPr>
          <w:sz w:val="35"/>
        </w:rPr>
      </w:pPr>
    </w:p>
    <w:p>
      <w:pPr>
        <w:pStyle w:val="BodyText"/>
        <w:spacing w:line="360" w:lineRule="auto"/>
        <w:ind w:left="116" w:right="114"/>
        <w:jc w:val="both"/>
      </w:pPr>
      <w:r>
        <w:rPr/>
        <w:t>Los ecosistemas realizan servicios fundamentales que mantienen la vida, contribuyen a la calidad de la atmosfera, regulan el clima, son importantes en el ciclo del agua, así como reservorios de carbono (Dixon </w:t>
      </w:r>
      <w:r>
        <w:rPr>
          <w:i/>
        </w:rPr>
        <w:t>et al., </w:t>
      </w:r>
      <w:r>
        <w:rPr/>
        <w:t>1994; Vovides </w:t>
      </w:r>
      <w:r>
        <w:rPr>
          <w:i/>
        </w:rPr>
        <w:t>et al., </w:t>
      </w:r>
      <w:r>
        <w:rPr/>
        <w:t>2010), protegen el suelo de la erosión, son la base de la cadena alimentaria y por tanto de la vida </w:t>
      </w:r>
      <w:r>
        <w:rPr>
          <w:spacing w:val="-2"/>
        </w:rPr>
        <w:t>animal </w:t>
      </w:r>
      <w:r>
        <w:rPr/>
        <w:t>y humana (UNDP </w:t>
      </w:r>
      <w:r>
        <w:rPr>
          <w:i/>
        </w:rPr>
        <w:t>et al., </w:t>
      </w:r>
      <w:r>
        <w:rPr/>
        <w:t>2000; Schuyt y Brander, 2004; Graya y Azuma,</w:t>
      </w:r>
      <w:r>
        <w:rPr>
          <w:spacing w:val="-25"/>
        </w:rPr>
        <w:t> </w:t>
      </w:r>
      <w:r>
        <w:rPr/>
        <w:t>2005).</w:t>
      </w:r>
    </w:p>
    <w:p>
      <w:pPr>
        <w:pStyle w:val="BodyText"/>
      </w:pPr>
    </w:p>
    <w:p>
      <w:pPr>
        <w:pStyle w:val="BodyText"/>
        <w:spacing w:line="360" w:lineRule="auto" w:before="144"/>
        <w:ind w:left="116" w:right="115"/>
        <w:jc w:val="both"/>
      </w:pPr>
      <w:r>
        <w:rPr/>
        <w:t>Las especies vegetales son un banco de germoplasma e información genética importante y pueden ser la respuesta a muchos problemas de alimentación y salud para la humanidad. Se estima que 80% de la población de los países en vías de desarrollo acuden a métodos tradicionales de medicina que involucra el uso de plantas de origen silvestre (Farnsworth, 1988).</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57" w:lineRule="auto" w:before="70"/>
        <w:ind w:left="116" w:right="117"/>
        <w:jc w:val="both"/>
      </w:pPr>
      <w:r>
        <w:rPr/>
        <w:t>Las plantas son los productores primarios de las cadenas alimenticias debido a que utilizan la energía solar para fabricar su propio alimento, transformando el dióxido de carbono y el agua en azúcares que almacenan energía química, proceso denominado fotosíntesis. De esta manera, la mayor parte de los organismos, obtienen de manera directa o indirecta su alimento. Además, los vegetales rompen las moléculas de agua (H</w:t>
      </w:r>
      <w:r>
        <w:rPr>
          <w:position w:val="-2"/>
          <w:sz w:val="16"/>
        </w:rPr>
        <w:t>2</w:t>
      </w:r>
      <w:r>
        <w:rPr/>
        <w:t>O) y producen oxígeno (O</w:t>
      </w:r>
      <w:r>
        <w:rPr>
          <w:position w:val="-2"/>
          <w:sz w:val="16"/>
        </w:rPr>
        <w:t>2</w:t>
      </w:r>
      <w:r>
        <w:rPr/>
        <w:t>). La mayoría de los vegetales y animales, necesitan oxígeno para liberar la energía almacenada en los alimentos (Foyer, 1987; Nabors, 2006).</w:t>
      </w:r>
    </w:p>
    <w:p>
      <w:pPr>
        <w:pStyle w:val="BodyText"/>
      </w:pPr>
    </w:p>
    <w:p>
      <w:pPr>
        <w:pStyle w:val="BodyText"/>
        <w:spacing w:line="360" w:lineRule="auto" w:before="147"/>
        <w:ind w:left="116" w:right="112"/>
        <w:jc w:val="both"/>
      </w:pPr>
      <w:r>
        <w:rPr/>
        <w:t>Así como se mencionaron los bienes y servicios ambientales de la flora, es importante señalar que existe una gran diversidad biológica, la cual no se distribuye de manera uniforme en el mundo, en general las regiones tropicales albergan una mayor concentración de especies (Portales </w:t>
      </w:r>
      <w:r>
        <w:rPr>
          <w:i/>
        </w:rPr>
        <w:t>et al., </w:t>
      </w:r>
      <w:r>
        <w:rPr/>
        <w:t>2009). Entre los doce países denominados como megadiversos, se encuentran: Australia, Brasil, China, Colombia, Ecuador, Estados Unidos de América, India, Indonesia, Madagascar, México, Perú y República Democrática del Congo (Mittermeier, 1988; Villaseñor, 2003; Marinelli, 2006).</w:t>
      </w:r>
    </w:p>
    <w:p>
      <w:pPr>
        <w:pStyle w:val="BodyText"/>
      </w:pPr>
    </w:p>
    <w:p>
      <w:pPr>
        <w:pStyle w:val="BodyText"/>
        <w:spacing w:line="360" w:lineRule="auto" w:before="144"/>
        <w:ind w:left="116" w:right="113"/>
        <w:jc w:val="both"/>
      </w:pPr>
      <w:r>
        <w:rPr/>
        <w:t>A nivel internacional, México esta considerado entre los cinco países con mayor número de especies de plantas vasculares (Llorente y Ocegueda, 2008); esta gran diversidad florística se debe a la amplia variedad de condiciones fisiográficas y climáticas (Rzedowski, 1988).</w:t>
      </w:r>
    </w:p>
    <w:p>
      <w:pPr>
        <w:pStyle w:val="BodyText"/>
      </w:pPr>
    </w:p>
    <w:p>
      <w:pPr>
        <w:pStyle w:val="BodyText"/>
        <w:spacing w:line="360" w:lineRule="auto" w:before="144"/>
        <w:ind w:left="116" w:right="110"/>
        <w:jc w:val="both"/>
      </w:pPr>
      <w:r>
        <w:rPr/>
        <w:t>Existen diferentes estimaciones sobre la riqueza florística del país, entre ellas, la propuesta por Rzedowski (1998), quién indica que en el territorio nacional existen 220 familias, 2 410 géneros y 22 000 especies aproximadamente, lo cual representa entre</w:t>
      </w:r>
    </w:p>
    <w:p>
      <w:pPr>
        <w:pStyle w:val="BodyText"/>
        <w:spacing w:line="360" w:lineRule="auto" w:before="2"/>
        <w:ind w:left="116" w:right="112"/>
        <w:jc w:val="both"/>
      </w:pPr>
      <w:r>
        <w:rPr/>
        <w:t>10 y 12% del total mundial (Toledo y Ordoñez, 1998). CONABIO (1998), calcula 26, 000 especies de plantas; Villaseñor (2003), estimó que la flora de México tiene más de 22 000 especies y 2 663 géneros, de los cuales 218 podrían ser endémicos de México.</w:t>
      </w:r>
    </w:p>
    <w:p>
      <w:pPr>
        <w:pStyle w:val="BodyText"/>
      </w:pPr>
    </w:p>
    <w:p>
      <w:pPr>
        <w:pStyle w:val="BodyText"/>
        <w:spacing w:line="362" w:lineRule="auto" w:before="140"/>
        <w:ind w:left="116" w:right="125"/>
        <w:jc w:val="both"/>
      </w:pPr>
      <w:r>
        <w:rPr/>
        <w:t>El estudio de la flora de México, tiene sus antecedentes en algunas exploraciones botánicas;   entre   las   colecciones   que   destacan   son:   Faustino   Miranda,  Efraím</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18"/>
        <w:jc w:val="both"/>
      </w:pPr>
      <w:r>
        <w:rPr/>
        <w:t>Hernández X., Eizi Matuda, Arturo Gómez Pompa, Ramón Riba y Jerzy Rzedowski, entre otros (Dávila y Germán, 1991). A partir de este material se consolidaron los principales herbarios nacionales, así como las primeras floras regionales del país.</w:t>
      </w:r>
    </w:p>
    <w:p>
      <w:pPr>
        <w:pStyle w:val="BodyText"/>
        <w:spacing w:before="10"/>
        <w:rPr>
          <w:sz w:val="35"/>
        </w:rPr>
      </w:pPr>
    </w:p>
    <w:p>
      <w:pPr>
        <w:pStyle w:val="BodyText"/>
        <w:spacing w:line="360" w:lineRule="auto"/>
        <w:ind w:left="116" w:right="111"/>
        <w:jc w:val="both"/>
      </w:pPr>
      <w:r>
        <w:rPr/>
        <w:t>Algunas publicaciones son las siguientes: Aguascalientes (García-Regalado </w:t>
      </w:r>
      <w:r>
        <w:rPr>
          <w:i/>
        </w:rPr>
        <w:t>et al., </w:t>
      </w:r>
      <w:r>
        <w:rPr/>
        <w:t>1999), Baja California y Baja California del Sur (Wiggins, 1980), Campeche (Gutiérrez- Báez, 2000), Chiapas (Breedlove, 1986), Coahuila (Villarreal-Quintanilla, 2001), Distrito Federal (Rzedowski y Rzedowski, 2001), Durango (González-Elizondo </w:t>
      </w:r>
      <w:r>
        <w:rPr>
          <w:i/>
        </w:rPr>
        <w:t>et al., </w:t>
      </w:r>
      <w:r>
        <w:rPr/>
        <w:t>1991), Hidalgo (Villavicencio </w:t>
      </w:r>
      <w:r>
        <w:rPr>
          <w:i/>
        </w:rPr>
        <w:t>et al., </w:t>
      </w:r>
      <w:r>
        <w:rPr/>
        <w:t>1998), Estado de México (Martínez y Matuda, 1979), Michoacán (Espinosa-Garduño y Rodríguez-Jiménez, 1995, 1996; Rodríguez-Jiménez y Espinosa-Garduño, 1995, 1996a, b), Morelos (Bonilla-Barbosa y Villaseñor, 2003), Querétaro (Argüelles </w:t>
      </w:r>
      <w:r>
        <w:rPr>
          <w:i/>
        </w:rPr>
        <w:t>et al., </w:t>
      </w:r>
      <w:r>
        <w:rPr/>
        <w:t>1991), Quintana Roo (Sousa-Sánchez y Cabrera, 1983), Sinaloa (Vega-Aviña </w:t>
      </w:r>
      <w:r>
        <w:rPr>
          <w:i/>
        </w:rPr>
        <w:t>et al., </w:t>
      </w:r>
      <w:r>
        <w:rPr/>
        <w:t>1989), Sonora (Shreve, 1951), Tabasco (Cowan, 1983), Tlaxcala (Acosta </w:t>
      </w:r>
      <w:r>
        <w:rPr>
          <w:i/>
        </w:rPr>
        <w:t>et al., </w:t>
      </w:r>
      <w:r>
        <w:rPr/>
        <w:t>1991), Veracruz (Sosa y Gómez-Pompa, 1994) y  Yucatán (Durán </w:t>
      </w:r>
      <w:r>
        <w:rPr>
          <w:i/>
        </w:rPr>
        <w:t>et al., </w:t>
      </w:r>
      <w:r>
        <w:rPr/>
        <w:t>2000).</w:t>
      </w:r>
    </w:p>
    <w:p>
      <w:pPr>
        <w:pStyle w:val="BodyText"/>
      </w:pPr>
    </w:p>
    <w:p>
      <w:pPr>
        <w:pStyle w:val="BodyText"/>
        <w:spacing w:line="360" w:lineRule="auto" w:before="139"/>
        <w:ind w:left="116" w:right="110"/>
        <w:jc w:val="both"/>
      </w:pPr>
      <w:r>
        <w:rPr/>
        <w:t>Otras compilaciones como el tratado sobre los Árboles y arbustos de México (Standley, 1982), la Flora Novo-Galiciana (McVaugh, 1987), la Flora de Veracruz (Sosa 1978- 2008), la Flora del Bajío y regiones adyacentes (Calderón y Rzedowski 2003), la Flora del Valle de Tehuacán-Cuicatlán (IB-UNAM 1993-2008).</w:t>
      </w:r>
    </w:p>
    <w:p>
      <w:pPr>
        <w:pStyle w:val="BodyText"/>
      </w:pPr>
    </w:p>
    <w:p>
      <w:pPr>
        <w:pStyle w:val="Heading2"/>
        <w:numPr>
          <w:ilvl w:val="1"/>
          <w:numId w:val="2"/>
        </w:numPr>
        <w:tabs>
          <w:tab w:pos="828" w:val="left" w:leader="none"/>
        </w:tabs>
        <w:spacing w:line="240" w:lineRule="auto" w:before="140" w:after="0"/>
        <w:ind w:left="827" w:right="0" w:hanging="543"/>
        <w:jc w:val="left"/>
      </w:pPr>
      <w:r>
        <w:rPr/>
        <w:t>Investigaciones florísticas en el Estado de</w:t>
      </w:r>
      <w:r>
        <w:rPr>
          <w:spacing w:val="-23"/>
        </w:rPr>
        <w:t> </w:t>
      </w:r>
      <w:r>
        <w:rPr/>
        <w:t>México</w:t>
      </w:r>
    </w:p>
    <w:p>
      <w:pPr>
        <w:pStyle w:val="BodyText"/>
        <w:spacing w:line="360" w:lineRule="auto" w:before="141"/>
        <w:ind w:left="116" w:right="116"/>
        <w:jc w:val="both"/>
      </w:pPr>
      <w:r>
        <w:rPr/>
        <w:t>La exploración florística formal de la entidad inició con la Comisión Botánica Exploradora </w:t>
      </w:r>
      <w:r>
        <w:rPr>
          <w:spacing w:val="-3"/>
        </w:rPr>
        <w:t>del </w:t>
      </w:r>
      <w:r>
        <w:rPr/>
        <w:t>Estado de México en los años 40 del siglo pasado. Las expediciones fueron dirigidas por los profesores Maximino Martínez y Eizi Matuda quienes publicaron fascículos de 106 familias que incluyeron angiospermas, gimnospermas y criptógamas, de las cuales 137 especies tienen uso</w:t>
      </w:r>
      <w:r>
        <w:rPr>
          <w:spacing w:val="-17"/>
        </w:rPr>
        <w:t> </w:t>
      </w:r>
      <w:r>
        <w:rPr/>
        <w:t>medicinal.</w:t>
      </w:r>
    </w:p>
    <w:p>
      <w:pPr>
        <w:pStyle w:val="BodyText"/>
      </w:pPr>
    </w:p>
    <w:p>
      <w:pPr>
        <w:pStyle w:val="BodyText"/>
        <w:spacing w:line="360" w:lineRule="auto" w:before="140"/>
        <w:ind w:left="116" w:right="114"/>
        <w:jc w:val="both"/>
      </w:pPr>
      <w:r>
        <w:rPr/>
        <w:t>La investigación florística se retomó hasta 1969 con el impulso de los trabajos de La Flora del Valle de México (Sánchez, 1969) y la flora fanerogámica del Valle de México (Rzedowski y Rzedowski, 2001). Además de las contribuciones de un amplio grupo   de</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216" w:right="291"/>
      </w:pPr>
      <w:r>
        <w:rPr/>
        <w:t>botánicos que estudiaron florísticamente a un número relativamente alto de municipios  o sitios de interés (Cuadro</w:t>
      </w:r>
      <w:r>
        <w:rPr>
          <w:spacing w:val="-8"/>
        </w:rPr>
        <w:t> </w:t>
      </w:r>
      <w:r>
        <w:rPr/>
        <w:t>1).</w:t>
      </w:r>
    </w:p>
    <w:p>
      <w:pPr>
        <w:pStyle w:val="BodyText"/>
        <w:rPr>
          <w:sz w:val="20"/>
        </w:rPr>
      </w:pPr>
    </w:p>
    <w:p>
      <w:pPr>
        <w:pStyle w:val="BodyText"/>
        <w:rPr>
          <w:sz w:val="20"/>
        </w:rPr>
      </w:pPr>
    </w:p>
    <w:p>
      <w:pPr>
        <w:pStyle w:val="BodyText"/>
        <w:rPr>
          <w:sz w:val="20"/>
        </w:rPr>
      </w:pPr>
    </w:p>
    <w:p>
      <w:pPr>
        <w:pStyle w:val="BodyText"/>
        <w:spacing w:before="2"/>
        <w:rPr>
          <w:sz w:val="1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2"/>
        <w:gridCol w:w="2794"/>
        <w:gridCol w:w="1085"/>
        <w:gridCol w:w="1028"/>
        <w:gridCol w:w="1018"/>
      </w:tblGrid>
      <w:tr>
        <w:trPr>
          <w:trHeight w:val="355" w:hRule="exact"/>
        </w:trPr>
        <w:tc>
          <w:tcPr>
            <w:tcW w:w="9628" w:type="dxa"/>
            <w:gridSpan w:val="5"/>
          </w:tcPr>
          <w:p>
            <w:pPr>
              <w:pStyle w:val="TableParagraph"/>
              <w:spacing w:line="220" w:lineRule="exact"/>
              <w:ind w:left="2016"/>
              <w:rPr>
                <w:b/>
                <w:i/>
                <w:sz w:val="20"/>
              </w:rPr>
            </w:pPr>
            <w:r>
              <w:rPr>
                <w:b/>
                <w:i/>
                <w:sz w:val="20"/>
              </w:rPr>
              <w:t>Cuadro 1. Publicaciones florísticas en el Estado de México</w:t>
            </w:r>
          </w:p>
        </w:tc>
      </w:tr>
      <w:tr>
        <w:trPr>
          <w:trHeight w:val="356" w:hRule="exact"/>
        </w:trPr>
        <w:tc>
          <w:tcPr>
            <w:tcW w:w="3702" w:type="dxa"/>
            <w:shd w:val="clear" w:color="auto" w:fill="BEBEBE"/>
          </w:tcPr>
          <w:p>
            <w:pPr>
              <w:pStyle w:val="TableParagraph"/>
              <w:spacing w:line="220" w:lineRule="exact"/>
              <w:ind w:left="590" w:right="100"/>
              <w:rPr>
                <w:b/>
                <w:sz w:val="20"/>
              </w:rPr>
            </w:pPr>
            <w:r>
              <w:rPr>
                <w:b/>
                <w:sz w:val="20"/>
              </w:rPr>
              <w:t>Referencias Bibliográficas</w:t>
            </w:r>
          </w:p>
        </w:tc>
        <w:tc>
          <w:tcPr>
            <w:tcW w:w="2794" w:type="dxa"/>
            <w:shd w:val="clear" w:color="auto" w:fill="BEBEBE"/>
          </w:tcPr>
          <w:p>
            <w:pPr>
              <w:pStyle w:val="TableParagraph"/>
              <w:spacing w:line="220" w:lineRule="exact"/>
              <w:ind w:left="653"/>
              <w:rPr>
                <w:b/>
                <w:sz w:val="20"/>
              </w:rPr>
            </w:pPr>
            <w:r>
              <w:rPr>
                <w:b/>
                <w:sz w:val="20"/>
              </w:rPr>
              <w:t>Sitio de colecta</w:t>
            </w:r>
          </w:p>
        </w:tc>
        <w:tc>
          <w:tcPr>
            <w:tcW w:w="1085" w:type="dxa"/>
            <w:shd w:val="clear" w:color="auto" w:fill="BEBEBE"/>
          </w:tcPr>
          <w:p>
            <w:pPr>
              <w:pStyle w:val="TableParagraph"/>
              <w:spacing w:line="220" w:lineRule="exact"/>
              <w:ind w:left="105"/>
              <w:rPr>
                <w:b/>
                <w:sz w:val="20"/>
              </w:rPr>
            </w:pPr>
            <w:r>
              <w:rPr>
                <w:b/>
                <w:sz w:val="20"/>
              </w:rPr>
              <w:t>Especies</w:t>
            </w:r>
          </w:p>
        </w:tc>
        <w:tc>
          <w:tcPr>
            <w:tcW w:w="1028" w:type="dxa"/>
            <w:shd w:val="clear" w:color="auto" w:fill="BEBEBE"/>
          </w:tcPr>
          <w:p>
            <w:pPr>
              <w:pStyle w:val="TableParagraph"/>
              <w:spacing w:line="220" w:lineRule="exact"/>
              <w:ind w:left="105"/>
              <w:rPr>
                <w:b/>
                <w:sz w:val="20"/>
              </w:rPr>
            </w:pPr>
            <w:r>
              <w:rPr>
                <w:b/>
                <w:sz w:val="20"/>
              </w:rPr>
              <w:t>Géneros</w:t>
            </w:r>
          </w:p>
        </w:tc>
        <w:tc>
          <w:tcPr>
            <w:tcW w:w="1018" w:type="dxa"/>
            <w:shd w:val="clear" w:color="auto" w:fill="BEBEBE"/>
          </w:tcPr>
          <w:p>
            <w:pPr>
              <w:pStyle w:val="TableParagraph"/>
              <w:spacing w:line="220" w:lineRule="exact"/>
              <w:ind w:left="105"/>
              <w:rPr>
                <w:b/>
                <w:sz w:val="20"/>
              </w:rPr>
            </w:pPr>
            <w:r>
              <w:rPr>
                <w:b/>
                <w:sz w:val="20"/>
              </w:rPr>
              <w:t>Familias</w:t>
            </w:r>
          </w:p>
        </w:tc>
      </w:tr>
      <w:tr>
        <w:trPr>
          <w:trHeight w:val="701" w:hRule="exact"/>
        </w:trPr>
        <w:tc>
          <w:tcPr>
            <w:tcW w:w="3702" w:type="dxa"/>
          </w:tcPr>
          <w:p>
            <w:pPr>
              <w:pStyle w:val="TableParagraph"/>
              <w:spacing w:line="220" w:lineRule="exact"/>
              <w:ind w:left="105" w:right="100"/>
              <w:rPr>
                <w:sz w:val="20"/>
              </w:rPr>
            </w:pPr>
            <w:r>
              <w:rPr>
                <w:sz w:val="20"/>
              </w:rPr>
              <w:t>Guadarrama-Martínez </w:t>
            </w:r>
            <w:r>
              <w:rPr>
                <w:i/>
                <w:sz w:val="20"/>
              </w:rPr>
              <w:t>et al., </w:t>
            </w:r>
            <w:r>
              <w:rPr>
                <w:sz w:val="20"/>
              </w:rPr>
              <w:t>2012</w:t>
            </w:r>
          </w:p>
        </w:tc>
        <w:tc>
          <w:tcPr>
            <w:tcW w:w="2794" w:type="dxa"/>
          </w:tcPr>
          <w:p>
            <w:pPr>
              <w:pStyle w:val="TableParagraph"/>
              <w:spacing w:line="360" w:lineRule="auto"/>
              <w:ind w:left="100" w:right="696"/>
              <w:rPr>
                <w:sz w:val="20"/>
              </w:rPr>
            </w:pPr>
            <w:r>
              <w:rPr>
                <w:sz w:val="20"/>
              </w:rPr>
              <w:t>Sureste del Estado de México</w:t>
            </w:r>
          </w:p>
        </w:tc>
        <w:tc>
          <w:tcPr>
            <w:tcW w:w="1085" w:type="dxa"/>
          </w:tcPr>
          <w:p>
            <w:pPr>
              <w:pStyle w:val="TableParagraph"/>
              <w:spacing w:line="225" w:lineRule="exact"/>
              <w:ind w:left="81" w:right="81"/>
              <w:jc w:val="center"/>
              <w:rPr>
                <w:sz w:val="20"/>
              </w:rPr>
            </w:pPr>
            <w:r>
              <w:rPr>
                <w:sz w:val="20"/>
              </w:rPr>
              <w:t>65</w:t>
            </w:r>
          </w:p>
        </w:tc>
        <w:tc>
          <w:tcPr>
            <w:tcW w:w="1028" w:type="dxa"/>
          </w:tcPr>
          <w:p>
            <w:pPr>
              <w:pStyle w:val="TableParagraph"/>
              <w:spacing w:line="225" w:lineRule="exact"/>
              <w:ind w:left="78" w:right="78"/>
              <w:jc w:val="center"/>
              <w:rPr>
                <w:sz w:val="20"/>
              </w:rPr>
            </w:pPr>
            <w:r>
              <w:rPr>
                <w:sz w:val="20"/>
              </w:rPr>
              <w:t>57</w:t>
            </w:r>
          </w:p>
        </w:tc>
        <w:tc>
          <w:tcPr>
            <w:tcW w:w="1018" w:type="dxa"/>
          </w:tcPr>
          <w:p>
            <w:pPr>
              <w:pStyle w:val="TableParagraph"/>
              <w:spacing w:line="225" w:lineRule="exact"/>
              <w:ind w:left="81" w:right="81"/>
              <w:jc w:val="center"/>
              <w:rPr>
                <w:sz w:val="20"/>
              </w:rPr>
            </w:pPr>
            <w:r>
              <w:rPr>
                <w:sz w:val="20"/>
              </w:rPr>
              <w:t>38</w:t>
            </w:r>
          </w:p>
        </w:tc>
      </w:tr>
      <w:tr>
        <w:trPr>
          <w:trHeight w:val="355" w:hRule="exact"/>
        </w:trPr>
        <w:tc>
          <w:tcPr>
            <w:tcW w:w="3702" w:type="dxa"/>
          </w:tcPr>
          <w:p>
            <w:pPr>
              <w:pStyle w:val="TableParagraph"/>
              <w:spacing w:line="220" w:lineRule="exact"/>
              <w:ind w:left="105" w:right="100"/>
              <w:rPr>
                <w:sz w:val="20"/>
              </w:rPr>
            </w:pPr>
            <w:r>
              <w:rPr>
                <w:sz w:val="20"/>
              </w:rPr>
              <w:t>Zepeda-Gómez </w:t>
            </w:r>
            <w:r>
              <w:rPr>
                <w:i/>
                <w:sz w:val="20"/>
              </w:rPr>
              <w:t>et al., </w:t>
            </w:r>
            <w:r>
              <w:rPr>
                <w:sz w:val="20"/>
              </w:rPr>
              <w:t>2012</w:t>
            </w:r>
          </w:p>
        </w:tc>
        <w:tc>
          <w:tcPr>
            <w:tcW w:w="2794" w:type="dxa"/>
          </w:tcPr>
          <w:p>
            <w:pPr>
              <w:pStyle w:val="TableParagraph"/>
              <w:spacing w:line="225" w:lineRule="exact"/>
              <w:ind w:left="100"/>
              <w:rPr>
                <w:sz w:val="20"/>
              </w:rPr>
            </w:pPr>
            <w:r>
              <w:rPr>
                <w:sz w:val="20"/>
              </w:rPr>
              <w:t>Ciénegas de Lerma</w:t>
            </w:r>
          </w:p>
        </w:tc>
        <w:tc>
          <w:tcPr>
            <w:tcW w:w="1085" w:type="dxa"/>
          </w:tcPr>
          <w:p>
            <w:pPr>
              <w:pStyle w:val="TableParagraph"/>
              <w:spacing w:line="225" w:lineRule="exact"/>
              <w:ind w:left="81" w:right="81"/>
              <w:jc w:val="center"/>
              <w:rPr>
                <w:sz w:val="20"/>
              </w:rPr>
            </w:pPr>
            <w:r>
              <w:rPr>
                <w:sz w:val="20"/>
              </w:rPr>
              <w:t>97</w:t>
            </w:r>
          </w:p>
        </w:tc>
        <w:tc>
          <w:tcPr>
            <w:tcW w:w="1028" w:type="dxa"/>
          </w:tcPr>
          <w:p>
            <w:pPr>
              <w:pStyle w:val="TableParagraph"/>
              <w:spacing w:line="225" w:lineRule="exact"/>
              <w:ind w:left="78" w:right="78"/>
              <w:jc w:val="center"/>
              <w:rPr>
                <w:sz w:val="20"/>
              </w:rPr>
            </w:pPr>
            <w:r>
              <w:rPr>
                <w:sz w:val="20"/>
              </w:rPr>
              <w:t>65</w:t>
            </w:r>
          </w:p>
        </w:tc>
        <w:tc>
          <w:tcPr>
            <w:tcW w:w="1018" w:type="dxa"/>
          </w:tcPr>
          <w:p>
            <w:pPr>
              <w:pStyle w:val="TableParagraph"/>
              <w:spacing w:line="225" w:lineRule="exact"/>
              <w:ind w:left="81" w:right="81"/>
              <w:jc w:val="center"/>
              <w:rPr>
                <w:sz w:val="20"/>
              </w:rPr>
            </w:pPr>
            <w:r>
              <w:rPr>
                <w:sz w:val="20"/>
              </w:rPr>
              <w:t>39</w:t>
            </w:r>
          </w:p>
        </w:tc>
      </w:tr>
      <w:tr>
        <w:trPr>
          <w:trHeight w:val="355" w:hRule="exact"/>
        </w:trPr>
        <w:tc>
          <w:tcPr>
            <w:tcW w:w="3702" w:type="dxa"/>
          </w:tcPr>
          <w:p>
            <w:pPr>
              <w:pStyle w:val="TableParagraph"/>
              <w:spacing w:line="220" w:lineRule="exact"/>
              <w:ind w:left="105" w:right="100"/>
              <w:rPr>
                <w:sz w:val="20"/>
              </w:rPr>
            </w:pPr>
            <w:r>
              <w:rPr>
                <w:sz w:val="20"/>
              </w:rPr>
              <w:t>Munguía-Lino </w:t>
            </w:r>
            <w:r>
              <w:rPr>
                <w:i/>
                <w:sz w:val="20"/>
              </w:rPr>
              <w:t>et al., </w:t>
            </w:r>
            <w:r>
              <w:rPr>
                <w:sz w:val="20"/>
              </w:rPr>
              <w:t>2010</w:t>
            </w:r>
          </w:p>
        </w:tc>
        <w:tc>
          <w:tcPr>
            <w:tcW w:w="2794" w:type="dxa"/>
          </w:tcPr>
          <w:p>
            <w:pPr>
              <w:pStyle w:val="TableParagraph"/>
              <w:spacing w:line="225" w:lineRule="exact"/>
              <w:ind w:left="100"/>
              <w:rPr>
                <w:sz w:val="20"/>
              </w:rPr>
            </w:pPr>
            <w:r>
              <w:rPr>
                <w:sz w:val="20"/>
              </w:rPr>
              <w:t>Tenancingo y Jamaica (D.F.)</w:t>
            </w:r>
          </w:p>
        </w:tc>
        <w:tc>
          <w:tcPr>
            <w:tcW w:w="1085" w:type="dxa"/>
          </w:tcPr>
          <w:p>
            <w:pPr>
              <w:pStyle w:val="TableParagraph"/>
              <w:spacing w:line="225" w:lineRule="exact"/>
              <w:ind w:left="79" w:right="81"/>
              <w:jc w:val="center"/>
              <w:rPr>
                <w:sz w:val="20"/>
              </w:rPr>
            </w:pPr>
            <w:r>
              <w:rPr>
                <w:sz w:val="20"/>
              </w:rPr>
              <w:t>131</w:t>
            </w:r>
          </w:p>
        </w:tc>
        <w:tc>
          <w:tcPr>
            <w:tcW w:w="1028" w:type="dxa"/>
          </w:tcPr>
          <w:p>
            <w:pPr>
              <w:pStyle w:val="TableParagraph"/>
              <w:spacing w:line="225" w:lineRule="exact"/>
              <w:ind w:left="78" w:right="78"/>
              <w:jc w:val="center"/>
              <w:rPr>
                <w:sz w:val="20"/>
              </w:rPr>
            </w:pPr>
            <w:r>
              <w:rPr>
                <w:sz w:val="20"/>
              </w:rPr>
              <w:t>93</w:t>
            </w:r>
          </w:p>
        </w:tc>
        <w:tc>
          <w:tcPr>
            <w:tcW w:w="1018" w:type="dxa"/>
          </w:tcPr>
          <w:p>
            <w:pPr>
              <w:pStyle w:val="TableParagraph"/>
              <w:spacing w:line="225" w:lineRule="exact"/>
              <w:ind w:left="81" w:right="81"/>
              <w:jc w:val="center"/>
              <w:rPr>
                <w:sz w:val="20"/>
              </w:rPr>
            </w:pPr>
            <w:r>
              <w:rPr>
                <w:sz w:val="20"/>
              </w:rPr>
              <w:t>42</w:t>
            </w:r>
          </w:p>
        </w:tc>
      </w:tr>
      <w:tr>
        <w:trPr>
          <w:trHeight w:val="356" w:hRule="exact"/>
        </w:trPr>
        <w:tc>
          <w:tcPr>
            <w:tcW w:w="3702" w:type="dxa"/>
          </w:tcPr>
          <w:p>
            <w:pPr>
              <w:pStyle w:val="TableParagraph"/>
              <w:spacing w:line="225" w:lineRule="exact"/>
              <w:ind w:left="105" w:right="100"/>
              <w:rPr>
                <w:sz w:val="20"/>
              </w:rPr>
            </w:pPr>
            <w:r>
              <w:rPr>
                <w:sz w:val="20"/>
              </w:rPr>
              <w:t>Martínez-De la Cruz, 2010</w:t>
            </w:r>
          </w:p>
        </w:tc>
        <w:tc>
          <w:tcPr>
            <w:tcW w:w="2794" w:type="dxa"/>
          </w:tcPr>
          <w:p>
            <w:pPr>
              <w:pStyle w:val="TableParagraph"/>
              <w:spacing w:line="225" w:lineRule="exact"/>
              <w:ind w:left="100"/>
              <w:rPr>
                <w:sz w:val="20"/>
              </w:rPr>
            </w:pPr>
            <w:r>
              <w:rPr>
                <w:sz w:val="20"/>
              </w:rPr>
              <w:t>Malinalco</w:t>
            </w:r>
          </w:p>
        </w:tc>
        <w:tc>
          <w:tcPr>
            <w:tcW w:w="1085" w:type="dxa"/>
          </w:tcPr>
          <w:p>
            <w:pPr>
              <w:pStyle w:val="TableParagraph"/>
              <w:spacing w:line="225" w:lineRule="exact"/>
              <w:ind w:left="79" w:right="81"/>
              <w:jc w:val="center"/>
              <w:rPr>
                <w:sz w:val="20"/>
              </w:rPr>
            </w:pPr>
            <w:r>
              <w:rPr>
                <w:sz w:val="20"/>
              </w:rPr>
              <w:t>442</w:t>
            </w:r>
          </w:p>
        </w:tc>
        <w:tc>
          <w:tcPr>
            <w:tcW w:w="1028" w:type="dxa"/>
          </w:tcPr>
          <w:p>
            <w:pPr>
              <w:pStyle w:val="TableParagraph"/>
              <w:spacing w:line="225" w:lineRule="exact"/>
              <w:ind w:left="75" w:right="78"/>
              <w:jc w:val="center"/>
              <w:rPr>
                <w:sz w:val="20"/>
              </w:rPr>
            </w:pPr>
            <w:r>
              <w:rPr>
                <w:sz w:val="20"/>
              </w:rPr>
              <w:t>335</w:t>
            </w:r>
          </w:p>
        </w:tc>
        <w:tc>
          <w:tcPr>
            <w:tcW w:w="1018" w:type="dxa"/>
          </w:tcPr>
          <w:p>
            <w:pPr>
              <w:pStyle w:val="TableParagraph"/>
              <w:spacing w:line="225" w:lineRule="exact"/>
              <w:ind w:left="336"/>
              <w:rPr>
                <w:sz w:val="20"/>
              </w:rPr>
            </w:pPr>
            <w:r>
              <w:rPr>
                <w:sz w:val="20"/>
              </w:rPr>
              <w:t>100</w:t>
            </w:r>
          </w:p>
        </w:tc>
      </w:tr>
      <w:tr>
        <w:trPr>
          <w:trHeight w:val="355" w:hRule="exact"/>
        </w:trPr>
        <w:tc>
          <w:tcPr>
            <w:tcW w:w="3702" w:type="dxa"/>
          </w:tcPr>
          <w:p>
            <w:pPr>
              <w:pStyle w:val="TableParagraph"/>
              <w:spacing w:line="220" w:lineRule="exact"/>
              <w:ind w:left="105" w:right="100"/>
              <w:rPr>
                <w:sz w:val="20"/>
              </w:rPr>
            </w:pPr>
            <w:r>
              <w:rPr>
                <w:sz w:val="20"/>
              </w:rPr>
              <w:t>López-Sandoval </w:t>
            </w:r>
            <w:r>
              <w:rPr>
                <w:i/>
                <w:sz w:val="20"/>
              </w:rPr>
              <w:t>et al., </w:t>
            </w:r>
            <w:r>
              <w:rPr>
                <w:sz w:val="20"/>
              </w:rPr>
              <w:t>2010</w:t>
            </w:r>
          </w:p>
        </w:tc>
        <w:tc>
          <w:tcPr>
            <w:tcW w:w="2794" w:type="dxa"/>
          </w:tcPr>
          <w:p>
            <w:pPr>
              <w:pStyle w:val="TableParagraph"/>
              <w:spacing w:line="225" w:lineRule="exact"/>
              <w:ind w:left="100"/>
              <w:rPr>
                <w:sz w:val="20"/>
              </w:rPr>
            </w:pPr>
            <w:r>
              <w:rPr>
                <w:sz w:val="20"/>
              </w:rPr>
              <w:t>Barranca Nenetzingo</w:t>
            </w:r>
          </w:p>
        </w:tc>
        <w:tc>
          <w:tcPr>
            <w:tcW w:w="1085" w:type="dxa"/>
          </w:tcPr>
          <w:p>
            <w:pPr>
              <w:pStyle w:val="TableParagraph"/>
              <w:spacing w:line="225" w:lineRule="exact"/>
              <w:ind w:left="331"/>
              <w:rPr>
                <w:sz w:val="20"/>
              </w:rPr>
            </w:pPr>
            <w:r>
              <w:rPr>
                <w:sz w:val="20"/>
              </w:rPr>
              <w:t>362</w:t>
            </w:r>
          </w:p>
        </w:tc>
        <w:tc>
          <w:tcPr>
            <w:tcW w:w="1028" w:type="dxa"/>
          </w:tcPr>
          <w:p>
            <w:pPr>
              <w:pStyle w:val="TableParagraph"/>
              <w:spacing w:line="225" w:lineRule="exact"/>
              <w:ind w:left="75" w:right="78"/>
              <w:jc w:val="center"/>
              <w:rPr>
                <w:sz w:val="20"/>
              </w:rPr>
            </w:pPr>
            <w:r>
              <w:rPr>
                <w:sz w:val="20"/>
              </w:rPr>
              <w:t>248</w:t>
            </w:r>
          </w:p>
        </w:tc>
        <w:tc>
          <w:tcPr>
            <w:tcW w:w="1018" w:type="dxa"/>
          </w:tcPr>
          <w:p>
            <w:pPr>
              <w:pStyle w:val="TableParagraph"/>
              <w:spacing w:line="225" w:lineRule="exact"/>
              <w:ind w:left="82" w:right="81"/>
              <w:jc w:val="center"/>
              <w:rPr>
                <w:sz w:val="20"/>
              </w:rPr>
            </w:pPr>
            <w:r>
              <w:rPr>
                <w:sz w:val="20"/>
              </w:rPr>
              <w:t>89</w:t>
            </w:r>
          </w:p>
        </w:tc>
      </w:tr>
      <w:tr>
        <w:trPr>
          <w:trHeight w:val="355" w:hRule="exact"/>
        </w:trPr>
        <w:tc>
          <w:tcPr>
            <w:tcW w:w="3702" w:type="dxa"/>
          </w:tcPr>
          <w:p>
            <w:pPr>
              <w:pStyle w:val="TableParagraph"/>
              <w:spacing w:line="220" w:lineRule="exact"/>
              <w:ind w:left="105" w:right="100"/>
              <w:rPr>
                <w:sz w:val="20"/>
              </w:rPr>
            </w:pPr>
            <w:r>
              <w:rPr>
                <w:sz w:val="20"/>
              </w:rPr>
              <w:t>López-Sandoval </w:t>
            </w:r>
            <w:r>
              <w:rPr>
                <w:i/>
                <w:sz w:val="20"/>
              </w:rPr>
              <w:t>et al., </w:t>
            </w:r>
            <w:r>
              <w:rPr>
                <w:sz w:val="20"/>
              </w:rPr>
              <w:t>2008</w:t>
            </w:r>
          </w:p>
        </w:tc>
        <w:tc>
          <w:tcPr>
            <w:tcW w:w="2794" w:type="dxa"/>
          </w:tcPr>
          <w:p>
            <w:pPr>
              <w:pStyle w:val="TableParagraph"/>
              <w:spacing w:line="225" w:lineRule="exact"/>
              <w:ind w:left="100"/>
              <w:rPr>
                <w:sz w:val="20"/>
              </w:rPr>
            </w:pPr>
            <w:r>
              <w:rPr>
                <w:sz w:val="20"/>
              </w:rPr>
              <w:t>Cerro de Jocotitlán</w:t>
            </w:r>
          </w:p>
        </w:tc>
        <w:tc>
          <w:tcPr>
            <w:tcW w:w="1085" w:type="dxa"/>
          </w:tcPr>
          <w:p>
            <w:pPr>
              <w:pStyle w:val="TableParagraph"/>
              <w:spacing w:line="225" w:lineRule="exact"/>
              <w:ind w:left="79" w:right="81"/>
              <w:jc w:val="center"/>
              <w:rPr>
                <w:sz w:val="20"/>
              </w:rPr>
            </w:pPr>
            <w:r>
              <w:rPr>
                <w:sz w:val="20"/>
              </w:rPr>
              <w:t>184</w:t>
            </w:r>
          </w:p>
        </w:tc>
        <w:tc>
          <w:tcPr>
            <w:tcW w:w="1028" w:type="dxa"/>
          </w:tcPr>
          <w:p>
            <w:pPr>
              <w:pStyle w:val="TableParagraph"/>
              <w:spacing w:line="225" w:lineRule="exact"/>
              <w:ind w:left="75" w:right="78"/>
              <w:jc w:val="center"/>
              <w:rPr>
                <w:sz w:val="20"/>
              </w:rPr>
            </w:pPr>
            <w:r>
              <w:rPr>
                <w:sz w:val="20"/>
              </w:rPr>
              <w:t>123</w:t>
            </w:r>
          </w:p>
        </w:tc>
        <w:tc>
          <w:tcPr>
            <w:tcW w:w="1018" w:type="dxa"/>
          </w:tcPr>
          <w:p>
            <w:pPr>
              <w:pStyle w:val="TableParagraph"/>
              <w:spacing w:line="225" w:lineRule="exact"/>
              <w:ind w:left="86" w:right="30"/>
              <w:jc w:val="center"/>
              <w:rPr>
                <w:sz w:val="20"/>
              </w:rPr>
            </w:pPr>
            <w:r>
              <w:rPr>
                <w:sz w:val="20"/>
              </w:rPr>
              <w:t>54</w:t>
            </w:r>
          </w:p>
        </w:tc>
      </w:tr>
      <w:tr>
        <w:trPr>
          <w:trHeight w:val="355" w:hRule="exact"/>
        </w:trPr>
        <w:tc>
          <w:tcPr>
            <w:tcW w:w="3702" w:type="dxa"/>
          </w:tcPr>
          <w:p>
            <w:pPr>
              <w:pStyle w:val="TableParagraph"/>
              <w:spacing w:line="220" w:lineRule="exact"/>
              <w:ind w:left="105" w:right="100"/>
              <w:rPr>
                <w:sz w:val="20"/>
              </w:rPr>
            </w:pPr>
            <w:r>
              <w:rPr>
                <w:sz w:val="20"/>
              </w:rPr>
              <w:t>López-Sandoval </w:t>
            </w:r>
            <w:r>
              <w:rPr>
                <w:i/>
                <w:sz w:val="20"/>
              </w:rPr>
              <w:t>et al., </w:t>
            </w:r>
            <w:r>
              <w:rPr>
                <w:sz w:val="20"/>
              </w:rPr>
              <w:t>2007</w:t>
            </w:r>
          </w:p>
        </w:tc>
        <w:tc>
          <w:tcPr>
            <w:tcW w:w="2794" w:type="dxa"/>
          </w:tcPr>
          <w:p>
            <w:pPr>
              <w:pStyle w:val="TableParagraph"/>
              <w:spacing w:line="225" w:lineRule="exact"/>
              <w:ind w:left="100"/>
              <w:rPr>
                <w:sz w:val="20"/>
              </w:rPr>
            </w:pPr>
            <w:r>
              <w:rPr>
                <w:sz w:val="20"/>
              </w:rPr>
              <w:t>Campus El Cerillo</w:t>
            </w:r>
          </w:p>
        </w:tc>
        <w:tc>
          <w:tcPr>
            <w:tcW w:w="1085" w:type="dxa"/>
          </w:tcPr>
          <w:p>
            <w:pPr>
              <w:pStyle w:val="TableParagraph"/>
              <w:spacing w:line="225" w:lineRule="exact"/>
              <w:ind w:left="79" w:right="81"/>
              <w:jc w:val="center"/>
              <w:rPr>
                <w:sz w:val="20"/>
              </w:rPr>
            </w:pPr>
            <w:r>
              <w:rPr>
                <w:sz w:val="20"/>
              </w:rPr>
              <w:t>113</w:t>
            </w:r>
          </w:p>
        </w:tc>
        <w:tc>
          <w:tcPr>
            <w:tcW w:w="1028" w:type="dxa"/>
          </w:tcPr>
          <w:p>
            <w:pPr>
              <w:pStyle w:val="TableParagraph"/>
              <w:spacing w:line="225" w:lineRule="exact"/>
              <w:ind w:left="461"/>
              <w:rPr>
                <w:sz w:val="20"/>
              </w:rPr>
            </w:pPr>
            <w:r>
              <w:rPr>
                <w:sz w:val="20"/>
              </w:rPr>
              <w:t>91</w:t>
            </w:r>
          </w:p>
        </w:tc>
        <w:tc>
          <w:tcPr>
            <w:tcW w:w="1018" w:type="dxa"/>
          </w:tcPr>
          <w:p>
            <w:pPr>
              <w:pStyle w:val="TableParagraph"/>
              <w:spacing w:line="225" w:lineRule="exact"/>
              <w:ind w:left="86" w:right="30"/>
              <w:jc w:val="center"/>
              <w:rPr>
                <w:sz w:val="20"/>
              </w:rPr>
            </w:pPr>
            <w:r>
              <w:rPr>
                <w:sz w:val="20"/>
              </w:rPr>
              <w:t>41</w:t>
            </w:r>
          </w:p>
        </w:tc>
      </w:tr>
      <w:tr>
        <w:trPr>
          <w:trHeight w:val="356" w:hRule="exact"/>
        </w:trPr>
        <w:tc>
          <w:tcPr>
            <w:tcW w:w="3702" w:type="dxa"/>
          </w:tcPr>
          <w:p>
            <w:pPr>
              <w:pStyle w:val="TableParagraph"/>
              <w:spacing w:line="225" w:lineRule="exact"/>
              <w:ind w:left="105" w:right="100"/>
              <w:rPr>
                <w:sz w:val="20"/>
              </w:rPr>
            </w:pPr>
            <w:r>
              <w:rPr>
                <w:sz w:val="20"/>
              </w:rPr>
              <w:t>Medina-Lemus y Tejero-Díez, 2006</w:t>
            </w:r>
          </w:p>
        </w:tc>
        <w:tc>
          <w:tcPr>
            <w:tcW w:w="2794" w:type="dxa"/>
          </w:tcPr>
          <w:p>
            <w:pPr>
              <w:pStyle w:val="TableParagraph"/>
              <w:spacing w:line="225" w:lineRule="exact"/>
              <w:ind w:left="100"/>
              <w:rPr>
                <w:sz w:val="20"/>
              </w:rPr>
            </w:pPr>
            <w:r>
              <w:rPr>
                <w:sz w:val="20"/>
              </w:rPr>
              <w:t>Atizapán - Valle Escondido</w:t>
            </w:r>
          </w:p>
        </w:tc>
        <w:tc>
          <w:tcPr>
            <w:tcW w:w="1085" w:type="dxa"/>
          </w:tcPr>
          <w:p>
            <w:pPr>
              <w:pStyle w:val="TableParagraph"/>
              <w:spacing w:line="225" w:lineRule="exact"/>
              <w:ind w:left="79" w:right="81"/>
              <w:jc w:val="center"/>
              <w:rPr>
                <w:sz w:val="20"/>
              </w:rPr>
            </w:pPr>
            <w:r>
              <w:rPr>
                <w:sz w:val="20"/>
              </w:rPr>
              <w:t>320</w:t>
            </w:r>
          </w:p>
        </w:tc>
        <w:tc>
          <w:tcPr>
            <w:tcW w:w="1028" w:type="dxa"/>
          </w:tcPr>
          <w:p>
            <w:pPr>
              <w:pStyle w:val="TableParagraph"/>
              <w:spacing w:line="225" w:lineRule="exact"/>
              <w:ind w:left="75" w:right="78"/>
              <w:jc w:val="center"/>
              <w:rPr>
                <w:sz w:val="20"/>
              </w:rPr>
            </w:pPr>
            <w:r>
              <w:rPr>
                <w:sz w:val="20"/>
              </w:rPr>
              <w:t>226</w:t>
            </w:r>
          </w:p>
        </w:tc>
        <w:tc>
          <w:tcPr>
            <w:tcW w:w="1018" w:type="dxa"/>
          </w:tcPr>
          <w:p>
            <w:pPr>
              <w:pStyle w:val="TableParagraph"/>
              <w:spacing w:line="225" w:lineRule="exact"/>
              <w:ind w:left="86" w:right="30"/>
              <w:jc w:val="center"/>
              <w:rPr>
                <w:sz w:val="20"/>
              </w:rPr>
            </w:pPr>
            <w:r>
              <w:rPr>
                <w:sz w:val="20"/>
              </w:rPr>
              <w:t>78</w:t>
            </w:r>
          </w:p>
        </w:tc>
      </w:tr>
      <w:tr>
        <w:trPr>
          <w:trHeight w:val="355" w:hRule="exact"/>
        </w:trPr>
        <w:tc>
          <w:tcPr>
            <w:tcW w:w="3702" w:type="dxa"/>
          </w:tcPr>
          <w:p>
            <w:pPr>
              <w:pStyle w:val="TableParagraph"/>
              <w:spacing w:line="225" w:lineRule="exact"/>
              <w:ind w:left="105" w:right="100"/>
              <w:rPr>
                <w:sz w:val="20"/>
              </w:rPr>
            </w:pPr>
            <w:r>
              <w:rPr>
                <w:sz w:val="20"/>
              </w:rPr>
              <w:t>Martínez-de la Cruz, 2005</w:t>
            </w:r>
          </w:p>
        </w:tc>
        <w:tc>
          <w:tcPr>
            <w:tcW w:w="2794" w:type="dxa"/>
          </w:tcPr>
          <w:p>
            <w:pPr>
              <w:pStyle w:val="TableParagraph"/>
              <w:spacing w:line="225" w:lineRule="exact"/>
              <w:ind w:left="100"/>
              <w:rPr>
                <w:sz w:val="20"/>
              </w:rPr>
            </w:pPr>
            <w:r>
              <w:rPr>
                <w:sz w:val="20"/>
              </w:rPr>
              <w:t>Tlatlaya</w:t>
            </w:r>
          </w:p>
        </w:tc>
        <w:tc>
          <w:tcPr>
            <w:tcW w:w="1085" w:type="dxa"/>
          </w:tcPr>
          <w:p>
            <w:pPr>
              <w:pStyle w:val="TableParagraph"/>
              <w:spacing w:line="225" w:lineRule="exact"/>
              <w:ind w:left="79" w:right="81"/>
              <w:jc w:val="center"/>
              <w:rPr>
                <w:sz w:val="20"/>
              </w:rPr>
            </w:pPr>
            <w:r>
              <w:rPr>
                <w:sz w:val="20"/>
              </w:rPr>
              <w:t>220</w:t>
            </w:r>
          </w:p>
        </w:tc>
        <w:tc>
          <w:tcPr>
            <w:tcW w:w="1028" w:type="dxa"/>
          </w:tcPr>
          <w:p>
            <w:pPr>
              <w:pStyle w:val="TableParagraph"/>
              <w:spacing w:line="225" w:lineRule="exact"/>
              <w:ind w:left="75" w:right="78"/>
              <w:jc w:val="center"/>
              <w:rPr>
                <w:sz w:val="20"/>
              </w:rPr>
            </w:pPr>
            <w:r>
              <w:rPr>
                <w:sz w:val="20"/>
              </w:rPr>
              <w:t>159</w:t>
            </w:r>
          </w:p>
        </w:tc>
        <w:tc>
          <w:tcPr>
            <w:tcW w:w="1018" w:type="dxa"/>
          </w:tcPr>
          <w:p>
            <w:pPr>
              <w:pStyle w:val="TableParagraph"/>
              <w:spacing w:line="225" w:lineRule="exact"/>
              <w:ind w:left="86" w:right="30"/>
              <w:jc w:val="center"/>
              <w:rPr>
                <w:sz w:val="20"/>
              </w:rPr>
            </w:pPr>
            <w:r>
              <w:rPr>
                <w:sz w:val="20"/>
              </w:rPr>
              <w:t>72</w:t>
            </w:r>
          </w:p>
        </w:tc>
      </w:tr>
      <w:tr>
        <w:trPr>
          <w:trHeight w:val="355" w:hRule="exact"/>
        </w:trPr>
        <w:tc>
          <w:tcPr>
            <w:tcW w:w="3702" w:type="dxa"/>
          </w:tcPr>
          <w:p>
            <w:pPr>
              <w:pStyle w:val="TableParagraph"/>
              <w:spacing w:line="225" w:lineRule="exact"/>
              <w:ind w:left="105" w:right="100"/>
              <w:rPr>
                <w:sz w:val="20"/>
              </w:rPr>
            </w:pPr>
            <w:r>
              <w:rPr>
                <w:sz w:val="20"/>
              </w:rPr>
              <w:t>Torres-Soria, 2001</w:t>
            </w:r>
          </w:p>
        </w:tc>
        <w:tc>
          <w:tcPr>
            <w:tcW w:w="2794" w:type="dxa"/>
          </w:tcPr>
          <w:p>
            <w:pPr>
              <w:pStyle w:val="TableParagraph"/>
              <w:spacing w:line="225" w:lineRule="exact"/>
              <w:ind w:left="100"/>
              <w:rPr>
                <w:sz w:val="20"/>
              </w:rPr>
            </w:pPr>
            <w:r>
              <w:rPr>
                <w:sz w:val="20"/>
              </w:rPr>
              <w:t>Teotihuacán</w:t>
            </w:r>
          </w:p>
        </w:tc>
        <w:tc>
          <w:tcPr>
            <w:tcW w:w="1085" w:type="dxa"/>
          </w:tcPr>
          <w:p>
            <w:pPr>
              <w:pStyle w:val="TableParagraph"/>
              <w:spacing w:line="225" w:lineRule="exact"/>
              <w:ind w:left="79" w:right="81"/>
              <w:jc w:val="center"/>
              <w:rPr>
                <w:sz w:val="20"/>
              </w:rPr>
            </w:pPr>
            <w:r>
              <w:rPr>
                <w:sz w:val="20"/>
              </w:rPr>
              <w:t>250</w:t>
            </w:r>
          </w:p>
        </w:tc>
        <w:tc>
          <w:tcPr>
            <w:tcW w:w="1028" w:type="dxa"/>
          </w:tcPr>
          <w:p>
            <w:pPr>
              <w:pStyle w:val="TableParagraph"/>
              <w:spacing w:line="225" w:lineRule="exact"/>
              <w:ind w:left="75" w:right="78"/>
              <w:jc w:val="center"/>
              <w:rPr>
                <w:sz w:val="20"/>
              </w:rPr>
            </w:pPr>
            <w:r>
              <w:rPr>
                <w:sz w:val="20"/>
              </w:rPr>
              <w:t>164</w:t>
            </w:r>
          </w:p>
        </w:tc>
        <w:tc>
          <w:tcPr>
            <w:tcW w:w="1018" w:type="dxa"/>
          </w:tcPr>
          <w:p>
            <w:pPr>
              <w:pStyle w:val="TableParagraph"/>
              <w:spacing w:line="225" w:lineRule="exact"/>
              <w:ind w:left="86" w:right="30"/>
              <w:jc w:val="center"/>
              <w:rPr>
                <w:sz w:val="20"/>
              </w:rPr>
            </w:pPr>
            <w:r>
              <w:rPr>
                <w:sz w:val="20"/>
              </w:rPr>
              <w:t>53</w:t>
            </w:r>
          </w:p>
        </w:tc>
      </w:tr>
      <w:tr>
        <w:trPr>
          <w:trHeight w:val="701" w:hRule="exact"/>
        </w:trPr>
        <w:tc>
          <w:tcPr>
            <w:tcW w:w="3702" w:type="dxa"/>
          </w:tcPr>
          <w:p>
            <w:pPr>
              <w:pStyle w:val="TableParagraph"/>
              <w:spacing w:line="360" w:lineRule="auto"/>
              <w:ind w:left="105" w:right="100"/>
              <w:rPr>
                <w:sz w:val="20"/>
              </w:rPr>
            </w:pPr>
            <w:r>
              <w:rPr>
                <w:sz w:val="20"/>
              </w:rPr>
              <w:t>Zepeda-Gómez y Velázquez-Montes, 1999</w:t>
            </w:r>
          </w:p>
        </w:tc>
        <w:tc>
          <w:tcPr>
            <w:tcW w:w="2794" w:type="dxa"/>
          </w:tcPr>
          <w:p>
            <w:pPr>
              <w:pStyle w:val="TableParagraph"/>
              <w:spacing w:before="167"/>
              <w:ind w:left="100"/>
              <w:rPr>
                <w:sz w:val="20"/>
              </w:rPr>
            </w:pPr>
            <w:r>
              <w:rPr>
                <w:sz w:val="20"/>
              </w:rPr>
              <w:t>Sierra de Nanchititla</w:t>
            </w:r>
          </w:p>
        </w:tc>
        <w:tc>
          <w:tcPr>
            <w:tcW w:w="1085" w:type="dxa"/>
          </w:tcPr>
          <w:p>
            <w:pPr>
              <w:pStyle w:val="TableParagraph"/>
              <w:spacing w:line="225" w:lineRule="exact"/>
              <w:ind w:left="79" w:right="81"/>
              <w:jc w:val="center"/>
              <w:rPr>
                <w:sz w:val="20"/>
              </w:rPr>
            </w:pPr>
            <w:r>
              <w:rPr>
                <w:sz w:val="20"/>
              </w:rPr>
              <w:t>288</w:t>
            </w:r>
          </w:p>
        </w:tc>
        <w:tc>
          <w:tcPr>
            <w:tcW w:w="1028" w:type="dxa"/>
          </w:tcPr>
          <w:p>
            <w:pPr>
              <w:pStyle w:val="TableParagraph"/>
              <w:spacing w:line="225" w:lineRule="exact"/>
              <w:ind w:left="75" w:right="78"/>
              <w:jc w:val="center"/>
              <w:rPr>
                <w:sz w:val="20"/>
              </w:rPr>
            </w:pPr>
            <w:r>
              <w:rPr>
                <w:sz w:val="20"/>
              </w:rPr>
              <w:t>208</w:t>
            </w:r>
          </w:p>
        </w:tc>
        <w:tc>
          <w:tcPr>
            <w:tcW w:w="1018" w:type="dxa"/>
          </w:tcPr>
          <w:p>
            <w:pPr>
              <w:pStyle w:val="TableParagraph"/>
              <w:spacing w:line="225" w:lineRule="exact"/>
              <w:ind w:left="86" w:right="30"/>
              <w:jc w:val="center"/>
              <w:rPr>
                <w:sz w:val="20"/>
              </w:rPr>
            </w:pPr>
            <w:r>
              <w:rPr>
                <w:sz w:val="20"/>
              </w:rPr>
              <w:t>89</w:t>
            </w:r>
          </w:p>
        </w:tc>
      </w:tr>
      <w:tr>
        <w:trPr>
          <w:trHeight w:val="350" w:hRule="exact"/>
        </w:trPr>
        <w:tc>
          <w:tcPr>
            <w:tcW w:w="3702" w:type="dxa"/>
          </w:tcPr>
          <w:p>
            <w:pPr>
              <w:pStyle w:val="TableParagraph"/>
              <w:spacing w:line="225" w:lineRule="exact"/>
              <w:ind w:left="105" w:right="100"/>
              <w:rPr>
                <w:sz w:val="20"/>
              </w:rPr>
            </w:pPr>
            <w:r>
              <w:rPr>
                <w:sz w:val="20"/>
              </w:rPr>
              <w:t>García-Hernández, 1999</w:t>
            </w:r>
          </w:p>
        </w:tc>
        <w:tc>
          <w:tcPr>
            <w:tcW w:w="2794" w:type="dxa"/>
          </w:tcPr>
          <w:p>
            <w:pPr>
              <w:pStyle w:val="TableParagraph"/>
              <w:spacing w:line="225" w:lineRule="exact"/>
              <w:ind w:left="100"/>
              <w:rPr>
                <w:sz w:val="20"/>
              </w:rPr>
            </w:pPr>
            <w:r>
              <w:rPr>
                <w:sz w:val="20"/>
              </w:rPr>
              <w:t>Jilotepec</w:t>
            </w:r>
          </w:p>
        </w:tc>
        <w:tc>
          <w:tcPr>
            <w:tcW w:w="1085" w:type="dxa"/>
          </w:tcPr>
          <w:p>
            <w:pPr>
              <w:pStyle w:val="TableParagraph"/>
              <w:spacing w:line="225" w:lineRule="exact"/>
              <w:ind w:left="79" w:right="81"/>
              <w:jc w:val="center"/>
              <w:rPr>
                <w:sz w:val="20"/>
              </w:rPr>
            </w:pPr>
            <w:r>
              <w:rPr>
                <w:sz w:val="20"/>
              </w:rPr>
              <w:t>437</w:t>
            </w:r>
          </w:p>
        </w:tc>
        <w:tc>
          <w:tcPr>
            <w:tcW w:w="1028" w:type="dxa"/>
          </w:tcPr>
          <w:p>
            <w:pPr>
              <w:pStyle w:val="TableParagraph"/>
              <w:spacing w:line="225" w:lineRule="exact"/>
              <w:ind w:left="75" w:right="78"/>
              <w:jc w:val="center"/>
              <w:rPr>
                <w:sz w:val="20"/>
              </w:rPr>
            </w:pPr>
            <w:r>
              <w:rPr>
                <w:sz w:val="20"/>
              </w:rPr>
              <w:t>233</w:t>
            </w:r>
          </w:p>
        </w:tc>
        <w:tc>
          <w:tcPr>
            <w:tcW w:w="1018" w:type="dxa"/>
          </w:tcPr>
          <w:p>
            <w:pPr>
              <w:pStyle w:val="TableParagraph"/>
              <w:spacing w:line="225" w:lineRule="exact"/>
              <w:ind w:left="86" w:right="30"/>
              <w:jc w:val="center"/>
              <w:rPr>
                <w:sz w:val="20"/>
              </w:rPr>
            </w:pPr>
            <w:r>
              <w:rPr>
                <w:sz w:val="20"/>
              </w:rPr>
              <w:t>74</w:t>
            </w:r>
          </w:p>
        </w:tc>
      </w:tr>
      <w:tr>
        <w:trPr>
          <w:trHeight w:val="355" w:hRule="exact"/>
        </w:trPr>
        <w:tc>
          <w:tcPr>
            <w:tcW w:w="3702" w:type="dxa"/>
          </w:tcPr>
          <w:p>
            <w:pPr>
              <w:pStyle w:val="TableParagraph"/>
              <w:spacing w:line="225" w:lineRule="exact"/>
              <w:ind w:left="105" w:right="100"/>
              <w:rPr>
                <w:sz w:val="20"/>
              </w:rPr>
            </w:pPr>
            <w:r>
              <w:rPr>
                <w:sz w:val="20"/>
              </w:rPr>
              <w:t>Fernández </w:t>
            </w:r>
            <w:r>
              <w:rPr>
                <w:i/>
                <w:sz w:val="20"/>
              </w:rPr>
              <w:t>et al., </w:t>
            </w:r>
            <w:r>
              <w:rPr>
                <w:sz w:val="20"/>
              </w:rPr>
              <w:t>1998</w:t>
            </w:r>
          </w:p>
        </w:tc>
        <w:tc>
          <w:tcPr>
            <w:tcW w:w="2794" w:type="dxa"/>
          </w:tcPr>
          <w:p>
            <w:pPr>
              <w:pStyle w:val="TableParagraph"/>
              <w:spacing w:line="230" w:lineRule="exact"/>
              <w:ind w:left="100"/>
              <w:rPr>
                <w:sz w:val="20"/>
              </w:rPr>
            </w:pPr>
            <w:r>
              <w:rPr>
                <w:sz w:val="20"/>
              </w:rPr>
              <w:t>Cuenca del Río Balsas</w:t>
            </w:r>
          </w:p>
        </w:tc>
        <w:tc>
          <w:tcPr>
            <w:tcW w:w="1085" w:type="dxa"/>
          </w:tcPr>
          <w:p>
            <w:pPr>
              <w:pStyle w:val="TableParagraph"/>
              <w:spacing w:line="230" w:lineRule="exact"/>
              <w:ind w:left="163"/>
              <w:rPr>
                <w:sz w:val="20"/>
              </w:rPr>
            </w:pPr>
            <w:r>
              <w:rPr>
                <w:sz w:val="20"/>
              </w:rPr>
              <w:t>4, 442</w:t>
            </w:r>
          </w:p>
        </w:tc>
        <w:tc>
          <w:tcPr>
            <w:tcW w:w="1028" w:type="dxa"/>
          </w:tcPr>
          <w:p>
            <w:pPr>
              <w:pStyle w:val="TableParagraph"/>
              <w:spacing w:line="230" w:lineRule="exact"/>
              <w:ind w:left="105"/>
              <w:rPr>
                <w:sz w:val="20"/>
              </w:rPr>
            </w:pPr>
            <w:r>
              <w:rPr>
                <w:sz w:val="20"/>
              </w:rPr>
              <w:t>1, 246</w:t>
            </w:r>
          </w:p>
        </w:tc>
        <w:tc>
          <w:tcPr>
            <w:tcW w:w="1018" w:type="dxa"/>
          </w:tcPr>
          <w:p>
            <w:pPr>
              <w:pStyle w:val="TableParagraph"/>
              <w:spacing w:line="230" w:lineRule="exact"/>
              <w:ind w:left="336"/>
              <w:rPr>
                <w:sz w:val="20"/>
              </w:rPr>
            </w:pPr>
            <w:r>
              <w:rPr>
                <w:sz w:val="20"/>
              </w:rPr>
              <w:t>202</w:t>
            </w:r>
          </w:p>
        </w:tc>
      </w:tr>
      <w:tr>
        <w:trPr>
          <w:trHeight w:val="355" w:hRule="exact"/>
        </w:trPr>
        <w:tc>
          <w:tcPr>
            <w:tcW w:w="3702" w:type="dxa"/>
          </w:tcPr>
          <w:p>
            <w:pPr>
              <w:pStyle w:val="TableParagraph"/>
              <w:spacing w:line="225" w:lineRule="exact"/>
              <w:ind w:left="105" w:right="100"/>
              <w:rPr>
                <w:sz w:val="20"/>
              </w:rPr>
            </w:pPr>
            <w:r>
              <w:rPr>
                <w:sz w:val="20"/>
              </w:rPr>
              <w:t>Torres-Zúñiga y Tejero-Díez, 1998</w:t>
            </w:r>
          </w:p>
        </w:tc>
        <w:tc>
          <w:tcPr>
            <w:tcW w:w="2794" w:type="dxa"/>
          </w:tcPr>
          <w:p>
            <w:pPr>
              <w:pStyle w:val="TableParagraph"/>
              <w:spacing w:line="225" w:lineRule="exact"/>
              <w:ind w:left="100"/>
              <w:rPr>
                <w:sz w:val="20"/>
              </w:rPr>
            </w:pPr>
            <w:r>
              <w:rPr>
                <w:sz w:val="20"/>
              </w:rPr>
              <w:t>Sierra de Sultepec</w:t>
            </w:r>
          </w:p>
        </w:tc>
        <w:tc>
          <w:tcPr>
            <w:tcW w:w="1085" w:type="dxa"/>
          </w:tcPr>
          <w:p>
            <w:pPr>
              <w:pStyle w:val="TableParagraph"/>
              <w:spacing w:line="225" w:lineRule="exact"/>
              <w:ind w:left="79" w:right="81"/>
              <w:jc w:val="center"/>
              <w:rPr>
                <w:sz w:val="20"/>
              </w:rPr>
            </w:pPr>
            <w:r>
              <w:rPr>
                <w:sz w:val="20"/>
              </w:rPr>
              <w:t>507</w:t>
            </w:r>
          </w:p>
        </w:tc>
        <w:tc>
          <w:tcPr>
            <w:tcW w:w="1028" w:type="dxa"/>
          </w:tcPr>
          <w:p>
            <w:pPr>
              <w:pStyle w:val="TableParagraph"/>
              <w:spacing w:line="225" w:lineRule="exact"/>
              <w:ind w:left="75" w:right="78"/>
              <w:jc w:val="center"/>
              <w:rPr>
                <w:sz w:val="20"/>
              </w:rPr>
            </w:pPr>
            <w:r>
              <w:rPr>
                <w:sz w:val="20"/>
              </w:rPr>
              <w:t>327</w:t>
            </w:r>
          </w:p>
        </w:tc>
        <w:tc>
          <w:tcPr>
            <w:tcW w:w="1018" w:type="dxa"/>
          </w:tcPr>
          <w:p>
            <w:pPr>
              <w:pStyle w:val="TableParagraph"/>
              <w:spacing w:line="225" w:lineRule="exact"/>
              <w:ind w:left="336"/>
              <w:rPr>
                <w:sz w:val="20"/>
              </w:rPr>
            </w:pPr>
            <w:r>
              <w:rPr>
                <w:sz w:val="20"/>
              </w:rPr>
              <w:t>107</w:t>
            </w:r>
          </w:p>
        </w:tc>
      </w:tr>
      <w:tr>
        <w:trPr>
          <w:trHeight w:val="701" w:hRule="exact"/>
        </w:trPr>
        <w:tc>
          <w:tcPr>
            <w:tcW w:w="3702" w:type="dxa"/>
          </w:tcPr>
          <w:p>
            <w:pPr>
              <w:pStyle w:val="TableParagraph"/>
              <w:spacing w:line="225" w:lineRule="exact"/>
              <w:ind w:left="105" w:right="100"/>
              <w:rPr>
                <w:sz w:val="20"/>
              </w:rPr>
            </w:pPr>
            <w:r>
              <w:rPr>
                <w:sz w:val="20"/>
              </w:rPr>
              <w:t>Palacios, 1996</w:t>
            </w:r>
          </w:p>
        </w:tc>
        <w:tc>
          <w:tcPr>
            <w:tcW w:w="2794" w:type="dxa"/>
          </w:tcPr>
          <w:p>
            <w:pPr>
              <w:pStyle w:val="TableParagraph"/>
              <w:spacing w:line="362" w:lineRule="auto"/>
              <w:ind w:left="100" w:right="1153"/>
              <w:rPr>
                <w:sz w:val="20"/>
              </w:rPr>
            </w:pPr>
            <w:r>
              <w:rPr>
                <w:sz w:val="20"/>
              </w:rPr>
              <w:t>Temascaltepec y Zinacantepec</w:t>
            </w:r>
          </w:p>
        </w:tc>
        <w:tc>
          <w:tcPr>
            <w:tcW w:w="1085" w:type="dxa"/>
          </w:tcPr>
          <w:p>
            <w:pPr>
              <w:pStyle w:val="TableParagraph"/>
              <w:spacing w:line="225" w:lineRule="exact"/>
              <w:ind w:left="86" w:right="28"/>
              <w:jc w:val="center"/>
              <w:rPr>
                <w:sz w:val="20"/>
              </w:rPr>
            </w:pPr>
            <w:r>
              <w:rPr>
                <w:sz w:val="20"/>
              </w:rPr>
              <w:t>68</w:t>
            </w:r>
          </w:p>
        </w:tc>
        <w:tc>
          <w:tcPr>
            <w:tcW w:w="1028" w:type="dxa"/>
          </w:tcPr>
          <w:p>
            <w:pPr>
              <w:pStyle w:val="TableParagraph"/>
              <w:spacing w:line="225" w:lineRule="exact"/>
              <w:ind w:left="88" w:right="31"/>
              <w:jc w:val="center"/>
              <w:rPr>
                <w:sz w:val="20"/>
              </w:rPr>
            </w:pPr>
            <w:r>
              <w:rPr>
                <w:sz w:val="20"/>
              </w:rPr>
              <w:t>62</w:t>
            </w:r>
          </w:p>
        </w:tc>
        <w:tc>
          <w:tcPr>
            <w:tcW w:w="1018" w:type="dxa"/>
          </w:tcPr>
          <w:p>
            <w:pPr>
              <w:pStyle w:val="TableParagraph"/>
              <w:spacing w:line="225" w:lineRule="exact"/>
              <w:ind w:left="456"/>
              <w:rPr>
                <w:sz w:val="20"/>
              </w:rPr>
            </w:pPr>
            <w:r>
              <w:rPr>
                <w:sz w:val="20"/>
              </w:rPr>
              <w:t>24</w:t>
            </w:r>
          </w:p>
        </w:tc>
      </w:tr>
      <w:tr>
        <w:trPr>
          <w:trHeight w:val="355" w:hRule="exact"/>
        </w:trPr>
        <w:tc>
          <w:tcPr>
            <w:tcW w:w="3702" w:type="dxa"/>
          </w:tcPr>
          <w:p>
            <w:pPr>
              <w:pStyle w:val="TableParagraph"/>
              <w:spacing w:line="225" w:lineRule="exact"/>
              <w:ind w:left="105" w:right="100"/>
              <w:rPr>
                <w:sz w:val="20"/>
              </w:rPr>
            </w:pPr>
            <w:r>
              <w:rPr>
                <w:sz w:val="20"/>
              </w:rPr>
              <w:t>López-Pérez, 1995</w:t>
            </w:r>
          </w:p>
        </w:tc>
        <w:tc>
          <w:tcPr>
            <w:tcW w:w="2794" w:type="dxa"/>
          </w:tcPr>
          <w:p>
            <w:pPr>
              <w:pStyle w:val="TableParagraph"/>
              <w:spacing w:line="225" w:lineRule="exact"/>
              <w:ind w:left="100"/>
              <w:rPr>
                <w:sz w:val="20"/>
              </w:rPr>
            </w:pPr>
            <w:r>
              <w:rPr>
                <w:sz w:val="20"/>
              </w:rPr>
              <w:t>Valle de Bravo</w:t>
            </w:r>
          </w:p>
        </w:tc>
        <w:tc>
          <w:tcPr>
            <w:tcW w:w="1085" w:type="dxa"/>
          </w:tcPr>
          <w:p>
            <w:pPr>
              <w:pStyle w:val="TableParagraph"/>
              <w:spacing w:line="225" w:lineRule="exact"/>
              <w:ind w:left="79" w:right="81"/>
              <w:jc w:val="center"/>
              <w:rPr>
                <w:sz w:val="20"/>
              </w:rPr>
            </w:pPr>
            <w:r>
              <w:rPr>
                <w:sz w:val="20"/>
              </w:rPr>
              <w:t>344</w:t>
            </w:r>
          </w:p>
        </w:tc>
        <w:tc>
          <w:tcPr>
            <w:tcW w:w="1028" w:type="dxa"/>
          </w:tcPr>
          <w:p>
            <w:pPr>
              <w:pStyle w:val="TableParagraph"/>
              <w:spacing w:line="225" w:lineRule="exact"/>
              <w:ind w:left="75" w:right="78"/>
              <w:jc w:val="center"/>
              <w:rPr>
                <w:sz w:val="20"/>
              </w:rPr>
            </w:pPr>
            <w:r>
              <w:rPr>
                <w:sz w:val="20"/>
              </w:rPr>
              <w:t>230</w:t>
            </w:r>
          </w:p>
        </w:tc>
        <w:tc>
          <w:tcPr>
            <w:tcW w:w="1018" w:type="dxa"/>
          </w:tcPr>
          <w:p>
            <w:pPr>
              <w:pStyle w:val="TableParagraph"/>
              <w:spacing w:line="225" w:lineRule="exact"/>
              <w:ind w:left="86" w:right="30"/>
              <w:jc w:val="center"/>
              <w:rPr>
                <w:sz w:val="20"/>
              </w:rPr>
            </w:pPr>
            <w:r>
              <w:rPr>
                <w:sz w:val="20"/>
              </w:rPr>
              <w:t>81</w:t>
            </w:r>
          </w:p>
        </w:tc>
      </w:tr>
      <w:tr>
        <w:trPr>
          <w:trHeight w:val="355" w:hRule="exact"/>
        </w:trPr>
        <w:tc>
          <w:tcPr>
            <w:tcW w:w="3702" w:type="dxa"/>
          </w:tcPr>
          <w:p>
            <w:pPr>
              <w:pStyle w:val="TableParagraph"/>
              <w:spacing w:line="225" w:lineRule="exact"/>
              <w:ind w:left="105" w:right="100"/>
              <w:rPr>
                <w:sz w:val="20"/>
              </w:rPr>
            </w:pPr>
            <w:r>
              <w:rPr>
                <w:sz w:val="20"/>
              </w:rPr>
              <w:t>Orozco-Villa, 1995</w:t>
            </w:r>
          </w:p>
        </w:tc>
        <w:tc>
          <w:tcPr>
            <w:tcW w:w="2794" w:type="dxa"/>
          </w:tcPr>
          <w:p>
            <w:pPr>
              <w:pStyle w:val="TableParagraph"/>
              <w:spacing w:line="225" w:lineRule="exact"/>
              <w:ind w:left="100"/>
              <w:rPr>
                <w:sz w:val="20"/>
              </w:rPr>
            </w:pPr>
            <w:r>
              <w:rPr>
                <w:sz w:val="20"/>
              </w:rPr>
              <w:t>Temascaltepec</w:t>
            </w:r>
          </w:p>
        </w:tc>
        <w:tc>
          <w:tcPr>
            <w:tcW w:w="1085" w:type="dxa"/>
          </w:tcPr>
          <w:p>
            <w:pPr>
              <w:pStyle w:val="TableParagraph"/>
              <w:spacing w:line="225" w:lineRule="exact"/>
              <w:ind w:left="79" w:right="81"/>
              <w:jc w:val="center"/>
              <w:rPr>
                <w:sz w:val="20"/>
              </w:rPr>
            </w:pPr>
            <w:r>
              <w:rPr>
                <w:sz w:val="20"/>
              </w:rPr>
              <w:t>625</w:t>
            </w:r>
          </w:p>
        </w:tc>
        <w:tc>
          <w:tcPr>
            <w:tcW w:w="1028" w:type="dxa"/>
          </w:tcPr>
          <w:p>
            <w:pPr>
              <w:pStyle w:val="TableParagraph"/>
              <w:spacing w:line="225" w:lineRule="exact"/>
              <w:ind w:left="75" w:right="78"/>
              <w:jc w:val="center"/>
              <w:rPr>
                <w:sz w:val="20"/>
              </w:rPr>
            </w:pPr>
            <w:r>
              <w:rPr>
                <w:sz w:val="20"/>
              </w:rPr>
              <w:t>331</w:t>
            </w:r>
          </w:p>
        </w:tc>
        <w:tc>
          <w:tcPr>
            <w:tcW w:w="1018" w:type="dxa"/>
          </w:tcPr>
          <w:p>
            <w:pPr>
              <w:pStyle w:val="TableParagraph"/>
              <w:spacing w:line="225" w:lineRule="exact"/>
              <w:ind w:left="86" w:right="30"/>
              <w:jc w:val="center"/>
              <w:rPr>
                <w:sz w:val="20"/>
              </w:rPr>
            </w:pPr>
            <w:r>
              <w:rPr>
                <w:sz w:val="20"/>
              </w:rPr>
              <w:t>98</w:t>
            </w:r>
          </w:p>
        </w:tc>
      </w:tr>
      <w:tr>
        <w:trPr>
          <w:trHeight w:val="701" w:hRule="exact"/>
        </w:trPr>
        <w:tc>
          <w:tcPr>
            <w:tcW w:w="3702" w:type="dxa"/>
          </w:tcPr>
          <w:p>
            <w:pPr>
              <w:pStyle w:val="TableParagraph"/>
              <w:tabs>
                <w:tab w:pos="1862" w:val="left" w:leader="none"/>
                <w:tab w:pos="2183" w:val="left" w:leader="none"/>
              </w:tabs>
              <w:spacing w:line="360" w:lineRule="auto"/>
              <w:ind w:left="105" w:right="100"/>
              <w:rPr>
                <w:sz w:val="20"/>
              </w:rPr>
            </w:pPr>
            <w:r>
              <w:rPr>
                <w:sz w:val="20"/>
              </w:rPr>
              <w:t>Miranda-Jiménez</w:t>
              <w:tab/>
              <w:t>y</w:t>
              <w:tab/>
            </w:r>
            <w:r>
              <w:rPr>
                <w:spacing w:val="-1"/>
                <w:sz w:val="20"/>
              </w:rPr>
              <w:t>González-Ortíz, </w:t>
            </w:r>
            <w:r>
              <w:rPr>
                <w:sz w:val="20"/>
              </w:rPr>
              <w:t>1993</w:t>
            </w:r>
          </w:p>
        </w:tc>
        <w:tc>
          <w:tcPr>
            <w:tcW w:w="2794" w:type="dxa"/>
          </w:tcPr>
          <w:p>
            <w:pPr>
              <w:pStyle w:val="TableParagraph"/>
              <w:spacing w:before="167"/>
              <w:ind w:left="100"/>
              <w:rPr>
                <w:sz w:val="20"/>
              </w:rPr>
            </w:pPr>
            <w:r>
              <w:rPr>
                <w:sz w:val="20"/>
              </w:rPr>
              <w:t>Holotepec</w:t>
            </w:r>
          </w:p>
        </w:tc>
        <w:tc>
          <w:tcPr>
            <w:tcW w:w="1085" w:type="dxa"/>
          </w:tcPr>
          <w:p>
            <w:pPr>
              <w:pStyle w:val="TableParagraph"/>
              <w:spacing w:line="225" w:lineRule="exact"/>
              <w:ind w:left="79" w:right="81"/>
              <w:jc w:val="center"/>
              <w:rPr>
                <w:sz w:val="20"/>
              </w:rPr>
            </w:pPr>
            <w:r>
              <w:rPr>
                <w:sz w:val="20"/>
              </w:rPr>
              <w:t>451</w:t>
            </w:r>
          </w:p>
        </w:tc>
        <w:tc>
          <w:tcPr>
            <w:tcW w:w="1028" w:type="dxa"/>
          </w:tcPr>
          <w:p>
            <w:pPr>
              <w:pStyle w:val="TableParagraph"/>
              <w:spacing w:line="225" w:lineRule="exact"/>
              <w:ind w:left="75" w:right="78"/>
              <w:jc w:val="center"/>
              <w:rPr>
                <w:sz w:val="20"/>
              </w:rPr>
            </w:pPr>
            <w:r>
              <w:rPr>
                <w:sz w:val="20"/>
              </w:rPr>
              <w:t>249</w:t>
            </w:r>
          </w:p>
        </w:tc>
        <w:tc>
          <w:tcPr>
            <w:tcW w:w="1018" w:type="dxa"/>
          </w:tcPr>
          <w:p>
            <w:pPr>
              <w:pStyle w:val="TableParagraph"/>
              <w:spacing w:line="225" w:lineRule="exact"/>
              <w:ind w:left="86" w:right="30"/>
              <w:jc w:val="center"/>
              <w:rPr>
                <w:sz w:val="20"/>
              </w:rPr>
            </w:pPr>
            <w:r>
              <w:rPr>
                <w:sz w:val="20"/>
              </w:rPr>
              <w:t>82</w:t>
            </w:r>
          </w:p>
        </w:tc>
      </w:tr>
      <w:tr>
        <w:trPr>
          <w:trHeight w:val="701" w:hRule="exact"/>
        </w:trPr>
        <w:tc>
          <w:tcPr>
            <w:tcW w:w="3702" w:type="dxa"/>
          </w:tcPr>
          <w:p>
            <w:pPr>
              <w:pStyle w:val="TableParagraph"/>
              <w:tabs>
                <w:tab w:pos="1819" w:val="left" w:leader="none"/>
                <w:tab w:pos="2222" w:val="left" w:leader="none"/>
              </w:tabs>
              <w:spacing w:line="360" w:lineRule="auto"/>
              <w:ind w:left="105" w:right="100"/>
              <w:rPr>
                <w:sz w:val="20"/>
              </w:rPr>
            </w:pPr>
            <w:r>
              <w:rPr>
                <w:sz w:val="20"/>
              </w:rPr>
              <w:t>Romero-Rangel</w:t>
              <w:tab/>
              <w:t>y</w:t>
              <w:tab/>
            </w:r>
            <w:r>
              <w:rPr>
                <w:spacing w:val="-1"/>
                <w:sz w:val="20"/>
              </w:rPr>
              <w:t>Rojas-Zenteno, </w:t>
            </w:r>
            <w:r>
              <w:rPr>
                <w:sz w:val="20"/>
              </w:rPr>
              <w:t>1991</w:t>
            </w:r>
          </w:p>
        </w:tc>
        <w:tc>
          <w:tcPr>
            <w:tcW w:w="2794" w:type="dxa"/>
          </w:tcPr>
          <w:p>
            <w:pPr>
              <w:pStyle w:val="TableParagraph"/>
              <w:spacing w:before="167"/>
              <w:ind w:left="100"/>
              <w:rPr>
                <w:sz w:val="20"/>
              </w:rPr>
            </w:pPr>
            <w:r>
              <w:rPr>
                <w:sz w:val="20"/>
              </w:rPr>
              <w:t>Huehuetoca</w:t>
            </w:r>
          </w:p>
        </w:tc>
        <w:tc>
          <w:tcPr>
            <w:tcW w:w="1085" w:type="dxa"/>
          </w:tcPr>
          <w:p>
            <w:pPr>
              <w:pStyle w:val="TableParagraph"/>
              <w:spacing w:line="225" w:lineRule="exact"/>
              <w:ind w:left="79" w:right="81"/>
              <w:jc w:val="center"/>
              <w:rPr>
                <w:sz w:val="20"/>
              </w:rPr>
            </w:pPr>
            <w:r>
              <w:rPr>
                <w:sz w:val="20"/>
              </w:rPr>
              <w:t>579</w:t>
            </w:r>
          </w:p>
        </w:tc>
        <w:tc>
          <w:tcPr>
            <w:tcW w:w="1028" w:type="dxa"/>
          </w:tcPr>
          <w:p>
            <w:pPr>
              <w:pStyle w:val="TableParagraph"/>
              <w:spacing w:line="225" w:lineRule="exact"/>
              <w:ind w:left="75" w:right="78"/>
              <w:jc w:val="center"/>
              <w:rPr>
                <w:sz w:val="20"/>
              </w:rPr>
            </w:pPr>
            <w:r>
              <w:rPr>
                <w:sz w:val="20"/>
              </w:rPr>
              <w:t>327</w:t>
            </w:r>
          </w:p>
        </w:tc>
        <w:tc>
          <w:tcPr>
            <w:tcW w:w="1018" w:type="dxa"/>
          </w:tcPr>
          <w:p>
            <w:pPr>
              <w:pStyle w:val="TableParagraph"/>
              <w:spacing w:line="225" w:lineRule="exact"/>
              <w:ind w:left="86" w:right="30"/>
              <w:jc w:val="center"/>
              <w:rPr>
                <w:sz w:val="20"/>
              </w:rPr>
            </w:pPr>
            <w:r>
              <w:rPr>
                <w:sz w:val="20"/>
              </w:rPr>
              <w:t>83</w:t>
            </w:r>
          </w:p>
        </w:tc>
      </w:tr>
    </w:tbl>
    <w:p>
      <w:pPr>
        <w:spacing w:line="273" w:lineRule="auto" w:before="1"/>
        <w:ind w:left="216" w:right="291" w:firstLine="0"/>
        <w:jc w:val="left"/>
        <w:rPr>
          <w:rFonts w:ascii="Calibri" w:hAnsi="Calibri"/>
          <w:b/>
          <w:i/>
          <w:sz w:val="22"/>
        </w:rPr>
      </w:pPr>
      <w:r>
        <w:rPr>
          <w:rFonts w:ascii="Calibri" w:hAnsi="Calibri"/>
          <w:b/>
          <w:i/>
          <w:sz w:val="22"/>
        </w:rPr>
        <w:t>Fuente: Elaboración propia, a partir de información bibliográfica. El arreglo de la lista bibliográfica se </w:t>
      </w:r>
      <w:r>
        <w:rPr>
          <w:rFonts w:ascii="Calibri" w:hAnsi="Calibri"/>
          <w:b/>
          <w:i/>
          <w:sz w:val="22"/>
        </w:rPr>
        <w:t>basó en el año de publicación del trabajo de investigación.</w:t>
      </w:r>
    </w:p>
    <w:p>
      <w:pPr>
        <w:spacing w:after="0" w:line="273" w:lineRule="auto"/>
        <w:jc w:val="left"/>
        <w:rPr>
          <w:rFonts w:ascii="Calibri" w:hAnsi="Calibri"/>
          <w:sz w:val="22"/>
        </w:rPr>
        <w:sectPr>
          <w:pgSz w:w="12240" w:h="15840"/>
          <w:pgMar w:header="690" w:footer="1146" w:top="880" w:bottom="1340" w:left="1200" w:right="1180"/>
        </w:sectPr>
      </w:pPr>
    </w:p>
    <w:p>
      <w:pPr>
        <w:pStyle w:val="BodyText"/>
        <w:rPr>
          <w:rFonts w:ascii="Calibri"/>
          <w:b/>
          <w:i/>
          <w:sz w:val="20"/>
        </w:rPr>
      </w:pPr>
    </w:p>
    <w:p>
      <w:pPr>
        <w:pStyle w:val="BodyText"/>
        <w:spacing w:before="1" w:after="1"/>
        <w:rPr>
          <w:rFonts w:ascii="Calibri"/>
          <w:b/>
          <w:i/>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60"/>
        <w:gridCol w:w="2237"/>
        <w:gridCol w:w="1085"/>
        <w:gridCol w:w="1028"/>
        <w:gridCol w:w="1018"/>
      </w:tblGrid>
      <w:tr>
        <w:trPr>
          <w:trHeight w:val="355" w:hRule="exact"/>
        </w:trPr>
        <w:tc>
          <w:tcPr>
            <w:tcW w:w="9628" w:type="dxa"/>
            <w:gridSpan w:val="5"/>
          </w:tcPr>
          <w:p>
            <w:pPr>
              <w:pStyle w:val="TableParagraph"/>
              <w:spacing w:line="220" w:lineRule="exact"/>
              <w:ind w:left="1459"/>
              <w:rPr>
                <w:b/>
                <w:i/>
                <w:sz w:val="20"/>
              </w:rPr>
            </w:pPr>
            <w:r>
              <w:rPr>
                <w:b/>
                <w:i/>
                <w:sz w:val="20"/>
              </w:rPr>
              <w:t>Cuadro 1. Publicaciones florísticas en el Estado de México (Continúa).</w:t>
            </w:r>
          </w:p>
        </w:tc>
      </w:tr>
      <w:tr>
        <w:trPr>
          <w:trHeight w:val="355" w:hRule="exact"/>
        </w:trPr>
        <w:tc>
          <w:tcPr>
            <w:tcW w:w="4260" w:type="dxa"/>
            <w:shd w:val="clear" w:color="auto" w:fill="BEBEBE"/>
          </w:tcPr>
          <w:p>
            <w:pPr>
              <w:pStyle w:val="TableParagraph"/>
              <w:spacing w:line="220" w:lineRule="exact"/>
              <w:ind w:left="869"/>
              <w:rPr>
                <w:b/>
                <w:sz w:val="20"/>
              </w:rPr>
            </w:pPr>
            <w:r>
              <w:rPr>
                <w:b/>
                <w:sz w:val="20"/>
              </w:rPr>
              <w:t>Referencias Bibliográficas</w:t>
            </w:r>
          </w:p>
        </w:tc>
        <w:tc>
          <w:tcPr>
            <w:tcW w:w="2237" w:type="dxa"/>
            <w:shd w:val="clear" w:color="auto" w:fill="BEBEBE"/>
          </w:tcPr>
          <w:p>
            <w:pPr>
              <w:pStyle w:val="TableParagraph"/>
              <w:spacing w:line="220" w:lineRule="exact"/>
              <w:ind w:left="374"/>
              <w:rPr>
                <w:b/>
                <w:sz w:val="20"/>
              </w:rPr>
            </w:pPr>
            <w:r>
              <w:rPr>
                <w:b/>
                <w:sz w:val="20"/>
              </w:rPr>
              <w:t>Sitio de colecta</w:t>
            </w:r>
          </w:p>
        </w:tc>
        <w:tc>
          <w:tcPr>
            <w:tcW w:w="1085" w:type="dxa"/>
            <w:shd w:val="clear" w:color="auto" w:fill="BEBEBE"/>
          </w:tcPr>
          <w:p>
            <w:pPr>
              <w:pStyle w:val="TableParagraph"/>
              <w:spacing w:line="220" w:lineRule="exact"/>
              <w:ind w:left="86" w:right="81"/>
              <w:jc w:val="center"/>
              <w:rPr>
                <w:b/>
                <w:sz w:val="20"/>
              </w:rPr>
            </w:pPr>
            <w:r>
              <w:rPr>
                <w:b/>
                <w:sz w:val="20"/>
              </w:rPr>
              <w:t>Especies</w:t>
            </w:r>
          </w:p>
        </w:tc>
        <w:tc>
          <w:tcPr>
            <w:tcW w:w="1028" w:type="dxa"/>
            <w:shd w:val="clear" w:color="auto" w:fill="BEBEBE"/>
          </w:tcPr>
          <w:p>
            <w:pPr>
              <w:pStyle w:val="TableParagraph"/>
              <w:spacing w:line="220" w:lineRule="exact"/>
              <w:ind w:left="88" w:right="78"/>
              <w:jc w:val="center"/>
              <w:rPr>
                <w:b/>
                <w:sz w:val="20"/>
              </w:rPr>
            </w:pPr>
            <w:r>
              <w:rPr>
                <w:b/>
                <w:sz w:val="20"/>
              </w:rPr>
              <w:t>Géneros</w:t>
            </w:r>
          </w:p>
        </w:tc>
        <w:tc>
          <w:tcPr>
            <w:tcW w:w="1018" w:type="dxa"/>
            <w:shd w:val="clear" w:color="auto" w:fill="BEBEBE"/>
          </w:tcPr>
          <w:p>
            <w:pPr>
              <w:pStyle w:val="TableParagraph"/>
              <w:spacing w:line="220" w:lineRule="exact"/>
              <w:ind w:left="86" w:right="81"/>
              <w:jc w:val="center"/>
              <w:rPr>
                <w:b/>
                <w:sz w:val="20"/>
              </w:rPr>
            </w:pPr>
            <w:r>
              <w:rPr>
                <w:b/>
                <w:sz w:val="20"/>
              </w:rPr>
              <w:t>Familias</w:t>
            </w:r>
          </w:p>
        </w:tc>
      </w:tr>
      <w:tr>
        <w:trPr>
          <w:trHeight w:val="356" w:hRule="exact"/>
        </w:trPr>
        <w:tc>
          <w:tcPr>
            <w:tcW w:w="4260" w:type="dxa"/>
          </w:tcPr>
          <w:p>
            <w:pPr>
              <w:pStyle w:val="TableParagraph"/>
              <w:spacing w:line="225" w:lineRule="exact"/>
              <w:ind w:left="105"/>
              <w:rPr>
                <w:sz w:val="20"/>
              </w:rPr>
            </w:pPr>
            <w:r>
              <w:rPr>
                <w:sz w:val="20"/>
              </w:rPr>
              <w:t>Fragoso-Ramírez, 1990</w:t>
            </w:r>
          </w:p>
        </w:tc>
        <w:tc>
          <w:tcPr>
            <w:tcW w:w="2237" w:type="dxa"/>
          </w:tcPr>
          <w:p>
            <w:pPr>
              <w:pStyle w:val="TableParagraph"/>
              <w:spacing w:line="225" w:lineRule="exact"/>
              <w:ind w:left="100"/>
              <w:rPr>
                <w:sz w:val="20"/>
              </w:rPr>
            </w:pPr>
            <w:r>
              <w:rPr>
                <w:sz w:val="20"/>
              </w:rPr>
              <w:t>Zacualpan</w:t>
            </w:r>
          </w:p>
        </w:tc>
        <w:tc>
          <w:tcPr>
            <w:tcW w:w="1085" w:type="dxa"/>
          </w:tcPr>
          <w:p>
            <w:pPr>
              <w:pStyle w:val="TableParagraph"/>
              <w:spacing w:line="225" w:lineRule="exact"/>
              <w:ind w:left="79" w:right="81"/>
              <w:jc w:val="center"/>
              <w:rPr>
                <w:sz w:val="20"/>
              </w:rPr>
            </w:pPr>
            <w:r>
              <w:rPr>
                <w:sz w:val="20"/>
              </w:rPr>
              <w:t>498</w:t>
            </w:r>
          </w:p>
        </w:tc>
        <w:tc>
          <w:tcPr>
            <w:tcW w:w="1028" w:type="dxa"/>
          </w:tcPr>
          <w:p>
            <w:pPr>
              <w:pStyle w:val="TableParagraph"/>
              <w:spacing w:line="225" w:lineRule="exact"/>
              <w:ind w:left="75" w:right="78"/>
              <w:jc w:val="center"/>
              <w:rPr>
                <w:sz w:val="20"/>
              </w:rPr>
            </w:pPr>
            <w:r>
              <w:rPr>
                <w:sz w:val="20"/>
              </w:rPr>
              <w:t>208</w:t>
            </w:r>
          </w:p>
        </w:tc>
        <w:tc>
          <w:tcPr>
            <w:tcW w:w="1018" w:type="dxa"/>
          </w:tcPr>
          <w:p>
            <w:pPr>
              <w:pStyle w:val="TableParagraph"/>
              <w:spacing w:line="225" w:lineRule="exact"/>
              <w:ind w:left="78" w:right="81"/>
              <w:jc w:val="center"/>
              <w:rPr>
                <w:sz w:val="20"/>
              </w:rPr>
            </w:pPr>
            <w:r>
              <w:rPr>
                <w:sz w:val="20"/>
              </w:rPr>
              <w:t>101</w:t>
            </w:r>
          </w:p>
        </w:tc>
      </w:tr>
      <w:tr>
        <w:trPr>
          <w:trHeight w:val="355" w:hRule="exact"/>
        </w:trPr>
        <w:tc>
          <w:tcPr>
            <w:tcW w:w="4260" w:type="dxa"/>
          </w:tcPr>
          <w:p>
            <w:pPr>
              <w:pStyle w:val="TableParagraph"/>
              <w:spacing w:line="225" w:lineRule="exact"/>
              <w:ind w:left="105"/>
              <w:rPr>
                <w:sz w:val="20"/>
              </w:rPr>
            </w:pPr>
            <w:r>
              <w:rPr>
                <w:sz w:val="20"/>
              </w:rPr>
              <w:t>Núñez-Reynoso, 1990</w:t>
            </w:r>
          </w:p>
        </w:tc>
        <w:tc>
          <w:tcPr>
            <w:tcW w:w="2237" w:type="dxa"/>
          </w:tcPr>
          <w:p>
            <w:pPr>
              <w:pStyle w:val="TableParagraph"/>
              <w:spacing w:line="225" w:lineRule="exact"/>
              <w:ind w:left="100"/>
              <w:rPr>
                <w:sz w:val="20"/>
              </w:rPr>
            </w:pPr>
            <w:r>
              <w:rPr>
                <w:sz w:val="20"/>
              </w:rPr>
              <w:t>Sierra de Alcaparrosa</w:t>
            </w:r>
          </w:p>
        </w:tc>
        <w:tc>
          <w:tcPr>
            <w:tcW w:w="1085" w:type="dxa"/>
          </w:tcPr>
          <w:p>
            <w:pPr>
              <w:pStyle w:val="TableParagraph"/>
              <w:spacing w:line="225" w:lineRule="exact"/>
              <w:ind w:left="79" w:right="81"/>
              <w:jc w:val="center"/>
              <w:rPr>
                <w:sz w:val="20"/>
              </w:rPr>
            </w:pPr>
            <w:r>
              <w:rPr>
                <w:sz w:val="20"/>
              </w:rPr>
              <w:t>659</w:t>
            </w:r>
          </w:p>
        </w:tc>
        <w:tc>
          <w:tcPr>
            <w:tcW w:w="1028" w:type="dxa"/>
          </w:tcPr>
          <w:p>
            <w:pPr>
              <w:pStyle w:val="TableParagraph"/>
              <w:spacing w:line="225" w:lineRule="exact"/>
              <w:ind w:left="75" w:right="78"/>
              <w:jc w:val="center"/>
              <w:rPr>
                <w:sz w:val="20"/>
              </w:rPr>
            </w:pPr>
            <w:r>
              <w:rPr>
                <w:sz w:val="20"/>
              </w:rPr>
              <w:t>321</w:t>
            </w:r>
          </w:p>
        </w:tc>
        <w:tc>
          <w:tcPr>
            <w:tcW w:w="1018" w:type="dxa"/>
          </w:tcPr>
          <w:p>
            <w:pPr>
              <w:pStyle w:val="TableParagraph"/>
              <w:spacing w:line="225" w:lineRule="exact"/>
              <w:ind w:left="86" w:right="30"/>
              <w:jc w:val="center"/>
              <w:rPr>
                <w:sz w:val="20"/>
              </w:rPr>
            </w:pPr>
            <w:r>
              <w:rPr>
                <w:sz w:val="20"/>
              </w:rPr>
              <w:t>79</w:t>
            </w:r>
          </w:p>
        </w:tc>
      </w:tr>
      <w:tr>
        <w:trPr>
          <w:trHeight w:val="355" w:hRule="exact"/>
        </w:trPr>
        <w:tc>
          <w:tcPr>
            <w:tcW w:w="4260" w:type="dxa"/>
          </w:tcPr>
          <w:p>
            <w:pPr>
              <w:pStyle w:val="TableParagraph"/>
              <w:spacing w:line="220" w:lineRule="exact"/>
              <w:ind w:left="105"/>
              <w:rPr>
                <w:sz w:val="20"/>
              </w:rPr>
            </w:pPr>
            <w:r>
              <w:rPr>
                <w:sz w:val="20"/>
              </w:rPr>
              <w:t>Luna-Vega </w:t>
            </w:r>
            <w:r>
              <w:rPr>
                <w:i/>
                <w:sz w:val="20"/>
              </w:rPr>
              <w:t>et al., </w:t>
            </w:r>
            <w:r>
              <w:rPr>
                <w:sz w:val="20"/>
              </w:rPr>
              <w:t>1989</w:t>
            </w:r>
          </w:p>
        </w:tc>
        <w:tc>
          <w:tcPr>
            <w:tcW w:w="2237" w:type="dxa"/>
          </w:tcPr>
          <w:p>
            <w:pPr>
              <w:pStyle w:val="TableParagraph"/>
              <w:spacing w:line="225" w:lineRule="exact"/>
              <w:ind w:left="100"/>
              <w:rPr>
                <w:sz w:val="20"/>
              </w:rPr>
            </w:pPr>
            <w:r>
              <w:rPr>
                <w:sz w:val="20"/>
              </w:rPr>
              <w:t>Ocuilán</w:t>
            </w:r>
          </w:p>
        </w:tc>
        <w:tc>
          <w:tcPr>
            <w:tcW w:w="1085" w:type="dxa"/>
          </w:tcPr>
          <w:p>
            <w:pPr>
              <w:pStyle w:val="TableParagraph"/>
              <w:spacing w:line="225" w:lineRule="exact"/>
              <w:ind w:left="79" w:right="81"/>
              <w:jc w:val="center"/>
              <w:rPr>
                <w:sz w:val="20"/>
              </w:rPr>
            </w:pPr>
            <w:r>
              <w:rPr>
                <w:sz w:val="20"/>
              </w:rPr>
              <w:t>160</w:t>
            </w:r>
          </w:p>
        </w:tc>
        <w:tc>
          <w:tcPr>
            <w:tcW w:w="1028" w:type="dxa"/>
          </w:tcPr>
          <w:p>
            <w:pPr>
              <w:pStyle w:val="TableParagraph"/>
              <w:spacing w:line="225" w:lineRule="exact"/>
              <w:ind w:left="75" w:right="78"/>
              <w:jc w:val="center"/>
              <w:rPr>
                <w:sz w:val="20"/>
              </w:rPr>
            </w:pPr>
            <w:r>
              <w:rPr>
                <w:sz w:val="20"/>
              </w:rPr>
              <w:t>130</w:t>
            </w:r>
          </w:p>
        </w:tc>
        <w:tc>
          <w:tcPr>
            <w:tcW w:w="1018" w:type="dxa"/>
          </w:tcPr>
          <w:p>
            <w:pPr>
              <w:pStyle w:val="TableParagraph"/>
              <w:spacing w:line="225" w:lineRule="exact"/>
              <w:ind w:left="86" w:right="30"/>
              <w:jc w:val="center"/>
              <w:rPr>
                <w:sz w:val="20"/>
              </w:rPr>
            </w:pPr>
            <w:r>
              <w:rPr>
                <w:sz w:val="20"/>
              </w:rPr>
              <w:t>71</w:t>
            </w:r>
          </w:p>
        </w:tc>
      </w:tr>
      <w:tr>
        <w:trPr>
          <w:trHeight w:val="355" w:hRule="exact"/>
        </w:trPr>
        <w:tc>
          <w:tcPr>
            <w:tcW w:w="4260" w:type="dxa"/>
          </w:tcPr>
          <w:p>
            <w:pPr>
              <w:pStyle w:val="TableParagraph"/>
              <w:spacing w:line="225" w:lineRule="exact"/>
              <w:ind w:left="105"/>
              <w:rPr>
                <w:sz w:val="20"/>
              </w:rPr>
            </w:pPr>
            <w:r>
              <w:rPr>
                <w:sz w:val="20"/>
              </w:rPr>
              <w:t>Pulido y Koch, 1988</w:t>
            </w:r>
          </w:p>
        </w:tc>
        <w:tc>
          <w:tcPr>
            <w:tcW w:w="2237" w:type="dxa"/>
          </w:tcPr>
          <w:p>
            <w:pPr>
              <w:pStyle w:val="TableParagraph"/>
              <w:spacing w:line="225" w:lineRule="exact"/>
              <w:ind w:left="100"/>
              <w:rPr>
                <w:sz w:val="20"/>
              </w:rPr>
            </w:pPr>
            <w:r>
              <w:rPr>
                <w:sz w:val="20"/>
              </w:rPr>
              <w:t>Cerro Tetzcutzingo</w:t>
            </w:r>
          </w:p>
        </w:tc>
        <w:tc>
          <w:tcPr>
            <w:tcW w:w="1085" w:type="dxa"/>
          </w:tcPr>
          <w:p>
            <w:pPr>
              <w:pStyle w:val="TableParagraph"/>
              <w:spacing w:line="225" w:lineRule="exact"/>
              <w:ind w:left="79" w:right="81"/>
              <w:jc w:val="center"/>
              <w:rPr>
                <w:sz w:val="20"/>
              </w:rPr>
            </w:pPr>
            <w:r>
              <w:rPr>
                <w:sz w:val="20"/>
              </w:rPr>
              <w:t>375</w:t>
            </w:r>
          </w:p>
        </w:tc>
        <w:tc>
          <w:tcPr>
            <w:tcW w:w="1028" w:type="dxa"/>
          </w:tcPr>
          <w:p>
            <w:pPr>
              <w:pStyle w:val="TableParagraph"/>
              <w:spacing w:line="225" w:lineRule="exact"/>
              <w:ind w:left="75" w:right="78"/>
              <w:jc w:val="center"/>
              <w:rPr>
                <w:sz w:val="20"/>
              </w:rPr>
            </w:pPr>
            <w:r>
              <w:rPr>
                <w:sz w:val="20"/>
              </w:rPr>
              <w:t>234</w:t>
            </w:r>
          </w:p>
        </w:tc>
        <w:tc>
          <w:tcPr>
            <w:tcW w:w="1018" w:type="dxa"/>
          </w:tcPr>
          <w:p>
            <w:pPr>
              <w:pStyle w:val="TableParagraph"/>
              <w:spacing w:line="225" w:lineRule="exact"/>
              <w:ind w:left="86" w:right="30"/>
              <w:jc w:val="center"/>
              <w:rPr>
                <w:sz w:val="20"/>
              </w:rPr>
            </w:pPr>
            <w:r>
              <w:rPr>
                <w:sz w:val="20"/>
              </w:rPr>
              <w:t>70</w:t>
            </w:r>
          </w:p>
        </w:tc>
      </w:tr>
      <w:tr>
        <w:trPr>
          <w:trHeight w:val="356" w:hRule="exact"/>
        </w:trPr>
        <w:tc>
          <w:tcPr>
            <w:tcW w:w="4260" w:type="dxa"/>
          </w:tcPr>
          <w:p>
            <w:pPr>
              <w:pStyle w:val="TableParagraph"/>
              <w:spacing w:line="225" w:lineRule="exact"/>
              <w:ind w:left="105"/>
              <w:rPr>
                <w:sz w:val="20"/>
              </w:rPr>
            </w:pPr>
            <w:r>
              <w:rPr>
                <w:sz w:val="20"/>
              </w:rPr>
              <w:t>García-Ruíz, 1983</w:t>
            </w:r>
          </w:p>
        </w:tc>
        <w:tc>
          <w:tcPr>
            <w:tcW w:w="2237" w:type="dxa"/>
          </w:tcPr>
          <w:p>
            <w:pPr>
              <w:pStyle w:val="TableParagraph"/>
              <w:spacing w:line="225" w:lineRule="exact"/>
              <w:ind w:left="100"/>
              <w:rPr>
                <w:sz w:val="20"/>
              </w:rPr>
            </w:pPr>
            <w:r>
              <w:rPr>
                <w:sz w:val="20"/>
              </w:rPr>
              <w:t>Bejucos</w:t>
            </w:r>
          </w:p>
        </w:tc>
        <w:tc>
          <w:tcPr>
            <w:tcW w:w="1085" w:type="dxa"/>
          </w:tcPr>
          <w:p>
            <w:pPr>
              <w:pStyle w:val="TableParagraph"/>
              <w:spacing w:line="225" w:lineRule="exact"/>
              <w:ind w:left="79" w:right="81"/>
              <w:jc w:val="center"/>
              <w:rPr>
                <w:sz w:val="20"/>
              </w:rPr>
            </w:pPr>
            <w:r>
              <w:rPr>
                <w:sz w:val="20"/>
              </w:rPr>
              <w:t>147</w:t>
            </w:r>
          </w:p>
        </w:tc>
        <w:tc>
          <w:tcPr>
            <w:tcW w:w="1028" w:type="dxa"/>
          </w:tcPr>
          <w:p>
            <w:pPr>
              <w:pStyle w:val="TableParagraph"/>
              <w:spacing w:line="225" w:lineRule="exact"/>
              <w:ind w:left="75" w:right="78"/>
              <w:jc w:val="center"/>
              <w:rPr>
                <w:sz w:val="20"/>
              </w:rPr>
            </w:pPr>
            <w:r>
              <w:rPr>
                <w:sz w:val="20"/>
              </w:rPr>
              <w:t>104</w:t>
            </w:r>
          </w:p>
        </w:tc>
        <w:tc>
          <w:tcPr>
            <w:tcW w:w="1018" w:type="dxa"/>
          </w:tcPr>
          <w:p>
            <w:pPr>
              <w:pStyle w:val="TableParagraph"/>
              <w:spacing w:line="225" w:lineRule="exact"/>
              <w:ind w:left="86" w:right="30"/>
              <w:jc w:val="center"/>
              <w:rPr>
                <w:sz w:val="20"/>
              </w:rPr>
            </w:pPr>
            <w:r>
              <w:rPr>
                <w:sz w:val="20"/>
              </w:rPr>
              <w:t>43</w:t>
            </w:r>
          </w:p>
        </w:tc>
      </w:tr>
      <w:tr>
        <w:trPr>
          <w:trHeight w:val="355" w:hRule="exact"/>
        </w:trPr>
        <w:tc>
          <w:tcPr>
            <w:tcW w:w="4260" w:type="dxa"/>
          </w:tcPr>
          <w:p>
            <w:pPr>
              <w:pStyle w:val="TableParagraph"/>
              <w:spacing w:line="225" w:lineRule="exact"/>
              <w:ind w:left="105"/>
              <w:rPr>
                <w:sz w:val="20"/>
              </w:rPr>
            </w:pPr>
            <w:r>
              <w:rPr>
                <w:sz w:val="20"/>
              </w:rPr>
              <w:t>Guizar-Nolazco, 1983</w:t>
            </w:r>
          </w:p>
        </w:tc>
        <w:tc>
          <w:tcPr>
            <w:tcW w:w="2237" w:type="dxa"/>
          </w:tcPr>
          <w:p>
            <w:pPr>
              <w:pStyle w:val="TableParagraph"/>
              <w:spacing w:line="225" w:lineRule="exact"/>
              <w:ind w:left="100"/>
              <w:rPr>
                <w:sz w:val="20"/>
              </w:rPr>
            </w:pPr>
            <w:r>
              <w:rPr>
                <w:sz w:val="20"/>
              </w:rPr>
              <w:t>Tejupilco</w:t>
            </w:r>
          </w:p>
        </w:tc>
        <w:tc>
          <w:tcPr>
            <w:tcW w:w="1085" w:type="dxa"/>
          </w:tcPr>
          <w:p>
            <w:pPr>
              <w:pStyle w:val="TableParagraph"/>
              <w:spacing w:line="225" w:lineRule="exact"/>
              <w:ind w:left="79" w:right="81"/>
              <w:jc w:val="center"/>
              <w:rPr>
                <w:sz w:val="20"/>
              </w:rPr>
            </w:pPr>
            <w:r>
              <w:rPr>
                <w:sz w:val="20"/>
              </w:rPr>
              <w:t>629</w:t>
            </w:r>
          </w:p>
        </w:tc>
        <w:tc>
          <w:tcPr>
            <w:tcW w:w="1028" w:type="dxa"/>
          </w:tcPr>
          <w:p>
            <w:pPr>
              <w:pStyle w:val="TableParagraph"/>
              <w:spacing w:line="225" w:lineRule="exact"/>
              <w:ind w:left="75" w:right="78"/>
              <w:jc w:val="center"/>
              <w:rPr>
                <w:sz w:val="20"/>
              </w:rPr>
            </w:pPr>
            <w:r>
              <w:rPr>
                <w:sz w:val="20"/>
              </w:rPr>
              <w:t>297</w:t>
            </w:r>
          </w:p>
        </w:tc>
        <w:tc>
          <w:tcPr>
            <w:tcW w:w="1018" w:type="dxa"/>
          </w:tcPr>
          <w:p>
            <w:pPr>
              <w:pStyle w:val="TableParagraph"/>
              <w:spacing w:line="225" w:lineRule="exact"/>
              <w:ind w:left="86" w:right="30"/>
              <w:jc w:val="center"/>
              <w:rPr>
                <w:sz w:val="20"/>
              </w:rPr>
            </w:pPr>
            <w:r>
              <w:rPr>
                <w:sz w:val="20"/>
              </w:rPr>
              <w:t>99</w:t>
            </w:r>
          </w:p>
        </w:tc>
      </w:tr>
      <w:tr>
        <w:trPr>
          <w:trHeight w:val="355" w:hRule="exact"/>
        </w:trPr>
        <w:tc>
          <w:tcPr>
            <w:tcW w:w="4260" w:type="dxa"/>
          </w:tcPr>
          <w:p>
            <w:pPr>
              <w:pStyle w:val="TableParagraph"/>
              <w:spacing w:line="225" w:lineRule="exact"/>
              <w:ind w:left="105"/>
              <w:rPr>
                <w:sz w:val="20"/>
              </w:rPr>
            </w:pPr>
            <w:r>
              <w:rPr>
                <w:sz w:val="20"/>
              </w:rPr>
              <w:t>Castilla-Hernández y Tejero-Díez, 1983</w:t>
            </w:r>
          </w:p>
        </w:tc>
        <w:tc>
          <w:tcPr>
            <w:tcW w:w="2237" w:type="dxa"/>
          </w:tcPr>
          <w:p>
            <w:pPr>
              <w:pStyle w:val="TableParagraph"/>
              <w:spacing w:line="225" w:lineRule="exact"/>
              <w:ind w:left="100"/>
              <w:rPr>
                <w:sz w:val="20"/>
              </w:rPr>
            </w:pPr>
            <w:r>
              <w:rPr>
                <w:sz w:val="20"/>
              </w:rPr>
              <w:t>Cerro gordo</w:t>
            </w:r>
          </w:p>
        </w:tc>
        <w:tc>
          <w:tcPr>
            <w:tcW w:w="1085" w:type="dxa"/>
          </w:tcPr>
          <w:p>
            <w:pPr>
              <w:pStyle w:val="TableParagraph"/>
              <w:spacing w:line="225" w:lineRule="exact"/>
              <w:ind w:left="79" w:right="81"/>
              <w:jc w:val="center"/>
              <w:rPr>
                <w:sz w:val="20"/>
              </w:rPr>
            </w:pPr>
            <w:r>
              <w:rPr>
                <w:sz w:val="20"/>
              </w:rPr>
              <w:t>334</w:t>
            </w:r>
          </w:p>
        </w:tc>
        <w:tc>
          <w:tcPr>
            <w:tcW w:w="1028" w:type="dxa"/>
          </w:tcPr>
          <w:p>
            <w:pPr>
              <w:pStyle w:val="TableParagraph"/>
              <w:spacing w:line="225" w:lineRule="exact"/>
              <w:ind w:left="75" w:right="78"/>
              <w:jc w:val="center"/>
              <w:rPr>
                <w:sz w:val="20"/>
              </w:rPr>
            </w:pPr>
            <w:r>
              <w:rPr>
                <w:sz w:val="20"/>
              </w:rPr>
              <w:t>230</w:t>
            </w:r>
          </w:p>
        </w:tc>
        <w:tc>
          <w:tcPr>
            <w:tcW w:w="1018" w:type="dxa"/>
          </w:tcPr>
          <w:p>
            <w:pPr>
              <w:pStyle w:val="TableParagraph"/>
              <w:spacing w:line="225" w:lineRule="exact"/>
              <w:ind w:left="86" w:right="30"/>
              <w:jc w:val="center"/>
              <w:rPr>
                <w:sz w:val="20"/>
              </w:rPr>
            </w:pPr>
            <w:r>
              <w:rPr>
                <w:sz w:val="20"/>
              </w:rPr>
              <w:t>81</w:t>
            </w:r>
          </w:p>
        </w:tc>
      </w:tr>
    </w:tbl>
    <w:p>
      <w:pPr>
        <w:spacing w:line="271" w:lineRule="auto" w:before="0"/>
        <w:ind w:left="216" w:right="84" w:firstLine="0"/>
        <w:jc w:val="left"/>
        <w:rPr>
          <w:b/>
          <w:i/>
          <w:sz w:val="20"/>
        </w:rPr>
      </w:pPr>
      <w:r>
        <w:rPr>
          <w:b/>
          <w:i/>
          <w:sz w:val="20"/>
        </w:rPr>
        <w:t>Fuente: Elaboración propia, a partir de información bibliográfica. El arreglo de la lista bibliográfica </w:t>
      </w:r>
      <w:r>
        <w:rPr>
          <w:b/>
          <w:i/>
          <w:sz w:val="20"/>
        </w:rPr>
        <w:t>se basó en el año de publicación del trabajo de investigación.</w:t>
      </w:r>
    </w:p>
    <w:p>
      <w:pPr>
        <w:pStyle w:val="BodyText"/>
        <w:rPr>
          <w:b/>
          <w:i/>
          <w:sz w:val="20"/>
        </w:rPr>
      </w:pPr>
    </w:p>
    <w:p>
      <w:pPr>
        <w:pStyle w:val="BodyText"/>
        <w:rPr>
          <w:b/>
          <w:i/>
          <w:sz w:val="20"/>
        </w:rPr>
      </w:pPr>
    </w:p>
    <w:p>
      <w:pPr>
        <w:pStyle w:val="BodyText"/>
        <w:rPr>
          <w:b/>
          <w:i/>
          <w:sz w:val="19"/>
        </w:rPr>
      </w:pPr>
    </w:p>
    <w:p>
      <w:pPr>
        <w:pStyle w:val="BodyText"/>
        <w:spacing w:line="360" w:lineRule="auto"/>
        <w:ind w:left="216" w:right="291"/>
      </w:pPr>
      <w:r>
        <w:rPr/>
        <w:t>En el municipio de Temascaltepec se han realizado estudios taxonómicos de algunas familias en particular (Cuadro 2).</w:t>
      </w:r>
    </w:p>
    <w:p>
      <w:pPr>
        <w:pStyle w:val="BodyText"/>
        <w:rPr>
          <w:sz w:val="20"/>
        </w:rPr>
      </w:pPr>
    </w:p>
    <w:p>
      <w:pPr>
        <w:pStyle w:val="BodyText"/>
        <w:rPr>
          <w:sz w:val="20"/>
        </w:rPr>
      </w:pPr>
    </w:p>
    <w:p>
      <w:pPr>
        <w:pStyle w:val="BodyText"/>
        <w:spacing w:before="7"/>
        <w:rPr>
          <w:sz w:val="13"/>
        </w:rPr>
      </w:pPr>
    </w:p>
    <w:tbl>
      <w:tblPr>
        <w:tblW w:w="0" w:type="auto"/>
        <w:jc w:val="left"/>
        <w:tblInd w:w="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6"/>
        <w:gridCol w:w="4576"/>
        <w:gridCol w:w="2267"/>
      </w:tblGrid>
      <w:tr>
        <w:trPr>
          <w:trHeight w:val="701" w:hRule="exact"/>
        </w:trPr>
        <w:tc>
          <w:tcPr>
            <w:tcW w:w="9359" w:type="dxa"/>
            <w:gridSpan w:val="3"/>
          </w:tcPr>
          <w:p>
            <w:pPr>
              <w:pStyle w:val="TableParagraph"/>
              <w:spacing w:line="360" w:lineRule="auto"/>
              <w:ind w:left="1075" w:right="89" w:hanging="971"/>
              <w:rPr>
                <w:b/>
                <w:i/>
                <w:sz w:val="20"/>
              </w:rPr>
            </w:pPr>
            <w:r>
              <w:rPr>
                <w:b/>
                <w:i/>
                <w:sz w:val="20"/>
              </w:rPr>
              <w:t>Cuadro 2. Estudios taxonómicos de algunas familias de flora en el municipio de Temascaltepec, </w:t>
            </w:r>
            <w:r>
              <w:rPr>
                <w:b/>
                <w:i/>
                <w:sz w:val="20"/>
              </w:rPr>
              <w:t>Estado de México.</w:t>
            </w:r>
          </w:p>
        </w:tc>
      </w:tr>
      <w:tr>
        <w:trPr>
          <w:trHeight w:val="355" w:hRule="exact"/>
        </w:trPr>
        <w:tc>
          <w:tcPr>
            <w:tcW w:w="2516" w:type="dxa"/>
            <w:shd w:val="clear" w:color="auto" w:fill="BEBEBE"/>
          </w:tcPr>
          <w:p>
            <w:pPr>
              <w:pStyle w:val="TableParagraph"/>
              <w:spacing w:line="220" w:lineRule="exact"/>
              <w:ind w:left="663" w:right="663"/>
              <w:jc w:val="center"/>
              <w:rPr>
                <w:b/>
                <w:sz w:val="20"/>
              </w:rPr>
            </w:pPr>
            <w:r>
              <w:rPr>
                <w:b/>
                <w:sz w:val="20"/>
              </w:rPr>
              <w:t>FAMILIA</w:t>
            </w:r>
          </w:p>
        </w:tc>
        <w:tc>
          <w:tcPr>
            <w:tcW w:w="4576" w:type="dxa"/>
            <w:shd w:val="clear" w:color="auto" w:fill="BEBEBE"/>
          </w:tcPr>
          <w:p>
            <w:pPr>
              <w:pStyle w:val="TableParagraph"/>
              <w:spacing w:line="220" w:lineRule="exact"/>
              <w:ind w:left="1139" w:right="1138"/>
              <w:jc w:val="center"/>
              <w:rPr>
                <w:b/>
                <w:sz w:val="20"/>
              </w:rPr>
            </w:pPr>
            <w:r>
              <w:rPr>
                <w:b/>
                <w:sz w:val="20"/>
              </w:rPr>
              <w:t>AUTOR</w:t>
            </w:r>
          </w:p>
        </w:tc>
        <w:tc>
          <w:tcPr>
            <w:tcW w:w="2267" w:type="dxa"/>
            <w:shd w:val="clear" w:color="auto" w:fill="BEBEBE"/>
          </w:tcPr>
          <w:p>
            <w:pPr>
              <w:pStyle w:val="TableParagraph"/>
              <w:spacing w:line="220" w:lineRule="exact"/>
              <w:ind w:left="609" w:right="606"/>
              <w:jc w:val="center"/>
              <w:rPr>
                <w:b/>
                <w:sz w:val="20"/>
              </w:rPr>
            </w:pPr>
            <w:r>
              <w:rPr>
                <w:b/>
                <w:sz w:val="20"/>
              </w:rPr>
              <w:t>ESPECIES</w:t>
            </w:r>
          </w:p>
        </w:tc>
      </w:tr>
      <w:tr>
        <w:trPr>
          <w:trHeight w:val="356" w:hRule="exact"/>
        </w:trPr>
        <w:tc>
          <w:tcPr>
            <w:tcW w:w="2516" w:type="dxa"/>
          </w:tcPr>
          <w:p>
            <w:pPr>
              <w:pStyle w:val="TableParagraph"/>
              <w:spacing w:line="225" w:lineRule="exact"/>
              <w:ind w:left="664" w:right="663"/>
              <w:jc w:val="center"/>
              <w:rPr>
                <w:sz w:val="20"/>
              </w:rPr>
            </w:pPr>
            <w:r>
              <w:rPr>
                <w:sz w:val="20"/>
              </w:rPr>
              <w:t>Gramineae</w:t>
            </w:r>
          </w:p>
        </w:tc>
        <w:tc>
          <w:tcPr>
            <w:tcW w:w="4576" w:type="dxa"/>
          </w:tcPr>
          <w:p>
            <w:pPr>
              <w:pStyle w:val="TableParagraph"/>
              <w:spacing w:line="225" w:lineRule="exact"/>
              <w:ind w:left="1139" w:right="1136"/>
              <w:jc w:val="center"/>
              <w:rPr>
                <w:sz w:val="20"/>
              </w:rPr>
            </w:pPr>
            <w:r>
              <w:rPr>
                <w:sz w:val="20"/>
              </w:rPr>
              <w:t>Avilés y González (1992)</w:t>
            </w:r>
          </w:p>
        </w:tc>
        <w:tc>
          <w:tcPr>
            <w:tcW w:w="2267" w:type="dxa"/>
          </w:tcPr>
          <w:p>
            <w:pPr>
              <w:pStyle w:val="TableParagraph"/>
              <w:spacing w:line="225" w:lineRule="exact"/>
              <w:ind w:left="603" w:right="606"/>
              <w:jc w:val="center"/>
              <w:rPr>
                <w:sz w:val="20"/>
              </w:rPr>
            </w:pPr>
            <w:r>
              <w:rPr>
                <w:sz w:val="20"/>
              </w:rPr>
              <w:t>127</w:t>
            </w:r>
          </w:p>
        </w:tc>
      </w:tr>
      <w:tr>
        <w:trPr>
          <w:trHeight w:val="355" w:hRule="exact"/>
        </w:trPr>
        <w:tc>
          <w:tcPr>
            <w:tcW w:w="2516" w:type="dxa"/>
          </w:tcPr>
          <w:p>
            <w:pPr>
              <w:pStyle w:val="TableParagraph"/>
              <w:spacing w:line="225" w:lineRule="exact"/>
              <w:ind w:left="664" w:right="663"/>
              <w:jc w:val="center"/>
              <w:rPr>
                <w:sz w:val="20"/>
              </w:rPr>
            </w:pPr>
            <w:r>
              <w:rPr>
                <w:sz w:val="20"/>
              </w:rPr>
              <w:t>Gramineae</w:t>
            </w:r>
          </w:p>
        </w:tc>
        <w:tc>
          <w:tcPr>
            <w:tcW w:w="4576" w:type="dxa"/>
          </w:tcPr>
          <w:p>
            <w:pPr>
              <w:pStyle w:val="TableParagraph"/>
              <w:spacing w:line="225" w:lineRule="exact"/>
              <w:ind w:left="1139" w:right="1142"/>
              <w:jc w:val="center"/>
              <w:rPr>
                <w:sz w:val="20"/>
              </w:rPr>
            </w:pPr>
            <w:r>
              <w:rPr>
                <w:sz w:val="20"/>
              </w:rPr>
              <w:t>Manrique-Forceck (1988)</w:t>
            </w:r>
          </w:p>
        </w:tc>
        <w:tc>
          <w:tcPr>
            <w:tcW w:w="2267" w:type="dxa"/>
          </w:tcPr>
          <w:p>
            <w:pPr>
              <w:pStyle w:val="TableParagraph"/>
              <w:spacing w:line="225" w:lineRule="exact"/>
              <w:ind w:left="603" w:right="606"/>
              <w:jc w:val="center"/>
              <w:rPr>
                <w:sz w:val="20"/>
              </w:rPr>
            </w:pPr>
            <w:r>
              <w:rPr>
                <w:sz w:val="20"/>
              </w:rPr>
              <w:t>233</w:t>
            </w:r>
          </w:p>
        </w:tc>
      </w:tr>
      <w:tr>
        <w:trPr>
          <w:trHeight w:val="355" w:hRule="exact"/>
        </w:trPr>
        <w:tc>
          <w:tcPr>
            <w:tcW w:w="2516" w:type="dxa"/>
          </w:tcPr>
          <w:p>
            <w:pPr>
              <w:pStyle w:val="TableParagraph"/>
              <w:spacing w:line="225" w:lineRule="exact"/>
              <w:ind w:left="669" w:right="663"/>
              <w:jc w:val="center"/>
              <w:rPr>
                <w:sz w:val="20"/>
              </w:rPr>
            </w:pPr>
            <w:r>
              <w:rPr>
                <w:sz w:val="20"/>
              </w:rPr>
              <w:t>Orchidaceae</w:t>
            </w:r>
          </w:p>
        </w:tc>
        <w:tc>
          <w:tcPr>
            <w:tcW w:w="4576" w:type="dxa"/>
          </w:tcPr>
          <w:p>
            <w:pPr>
              <w:pStyle w:val="TableParagraph"/>
              <w:spacing w:line="225" w:lineRule="exact"/>
              <w:ind w:left="1139" w:right="1142"/>
              <w:jc w:val="center"/>
              <w:rPr>
                <w:sz w:val="20"/>
              </w:rPr>
            </w:pPr>
            <w:r>
              <w:rPr>
                <w:sz w:val="20"/>
              </w:rPr>
              <w:t>Tapia-Robles (1985)</w:t>
            </w:r>
          </w:p>
        </w:tc>
        <w:tc>
          <w:tcPr>
            <w:tcW w:w="2267" w:type="dxa"/>
          </w:tcPr>
          <w:p>
            <w:pPr>
              <w:pStyle w:val="TableParagraph"/>
              <w:spacing w:line="225" w:lineRule="exact"/>
              <w:ind w:left="609" w:right="552"/>
              <w:jc w:val="center"/>
              <w:rPr>
                <w:sz w:val="20"/>
              </w:rPr>
            </w:pPr>
            <w:r>
              <w:rPr>
                <w:sz w:val="20"/>
              </w:rPr>
              <w:t>48</w:t>
            </w:r>
          </w:p>
        </w:tc>
      </w:tr>
    </w:tbl>
    <w:p>
      <w:pPr>
        <w:spacing w:line="220" w:lineRule="exact" w:before="0"/>
        <w:ind w:left="499" w:right="291" w:firstLine="0"/>
        <w:jc w:val="left"/>
        <w:rPr>
          <w:i/>
          <w:sz w:val="20"/>
        </w:rPr>
      </w:pPr>
      <w:r>
        <w:rPr>
          <w:i/>
          <w:sz w:val="20"/>
        </w:rPr>
        <w:t>Fuente: Elaboración propia, a partir de información bibliográfica.</w:t>
      </w:r>
    </w:p>
    <w:p>
      <w:pPr>
        <w:pStyle w:val="BodyText"/>
        <w:rPr>
          <w:i/>
          <w:sz w:val="20"/>
        </w:rPr>
      </w:pPr>
    </w:p>
    <w:p>
      <w:pPr>
        <w:pStyle w:val="BodyText"/>
        <w:rPr>
          <w:i/>
          <w:sz w:val="20"/>
        </w:rPr>
      </w:pPr>
    </w:p>
    <w:p>
      <w:pPr>
        <w:pStyle w:val="BodyText"/>
        <w:spacing w:line="360" w:lineRule="auto" w:before="161"/>
        <w:ind w:left="216" w:right="232"/>
        <w:jc w:val="both"/>
      </w:pPr>
      <w:r>
        <w:rPr/>
        <w:t>El Parque se localiza en la Cuenca del Río Balsas. Esta Cuenca comprende el 6% de la masa continental del territorio mexicano y abarca porciones de varias regiones económicas del Pacífico centro-occidente y centro-sur de la República, entre los paralelos 17°00' y 20°00' de latitud Norte y los meridianos 97°30' y 103°15' de longitud Oeste de Greenwich, a través de ocho estados de la República: incluye en su totalidad al estado de Morelos (100%) y parcialmente a los estados de Tlaxcala (75%), Puebla (55%), México (36%), Oaxaca (9%), Guerrero (63%), Michoacán (62%) y Jalisco   (4%),</w:t>
      </w:r>
    </w:p>
    <w:p>
      <w:pPr>
        <w:pStyle w:val="BodyText"/>
        <w:spacing w:line="279" w:lineRule="exact"/>
        <w:ind w:left="216"/>
        <w:jc w:val="both"/>
      </w:pPr>
      <w:r>
        <w:rPr/>
        <w:t>lo que representa una superficie administrativa de 123,500 km</w:t>
      </w:r>
      <w:r>
        <w:rPr>
          <w:position w:val="11"/>
          <w:sz w:val="16"/>
        </w:rPr>
        <w:t>2</w:t>
      </w:r>
      <w:r>
        <w:rPr/>
        <w:t>.</w:t>
      </w:r>
    </w:p>
    <w:p>
      <w:pPr>
        <w:spacing w:after="0" w:line="279" w:lineRule="exact"/>
        <w:jc w:val="both"/>
        <w:sectPr>
          <w:footerReference w:type="default" r:id="rId13"/>
          <w:pgSz w:w="12240" w:h="15840"/>
          <w:pgMar w:footer="1146" w:header="690" w:top="880" w:bottom="1340" w:left="1200" w:right="1180"/>
        </w:sect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360" w:lineRule="auto" w:before="69"/>
        <w:ind w:left="116" w:right="78"/>
      </w:pPr>
      <w:r>
        <w:rPr/>
        <w:t>Existen algunos trabajos realizados en la Cuenca del Río Balsas, en el Estado de México, los cuales se describen a continuación:</w:t>
      </w:r>
    </w:p>
    <w:p>
      <w:pPr>
        <w:pStyle w:val="ListParagraph"/>
        <w:numPr>
          <w:ilvl w:val="0"/>
          <w:numId w:val="3"/>
        </w:numPr>
        <w:tabs>
          <w:tab w:pos="837" w:val="left" w:leader="none"/>
        </w:tabs>
        <w:spacing w:line="360" w:lineRule="auto" w:before="2" w:after="0"/>
        <w:ind w:left="837" w:right="111" w:hanging="361"/>
        <w:jc w:val="both"/>
        <w:rPr>
          <w:sz w:val="24"/>
        </w:rPr>
      </w:pPr>
      <w:r>
        <w:rPr>
          <w:sz w:val="24"/>
        </w:rPr>
        <w:t>El listado florístico de la barranca Nenetzingo, Ixtapán de la Sal, donde se incluyen algunos aspectos </w:t>
      </w:r>
      <w:r>
        <w:rPr>
          <w:spacing w:val="-3"/>
          <w:sz w:val="24"/>
        </w:rPr>
        <w:t>como: </w:t>
      </w:r>
      <w:r>
        <w:rPr>
          <w:sz w:val="24"/>
        </w:rPr>
        <w:t>forma biológica, fenología reproductiva y abundancia de 362 especies, 248 géneros y 89 familias. Las familias mejor representadas a nivel de género son: Asteraceae, Poaceae y Fabaceae (López- Sandoval, </w:t>
      </w:r>
      <w:r>
        <w:rPr>
          <w:i/>
          <w:sz w:val="24"/>
        </w:rPr>
        <w:t>et al.,</w:t>
      </w:r>
      <w:r>
        <w:rPr>
          <w:i/>
          <w:spacing w:val="-7"/>
          <w:sz w:val="24"/>
        </w:rPr>
        <w:t> </w:t>
      </w:r>
      <w:r>
        <w:rPr>
          <w:sz w:val="24"/>
        </w:rPr>
        <w:t>2010).</w:t>
      </w:r>
    </w:p>
    <w:p>
      <w:pPr>
        <w:pStyle w:val="BodyText"/>
      </w:pPr>
    </w:p>
    <w:p>
      <w:pPr>
        <w:pStyle w:val="ListParagraph"/>
        <w:numPr>
          <w:ilvl w:val="0"/>
          <w:numId w:val="3"/>
        </w:numPr>
        <w:tabs>
          <w:tab w:pos="837" w:val="left" w:leader="none"/>
        </w:tabs>
        <w:spacing w:line="360" w:lineRule="auto" w:before="145" w:after="0"/>
        <w:ind w:left="837" w:right="111" w:hanging="361"/>
        <w:jc w:val="both"/>
        <w:rPr>
          <w:sz w:val="24"/>
        </w:rPr>
      </w:pPr>
      <w:r>
        <w:rPr>
          <w:sz w:val="24"/>
        </w:rPr>
        <w:t>La lista florística de plantas vasculares, recolectadas en la Sierra de Nanchititla, en el municipio de Tejupilco, </w:t>
      </w:r>
      <w:r>
        <w:rPr>
          <w:spacing w:val="-3"/>
          <w:sz w:val="24"/>
        </w:rPr>
        <w:t>se </w:t>
      </w:r>
      <w:r>
        <w:rPr>
          <w:sz w:val="24"/>
        </w:rPr>
        <w:t>reconoció 288 especies, 208 géneros y 89 familias, aportando datos acerca de la fenología de algunas formas biológicas, además se analizó la distribución geográfica de las familias y géneros. Las familias mejor representadas son: Asteraceae, Pteridaceae, Burseraceae, Fabaceae, Mimosaceae y Rubiaceae (Zepeda-Gómez y Velázquez-Montes, 1999).</w:t>
      </w:r>
    </w:p>
    <w:p>
      <w:pPr>
        <w:pStyle w:val="BodyText"/>
        <w:spacing w:before="9"/>
        <w:rPr>
          <w:sz w:val="27"/>
        </w:rPr>
      </w:pPr>
    </w:p>
    <w:p>
      <w:pPr>
        <w:pStyle w:val="ListParagraph"/>
        <w:numPr>
          <w:ilvl w:val="0"/>
          <w:numId w:val="3"/>
        </w:numPr>
        <w:tabs>
          <w:tab w:pos="837" w:val="left" w:leader="none"/>
        </w:tabs>
        <w:spacing w:line="360" w:lineRule="auto" w:before="0" w:after="0"/>
        <w:ind w:left="837" w:right="115" w:hanging="361"/>
        <w:jc w:val="both"/>
        <w:rPr>
          <w:sz w:val="24"/>
        </w:rPr>
      </w:pPr>
      <w:r>
        <w:rPr>
          <w:sz w:val="24"/>
        </w:rPr>
        <w:t>Listado preliminar de la flora fanerógamica de la Cuenca del Río Blasas, considerando las plantas vasculares citadas o colectadas en esta región. Se registra la existencia de 4, 442 especies, 1, </w:t>
      </w:r>
      <w:r>
        <w:rPr>
          <w:spacing w:val="3"/>
          <w:sz w:val="24"/>
        </w:rPr>
        <w:t>246 </w:t>
      </w:r>
      <w:r>
        <w:rPr>
          <w:sz w:val="24"/>
        </w:rPr>
        <w:t>géneros y 202 familias. Las familias mejor represenytadas son: Asteraceae, Fabaceae, Poaceae y Orchidaceae (Fernández </w:t>
      </w:r>
      <w:r>
        <w:rPr>
          <w:i/>
          <w:sz w:val="24"/>
        </w:rPr>
        <w:t>et al.,</w:t>
      </w:r>
      <w:r>
        <w:rPr>
          <w:i/>
          <w:spacing w:val="-11"/>
          <w:sz w:val="24"/>
        </w:rPr>
        <w:t> </w:t>
      </w:r>
      <w:r>
        <w:rPr>
          <w:sz w:val="24"/>
        </w:rPr>
        <w:t>1998).</w:t>
      </w:r>
    </w:p>
    <w:p>
      <w:pPr>
        <w:pStyle w:val="BodyText"/>
        <w:spacing w:before="2"/>
        <w:rPr>
          <w:sz w:val="28"/>
        </w:rPr>
      </w:pPr>
    </w:p>
    <w:p>
      <w:pPr>
        <w:pStyle w:val="ListParagraph"/>
        <w:numPr>
          <w:ilvl w:val="0"/>
          <w:numId w:val="3"/>
        </w:numPr>
        <w:tabs>
          <w:tab w:pos="837" w:val="left" w:leader="none"/>
        </w:tabs>
        <w:spacing w:line="360" w:lineRule="auto" w:before="0" w:after="0"/>
        <w:ind w:left="837" w:right="115" w:hanging="361"/>
        <w:jc w:val="both"/>
        <w:rPr>
          <w:sz w:val="24"/>
        </w:rPr>
      </w:pPr>
      <w:r>
        <w:rPr>
          <w:sz w:val="24"/>
        </w:rPr>
        <w:t>La lista florística de la Sierra de Sultepec comprende 507 especies, 327 géneros y 107 familias. Las familias mejor representadas son: Asteraceae, Polypodiaceae, Fabaceae y Lamiaceae. </w:t>
      </w:r>
      <w:r>
        <w:rPr>
          <w:spacing w:val="-3"/>
          <w:sz w:val="24"/>
        </w:rPr>
        <w:t>Además </w:t>
      </w:r>
      <w:r>
        <w:rPr>
          <w:sz w:val="24"/>
        </w:rPr>
        <w:t>se reconocieron y describieron brevemente los tipos de vegetación: bosque mesófilo de montaña, bosque de </w:t>
      </w:r>
      <w:r>
        <w:rPr>
          <w:i/>
          <w:sz w:val="24"/>
        </w:rPr>
        <w:t>Quercus</w:t>
      </w:r>
      <w:r>
        <w:rPr>
          <w:sz w:val="24"/>
        </w:rPr>
        <w:t>, bosque de </w:t>
      </w:r>
      <w:r>
        <w:rPr>
          <w:i/>
          <w:sz w:val="24"/>
        </w:rPr>
        <w:t>Pinus-Quercus </w:t>
      </w:r>
      <w:r>
        <w:rPr>
          <w:sz w:val="24"/>
        </w:rPr>
        <w:t>y bosque tropical</w:t>
      </w:r>
      <w:r>
        <w:rPr>
          <w:spacing w:val="-22"/>
          <w:sz w:val="24"/>
        </w:rPr>
        <w:t> </w:t>
      </w:r>
      <w:r>
        <w:rPr>
          <w:sz w:val="24"/>
        </w:rPr>
        <w:t>caducifolio.</w:t>
      </w:r>
    </w:p>
    <w:p>
      <w:pPr>
        <w:spacing w:after="0" w:line="360" w:lineRule="auto"/>
        <w:jc w:val="both"/>
        <w:rPr>
          <w:sz w:val="24"/>
        </w:rPr>
        <w:sectPr>
          <w:footerReference w:type="default" r:id="rId14"/>
          <w:pgSz w:w="12240" w:h="15840"/>
          <w:pgMar w:footer="1146" w:header="690" w:top="880" w:bottom="1340" w:left="1300" w:right="1300"/>
          <w:pgNumType w:start="11"/>
        </w:sectPr>
      </w:pPr>
    </w:p>
    <w:p>
      <w:pPr>
        <w:pStyle w:val="BodyText"/>
        <w:rPr>
          <w:sz w:val="20"/>
        </w:rPr>
      </w:pPr>
    </w:p>
    <w:p>
      <w:pPr>
        <w:pStyle w:val="BodyText"/>
        <w:spacing w:before="11"/>
        <w:rPr>
          <w:sz w:val="18"/>
        </w:rPr>
      </w:pPr>
    </w:p>
    <w:p>
      <w:pPr>
        <w:pStyle w:val="Heading2"/>
        <w:numPr>
          <w:ilvl w:val="1"/>
          <w:numId w:val="2"/>
        </w:numPr>
        <w:tabs>
          <w:tab w:pos="828" w:val="left" w:leader="none"/>
        </w:tabs>
        <w:spacing w:line="240" w:lineRule="auto" w:before="69" w:after="0"/>
        <w:ind w:left="827" w:right="0" w:hanging="543"/>
        <w:jc w:val="left"/>
      </w:pPr>
      <w:r>
        <w:rPr/>
        <w:t>Estrategias de conservación de las especies</w:t>
      </w:r>
      <w:r>
        <w:rPr>
          <w:spacing w:val="-30"/>
        </w:rPr>
        <w:t> </w:t>
      </w:r>
      <w:r>
        <w:rPr/>
        <w:t>vegetales</w:t>
      </w:r>
    </w:p>
    <w:p>
      <w:pPr>
        <w:pStyle w:val="BodyText"/>
        <w:spacing w:line="360" w:lineRule="auto" w:before="146"/>
        <w:ind w:left="116" w:right="114"/>
        <w:jc w:val="both"/>
      </w:pPr>
      <w:r>
        <w:rPr/>
        <w:t>El ambiente sufre modificaciones a consecuencia de las actividades antropogénicas y crecimiento poblacional debido a la extracción de los recursos naturales y requerimiento de áreas indispensables para la supervivencia. México ha perdido un porcentaje muy importante de la superficie original de sus ecosistemas naturales y, con ello, varias decenas de especies de plantas y animales, dejando otras tantas en condiciones de vulnerabilidad (Oyama y Castillo 2007).</w:t>
      </w:r>
    </w:p>
    <w:p>
      <w:pPr>
        <w:pStyle w:val="BodyText"/>
      </w:pPr>
    </w:p>
    <w:p>
      <w:pPr>
        <w:pStyle w:val="BodyText"/>
        <w:spacing w:line="360" w:lineRule="auto" w:before="139"/>
        <w:ind w:left="116" w:right="125"/>
        <w:jc w:val="both"/>
      </w:pPr>
      <w:r>
        <w:rPr/>
        <w:t>Aunque las amenazas a la biodiversidad del país son múltiples, se reconoce que la transformación de los ecosistemas naturales, la sobreexplotación de las poblaciones silvestres, la degradación del ambiente y la introducción de especies exóticas son las que producen los mayores impactos (Arriaga </w:t>
      </w:r>
      <w:r>
        <w:rPr>
          <w:i/>
        </w:rPr>
        <w:t>et al., </w:t>
      </w:r>
      <w:r>
        <w:rPr/>
        <w:t>1998, 2000; Challenger, 2009).</w:t>
      </w:r>
    </w:p>
    <w:p>
      <w:pPr>
        <w:pStyle w:val="BodyText"/>
      </w:pPr>
    </w:p>
    <w:p>
      <w:pPr>
        <w:pStyle w:val="BodyText"/>
        <w:spacing w:line="360" w:lineRule="auto" w:before="144"/>
        <w:ind w:left="116" w:right="113"/>
        <w:jc w:val="both"/>
      </w:pPr>
      <w:r>
        <w:rPr/>
        <w:t>El estado de México, como otras regiones del País y del mundo está sometido a fuertes presiones de cambio de uso de suelo, las cuales incide en las cuencas hidrológicas, perdida de la cubierta vegetal, semillas, nutrientes, capacidad productiva, suelo, disminuye los servicios ambientales y cambia la apariencia física de los ecosistemas (López, 2002 y Nabors, 2006). Nuestra entidad, presenta la mayor población en el país (Secretaría de Medio Ambiente, 2009), con 15, 175, 862 de habitantes (INEGI, 2010).</w:t>
      </w:r>
    </w:p>
    <w:p>
      <w:pPr>
        <w:pStyle w:val="BodyText"/>
      </w:pPr>
    </w:p>
    <w:p>
      <w:pPr>
        <w:pStyle w:val="BodyText"/>
        <w:spacing w:line="360" w:lineRule="auto" w:before="140"/>
        <w:ind w:left="116" w:right="124"/>
        <w:jc w:val="both"/>
      </w:pPr>
      <w:r>
        <w:rPr/>
        <w:t>El deseo y la necesidad de contar con ecosistemas naturales en el mejor estado de conservación posible es uno de los puntos en común no solo de los científicos sino de una amplia corriente de pensamiento que permea numerosas áreas de la actividad humana. El uso de los recursos naturales sin pretender que se pierda la satisfacción de las necesidades humanas ni se comprometa el bienestar de las generaciones futuras (Oyama y Castillo </w:t>
      </w:r>
      <w:r>
        <w:rPr>
          <w:i/>
        </w:rPr>
        <w:t>op. cit.</w:t>
      </w:r>
      <w:r>
        <w:rPr/>
        <w:t>).</w:t>
      </w:r>
    </w:p>
    <w:p>
      <w:pPr>
        <w:pStyle w:val="BodyText"/>
      </w:pPr>
    </w:p>
    <w:p>
      <w:pPr>
        <w:pStyle w:val="BodyText"/>
        <w:spacing w:line="360" w:lineRule="auto" w:before="144"/>
        <w:ind w:left="116" w:right="111"/>
        <w:jc w:val="both"/>
      </w:pPr>
      <w:r>
        <w:rPr/>
        <w:t>Un aprovechamiento racional o sustentable de los ecosistemas, aun a costa de grandes transformaciones, permite sacar grandes beneficios, a la vez que se evita la destrucción de medios naturales. Por ejemplo, si en una cascada se instala una turbina para mover un molino u obtener energía eléctrica, no cabe duda que la humanidad saca mayor</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27"/>
        <w:jc w:val="both"/>
      </w:pPr>
      <w:r>
        <w:rPr/>
        <w:t>beneficio que si el agua fuera desgastando lentamente las piedras del cauce (Fuentes, 1998).</w:t>
      </w:r>
    </w:p>
    <w:p>
      <w:pPr>
        <w:pStyle w:val="BodyText"/>
        <w:spacing w:before="11"/>
        <w:rPr>
          <w:sz w:val="35"/>
        </w:rPr>
      </w:pPr>
    </w:p>
    <w:p>
      <w:pPr>
        <w:pStyle w:val="BodyText"/>
        <w:spacing w:line="360" w:lineRule="auto"/>
        <w:ind w:left="116" w:right="111"/>
        <w:jc w:val="both"/>
      </w:pPr>
      <w:r>
        <w:rPr/>
        <w:t>Las ciencias biológicas tienen un papel preponderante que desempeñar en </w:t>
      </w:r>
      <w:r>
        <w:rPr>
          <w:spacing w:val="4"/>
        </w:rPr>
        <w:t>el </w:t>
      </w:r>
      <w:r>
        <w:rPr/>
        <w:t>área </w:t>
      </w:r>
      <w:r>
        <w:rPr>
          <w:spacing w:val="-3"/>
        </w:rPr>
        <w:t>del </w:t>
      </w:r>
      <w:r>
        <w:rPr/>
        <w:t>manejo de los ecosistemas y de recursos naturales. La necesidad de conocer la diversidad biológica, su origen, evolución, dinámica, funcionamiento y mantenimiento es imprescindible. Los inventarios taxonómicos para conocer la biodiversidad, su origen, evolución, dinámica, funcionamiento y mantenimiento son necesarios, así como la modelación de los fenómenos naturales para proyectar y predecir los escenarios futuros, son necesarios para el </w:t>
      </w:r>
      <w:r>
        <w:rPr>
          <w:spacing w:val="-3"/>
        </w:rPr>
        <w:t>manejo </w:t>
      </w:r>
      <w:r>
        <w:rPr/>
        <w:t>de los ecosistemas naturales (Oyama y Castillo 2007).</w:t>
      </w:r>
    </w:p>
    <w:p>
      <w:pPr>
        <w:pStyle w:val="BodyText"/>
      </w:pPr>
    </w:p>
    <w:p>
      <w:pPr>
        <w:pStyle w:val="BodyText"/>
        <w:spacing w:line="360" w:lineRule="auto" w:before="139"/>
        <w:ind w:left="116" w:right="125"/>
        <w:jc w:val="both"/>
      </w:pPr>
      <w:r>
        <w:rPr/>
        <w:t>Debido a que México es un país megadiverso, es importante realizar acciones de tipo educativo que contribuya a la construcción de una conciencia pública sobre la importancia de la diversidad vegetal, así como de su conservación y aprovechamiento sostenible, para evitar que se continúen perdiendo importantes especies de flora, de las cuales aún falta por conocer (Toledo, 1994).</w:t>
      </w:r>
    </w:p>
    <w:p>
      <w:pPr>
        <w:pStyle w:val="BodyText"/>
      </w:pPr>
    </w:p>
    <w:p>
      <w:pPr>
        <w:pStyle w:val="BodyText"/>
        <w:spacing w:line="360" w:lineRule="auto" w:before="144"/>
        <w:ind w:left="116" w:right="111"/>
        <w:jc w:val="both"/>
      </w:pPr>
      <w:r>
        <w:rPr/>
        <w:t>Existen diversas estrategias para conservar la diversidad biológica, entre las cuales se encuentran la conservación </w:t>
      </w:r>
      <w:r>
        <w:rPr>
          <w:i/>
        </w:rPr>
        <w:t>ex situ </w:t>
      </w:r>
      <w:r>
        <w:rPr/>
        <w:t>que consiste en preservar especies fuera de su ambiente natural (jardines botánicos, bancos de germoplasma, etc.) resguardando el acervo genético (Portales </w:t>
      </w:r>
      <w:r>
        <w:rPr>
          <w:i/>
        </w:rPr>
        <w:t>et al., </w:t>
      </w:r>
      <w:r>
        <w:rPr/>
        <w:t>2009). Otra estrategia es la conservación </w:t>
      </w:r>
      <w:r>
        <w:rPr>
          <w:i/>
          <w:spacing w:val="-3"/>
        </w:rPr>
        <w:t>in </w:t>
      </w:r>
      <w:r>
        <w:rPr>
          <w:i/>
        </w:rPr>
        <w:t>situ</w:t>
      </w:r>
      <w:r>
        <w:rPr/>
        <w:t>, la cual se refiere a la conservación de las especies en el lugar donde habitan originalmente,  por ejemplo, el establecimiento de Áreas Naturales Protegidas (ANP) (Portales </w:t>
      </w:r>
      <w:r>
        <w:rPr>
          <w:i/>
        </w:rPr>
        <w:t>et al., </w:t>
      </w:r>
      <w:r>
        <w:rPr/>
        <w:t>2009).</w:t>
      </w:r>
    </w:p>
    <w:p>
      <w:pPr>
        <w:pStyle w:val="BodyText"/>
      </w:pPr>
    </w:p>
    <w:p>
      <w:pPr>
        <w:pStyle w:val="BodyText"/>
        <w:spacing w:line="360" w:lineRule="auto" w:before="144"/>
        <w:ind w:left="116" w:right="125"/>
        <w:jc w:val="both"/>
      </w:pPr>
      <w:r>
        <w:rPr/>
        <w:t>Como parte de la Estrategia Nacional en materia de conservación de vida silvestre, se creó en 1997, el Sistema Nacional de Unidades para la Conservación, Manejo y Aprovechamiento de la vida silvestre (SUMA) (SEMARNAP, 1997; INE y SEMARNAP, 2000). En dicho sistema se integró bajo un único concepto los viveros, jardines botánicos, zoológicos, criaderos, circos, espectáculos y ranchos cinegéticos.</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6"/>
        <w:jc w:val="both"/>
      </w:pPr>
      <w:r>
        <w:rPr/>
        <w:t>De carácter internacional se estableció el convenio sobre la diversidad biológica (CDB), el cual fue firmado en 1992, en el marco de la Cumbre de la Tierra den Río de Janeiro, Brasil. </w:t>
      </w:r>
      <w:r>
        <w:rPr>
          <w:spacing w:val="-4"/>
        </w:rPr>
        <w:t>El </w:t>
      </w:r>
      <w:r>
        <w:rPr/>
        <w:t>CDB tiene tres objetivos principales: </w:t>
      </w:r>
      <w:r>
        <w:rPr>
          <w:spacing w:val="4"/>
        </w:rPr>
        <w:t>1) </w:t>
      </w:r>
      <w:r>
        <w:rPr/>
        <w:t>Conservar la biodiversidad, 2) hacer  un uso sostenible de los componentes de la diversidad biológica, y 3) propiciar la participación justa y equitativa en los beneficios derivados del uso de los recursos genéticos. México firmó el CDB en 1992, y lo ratificó en 1993. Desde entonces, México adquirió el compromiso internacional de conservar y promover el uso sustentable de </w:t>
      </w:r>
      <w:r>
        <w:rPr>
          <w:spacing w:val="-3"/>
        </w:rPr>
        <w:t>su </w:t>
      </w:r>
      <w:r>
        <w:rPr/>
        <w:t>biodiversidad. En este marco y en respuesta, México, inició los trabajos de coordinación de la Estrategia Mexicana para la Conservación Vegetal (EMCV). Dicha estrategia consiste en 5 objetivos y 22 metas (CONABIO, CONANP y SEMARNAT,</w:t>
      </w:r>
      <w:r>
        <w:rPr>
          <w:spacing w:val="-26"/>
        </w:rPr>
        <w:t> </w:t>
      </w:r>
      <w:r>
        <w:rPr/>
        <w:t>2008).</w:t>
      </w:r>
    </w:p>
    <w:p>
      <w:pPr>
        <w:pStyle w:val="BodyText"/>
      </w:pPr>
    </w:p>
    <w:p>
      <w:pPr>
        <w:pStyle w:val="BodyText"/>
      </w:pPr>
    </w:p>
    <w:p>
      <w:pPr>
        <w:pStyle w:val="BodyText"/>
        <w:spacing w:before="7"/>
        <w:rPr>
          <w:sz w:val="23"/>
        </w:rPr>
      </w:pPr>
    </w:p>
    <w:p>
      <w:pPr>
        <w:pStyle w:val="Heading2"/>
        <w:numPr>
          <w:ilvl w:val="1"/>
          <w:numId w:val="2"/>
        </w:numPr>
        <w:tabs>
          <w:tab w:pos="684" w:val="left" w:leader="none"/>
        </w:tabs>
        <w:spacing w:line="240" w:lineRule="auto" w:before="0" w:after="0"/>
        <w:ind w:left="683" w:right="0" w:hanging="567"/>
        <w:jc w:val="both"/>
      </w:pPr>
      <w:r>
        <w:rPr/>
        <w:t>Importancia de los Jardines</w:t>
      </w:r>
      <w:r>
        <w:rPr>
          <w:spacing w:val="-20"/>
        </w:rPr>
        <w:t> </w:t>
      </w:r>
      <w:r>
        <w:rPr/>
        <w:t>Botánicos</w:t>
      </w:r>
    </w:p>
    <w:p>
      <w:pPr>
        <w:pStyle w:val="BodyText"/>
        <w:spacing w:line="360" w:lineRule="auto" w:before="147"/>
        <w:ind w:left="116" w:right="111"/>
        <w:jc w:val="both"/>
      </w:pPr>
      <w:r>
        <w:rPr/>
        <w:t>La conservación del ambiente desde la concepción de la interacción Sociedad - naturaleza, se convirtió en la respuesta para comprender las acciones irresponsables del </w:t>
      </w:r>
      <w:r>
        <w:rPr>
          <w:spacing w:val="-3"/>
        </w:rPr>
        <w:t>mal </w:t>
      </w:r>
      <w:r>
        <w:rPr/>
        <w:t>uso de los recursos naturales que tienen como consecuencia la destrucción de áreas naturales; estos procesos evidencian pérdidas irrecuperables y consecuencias que aún reflejan la necesidad de estudiar estrategias que faciliten la existencia y permanencia de espacios dedicados a la preservación de diferentes especies (Vovides </w:t>
      </w:r>
      <w:r>
        <w:rPr>
          <w:i/>
        </w:rPr>
        <w:t>et al.,</w:t>
      </w:r>
      <w:r>
        <w:rPr>
          <w:i/>
          <w:spacing w:val="-2"/>
        </w:rPr>
        <w:t> </w:t>
      </w:r>
      <w:r>
        <w:rPr/>
        <w:t>2010).</w:t>
      </w:r>
    </w:p>
    <w:p>
      <w:pPr>
        <w:pStyle w:val="BodyText"/>
      </w:pPr>
    </w:p>
    <w:p>
      <w:pPr>
        <w:pStyle w:val="BodyText"/>
        <w:spacing w:line="360" w:lineRule="auto" w:before="145"/>
        <w:ind w:left="116" w:right="123"/>
        <w:jc w:val="both"/>
      </w:pPr>
      <w:r>
        <w:rPr/>
        <w:t>Dentro de este contexto es necesario conocer un poco de la historia de los Jardines Botánicos como centros que trabajan en pro de la conservación de la biodiversidad; dichos espacios surgen entonces a partir de diferentes necesidades, principalmente la preservación de diferentes especies de flora y fauna, lo que a nivel mundial se convirtió en un paradigma donde se involucran a diferentes actores en el proceso de investigar y acordar estrategias que permitan llegar a referentes comunes frente a esta situación (Vovides </w:t>
      </w:r>
      <w:r>
        <w:rPr>
          <w:i/>
        </w:rPr>
        <w:t>et al., </w:t>
      </w:r>
      <w:r>
        <w:rPr/>
        <w:t>2010).</w:t>
      </w:r>
    </w:p>
    <w:p>
      <w:pPr>
        <w:pStyle w:val="BodyText"/>
      </w:pPr>
    </w:p>
    <w:p>
      <w:pPr>
        <w:pStyle w:val="BodyText"/>
        <w:spacing w:line="362" w:lineRule="auto" w:before="140"/>
        <w:ind w:left="116" w:right="126"/>
        <w:jc w:val="both"/>
      </w:pPr>
      <w:r>
        <w:rPr/>
        <w:t>Los jardines botánicos juegan un papel importante para la conservación de la biodiversidad,  tanto  en  el  conocimiento  del  acervo  vegetal,  como  en  asuntos     de</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22"/>
        <w:jc w:val="both"/>
      </w:pPr>
      <w:r>
        <w:rPr/>
        <w:t>educación y conservación. Con el transcurso del tiempo y con el aumento en tamaño y número de las ciudades, </w:t>
      </w:r>
      <w:r>
        <w:rPr>
          <w:spacing w:val="-2"/>
        </w:rPr>
        <w:t>además </w:t>
      </w:r>
      <w:r>
        <w:rPr/>
        <w:t>del alejamiento que tienen las personas de la naturaleza, estos sitios serán indispensables para el bienestar de la humanidad (Vovides </w:t>
      </w:r>
      <w:r>
        <w:rPr>
          <w:i/>
        </w:rPr>
        <w:t>et al.,</w:t>
      </w:r>
      <w:r>
        <w:rPr>
          <w:i/>
          <w:spacing w:val="-7"/>
        </w:rPr>
        <w:t> </w:t>
      </w:r>
      <w:r>
        <w:rPr/>
        <w:t>2010).</w:t>
      </w:r>
    </w:p>
    <w:p>
      <w:pPr>
        <w:pStyle w:val="BodyText"/>
      </w:pPr>
    </w:p>
    <w:p>
      <w:pPr>
        <w:pStyle w:val="BodyText"/>
        <w:spacing w:line="360" w:lineRule="auto" w:before="144"/>
        <w:ind w:left="116" w:right="116"/>
        <w:jc w:val="both"/>
      </w:pPr>
      <w:r>
        <w:rPr/>
        <w:t>Algunos de los mejor consolidados en nuestro país son el “Francisco Javier Clavijero” del Instituto de Ecología, A. C., en Xalapa, Veracruz; el del Instituto de Biología de la Universidad Nacional Autónoma de México (UNAM), en la ciudad de México; el  Regional del Centro de Investigación Científica de Yucatán (CICY), en Mérida, y el Jardín Etnobotánico de Oaxaca, en Oaxaca (Vovides </w:t>
      </w:r>
      <w:r>
        <w:rPr>
          <w:i/>
        </w:rPr>
        <w:t>et al.,</w:t>
      </w:r>
      <w:r>
        <w:rPr>
          <w:i/>
          <w:spacing w:val="-20"/>
        </w:rPr>
        <w:t> </w:t>
      </w:r>
      <w:r>
        <w:rPr/>
        <w:t>2010).</w:t>
      </w:r>
    </w:p>
    <w:p>
      <w:pPr>
        <w:pStyle w:val="BodyText"/>
      </w:pPr>
    </w:p>
    <w:p>
      <w:pPr>
        <w:pStyle w:val="BodyText"/>
        <w:spacing w:line="362" w:lineRule="auto" w:before="139"/>
        <w:ind w:left="116" w:right="122"/>
        <w:jc w:val="both"/>
      </w:pPr>
      <w:r>
        <w:rPr/>
        <w:t>Aunque existen más de 2 500 jardines botánicos, de un total de 165 países (Caballero, 2012; Waylen, 2006), muy pocos se hallan en las zonas de mayor diversidad  de plantas, o sea, en los trópicos, donde más se les necesita (Vovides </w:t>
      </w:r>
      <w:r>
        <w:rPr>
          <w:i/>
        </w:rPr>
        <w:t>et al., </w:t>
      </w:r>
      <w:r>
        <w:rPr/>
        <w:t>2010).</w:t>
      </w:r>
    </w:p>
    <w:p>
      <w:pPr>
        <w:pStyle w:val="BodyText"/>
        <w:spacing w:before="10"/>
        <w:rPr>
          <w:sz w:val="35"/>
        </w:rPr>
      </w:pPr>
    </w:p>
    <w:p>
      <w:pPr>
        <w:pStyle w:val="BodyText"/>
        <w:spacing w:line="360" w:lineRule="auto"/>
        <w:ind w:left="116" w:right="110"/>
        <w:jc w:val="both"/>
      </w:pPr>
      <w:r>
        <w:rPr/>
        <w:t>Los jardines botánicos regionales permiten la conservación, el rescate y el estudio de la flora local sin el esfuerzo costoso de mantener las colecciones en climas artificiales o climatrones. Unos ejemplos de tales jardines son el jardín botánico Regional del Centro de Investigación Científica de Yucatán (CICY) en Mérida, Yucatán, dedicado al estudio de la flora de la península, así como a la propagación y al rescate de las especies amenazadas de esta región.</w:t>
      </w:r>
    </w:p>
    <w:p>
      <w:pPr>
        <w:pStyle w:val="BodyText"/>
      </w:pPr>
    </w:p>
    <w:p>
      <w:pPr>
        <w:pStyle w:val="BodyText"/>
        <w:spacing w:line="360" w:lineRule="auto" w:before="144"/>
        <w:ind w:left="116" w:right="110"/>
        <w:jc w:val="both"/>
        <w:rPr>
          <w:i/>
        </w:rPr>
      </w:pPr>
      <w:r>
        <w:rPr/>
        <w:t>El jardín botánico Regional “Alfredo Barrera Marín” de El Colegio de la Frontera Sur (ECOSUR), en Puerto Morelos, Quintana Roo, es un ejemplo de un jardín </w:t>
      </w:r>
      <w:r>
        <w:rPr>
          <w:i/>
        </w:rPr>
        <w:t>in situ </w:t>
      </w:r>
      <w:r>
        <w:rPr/>
        <w:t>en selva mediana perennifolia de la costa del Caribe mexicano; el jardín botánico “Francisco Javier Clavijero” del Instituto de Ecología, A. C., en Xalapa, Veracruz, dedicado a la flora y a especies amenazadas de bosque mesófilo de montaña de esta región, este es un jardín </w:t>
      </w:r>
      <w:r>
        <w:rPr>
          <w:i/>
        </w:rPr>
        <w:t>inter situ </w:t>
      </w:r>
      <w:r>
        <w:rPr/>
        <w:t>donde había restos de un bosque mesófilo de montaña cuando se estableció el jardín; y el jardín botánico de Zapotitlán Salinas en el Valle de Tehuacán, Puebla, dedicado a las cactáceas de esta zona, es otro botánico   </w:t>
      </w:r>
      <w:r>
        <w:rPr>
          <w:i/>
        </w:rPr>
        <w:t>in</w:t>
      </w:r>
    </w:p>
    <w:p>
      <w:pPr>
        <w:spacing w:after="0" w:line="360" w:lineRule="auto"/>
        <w:jc w:val="both"/>
        <w:sectPr>
          <w:pgSz w:w="12240" w:h="15840"/>
          <w:pgMar w:header="690" w:footer="1146" w:top="880" w:bottom="1340" w:left="1300" w:right="1300"/>
        </w:sectPr>
      </w:pPr>
    </w:p>
    <w:p>
      <w:pPr>
        <w:pStyle w:val="BodyText"/>
        <w:rPr>
          <w:i/>
          <w:sz w:val="20"/>
        </w:rPr>
      </w:pPr>
    </w:p>
    <w:p>
      <w:pPr>
        <w:pStyle w:val="BodyText"/>
        <w:spacing w:before="4"/>
        <w:rPr>
          <w:i/>
          <w:sz w:val="19"/>
        </w:rPr>
      </w:pPr>
    </w:p>
    <w:p>
      <w:pPr>
        <w:pStyle w:val="BodyText"/>
        <w:spacing w:line="362" w:lineRule="auto" w:before="70"/>
        <w:ind w:left="116" w:right="128"/>
        <w:jc w:val="both"/>
      </w:pPr>
      <w:r>
        <w:rPr>
          <w:i/>
        </w:rPr>
        <w:t>situ</w:t>
      </w:r>
      <w:r>
        <w:rPr/>
        <w:t>, ya que fue creado en el ecosistema de matorral crasicaule de la Reserva de la Biósfera Tehuacán-Cuicatlán (Vovides </w:t>
      </w:r>
      <w:r>
        <w:rPr>
          <w:i/>
        </w:rPr>
        <w:t>et al., </w:t>
      </w:r>
      <w:r>
        <w:rPr/>
        <w:t>2010).</w:t>
      </w:r>
    </w:p>
    <w:p>
      <w:pPr>
        <w:pStyle w:val="BodyText"/>
        <w:spacing w:before="6"/>
        <w:rPr>
          <w:sz w:val="35"/>
        </w:rPr>
      </w:pPr>
    </w:p>
    <w:p>
      <w:pPr>
        <w:pStyle w:val="Heading2"/>
        <w:numPr>
          <w:ilvl w:val="1"/>
          <w:numId w:val="2"/>
        </w:numPr>
        <w:tabs>
          <w:tab w:pos="684" w:val="left" w:leader="none"/>
        </w:tabs>
        <w:spacing w:line="240" w:lineRule="auto" w:before="0" w:after="0"/>
        <w:ind w:left="683" w:right="0" w:hanging="567"/>
        <w:jc w:val="both"/>
      </w:pPr>
      <w:r>
        <w:rPr/>
        <w:t>Educación y cultura</w:t>
      </w:r>
      <w:r>
        <w:rPr>
          <w:spacing w:val="-19"/>
        </w:rPr>
        <w:t> </w:t>
      </w:r>
      <w:r>
        <w:rPr/>
        <w:t>ambiental</w:t>
      </w:r>
    </w:p>
    <w:p>
      <w:pPr>
        <w:pStyle w:val="BodyText"/>
        <w:spacing w:line="360" w:lineRule="auto" w:before="141"/>
        <w:ind w:left="116" w:right="119"/>
        <w:jc w:val="both"/>
      </w:pPr>
      <w:r>
        <w:rPr/>
        <w:t>La educación ambiental es una disciplina que en México comenzó a ha comenzado a fructificar y que debe implementarse como una acción necesaria para abordar los problemas ambientales y contribuir a su solución (Ramírez y Ramírez, 2006). En ella se establecieron objetivos para definir su campo de estudio, de manera que haga participe a cualquier persona y brinde un entendimiento fundamental del entorno ecológico.  Estos objetivos son: tomar una actitud de valoración e interés por el ambiente; tener motivación para realizar una acción dirigida a su mejoramiento, protección y conservación; asumir aptitudes para determinar y resolver la problemática ambiental; adquirir conocimientos y relaciones acerca del medio y sus componentes para tomar una mayor conciencia y sensibilidad ante esta problemática, y por último, el objetivo </w:t>
      </w:r>
      <w:r>
        <w:rPr>
          <w:spacing w:val="-3"/>
        </w:rPr>
        <w:t>más </w:t>
      </w:r>
      <w:r>
        <w:rPr/>
        <w:t>importante, la participación de la comunidad en general (sin excepciones) en las tareas, proyectos y programas destinados a dar solución a las cuestiones</w:t>
      </w:r>
      <w:r>
        <w:rPr>
          <w:spacing w:val="-42"/>
        </w:rPr>
        <w:t> </w:t>
      </w:r>
      <w:r>
        <w:rPr/>
        <w:t>ambientales.</w:t>
      </w:r>
    </w:p>
    <w:p>
      <w:pPr>
        <w:pStyle w:val="BodyText"/>
      </w:pPr>
    </w:p>
    <w:p>
      <w:pPr>
        <w:pStyle w:val="BodyText"/>
        <w:spacing w:line="360" w:lineRule="auto" w:before="144"/>
        <w:ind w:left="116" w:right="120"/>
        <w:jc w:val="both"/>
      </w:pPr>
      <w:r>
        <w:rPr/>
        <w:t>En general, el campo de la educación está bien desarrollado en los jardines botánicos de México. Una de sus prioridades es educar a las personas que acuden y difundir la importancia de la flora y de su conservación.</w:t>
      </w:r>
    </w:p>
    <w:p>
      <w:pPr>
        <w:pStyle w:val="BodyText"/>
      </w:pPr>
    </w:p>
    <w:p>
      <w:pPr>
        <w:pStyle w:val="BodyText"/>
        <w:spacing w:line="360" w:lineRule="auto" w:before="145"/>
        <w:ind w:left="116" w:right="110"/>
        <w:jc w:val="both"/>
      </w:pPr>
      <w:r>
        <w:rPr/>
        <w:t>La mayoría de éstos se encuentran cercanos a áreas urbanas, por lo cual </w:t>
      </w:r>
      <w:r>
        <w:rPr>
          <w:spacing w:val="3"/>
        </w:rPr>
        <w:t>tiene </w:t>
      </w:r>
      <w:r>
        <w:rPr/>
        <w:t>una afluencia de visitantes principalmente citadinos, lo que hace imperativo informar sobre  la diversidad biológica que presenta nuestro país y el valor de conservarla para generaciones futuras. Esta actividad ha producido una gama de programas educativos, entre los cuales podemos destacar las visitas guiadas, los talleres dedicados a la educación ambiental y al desarrollo sustentable, y otros foros de discusión </w:t>
      </w:r>
      <w:r>
        <w:rPr>
          <w:spacing w:val="-3"/>
        </w:rPr>
        <w:t>más </w:t>
      </w:r>
      <w:r>
        <w:rPr/>
        <w:t>especializados, como son cursos, simposios o</w:t>
      </w:r>
      <w:r>
        <w:rPr>
          <w:spacing w:val="-20"/>
        </w:rPr>
        <w:t> </w:t>
      </w:r>
      <w:r>
        <w:rPr/>
        <w:t>congresos.</w:t>
      </w:r>
    </w:p>
    <w:p>
      <w:pPr>
        <w:pStyle w:val="BodyText"/>
      </w:pPr>
    </w:p>
    <w:p>
      <w:pPr>
        <w:pStyle w:val="BodyText"/>
        <w:spacing w:line="362" w:lineRule="auto" w:before="140"/>
        <w:ind w:left="116" w:right="119"/>
        <w:jc w:val="both"/>
      </w:pPr>
      <w:r>
        <w:rPr/>
        <w:t>Los programas de educación no formal llevados a cabo en las instituciones botánicas representan un complemento importante a la educación formal en las escuelas, sobre</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9"/>
        <w:jc w:val="both"/>
      </w:pPr>
      <w:r>
        <w:rPr/>
        <w:t>todo en las ciudades donde usualmente hay carencia de áreas verdes; los jardines botánicos ofrecen espacios seguros y atractivos para conocer el entorno vegetal que nos rodea y nos invitan a observar las plantas originarias de nuestras regiones, ya que la mayoría alberga colecciones regionales.</w:t>
      </w:r>
    </w:p>
    <w:p>
      <w:pPr>
        <w:pStyle w:val="BodyText"/>
      </w:pPr>
    </w:p>
    <w:p>
      <w:pPr>
        <w:pStyle w:val="BodyText"/>
        <w:spacing w:line="360" w:lineRule="auto" w:before="144"/>
        <w:ind w:left="116" w:right="111"/>
        <w:jc w:val="both"/>
      </w:pPr>
      <w:r>
        <w:rPr/>
        <w:t>Educación Ambiental para la Sustentabilidad se plantea como una alternativa con visión pedagógica, que aspira a que los alumnos comprendan y modifiquen las relaciones que históricamente han causado daño al ambiente, así como que amplíen su perspectiva de la realidad que puedan tener al respecto.</w:t>
      </w:r>
    </w:p>
    <w:p>
      <w:pPr>
        <w:pStyle w:val="BodyText"/>
      </w:pPr>
    </w:p>
    <w:p>
      <w:pPr>
        <w:pStyle w:val="BodyText"/>
        <w:spacing w:line="360" w:lineRule="auto" w:before="145"/>
        <w:ind w:left="116" w:right="119"/>
        <w:jc w:val="both"/>
      </w:pPr>
      <w:r>
        <w:rPr/>
        <w:t>Existe la necesidad de una educación ambiental para un desarrollo sustentable de carácter integral que promueva el conocimiento de los problemas del medio natural y social en su conjunto y los vincule sólidamente con sus causas.</w:t>
      </w:r>
    </w:p>
    <w:p>
      <w:pPr>
        <w:pStyle w:val="BodyText"/>
      </w:pPr>
    </w:p>
    <w:p>
      <w:pPr>
        <w:pStyle w:val="BodyText"/>
        <w:spacing w:line="360" w:lineRule="auto" w:before="144"/>
        <w:ind w:left="116" w:right="113"/>
        <w:jc w:val="both"/>
      </w:pPr>
      <w:r>
        <w:rPr/>
        <w:t>En consecuencia, el medio ambiente es visto integralmente a partir del reconocimiento de una serie de problemas naturales y sociales que aquejan a la región y que requieren de una educación orientada hacia su transformación. Sin embargo, no fue sino hasta la década de los años noventa, cuando la educación ambiental tuvo un impulso significativo en América Latina y el Caribe.</w:t>
      </w:r>
    </w:p>
    <w:p>
      <w:pPr>
        <w:pStyle w:val="BodyText"/>
      </w:pPr>
    </w:p>
    <w:p>
      <w:pPr>
        <w:pStyle w:val="BodyText"/>
        <w:spacing w:line="360" w:lineRule="auto" w:before="140"/>
        <w:ind w:left="116" w:right="113"/>
        <w:jc w:val="both"/>
      </w:pPr>
      <w:r>
        <w:rPr/>
        <w:t>La educación ambiental se encuentra influida en gran medida por la obra de  educadores populares de América Latina y el Caribe, entre ellos, José Rivero (1999) y Jara (2005), de Perú; Alejandro Augier y Esther Pérez (2004), de Cuba; y Moacir Gadotti, de Brasil. Este último, en su obra </w:t>
      </w:r>
      <w:r>
        <w:rPr>
          <w:i/>
        </w:rPr>
        <w:t>Pedagogía de la tierra </w:t>
      </w:r>
      <w:r>
        <w:rPr/>
        <w:t>(Gadotti, 2002),  vincula la educación popular con el desarrollo sustentable y propone una ecopedagogía para la reconstrucción paradigmática de una cultura de sustentabilidad y</w:t>
      </w:r>
      <w:r>
        <w:rPr>
          <w:spacing w:val="-29"/>
        </w:rPr>
        <w:t> </w:t>
      </w:r>
      <w:r>
        <w:rPr/>
        <w:t>paz.</w:t>
      </w:r>
    </w:p>
    <w:p>
      <w:pPr>
        <w:pStyle w:val="BodyText"/>
      </w:pPr>
    </w:p>
    <w:p>
      <w:pPr>
        <w:pStyle w:val="BodyText"/>
        <w:spacing w:line="360" w:lineRule="auto" w:before="144"/>
        <w:ind w:left="116" w:right="116"/>
        <w:jc w:val="both"/>
      </w:pPr>
      <w:r>
        <w:rPr/>
        <w:t>La educación ambiental implica un tratamiento de la problemática ambiental de manera coherente y significativa, de tal </w:t>
      </w:r>
      <w:r>
        <w:rPr>
          <w:spacing w:val="-3"/>
        </w:rPr>
        <w:t>forma </w:t>
      </w:r>
      <w:r>
        <w:rPr/>
        <w:t>que los individuos se acerquen a la realidad socio-natural, de manera que al resolver problemas del contexto, pongan en juego los procesos  creativos   e  innovadores;  de  tal   forma   que   su  proceso   de </w:t>
      </w:r>
      <w:r>
        <w:rPr>
          <w:spacing w:val="52"/>
        </w:rPr>
        <w:t> </w:t>
      </w:r>
      <w:r>
        <w:rPr/>
        <w:t>enseñanza</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5"/>
        <w:jc w:val="both"/>
      </w:pPr>
      <w:r>
        <w:rPr/>
        <w:t>aprendizaje sea continuo, en donde los grupos sociales adquieran conciencia de su medio y sobre las interrelaciones entre el hombre, su cultura y su medio biofísico, que permitan minimizar al máximo la degradación del paisaje (Rojas </w:t>
      </w:r>
      <w:r>
        <w:rPr>
          <w:i/>
        </w:rPr>
        <w:t>et al</w:t>
      </w:r>
      <w:r>
        <w:rPr/>
        <w:t>., 2007) y resolver los problemas ambientales presentes y futuros.</w:t>
      </w:r>
    </w:p>
    <w:p>
      <w:pPr>
        <w:pStyle w:val="BodyText"/>
      </w:pPr>
    </w:p>
    <w:p>
      <w:pPr>
        <w:pStyle w:val="BodyText"/>
        <w:spacing w:line="360" w:lineRule="auto" w:before="144"/>
        <w:ind w:left="116" w:right="126"/>
        <w:jc w:val="both"/>
      </w:pPr>
      <w:r>
        <w:rPr/>
        <w:t>Dicha educación es un proceso dirigido a mejorar la calidad de vida y las condiciones  de la población, las relaciones humanas, su cultura y su entorno, reconocerla como recurso educativo, proteger el medio ambiente y comprender las relaciones entre el hombre, la naturaleza y la sociedad (Covas,</w:t>
      </w:r>
      <w:r>
        <w:rPr>
          <w:spacing w:val="-22"/>
        </w:rPr>
        <w:t> </w:t>
      </w:r>
      <w:r>
        <w:rPr/>
        <w:t>2004).</w:t>
      </w:r>
    </w:p>
    <w:p>
      <w:pPr>
        <w:pStyle w:val="BodyText"/>
      </w:pPr>
    </w:p>
    <w:p>
      <w:pPr>
        <w:pStyle w:val="BodyText"/>
        <w:spacing w:line="360" w:lineRule="auto" w:before="145"/>
        <w:ind w:left="116" w:right="122"/>
        <w:jc w:val="both"/>
      </w:pPr>
      <w:r>
        <w:rPr/>
        <w:t>Así, encontramos que la educación ambiental está orientada hacia el fomento de una conciencia ambiental crítica en los educadores y educandos.</w:t>
      </w:r>
    </w:p>
    <w:p>
      <w:pPr>
        <w:pStyle w:val="BodyText"/>
      </w:pPr>
    </w:p>
    <w:p>
      <w:pPr>
        <w:pStyle w:val="BodyText"/>
        <w:spacing w:line="360" w:lineRule="auto" w:before="144"/>
        <w:ind w:left="116" w:right="113"/>
        <w:jc w:val="both"/>
      </w:pPr>
      <w:r>
        <w:rPr/>
        <w:t>La educación ambiental para el desarrollo sustentable propicia que los propios sujetos puedan tener una lección crítica de la realidad en que se encuentran, que les posibilita identificar problemas, seleccionar alternativas de acción y construir o reconstruir propuestas factibles de solución. No pretende la competitividad, sino la solidaridad, fundada en el reconocimiento de las diferencias, y en la igualdad de oportunidades de realización humana.</w:t>
      </w:r>
    </w:p>
    <w:p>
      <w:pPr>
        <w:pStyle w:val="BodyText"/>
      </w:pPr>
    </w:p>
    <w:p>
      <w:pPr>
        <w:pStyle w:val="BodyText"/>
        <w:spacing w:line="360" w:lineRule="auto" w:before="140"/>
        <w:ind w:left="116" w:right="114"/>
        <w:jc w:val="both"/>
      </w:pPr>
      <w:r>
        <w:rPr/>
        <w:t>En la Estrategia de Educación Ambiental para la Sustentabilidad </w:t>
      </w:r>
      <w:r>
        <w:rPr>
          <w:spacing w:val="7"/>
        </w:rPr>
        <w:t>en </w:t>
      </w:r>
      <w:r>
        <w:rPr/>
        <w:t>México publicada en 2006, es un documento clave que sirve para unificar esfuerzos y dirigir de alguna forma las múltiples actividades de educación ambiental que se realizan en el país, este escrito define a la educación ambiental como aquella que “promueva la formación de individuos y grupos sociales con conocimientos, habilidades, sentimientos, valores y conductas favorables para la construcción de un nuevo paradigma social caracterizado por pautas de convivencia social y con la naturaleza que conduzcan a la sustentabilidad política, económica y ecológica” (SEMARNAT,</w:t>
      </w:r>
      <w:r>
        <w:rPr>
          <w:spacing w:val="-20"/>
        </w:rPr>
        <w:t> </w:t>
      </w:r>
      <w:r>
        <w:rPr/>
        <w:t>2006).</w:t>
      </w:r>
    </w:p>
    <w:p>
      <w:pPr>
        <w:pStyle w:val="BodyText"/>
      </w:pPr>
    </w:p>
    <w:p>
      <w:pPr>
        <w:pStyle w:val="BodyText"/>
        <w:spacing w:line="362" w:lineRule="auto" w:before="140"/>
        <w:ind w:left="116" w:right="112"/>
        <w:jc w:val="both"/>
      </w:pPr>
      <w:r>
        <w:rPr/>
        <w:t>Se enfatiza la importancia de promover el uso racional de los recursos naturales (que permita a los ecosistemas su renovación y no sobrepasar su capacidad de carga  como</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27"/>
        <w:jc w:val="both"/>
      </w:pPr>
      <w:r>
        <w:rPr/>
        <w:t>sumideros de desechos), así como formar recursos humanos capaces de generar conocimientos científicos y técnicos.</w:t>
      </w:r>
    </w:p>
    <w:p>
      <w:pPr>
        <w:pStyle w:val="BodyText"/>
        <w:spacing w:before="11"/>
        <w:rPr>
          <w:sz w:val="35"/>
        </w:rPr>
      </w:pPr>
    </w:p>
    <w:p>
      <w:pPr>
        <w:pStyle w:val="BodyText"/>
        <w:spacing w:line="360" w:lineRule="auto"/>
        <w:ind w:left="116" w:right="117"/>
        <w:jc w:val="both"/>
      </w:pPr>
      <w:r>
        <w:rPr/>
        <w:t>En nuestro país, la Educación Ambiental se enfrenta ante una compleja problemática, para la cual apenas se han iniciado intentos de solución. Entre estos problemas destacan: La Educación Ambiental aún es muy pobre en todos los niveles, en las escuelas sin importar no se está incluyendo de manera formal en los programas de estudio y que esta educación no está dirigida a las comunidades rurales, ni a su contexto social.</w:t>
      </w:r>
    </w:p>
    <w:p>
      <w:pPr>
        <w:pStyle w:val="BodyText"/>
      </w:pPr>
    </w:p>
    <w:p>
      <w:pPr>
        <w:pStyle w:val="BodyText"/>
        <w:spacing w:line="360" w:lineRule="auto" w:before="145"/>
        <w:ind w:left="116" w:right="111"/>
        <w:jc w:val="both"/>
      </w:pPr>
      <w:r>
        <w:rPr/>
        <w:t>El Plan Nacional de Desarrollo 1995-2000 señala, entre otros pronunciamientos, que transitar hacia "un aprovechamiento duradero de los recursos naturales renovables y  del medio ambiente que permita mejor calidad de vida para todos, propicie la superación de la pobreza, y contribuya a una economía que no degrade sus bases naturales de sustentación dependerá de la conformación de una cultura de la prevención, aprovechamiento sustentable de nuestros recursos y mejoramiento de la calidad de vida, planteada como una de las principales tareas compartidas entre el estado y sociedad, donde se privilegien la educación, la capacitación y la comunicación" (Poder Ejecutivo Federal, 1995). Por su parte el Programa de Medio Ambiente 1995- 2000 se propone metas en materia de educación, capacitación e investigación, orientadas</w:t>
      </w:r>
      <w:r>
        <w:rPr>
          <w:spacing w:val="-1"/>
        </w:rPr>
        <w:t> </w:t>
      </w:r>
      <w:r>
        <w:rPr/>
        <w:t>a:</w:t>
      </w:r>
    </w:p>
    <w:p>
      <w:pPr>
        <w:pStyle w:val="BodyText"/>
      </w:pPr>
    </w:p>
    <w:p>
      <w:pPr>
        <w:pStyle w:val="ListParagraph"/>
        <w:numPr>
          <w:ilvl w:val="0"/>
          <w:numId w:val="4"/>
        </w:numPr>
        <w:tabs>
          <w:tab w:pos="837" w:val="left" w:leader="none"/>
        </w:tabs>
        <w:spacing w:line="360" w:lineRule="auto" w:before="144" w:after="0"/>
        <w:ind w:left="837" w:right="110" w:hanging="361"/>
        <w:jc w:val="both"/>
        <w:rPr>
          <w:sz w:val="24"/>
        </w:rPr>
      </w:pPr>
      <w:r>
        <w:rPr>
          <w:sz w:val="24"/>
        </w:rPr>
        <w:t>"Contribuir a la formación de una cultura ambiental fincada en la modificación de preferencias de consumo y de patrones de convivencia con criterios de sustentabilidad".</w:t>
      </w:r>
    </w:p>
    <w:p>
      <w:pPr>
        <w:pStyle w:val="BodyText"/>
      </w:pPr>
    </w:p>
    <w:p>
      <w:pPr>
        <w:pStyle w:val="ListParagraph"/>
        <w:numPr>
          <w:ilvl w:val="0"/>
          <w:numId w:val="4"/>
        </w:numPr>
        <w:tabs>
          <w:tab w:pos="837" w:val="left" w:leader="none"/>
        </w:tabs>
        <w:spacing w:line="360" w:lineRule="auto" w:before="144" w:after="0"/>
        <w:ind w:left="837" w:right="125" w:hanging="361"/>
        <w:jc w:val="both"/>
        <w:rPr>
          <w:sz w:val="24"/>
        </w:rPr>
      </w:pPr>
      <w:r>
        <w:rPr>
          <w:sz w:val="24"/>
        </w:rPr>
        <w:t>"Promover programas académicos de formación ambiental al nivel nacional, auspiciando la vinculación entre las universidades y centros de investigación y el sector productivo y de</w:t>
      </w:r>
      <w:r>
        <w:rPr>
          <w:spacing w:val="-4"/>
          <w:sz w:val="24"/>
        </w:rPr>
        <w:t> </w:t>
      </w:r>
      <w:r>
        <w:rPr>
          <w:sz w:val="24"/>
        </w:rPr>
        <w:t>servicios".</w:t>
      </w:r>
    </w:p>
    <w:p>
      <w:pPr>
        <w:spacing w:after="0" w:line="360" w:lineRule="auto"/>
        <w:jc w:val="both"/>
        <w:rPr>
          <w:sz w:val="24"/>
        </w:rPr>
        <w:sectPr>
          <w:pgSz w:w="12240" w:h="15840"/>
          <w:pgMar w:header="690" w:footer="1146" w:top="880" w:bottom="1340" w:left="1300" w:right="1300"/>
        </w:sectPr>
      </w:pPr>
    </w:p>
    <w:p>
      <w:pPr>
        <w:pStyle w:val="BodyText"/>
        <w:rPr>
          <w:sz w:val="20"/>
        </w:rPr>
      </w:pPr>
    </w:p>
    <w:p>
      <w:pPr>
        <w:pStyle w:val="BodyText"/>
        <w:spacing w:before="4"/>
        <w:rPr>
          <w:sz w:val="19"/>
        </w:rPr>
      </w:pPr>
    </w:p>
    <w:p>
      <w:pPr>
        <w:pStyle w:val="ListParagraph"/>
        <w:numPr>
          <w:ilvl w:val="0"/>
          <w:numId w:val="4"/>
        </w:numPr>
        <w:tabs>
          <w:tab w:pos="837" w:val="left" w:leader="none"/>
        </w:tabs>
        <w:spacing w:line="362" w:lineRule="auto" w:before="70" w:after="0"/>
        <w:ind w:left="837" w:right="110" w:hanging="361"/>
        <w:jc w:val="both"/>
        <w:rPr>
          <w:sz w:val="24"/>
        </w:rPr>
      </w:pPr>
      <w:r>
        <w:rPr>
          <w:sz w:val="24"/>
        </w:rPr>
        <w:t>"Fortalecer la capacidad institucional para la atención de problemas ambientales, con énfasis en aquellos que impactan cualitativamente los niveles de bienestar social, espacialmente de población en extrema</w:t>
      </w:r>
      <w:r>
        <w:rPr>
          <w:spacing w:val="-10"/>
          <w:sz w:val="24"/>
        </w:rPr>
        <w:t> </w:t>
      </w:r>
      <w:r>
        <w:rPr>
          <w:sz w:val="24"/>
        </w:rPr>
        <w:t>pobreza".</w:t>
      </w:r>
    </w:p>
    <w:p>
      <w:pPr>
        <w:pStyle w:val="BodyText"/>
        <w:spacing w:before="5"/>
        <w:rPr>
          <w:sz w:val="35"/>
        </w:rPr>
      </w:pPr>
    </w:p>
    <w:p>
      <w:pPr>
        <w:pStyle w:val="Heading2"/>
        <w:numPr>
          <w:ilvl w:val="1"/>
          <w:numId w:val="2"/>
        </w:numPr>
        <w:tabs>
          <w:tab w:pos="684" w:val="left" w:leader="none"/>
        </w:tabs>
        <w:spacing w:line="240" w:lineRule="auto" w:before="0" w:after="0"/>
        <w:ind w:left="683" w:right="0" w:hanging="567"/>
        <w:jc w:val="both"/>
      </w:pPr>
      <w:r>
        <w:rPr/>
        <w:t>La</w:t>
      </w:r>
      <w:r>
        <w:rPr>
          <w:spacing w:val="-5"/>
        </w:rPr>
        <w:t> </w:t>
      </w:r>
      <w:r>
        <w:rPr/>
        <w:t>etnobotánica</w:t>
      </w:r>
    </w:p>
    <w:p>
      <w:pPr>
        <w:pStyle w:val="BodyText"/>
        <w:spacing w:line="360" w:lineRule="auto" w:before="146"/>
        <w:ind w:left="116" w:right="113"/>
        <w:jc w:val="both"/>
      </w:pPr>
      <w:r>
        <w:rPr/>
        <w:t>Uno de los principales motivos por los que la sociedad se interesa por conocer las propiedades de las plantas, se debe a la necesidad de buscar la manera de aliviar enfermedades, padecimientos, dolores, entre otros usos referentes a la salud, ya que  de los vegetales se obtienen una gran cantidad de compuestos químicos. La investigación en torno al uso de los principios activos derivados de las plantas es importante en el quehacer etnobotánico (g.e. Shultes, 1960; Shultes y Hofman,</w:t>
      </w:r>
      <w:r>
        <w:rPr>
          <w:spacing w:val="-35"/>
        </w:rPr>
        <w:t> </w:t>
      </w:r>
      <w:r>
        <w:rPr/>
        <w:t>1980).</w:t>
      </w:r>
    </w:p>
    <w:p>
      <w:pPr>
        <w:pStyle w:val="BodyText"/>
      </w:pPr>
    </w:p>
    <w:p>
      <w:pPr>
        <w:pStyle w:val="BodyText"/>
        <w:spacing w:line="360" w:lineRule="auto" w:before="139"/>
        <w:ind w:left="116" w:right="114"/>
        <w:jc w:val="both"/>
      </w:pPr>
      <w:r>
        <w:rPr/>
        <w:t>En sus primeros días, la etnobotánica fue implícitamente conformada por motivos imperialistas (Brockway, 1979), los colectores eran enviados para reunir plantas de áreas ocupadas por grupos culturales tradicionales, especies que posteriormente eran explotadas con fines comerciales por el mundo moderno. No obstante, en el mundo en desarrollo de hoy, ésta disciplina es dirigida con el propósito explícito de reunir información dentro de una estructura a través de la cual dicha información pueda contribuir a la ejecución de diversos planes de desarrollo en cualquier nación, siendo especialmente útil en la planificación del desarrollo de aquellas regiones donde se obtuvieron los datos.</w:t>
      </w:r>
    </w:p>
    <w:p>
      <w:pPr>
        <w:pStyle w:val="BodyText"/>
      </w:pPr>
    </w:p>
    <w:p>
      <w:pPr>
        <w:pStyle w:val="BodyText"/>
        <w:spacing w:line="360" w:lineRule="auto" w:before="144"/>
        <w:ind w:left="116" w:right="124"/>
        <w:jc w:val="both"/>
      </w:pPr>
      <w:r>
        <w:rPr/>
        <w:t>Hoy, los políticos requieren información acerca de los recursos naturales económicamente importantes, así como en torno a las estrategias de manejo que permitan garantizar el éxito de los programas de desarrollo y propicien a la vez la introducción de nuevos cultivares adaptados a las características ecológicas y tecnológicas de las distintas regiones agrícolas (Alcorn, 2001).</w:t>
      </w:r>
    </w:p>
    <w:p>
      <w:pPr>
        <w:pStyle w:val="BodyText"/>
      </w:pPr>
    </w:p>
    <w:p>
      <w:pPr>
        <w:pStyle w:val="BodyText"/>
        <w:spacing w:line="360" w:lineRule="auto" w:before="140"/>
        <w:ind w:left="116" w:right="117"/>
        <w:jc w:val="both"/>
      </w:pPr>
      <w:r>
        <w:rPr/>
        <w:t>Las diferentes comunidades alrededor del mundo, han desarrollado a través del tiempo un vínculo entre ellas y el ambiente que las rodea, creando una cultura propia y característica que las distingue y diferencia de las demás; la forma y la manera en la</w:t>
      </w:r>
    </w:p>
    <w:p>
      <w:pPr>
        <w:spacing w:after="0" w:line="360" w:lineRule="auto"/>
        <w:jc w:val="both"/>
        <w:sectPr>
          <w:footerReference w:type="default" r:id="rId15"/>
          <w:pgSz w:w="12240" w:h="15840"/>
          <w:pgMar w:footer="1146" w:header="690"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17"/>
        <w:jc w:val="both"/>
      </w:pPr>
      <w:r>
        <w:rPr/>
        <w:t>que se establece ésta relación entre ambiente-cultura puede ser estudiada y comprendida de diferentes maneras por diferentes disciplinas.</w:t>
      </w:r>
    </w:p>
    <w:p>
      <w:pPr>
        <w:pStyle w:val="BodyText"/>
        <w:spacing w:before="11"/>
        <w:rPr>
          <w:sz w:val="35"/>
        </w:rPr>
      </w:pPr>
    </w:p>
    <w:p>
      <w:pPr>
        <w:pStyle w:val="BodyText"/>
        <w:spacing w:line="360" w:lineRule="auto"/>
        <w:ind w:left="116" w:right="110"/>
        <w:jc w:val="both"/>
      </w:pPr>
      <w:r>
        <w:rPr/>
        <w:t>Dentro de la corriente del determinismo ambiental, la cultura puede entenderse como el principal mecanismo por el cual el hombre se adapta al entorno, estableciendo una dependencia recíproca entre su cultura y el medio que lo rodea, debido a que la primera depende totalmente de los factores medio ambientales; de tal forma que la naturaleza es el origen y el motor de desarrollo del hombre, lo que implica que la cultura es modelada por el ambiente debido a que influye de modo directo en el carácter y las costumbres de los pueblos y sus gentes (Medina y Kwiatkowska, 2000; Durand, 2002; García, 2005; Sutton y Anderson,</w:t>
      </w:r>
      <w:r>
        <w:rPr>
          <w:spacing w:val="-16"/>
        </w:rPr>
        <w:t> </w:t>
      </w:r>
      <w:r>
        <w:rPr/>
        <w:t>2010).</w:t>
      </w:r>
    </w:p>
    <w:p>
      <w:pPr>
        <w:pStyle w:val="BodyText"/>
      </w:pPr>
    </w:p>
    <w:p>
      <w:pPr>
        <w:pStyle w:val="BodyText"/>
        <w:spacing w:line="360" w:lineRule="auto" w:before="139"/>
        <w:ind w:left="116" w:right="122"/>
        <w:jc w:val="both"/>
      </w:pPr>
      <w:r>
        <w:rPr/>
        <w:t>Por otro lado, el determinismo cultural vislumbra a la cultura como una lente a través de la </w:t>
      </w:r>
      <w:r>
        <w:rPr>
          <w:spacing w:val="-3"/>
        </w:rPr>
        <w:t>cual </w:t>
      </w:r>
      <w:r>
        <w:rPr/>
        <w:t>se observa y se construye el ambiente; la cultura da lugar a la posibilidad de explorar a la naturaleza, lo que contribuye a su vez a la cultura3; ésta adaptación del hombre al entorno, incluye diferentes respuestas culturales, </w:t>
      </w:r>
      <w:r>
        <w:rPr>
          <w:spacing w:val="-4"/>
        </w:rPr>
        <w:t>como</w:t>
      </w:r>
      <w:r>
        <w:rPr>
          <w:spacing w:val="58"/>
        </w:rPr>
        <w:t> </w:t>
      </w:r>
      <w:r>
        <w:rPr/>
        <w:t>la tecnología, organización económica, política, religiosa, social etc. (Stora, 1994; Durand, 2002).</w:t>
      </w:r>
    </w:p>
    <w:p>
      <w:pPr>
        <w:pStyle w:val="BodyText"/>
      </w:pPr>
    </w:p>
    <w:p>
      <w:pPr>
        <w:pStyle w:val="BodyText"/>
        <w:spacing w:line="360" w:lineRule="auto" w:before="144"/>
        <w:ind w:left="116" w:right="116"/>
        <w:jc w:val="both"/>
      </w:pPr>
      <w:r>
        <w:rPr/>
        <w:t>No obstante estas perspectivas de ver la relación entre la cultura y la naturaleza, es claro que hay una dependencia recíproca entre las dos (entorno y cultura), y como lo manifiesta Simmons (1993) ambos enfoques son correctos, debido a que los modelos son una reducción de la masa de información que obtenemos del mundo natural; siendo por lo tanto visiones parciales del mismo; y en donde cada modelo nos dice, aporta y proporciona cosas distintas.</w:t>
      </w:r>
    </w:p>
    <w:p>
      <w:pPr>
        <w:pStyle w:val="BodyText"/>
      </w:pPr>
    </w:p>
    <w:p>
      <w:pPr>
        <w:pStyle w:val="BodyText"/>
        <w:spacing w:line="360" w:lineRule="auto" w:before="140"/>
        <w:ind w:left="116" w:right="125"/>
        <w:jc w:val="both"/>
      </w:pPr>
      <w:r>
        <w:rPr/>
        <w:t>Actualmente la cultura que los diferentes pueblos indígenas y campesinos del mundo poseen sobre su relación con el ambiente, está desapareciendo, esto debido al  proyecto civilizatorio occidental, el cual pretende elevar el nivel cultural de las sociedades campesinas e indígenas, para mejorar su formación y comportamiento (Morales,</w:t>
      </w:r>
      <w:r>
        <w:rPr>
          <w:spacing w:val="-5"/>
        </w:rPr>
        <w:t> </w:t>
      </w:r>
      <w:r>
        <w:rPr/>
        <w:t>2004).</w:t>
      </w:r>
    </w:p>
    <w:p>
      <w:pPr>
        <w:spacing w:after="0" w:line="360" w:lineRule="auto"/>
        <w:jc w:val="both"/>
        <w:sectPr>
          <w:footerReference w:type="default" r:id="rId16"/>
          <w:pgSz w:w="12240" w:h="15840"/>
          <w:pgMar w:footer="1146" w:header="690" w:top="880" w:bottom="1340" w:left="1300" w:right="1300"/>
          <w:pgNumType w:start="21"/>
        </w:sectPr>
      </w:pPr>
    </w:p>
    <w:p>
      <w:pPr>
        <w:pStyle w:val="BodyText"/>
        <w:rPr>
          <w:sz w:val="20"/>
        </w:rPr>
      </w:pPr>
    </w:p>
    <w:p>
      <w:pPr>
        <w:pStyle w:val="BodyText"/>
        <w:spacing w:before="4"/>
        <w:rPr>
          <w:sz w:val="19"/>
        </w:rPr>
      </w:pPr>
    </w:p>
    <w:p>
      <w:pPr>
        <w:pStyle w:val="BodyText"/>
        <w:spacing w:line="360" w:lineRule="auto" w:before="70"/>
        <w:ind w:left="116" w:right="120"/>
        <w:jc w:val="both"/>
      </w:pPr>
      <w:r>
        <w:rPr/>
        <w:t>Esto ha provocado a nivel global una cascada de eventos que han llevado a la radical transformación de los hábitat en el mundo, la pérdida de agua, suelos, y el deterioro de la diversidad genética por la producción de alimentos peligrosos e insanos; pero también este proyecto se distingue por un impacto cultural de incalculables consecuencias, la destrucción de la memoria tradicional representada por los saberes acumulados durante por lo menos 10.000 años de interacción entre la sociedad  humana y la naturaleza (Toledo,</w:t>
      </w:r>
      <w:r>
        <w:rPr>
          <w:spacing w:val="-8"/>
        </w:rPr>
        <w:t> </w:t>
      </w:r>
      <w:r>
        <w:rPr/>
        <w:t>2005).</w:t>
      </w:r>
    </w:p>
    <w:p>
      <w:pPr>
        <w:pStyle w:val="BodyText"/>
      </w:pPr>
    </w:p>
    <w:p>
      <w:pPr>
        <w:pStyle w:val="BodyText"/>
        <w:spacing w:line="360" w:lineRule="auto" w:before="139"/>
        <w:ind w:left="116" w:right="124"/>
        <w:jc w:val="both"/>
      </w:pPr>
      <w:r>
        <w:rPr/>
        <w:t>Toda esta memoria tradicional está representada en la cultura y conocimiento del ambiente de los diferentes grupos indígenas y campesinos, y es referida de distintas maneras, como conocimiento tradicional o también como saberes tradicionales. Estableciendo para algunos autores un sinónimo entre ambos términos (conocimiento y saberes); y para otros, puntualizando claras diferencias.</w:t>
      </w:r>
    </w:p>
    <w:p>
      <w:pPr>
        <w:pStyle w:val="BodyText"/>
      </w:pPr>
    </w:p>
    <w:p>
      <w:pPr>
        <w:pStyle w:val="BodyText"/>
        <w:spacing w:line="360" w:lineRule="auto" w:before="144"/>
        <w:ind w:left="116" w:right="114"/>
        <w:jc w:val="both"/>
      </w:pPr>
      <w:r>
        <w:rPr/>
        <w:t>Thrupp (1993) en su estudio sobre los pueblos del tercer mundo, utiliza el término saberes y lo define como el “conocimiento empírico, la acumulación milenaria de experiencias, el resultado de la producción y reproducción social e individual del conocimiento”. Por otra parte Chamoux (1992) en su trabajo sobre el México indígena, utiliza el concepto saberes y lo define </w:t>
      </w:r>
      <w:r>
        <w:rPr>
          <w:spacing w:val="-4"/>
        </w:rPr>
        <w:t>como</w:t>
      </w:r>
      <w:r>
        <w:rPr>
          <w:spacing w:val="58"/>
        </w:rPr>
        <w:t> </w:t>
      </w:r>
      <w:r>
        <w:rPr/>
        <w:t>“el conocimiento empírico de los campesinos”. Ambos autores manifiestan diferencias entre ambos términos; sin embargo utilizan la palabra conocimiento para definir al término saberes. Por su parte la UNESCO (2006), en un documento sobre los “conocimiento tradicionales” define a éstos como el conjunto acumulado y dinámico del saber teórico, la experiencia práctica y las representaciones que poseen los pueblos con una larga historia de interacción con su medio</w:t>
      </w:r>
      <w:r>
        <w:rPr>
          <w:spacing w:val="-7"/>
        </w:rPr>
        <w:t> </w:t>
      </w:r>
      <w:r>
        <w:rPr/>
        <w:t>natural.</w:t>
      </w:r>
    </w:p>
    <w:p>
      <w:pPr>
        <w:pStyle w:val="BodyText"/>
      </w:pPr>
    </w:p>
    <w:p>
      <w:pPr>
        <w:pStyle w:val="BodyText"/>
        <w:spacing w:line="360" w:lineRule="auto" w:before="144"/>
        <w:ind w:left="116" w:right="120"/>
        <w:jc w:val="both"/>
      </w:pPr>
      <w:r>
        <w:rPr/>
        <w:t>Para Toledo (2005), el conocimiento tradicional es el producto de una red de relaciones y prácticas que milenariamente han desarrollado las comunidades tradicionales campesinas e indígenas, y está conformado por las creencias (cosmos); el sistema de conocimientos que las personas guardan en sus mentes, y la descripción detallada acerca  de  la  estructura  o  los  elementos  de  la  naturaleza,  las  relaciones  que    se</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9"/>
        <w:jc w:val="both"/>
      </w:pPr>
      <w:r>
        <w:rPr/>
        <w:t>establecen entre éstos y su potencial utilitario (corpus); y el conjunto de prácticas productivas, en donde las personas utilizan de manera combinada su sistema de conocimientos sobre el medio que les rodea, a partir de ellos tomar sus principales decisiones sobre su desarrollo en la vida diaria (praxis).</w:t>
      </w:r>
    </w:p>
    <w:p>
      <w:pPr>
        <w:pStyle w:val="BodyText"/>
      </w:pPr>
    </w:p>
    <w:p>
      <w:pPr>
        <w:pStyle w:val="BodyText"/>
        <w:spacing w:line="360" w:lineRule="auto" w:before="144"/>
        <w:ind w:left="116" w:right="126"/>
        <w:jc w:val="both"/>
      </w:pPr>
      <w:r>
        <w:rPr/>
        <w:t>Lo anterior hace posible comprender cabalmente las relaciones que se establecen entre la interpretación, la representación de los conocimientos y el uso o </w:t>
      </w:r>
      <w:r>
        <w:rPr>
          <w:spacing w:val="-3"/>
        </w:rPr>
        <w:t>manejo </w:t>
      </w:r>
      <w:r>
        <w:rPr/>
        <w:t>de la naturaleza por parte de las comunidades. En conjunto con lo anterior, Posey y Dutfield (1996) mencionan que los conocimientos tradicionales pueden categorizarse de  acuerdo a su protección y adecuado </w:t>
      </w:r>
      <w:r>
        <w:rPr>
          <w:spacing w:val="-3"/>
        </w:rPr>
        <w:t>manejo </w:t>
      </w:r>
      <w:r>
        <w:rPr/>
        <w:t>en ocho</w:t>
      </w:r>
      <w:r>
        <w:rPr>
          <w:spacing w:val="-5"/>
        </w:rPr>
        <w:t> </w:t>
      </w:r>
      <w:r>
        <w:rPr/>
        <w:t>categorías:</w:t>
      </w:r>
    </w:p>
    <w:p>
      <w:pPr>
        <w:pStyle w:val="BodyText"/>
        <w:spacing w:before="11"/>
        <w:rPr>
          <w:sz w:val="35"/>
        </w:rPr>
      </w:pPr>
    </w:p>
    <w:p>
      <w:pPr>
        <w:pStyle w:val="ListParagraph"/>
        <w:numPr>
          <w:ilvl w:val="2"/>
          <w:numId w:val="2"/>
        </w:numPr>
        <w:tabs>
          <w:tab w:pos="836" w:val="left" w:leader="none"/>
          <w:tab w:pos="837" w:val="left" w:leader="none"/>
        </w:tabs>
        <w:spacing w:line="355" w:lineRule="auto" w:before="0" w:after="0"/>
        <w:ind w:left="837" w:right="125" w:hanging="361"/>
        <w:jc w:val="left"/>
        <w:rPr>
          <w:sz w:val="24"/>
        </w:rPr>
      </w:pPr>
      <w:r>
        <w:rPr>
          <w:sz w:val="24"/>
        </w:rPr>
        <w:t>Posesiones sagradas (imágenes, sonidos, conocimiento material cultural u otro conocimiento considerado</w:t>
      </w:r>
      <w:r>
        <w:rPr>
          <w:spacing w:val="-14"/>
          <w:sz w:val="24"/>
        </w:rPr>
        <w:t> </w:t>
      </w:r>
      <w:r>
        <w:rPr>
          <w:sz w:val="24"/>
        </w:rPr>
        <w:t>sagrado).</w:t>
      </w:r>
    </w:p>
    <w:p>
      <w:pPr>
        <w:pStyle w:val="ListParagraph"/>
        <w:numPr>
          <w:ilvl w:val="2"/>
          <w:numId w:val="2"/>
        </w:numPr>
        <w:tabs>
          <w:tab w:pos="836" w:val="left" w:leader="none"/>
          <w:tab w:pos="837" w:val="left" w:leader="none"/>
        </w:tabs>
        <w:spacing w:line="355" w:lineRule="auto" w:before="6" w:after="0"/>
        <w:ind w:left="837" w:right="125" w:hanging="361"/>
        <w:jc w:val="left"/>
        <w:rPr>
          <w:sz w:val="24"/>
        </w:rPr>
      </w:pPr>
      <w:r>
        <w:rPr>
          <w:sz w:val="24"/>
        </w:rPr>
        <w:t>Conocimiento de uso actual, previo o potencial de especies, de plantas y de animales, así como de</w:t>
      </w:r>
      <w:r>
        <w:rPr>
          <w:spacing w:val="-9"/>
          <w:sz w:val="24"/>
        </w:rPr>
        <w:t> </w:t>
      </w:r>
      <w:r>
        <w:rPr>
          <w:sz w:val="24"/>
        </w:rPr>
        <w:t>suelos.</w:t>
      </w:r>
    </w:p>
    <w:p>
      <w:pPr>
        <w:pStyle w:val="ListParagraph"/>
        <w:numPr>
          <w:ilvl w:val="2"/>
          <w:numId w:val="2"/>
        </w:numPr>
        <w:tabs>
          <w:tab w:pos="836" w:val="left" w:leader="none"/>
          <w:tab w:pos="837" w:val="left" w:leader="none"/>
        </w:tabs>
        <w:spacing w:line="240" w:lineRule="auto" w:before="6" w:after="0"/>
        <w:ind w:left="837" w:right="0" w:hanging="361"/>
        <w:jc w:val="left"/>
        <w:rPr>
          <w:sz w:val="24"/>
        </w:rPr>
      </w:pPr>
      <w:r>
        <w:rPr>
          <w:sz w:val="24"/>
        </w:rPr>
        <w:t>Conocimiento de preparaciones, procesos y almacenamiento de especies</w:t>
      </w:r>
      <w:r>
        <w:rPr>
          <w:spacing w:val="-36"/>
          <w:sz w:val="24"/>
        </w:rPr>
        <w:t> </w:t>
      </w:r>
      <w:r>
        <w:rPr>
          <w:sz w:val="24"/>
        </w:rPr>
        <w:t>útiles.</w:t>
      </w:r>
    </w:p>
    <w:p>
      <w:pPr>
        <w:pStyle w:val="ListParagraph"/>
        <w:numPr>
          <w:ilvl w:val="2"/>
          <w:numId w:val="2"/>
        </w:numPr>
        <w:tabs>
          <w:tab w:pos="836" w:val="left" w:leader="none"/>
          <w:tab w:pos="837" w:val="left" w:leader="none"/>
        </w:tabs>
        <w:spacing w:line="240" w:lineRule="auto" w:before="133" w:after="0"/>
        <w:ind w:left="837" w:right="0" w:hanging="361"/>
        <w:jc w:val="left"/>
        <w:rPr>
          <w:sz w:val="24"/>
        </w:rPr>
      </w:pPr>
      <w:r>
        <w:rPr>
          <w:sz w:val="24"/>
        </w:rPr>
        <w:t>Conocimiento de fórmulas que involucran </w:t>
      </w:r>
      <w:r>
        <w:rPr>
          <w:spacing w:val="-3"/>
          <w:sz w:val="24"/>
        </w:rPr>
        <w:t>más </w:t>
      </w:r>
      <w:r>
        <w:rPr>
          <w:sz w:val="24"/>
        </w:rPr>
        <w:t>de un</w:t>
      </w:r>
      <w:r>
        <w:rPr>
          <w:spacing w:val="-15"/>
          <w:sz w:val="24"/>
        </w:rPr>
        <w:t> </w:t>
      </w:r>
      <w:r>
        <w:rPr>
          <w:sz w:val="24"/>
        </w:rPr>
        <w:t>ingrediente.</w:t>
      </w:r>
    </w:p>
    <w:p>
      <w:pPr>
        <w:pStyle w:val="ListParagraph"/>
        <w:numPr>
          <w:ilvl w:val="2"/>
          <w:numId w:val="2"/>
        </w:numPr>
        <w:tabs>
          <w:tab w:pos="836" w:val="left" w:leader="none"/>
          <w:tab w:pos="837" w:val="left" w:leader="none"/>
        </w:tabs>
        <w:spacing w:line="355" w:lineRule="auto" w:before="138" w:after="0"/>
        <w:ind w:left="837" w:right="124" w:hanging="361"/>
        <w:jc w:val="left"/>
        <w:rPr>
          <w:sz w:val="24"/>
        </w:rPr>
      </w:pPr>
      <w:r>
        <w:rPr>
          <w:sz w:val="24"/>
        </w:rPr>
        <w:t>Conocimiento selectivo de una especie: método de plantación, cuidados, criterios de selección</w:t>
      </w:r>
      <w:r>
        <w:rPr>
          <w:spacing w:val="-6"/>
          <w:sz w:val="24"/>
        </w:rPr>
        <w:t> </w:t>
      </w:r>
      <w:r>
        <w:rPr>
          <w:sz w:val="24"/>
        </w:rPr>
        <w:t>etc.</w:t>
      </w:r>
    </w:p>
    <w:p>
      <w:pPr>
        <w:pStyle w:val="ListParagraph"/>
        <w:numPr>
          <w:ilvl w:val="2"/>
          <w:numId w:val="2"/>
        </w:numPr>
        <w:tabs>
          <w:tab w:pos="836" w:val="left" w:leader="none"/>
          <w:tab w:pos="837" w:val="left" w:leader="none"/>
        </w:tabs>
        <w:spacing w:line="240" w:lineRule="auto" w:before="6" w:after="0"/>
        <w:ind w:left="837" w:right="0" w:hanging="361"/>
        <w:jc w:val="left"/>
        <w:rPr>
          <w:sz w:val="24"/>
        </w:rPr>
      </w:pPr>
      <w:r>
        <w:rPr>
          <w:sz w:val="24"/>
        </w:rPr>
        <w:t>Conocimiento sobre conservación de</w:t>
      </w:r>
      <w:r>
        <w:rPr>
          <w:spacing w:val="-26"/>
          <w:sz w:val="24"/>
        </w:rPr>
        <w:t> </w:t>
      </w:r>
      <w:r>
        <w:rPr>
          <w:sz w:val="24"/>
        </w:rPr>
        <w:t>ecosistemas.</w:t>
      </w:r>
    </w:p>
    <w:p>
      <w:pPr>
        <w:pStyle w:val="ListParagraph"/>
        <w:numPr>
          <w:ilvl w:val="2"/>
          <w:numId w:val="2"/>
        </w:numPr>
        <w:tabs>
          <w:tab w:pos="836" w:val="left" w:leader="none"/>
          <w:tab w:pos="837" w:val="left" w:leader="none"/>
        </w:tabs>
        <w:spacing w:line="240" w:lineRule="auto" w:before="133" w:after="0"/>
        <w:ind w:left="837" w:right="0" w:hanging="361"/>
        <w:jc w:val="left"/>
        <w:rPr>
          <w:sz w:val="24"/>
        </w:rPr>
      </w:pPr>
      <w:r>
        <w:rPr>
          <w:sz w:val="24"/>
        </w:rPr>
        <w:t>Recursos biogenéticos que se originan en las tierras y territorios</w:t>
      </w:r>
      <w:r>
        <w:rPr>
          <w:spacing w:val="-35"/>
          <w:sz w:val="24"/>
        </w:rPr>
        <w:t> </w:t>
      </w:r>
      <w:r>
        <w:rPr>
          <w:sz w:val="24"/>
        </w:rPr>
        <w:t>indígenas.</w:t>
      </w:r>
    </w:p>
    <w:p>
      <w:pPr>
        <w:pStyle w:val="ListParagraph"/>
        <w:numPr>
          <w:ilvl w:val="2"/>
          <w:numId w:val="2"/>
        </w:numPr>
        <w:tabs>
          <w:tab w:pos="836" w:val="left" w:leader="none"/>
          <w:tab w:pos="837" w:val="left" w:leader="none"/>
        </w:tabs>
        <w:spacing w:line="240" w:lineRule="auto" w:before="138" w:after="0"/>
        <w:ind w:left="837" w:right="0" w:hanging="361"/>
        <w:jc w:val="left"/>
        <w:rPr>
          <w:sz w:val="24"/>
        </w:rPr>
      </w:pPr>
      <w:r>
        <w:rPr>
          <w:sz w:val="24"/>
        </w:rPr>
        <w:t>Conocimiento de sistemas de clasificación de</w:t>
      </w:r>
      <w:r>
        <w:rPr>
          <w:spacing w:val="-21"/>
          <w:sz w:val="24"/>
        </w:rPr>
        <w:t> </w:t>
      </w:r>
      <w:r>
        <w:rPr>
          <w:sz w:val="24"/>
        </w:rPr>
        <w:t>conocimiento.</w:t>
      </w:r>
    </w:p>
    <w:p>
      <w:pPr>
        <w:pStyle w:val="BodyText"/>
      </w:pPr>
    </w:p>
    <w:p>
      <w:pPr>
        <w:pStyle w:val="BodyText"/>
      </w:pPr>
    </w:p>
    <w:p>
      <w:pPr>
        <w:pStyle w:val="BodyText"/>
        <w:spacing w:line="360" w:lineRule="auto"/>
        <w:ind w:left="116" w:right="111"/>
        <w:jc w:val="both"/>
      </w:pPr>
      <w:r>
        <w:rPr/>
        <w:t>De acuerdo con lo anterior, el conocimiento tradicional puede ser visto como una expresión del territorio, que tiene su origen en la forma como las comunidades campesinas e indígenas han generado procesos milenarios de apropiación de la naturaleza4 (Cárdenas, 2010); en donde los seres humanos pueden apropiarse de dos tipos diferentes de recursos: bienes, como por ejemplo la energía solar, agua y  biomasa; y los servicios ambientales o ecológicos. Esta apropiación que realizan los seres humanos de su medio puede ser de tres tipos básicos; el primero en donde la apropiación se realiza sin provocar cambios sustanciales en la estructura y dinámica</w:t>
      </w:r>
      <w:r>
        <w:rPr>
          <w:spacing w:val="44"/>
        </w:rPr>
        <w:t> </w:t>
      </w:r>
      <w:r>
        <w:rPr/>
        <w:t>de</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22"/>
        <w:jc w:val="both"/>
      </w:pPr>
      <w:r>
        <w:rPr/>
        <w:t>los ecosistemas, en el segundo caso se trata de actos de apropiación donde la acción humana desarticula los ecosistemas, y en el tercer caso se distingue por ser la acción humana una suerte de “no-acción”, en el que se suprime todo acto de extracción de bienes para preservar o proteger al ambiente por su valor (Toledo, 2008).</w:t>
      </w:r>
    </w:p>
    <w:p>
      <w:pPr>
        <w:pStyle w:val="BodyText"/>
      </w:pPr>
    </w:p>
    <w:p>
      <w:pPr>
        <w:pStyle w:val="BodyText"/>
        <w:spacing w:line="360" w:lineRule="auto" w:before="144"/>
        <w:ind w:left="116" w:right="120"/>
        <w:jc w:val="both"/>
      </w:pPr>
      <w:r>
        <w:rPr/>
        <w:t>De esta </w:t>
      </w:r>
      <w:r>
        <w:rPr>
          <w:spacing w:val="-2"/>
        </w:rPr>
        <w:t>forma, </w:t>
      </w:r>
      <w:r>
        <w:rPr/>
        <w:t>la apropiación de la naturaleza puede ser material o intangible, refiriéndose ésta última al conjunto de acciones por medio de las cuales los seres humanos se articulan con el mundo natural por medio de las creencias, la percepción,  la estética, la imaginación, intuición y/o el conocimiento (conocimiento tradicional; Toledo, 2008). Pero también ésta apropiación de la naturaleza es diferente entre ambos sexos; debido a que los hombres y las mujeres se relacionan y perciben diferente el ambiente que les rodea (Mellor,</w:t>
      </w:r>
      <w:r>
        <w:rPr>
          <w:spacing w:val="-17"/>
        </w:rPr>
        <w:t> </w:t>
      </w:r>
      <w:r>
        <w:rPr/>
        <w:t>1997).</w:t>
      </w:r>
    </w:p>
    <w:p>
      <w:pPr>
        <w:pStyle w:val="BodyText"/>
      </w:pPr>
    </w:p>
    <w:p>
      <w:pPr>
        <w:pStyle w:val="BodyText"/>
        <w:spacing w:line="360" w:lineRule="auto" w:before="144"/>
        <w:ind w:left="116" w:right="114"/>
        <w:jc w:val="both"/>
      </w:pPr>
      <w:r>
        <w:rPr/>
        <w:t>Fundamentado en la distinta experiencia de las mujeres en una sociedad estructurada por el género, en donde son recolectoras de combustible, materia prima en todo el mundo, responsables de la salud y subsistencia familiar, esto permite una diferencia en la manera de percibir y relacionarse con su entorno natural con respecto a los hombres (Mellor, 1997).</w:t>
      </w:r>
    </w:p>
    <w:p>
      <w:pPr>
        <w:pStyle w:val="BodyText"/>
      </w:pPr>
    </w:p>
    <w:p>
      <w:pPr>
        <w:pStyle w:val="BodyText"/>
        <w:spacing w:line="360" w:lineRule="auto" w:before="139"/>
        <w:ind w:left="116" w:right="114"/>
        <w:jc w:val="both"/>
      </w:pPr>
      <w:r>
        <w:rPr/>
        <w:t>Por lo tanto, el conocimiento tradicional comprende conocimientos detallados del carácter taxonómico sobre constelaciones, plantas, animales, hongos, rocas, nieves, aguas, suelos, paisajes y vegetación, o sobre procesos físicos, biológicos y ecológicos, como movimientos de tierras, ciclos climáticos o hidrológicos, ciclos de vida, periodos  de floración, fructificación, germinación, celo o nidificación, y fenómenos de recuperación de ecosistemas (sucesión ecológica; Cárdenas,</w:t>
      </w:r>
      <w:r>
        <w:rPr>
          <w:spacing w:val="-31"/>
        </w:rPr>
        <w:t> </w:t>
      </w:r>
      <w:r>
        <w:rPr/>
        <w:t>2010).</w:t>
      </w:r>
    </w:p>
    <w:p>
      <w:pPr>
        <w:pStyle w:val="BodyText"/>
      </w:pPr>
    </w:p>
    <w:p>
      <w:pPr>
        <w:pStyle w:val="BodyText"/>
        <w:spacing w:line="360" w:lineRule="auto" w:before="144"/>
        <w:ind w:left="116" w:right="126"/>
        <w:jc w:val="both"/>
      </w:pPr>
      <w:r>
        <w:rPr/>
        <w:t>Este conocimiento tradicional entendido, por lo tanto, como una forma de apropiación  de la naturaleza, no encaja dentro de los cánones de la ciencia moderna y es condicionado como marginal; la racionalidad moderna y científica no considera este conocimiento como parte del patrimonio cultural de las comunidades; sin embargo y pese a ello, no solamente se constituye en la base de la producción agrícola y la </w:t>
      </w:r>
      <w:r>
        <w:rPr>
          <w:spacing w:val="61"/>
        </w:rPr>
        <w:t> </w:t>
      </w:r>
      <w:r>
        <w:rPr>
          <w:spacing w:val="-3"/>
        </w:rPr>
        <w:t>forma</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25"/>
        <w:jc w:val="both"/>
      </w:pPr>
      <w:r>
        <w:rPr/>
        <w:t>como las comunidades se han apropiado de la naturaleza, sino que también configuran el derecho colectivo que las poblaciones rurales tienen sobre los recursos genéticos y el patrimonio asociado a ellos (Cárdenas, 2010)</w:t>
      </w:r>
    </w:p>
    <w:p>
      <w:pPr>
        <w:pStyle w:val="BodyText"/>
      </w:pPr>
    </w:p>
    <w:p>
      <w:pPr>
        <w:pStyle w:val="BodyText"/>
      </w:pPr>
    </w:p>
    <w:p>
      <w:pPr>
        <w:pStyle w:val="BodyText"/>
        <w:spacing w:before="9"/>
        <w:rPr>
          <w:sz w:val="23"/>
        </w:rPr>
      </w:pPr>
    </w:p>
    <w:p>
      <w:pPr>
        <w:pStyle w:val="Heading2"/>
        <w:numPr>
          <w:ilvl w:val="1"/>
          <w:numId w:val="2"/>
        </w:numPr>
        <w:tabs>
          <w:tab w:pos="684" w:val="left" w:leader="none"/>
        </w:tabs>
        <w:spacing w:line="240" w:lineRule="auto" w:before="0" w:after="0"/>
        <w:ind w:left="683" w:right="0" w:hanging="567"/>
        <w:jc w:val="both"/>
      </w:pPr>
      <w:r>
        <w:rPr/>
        <w:t>Desarrollo de los estudios etnobotánicos en</w:t>
      </w:r>
      <w:r>
        <w:rPr>
          <w:spacing w:val="-28"/>
        </w:rPr>
        <w:t> </w:t>
      </w:r>
      <w:r>
        <w:rPr/>
        <w:t>México</w:t>
      </w:r>
    </w:p>
    <w:p>
      <w:pPr>
        <w:pStyle w:val="BodyText"/>
        <w:spacing w:line="360" w:lineRule="auto" w:before="142"/>
        <w:ind w:left="116" w:right="111"/>
        <w:jc w:val="both"/>
      </w:pPr>
      <w:r>
        <w:rPr/>
        <w:t>La disciplina que estudia el lugar de las plantas en la cultura y la interacción </w:t>
      </w:r>
      <w:r>
        <w:rPr>
          <w:spacing w:val="2"/>
        </w:rPr>
        <w:t>directa </w:t>
      </w:r>
      <w:r>
        <w:rPr/>
        <w:t>de las personas con las plantas sin limitarse a ningún tipo de sociedades, se denomina etnobotánica. Según Berlín (1992) y Chávez (1998), dentro de la disciplina </w:t>
      </w:r>
      <w:r>
        <w:rPr>
          <w:spacing w:val="-3"/>
        </w:rPr>
        <w:t>se </w:t>
      </w:r>
      <w:r>
        <w:rPr/>
        <w:t>pueden distinguir dos corrientes principales: la cognitiva y la utilitaria. La primera </w:t>
      </w:r>
      <w:r>
        <w:rPr>
          <w:spacing w:val="7"/>
        </w:rPr>
        <w:t>se </w:t>
      </w:r>
      <w:r>
        <w:rPr/>
        <w:t>basa en cómo perciben los humanos la naturaleza, y la segunda, de cómo la usan o manejan.  La faceta utilitaria tiene un valor primordial. Esta disciplina, es una útil herramienta para la recopilación, descripción y estudio de la cultura botánica popular, ya que existen raíces prehispánicas en </w:t>
      </w:r>
      <w:r>
        <w:rPr>
          <w:spacing w:val="2"/>
        </w:rPr>
        <w:t>las </w:t>
      </w:r>
      <w:r>
        <w:rPr/>
        <w:t>diferentes regiones del</w:t>
      </w:r>
      <w:r>
        <w:rPr>
          <w:spacing w:val="-22"/>
        </w:rPr>
        <w:t> </w:t>
      </w:r>
      <w:r>
        <w:rPr/>
        <w:t>país.</w:t>
      </w:r>
    </w:p>
    <w:p>
      <w:pPr>
        <w:pStyle w:val="BodyText"/>
      </w:pPr>
    </w:p>
    <w:p>
      <w:pPr>
        <w:pStyle w:val="BodyText"/>
        <w:spacing w:line="360" w:lineRule="auto" w:before="139"/>
        <w:ind w:left="116" w:right="111"/>
        <w:jc w:val="both"/>
      </w:pPr>
      <w:r>
        <w:rPr/>
        <w:t>Esta sabiduría de origen antiguo o tradicional continúa proporcionando salud y  bienestar a la población de pocos recursos, por lo que es importante continuar con su estudio, rescatando el conocimiento ancestral y promoviendo su uso (Hurtado </w:t>
      </w:r>
      <w:r>
        <w:rPr>
          <w:i/>
        </w:rPr>
        <w:t>et al., </w:t>
      </w:r>
      <w:r>
        <w:rPr/>
        <w:t>2006). Derivado de lo anterior, se considera importante identificar los usos que la población de la cabecera municipal de Temascaltepec de González realiza sobre de la flora presente en el Parque Universitario “Las</w:t>
      </w:r>
      <w:r>
        <w:rPr>
          <w:spacing w:val="-16"/>
        </w:rPr>
        <w:t> </w:t>
      </w:r>
      <w:r>
        <w:rPr/>
        <w:t>Orquídeas”.</w:t>
      </w:r>
    </w:p>
    <w:p>
      <w:pPr>
        <w:pStyle w:val="BodyText"/>
      </w:pPr>
    </w:p>
    <w:p>
      <w:pPr>
        <w:pStyle w:val="BodyText"/>
        <w:spacing w:line="360" w:lineRule="auto" w:before="144"/>
        <w:ind w:left="116" w:right="114"/>
        <w:jc w:val="both"/>
      </w:pPr>
      <w:r>
        <w:rPr/>
        <w:t>En el Estado de México, el uso de las plantas ha sido investigado por diversas instituciones, tanto en acervos vivos, </w:t>
      </w:r>
      <w:r>
        <w:rPr>
          <w:spacing w:val="-3"/>
        </w:rPr>
        <w:t>como </w:t>
      </w:r>
      <w:r>
        <w:rPr/>
        <w:t>en colecciones de plantas  secas depositadas en los herbarios del país. Las publicaciones etnobotánicas que indican el potencial botánico del Estado corresponden a Martínez (1958), Quintanar (1978), Mendoza (1983), Camacho (1985), Esquivel (1993), Cazares (1994),  Lozano (1996)  </w:t>
      </w:r>
      <w:r>
        <w:rPr>
          <w:spacing w:val="50"/>
        </w:rPr>
        <w:t> </w:t>
      </w:r>
      <w:r>
        <w:rPr/>
        <w:t>y</w:t>
      </w:r>
    </w:p>
    <w:p>
      <w:pPr>
        <w:pStyle w:val="BodyText"/>
        <w:spacing w:before="2"/>
        <w:ind w:left="116"/>
        <w:jc w:val="both"/>
      </w:pPr>
      <w:r>
        <w:rPr/>
        <w:t>Chávez (1998).</w:t>
      </w:r>
    </w:p>
    <w:p>
      <w:pPr>
        <w:pStyle w:val="BodyText"/>
      </w:pPr>
    </w:p>
    <w:p>
      <w:pPr>
        <w:pStyle w:val="BodyText"/>
        <w:spacing w:before="4"/>
        <w:rPr>
          <w:sz w:val="23"/>
        </w:rPr>
      </w:pPr>
    </w:p>
    <w:p>
      <w:pPr>
        <w:pStyle w:val="Heading2"/>
        <w:numPr>
          <w:ilvl w:val="1"/>
          <w:numId w:val="2"/>
        </w:numPr>
        <w:tabs>
          <w:tab w:pos="684" w:val="left" w:leader="none"/>
        </w:tabs>
        <w:spacing w:line="240" w:lineRule="auto" w:before="1" w:after="0"/>
        <w:ind w:left="683" w:right="0" w:hanging="567"/>
        <w:jc w:val="both"/>
      </w:pPr>
      <w:r>
        <w:rPr/>
        <w:t>Análisis del Enfoque del Marco Lógico</w:t>
      </w:r>
      <w:r>
        <w:rPr>
          <w:spacing w:val="-26"/>
        </w:rPr>
        <w:t> </w:t>
      </w:r>
      <w:r>
        <w:rPr/>
        <w:t>(EML)</w:t>
      </w:r>
    </w:p>
    <w:p>
      <w:pPr>
        <w:spacing w:after="0" w:line="240" w:lineRule="auto"/>
        <w:jc w:val="both"/>
        <w:sectPr>
          <w:pgSz w:w="12240" w:h="15840"/>
          <w:pgMar w:header="690" w:footer="1146" w:top="880" w:bottom="1340" w:left="1300" w:right="1300"/>
        </w:sectPr>
      </w:pPr>
    </w:p>
    <w:p>
      <w:pPr>
        <w:pStyle w:val="BodyText"/>
        <w:rPr>
          <w:b/>
          <w:sz w:val="20"/>
        </w:rPr>
      </w:pPr>
    </w:p>
    <w:p>
      <w:pPr>
        <w:pStyle w:val="BodyText"/>
        <w:spacing w:before="4"/>
        <w:rPr>
          <w:b/>
          <w:sz w:val="19"/>
        </w:rPr>
      </w:pPr>
    </w:p>
    <w:p>
      <w:pPr>
        <w:pStyle w:val="BodyText"/>
        <w:spacing w:line="360" w:lineRule="auto" w:before="70"/>
        <w:ind w:left="116" w:right="125"/>
        <w:jc w:val="both"/>
      </w:pPr>
      <w:r>
        <w:rPr/>
        <w:t>El Enfoque del Marco Lógico (EML) está basado en identificar problemas en el estado actual, planteando objetivos, entendiendo como objetivo el dar solución a un problema a futuro por medio de estrategias. El enfoque lógico se liga a las siguientes etapas: caracterización, diagnóstico, prospectiva y propositiva.</w:t>
      </w:r>
    </w:p>
    <w:p>
      <w:pPr>
        <w:pStyle w:val="BodyText"/>
      </w:pPr>
    </w:p>
    <w:p>
      <w:pPr>
        <w:pStyle w:val="Heading2"/>
        <w:spacing w:before="139"/>
      </w:pPr>
      <w:r>
        <w:rPr/>
        <w:t>Las fases del EML de acuerdo con Camacho (2001) son:</w:t>
      </w:r>
    </w:p>
    <w:p>
      <w:pPr>
        <w:pStyle w:val="BodyText"/>
        <w:rPr>
          <w:b/>
        </w:rPr>
      </w:pPr>
    </w:p>
    <w:p>
      <w:pPr>
        <w:pStyle w:val="BodyText"/>
        <w:spacing w:before="9"/>
        <w:rPr>
          <w:b/>
          <w:sz w:val="23"/>
        </w:rPr>
      </w:pPr>
    </w:p>
    <w:p>
      <w:pPr>
        <w:pStyle w:val="BodyText"/>
        <w:spacing w:line="360" w:lineRule="auto"/>
        <w:ind w:left="116" w:right="110"/>
        <w:jc w:val="both"/>
      </w:pPr>
      <w:r>
        <w:rPr>
          <w:b/>
        </w:rPr>
        <w:t>Identificación: </w:t>
      </w:r>
      <w:r>
        <w:rPr/>
        <w:t>constituye la fase menos </w:t>
      </w:r>
      <w:r>
        <w:rPr>
          <w:spacing w:val="-2"/>
        </w:rPr>
        <w:t>formal </w:t>
      </w:r>
      <w:r>
        <w:rPr/>
        <w:t>del ciclo. Supone el momento de gestación del proyecto y está orientada a sentar sus bases. Se trata, en esta fase de determinar cuáles son los problemas que han de resolverse o en su caso, las oportunidades que pueden aprovecharse. Implica aproximarse a un cierto análisis de la realidad. Se trata de contextualizar y madurar la idea de aquello que se puede, </w:t>
      </w:r>
      <w:r>
        <w:rPr>
          <w:spacing w:val="9"/>
        </w:rPr>
        <w:t>se </w:t>
      </w:r>
      <w:r>
        <w:rPr/>
        <w:t>desea y es necesario</w:t>
      </w:r>
      <w:r>
        <w:rPr>
          <w:spacing w:val="-13"/>
        </w:rPr>
        <w:t> </w:t>
      </w:r>
      <w:r>
        <w:rPr/>
        <w:t>hacer.</w:t>
      </w:r>
    </w:p>
    <w:p>
      <w:pPr>
        <w:pStyle w:val="BodyText"/>
        <w:spacing w:line="360" w:lineRule="auto" w:before="8"/>
        <w:ind w:left="116" w:right="112" w:firstLine="67"/>
        <w:jc w:val="both"/>
      </w:pPr>
      <w:r>
        <w:rPr/>
        <w:t>Algunas de las cuestiones relacionadas con la etapa de identificación tratan de responder a las preguntas de: ¿Qué sucede? ¿Por qué sucede? ¿Cómo sucede? ¿A quiénes y cómo afecta? ¿Cómo se puede solucionar?, el EML otorga una importancia central a esta fase, ya que sobre ella se va a construir buena parte de la estructura, sistematización y lógica del proyecto. Es así que los cuatro pasos iniciales del método, análisis de la participación, análisis de los problemas, análisis de objetivos y análisis de alternativas, constituyen la fase de identificación del proyecto.</w:t>
      </w:r>
    </w:p>
    <w:p>
      <w:pPr>
        <w:pStyle w:val="BodyText"/>
      </w:pPr>
    </w:p>
    <w:p>
      <w:pPr>
        <w:pStyle w:val="BodyText"/>
        <w:spacing w:line="360" w:lineRule="auto" w:before="140"/>
        <w:ind w:left="116" w:right="113"/>
        <w:jc w:val="both"/>
      </w:pPr>
      <w:r>
        <w:rPr>
          <w:b/>
        </w:rPr>
        <w:t>Diseño: </w:t>
      </w:r>
      <w:r>
        <w:rPr/>
        <w:t>en ocasiones llamado también de formulación, trata de avanzar a partir de los análisis efectuados en la fase anterior. Consiste, por tanto, en formalizar y organizar los resultados obtenidos en el proceso de identificación, estableciendo estrategias, plazos, recursos y costos. Supone responder, fundamentalmente a preguntas tales como ¿Qué queremos hacer? y ¿Cómo pretendemos realizarlo?; pero también a cuestiones del tipo de ¿A quién se dirige la acción? ¿Por qué y para que actuar? ¿Con quién, dónde, cuándo y con qué recursos?</w:t>
      </w:r>
    </w:p>
    <w:p>
      <w:pPr>
        <w:pStyle w:val="BodyText"/>
        <w:spacing w:before="8"/>
        <w:rPr>
          <w:sz w:val="35"/>
        </w:rPr>
      </w:pPr>
    </w:p>
    <w:p>
      <w:pPr>
        <w:pStyle w:val="BodyText"/>
        <w:spacing w:line="367" w:lineRule="auto" w:before="1"/>
        <w:ind w:left="116" w:right="119"/>
        <w:jc w:val="both"/>
      </w:pPr>
      <w:r>
        <w:rPr>
          <w:b/>
        </w:rPr>
        <w:t>Ejecución y seguimiento</w:t>
      </w:r>
      <w:r>
        <w:rPr/>
        <w:t>: supone el momento de aplicación de los resultados del diseño   a  la   acción   práctica   de   cooperación,   con   intención  de   transformar una</w:t>
      </w:r>
    </w:p>
    <w:p>
      <w:pPr>
        <w:spacing w:after="0" w:line="367"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27"/>
        <w:jc w:val="both"/>
      </w:pPr>
      <w:r>
        <w:rPr/>
        <w:t>determinada realidad. Se trata de llevar a cabo lo previsto, por lo que sus márgenes de maniobra dependerán de la calidad, consistencia y pertinencia del correspondiente diseño.</w:t>
      </w:r>
    </w:p>
    <w:p>
      <w:pPr>
        <w:pStyle w:val="BodyText"/>
        <w:spacing w:before="5"/>
        <w:rPr>
          <w:sz w:val="35"/>
        </w:rPr>
      </w:pPr>
    </w:p>
    <w:p>
      <w:pPr>
        <w:pStyle w:val="BodyText"/>
        <w:spacing w:line="362" w:lineRule="auto"/>
        <w:ind w:left="116" w:right="116"/>
        <w:jc w:val="both"/>
      </w:pPr>
      <w:r>
        <w:rPr>
          <w:b/>
        </w:rPr>
        <w:t>Evaluación</w:t>
      </w:r>
      <w:r>
        <w:rPr/>
        <w:t>: la cuarta y última etapa central del ciclo de gestión es la evaluación. Diversas definiciones y tipologías pueden ser encontradas en numerosos manuales. Digamos que la evaluación es la fase en la que se aprecia y valora para extraer conclusiones antes, durante y después de su ejecución.</w:t>
      </w:r>
    </w:p>
    <w:p>
      <w:pPr>
        <w:pStyle w:val="BodyText"/>
      </w:pPr>
    </w:p>
    <w:p>
      <w:pPr>
        <w:pStyle w:val="BodyText"/>
      </w:pPr>
    </w:p>
    <w:p>
      <w:pPr>
        <w:pStyle w:val="BodyText"/>
        <w:spacing w:before="3"/>
      </w:pPr>
    </w:p>
    <w:p>
      <w:pPr>
        <w:pStyle w:val="BodyText"/>
        <w:spacing w:line="360" w:lineRule="auto"/>
        <w:ind w:left="116" w:right="109"/>
        <w:jc w:val="both"/>
      </w:pPr>
      <w:r>
        <w:rPr/>
        <w:t>Los párrafos anteriormente descritos, nos proporcionan información importante para conocer los antecedentes y metodología empleada en los estudios florísticos y etnobotánicos, así como las estrategías de conservación a nivel nacional e internacional que puedan ser aplicados a la zona de estudio.</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Heading2"/>
        <w:spacing w:before="69"/>
        <w:ind w:left="3310" w:right="78"/>
        <w:jc w:val="left"/>
      </w:pPr>
      <w:r>
        <w:rPr/>
        <w:t>CAPÍTULO II. METODOLOGÍA</w:t>
      </w:r>
    </w:p>
    <w:p>
      <w:pPr>
        <w:pStyle w:val="BodyText"/>
        <w:spacing w:line="360" w:lineRule="auto" w:before="146"/>
        <w:ind w:left="116" w:right="112"/>
        <w:jc w:val="both"/>
      </w:pPr>
      <w:r>
        <w:rPr/>
        <w:t>Este capítulo describe las etapas del procesamiento de información y los métodos utilizados para llevar a cabo el trabajo de campo. Primero se realizó la descripción física y social del área de estudio; porteriormente, el establecimiento y delimitación de las Zonas de Manejo Ambiental, permitió comenzar con la colecta de especies por la técnicas convencionales del método de Lot y Chiang (1986), una vez identificadas las especies se procedió a la revisión de la bibliográfia para obtener los registros de distribución geográfica y el estatus de protección y/o riesgo de las especies. El método del estudio etnobotánico indica los criterios para seleccionar a los informantes clave. Finalmente, se explica la metodología empleada para identificar los problemas ambientales y establecer las estrategias de la conservación y la educación ambiental.</w:t>
      </w:r>
    </w:p>
    <w:p>
      <w:pPr>
        <w:pStyle w:val="BodyText"/>
        <w:spacing w:before="8"/>
        <w:rPr>
          <w:sz w:val="35"/>
        </w:rPr>
      </w:pPr>
    </w:p>
    <w:p>
      <w:pPr>
        <w:pStyle w:val="Heading2"/>
        <w:numPr>
          <w:ilvl w:val="1"/>
          <w:numId w:val="5"/>
        </w:numPr>
        <w:tabs>
          <w:tab w:pos="828" w:val="left" w:leader="none"/>
        </w:tabs>
        <w:spacing w:line="240" w:lineRule="auto" w:before="0" w:after="0"/>
        <w:ind w:left="644" w:right="0" w:hanging="360"/>
        <w:jc w:val="left"/>
      </w:pPr>
      <w:r>
        <w:rPr/>
        <w:t>Caracterización Geográfica del Parque Universitario “Las</w:t>
      </w:r>
      <w:r>
        <w:rPr>
          <w:spacing w:val="-29"/>
        </w:rPr>
        <w:t> </w:t>
      </w:r>
      <w:r>
        <w:rPr/>
        <w:t>Orquídeas”.</w:t>
      </w:r>
    </w:p>
    <w:p>
      <w:pPr>
        <w:pStyle w:val="BodyText"/>
        <w:spacing w:line="360" w:lineRule="auto" w:before="147"/>
        <w:ind w:left="116" w:right="111"/>
        <w:jc w:val="both"/>
      </w:pPr>
      <w:r>
        <w:rPr/>
        <w:t>Se realizó una revisión cartográfica del área de estudio, con el objetivo de elaborar una caracterización fitogeográfica de la zona; utilizando la siguiente información: localización, geología, edafología, hidrología, clima, vegetación, unidades edáficas, demografía y actividades económicas (INEGI, 2000). Los mapas de localización, geología y edafología se elaboraron con información vectorial del INEGI y carta Topográfica, geológica y edafológica E14A46, Valle de Bravo, escala 1:50 000 (1987). La información de hidrología y vegetación se retomo de Borboa, 1999. Se elaboró un climograma con los datos de las normales climatológicas del Servicio Meteorológico Nacional.</w:t>
      </w:r>
    </w:p>
    <w:p>
      <w:pPr>
        <w:pStyle w:val="BodyText"/>
        <w:spacing w:before="8"/>
        <w:rPr>
          <w:sz w:val="35"/>
        </w:rPr>
      </w:pPr>
    </w:p>
    <w:p>
      <w:pPr>
        <w:pStyle w:val="Heading2"/>
        <w:numPr>
          <w:ilvl w:val="1"/>
          <w:numId w:val="5"/>
        </w:numPr>
        <w:tabs>
          <w:tab w:pos="828" w:val="left" w:leader="none"/>
        </w:tabs>
        <w:spacing w:line="240" w:lineRule="auto" w:before="0" w:after="0"/>
        <w:ind w:left="827" w:right="0" w:hanging="543"/>
        <w:jc w:val="left"/>
      </w:pPr>
      <w:r>
        <w:rPr/>
        <w:t>Establecimiento y delimitación de las Zonas de Manejo</w:t>
      </w:r>
      <w:r>
        <w:rPr>
          <w:spacing w:val="-23"/>
        </w:rPr>
        <w:t> </w:t>
      </w:r>
      <w:r>
        <w:rPr/>
        <w:t>Ambiental.</w:t>
      </w:r>
    </w:p>
    <w:p>
      <w:pPr>
        <w:pStyle w:val="BodyText"/>
        <w:spacing w:line="360" w:lineRule="auto" w:before="142"/>
        <w:ind w:left="116" w:right="111"/>
        <w:jc w:val="both"/>
      </w:pPr>
      <w:r>
        <w:rPr/>
        <w:t>Se realizaron recorridos de campo en el área de estudio para identificar y diferenciar los tipos de vegetación y relieve, los cuales fueron anotados en una libreta de campo y a su vez, se señalaban en un mapa base. Simultáneamente se realizaron entrevistas no estructuradas con los investigadores y directivos relacionados con el parque, ya que ellos cuentan con experiencia sobre el mismo. Las preguntas consistieron en conocer los objetivos de educación ambiental, investigación científica y ecoturismo. Las zonas</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13"/>
        <w:jc w:val="both"/>
      </w:pPr>
      <w:r>
        <w:rPr/>
        <w:t>establecidas y delimitadas fueron representadas en un mapa del sitio, mediante el uso de Sistemas de Información Geográfica (SIG).</w:t>
      </w:r>
    </w:p>
    <w:p>
      <w:pPr>
        <w:pStyle w:val="BodyText"/>
        <w:spacing w:before="9"/>
        <w:rPr>
          <w:sz w:val="23"/>
        </w:rPr>
      </w:pPr>
    </w:p>
    <w:p>
      <w:pPr>
        <w:pStyle w:val="BodyText"/>
        <w:spacing w:line="360" w:lineRule="auto" w:before="1"/>
        <w:ind w:left="116" w:right="112"/>
        <w:jc w:val="both"/>
      </w:pPr>
      <w:r>
        <w:rPr/>
        <w:t>La delimitación de las áreas, respetará la clasificación que hasta la fecha </w:t>
      </w:r>
      <w:r>
        <w:rPr>
          <w:spacing w:val="-3"/>
        </w:rPr>
        <w:t>se </w:t>
      </w:r>
      <w:r>
        <w:rPr/>
        <w:t>ha considerado, así pues, las Zonas de </w:t>
      </w:r>
      <w:r>
        <w:rPr>
          <w:spacing w:val="-3"/>
        </w:rPr>
        <w:t>Manejo </w:t>
      </w:r>
      <w:r>
        <w:rPr/>
        <w:t>Ambiental son: Plantas Medicinales y Aromáticas, Hortalizas, Cafetal, Frutales, Mariposario, Orquídeario y Vegetación  natural.</w:t>
      </w:r>
    </w:p>
    <w:p>
      <w:pPr>
        <w:pStyle w:val="BodyText"/>
      </w:pPr>
    </w:p>
    <w:p>
      <w:pPr>
        <w:pStyle w:val="Heading2"/>
        <w:numPr>
          <w:ilvl w:val="1"/>
          <w:numId w:val="5"/>
        </w:numPr>
        <w:tabs>
          <w:tab w:pos="828" w:val="left" w:leader="none"/>
        </w:tabs>
        <w:spacing w:line="360" w:lineRule="auto" w:before="139" w:after="0"/>
        <w:ind w:left="644" w:right="1112" w:hanging="360"/>
        <w:jc w:val="left"/>
      </w:pPr>
      <w:r>
        <w:rPr/>
        <w:t>Identificación taxonómica de las especies de flora considerando su distribución dentro del</w:t>
      </w:r>
      <w:r>
        <w:rPr>
          <w:spacing w:val="-9"/>
        </w:rPr>
        <w:t> </w:t>
      </w:r>
      <w:r>
        <w:rPr/>
        <w:t>parque.</w:t>
      </w:r>
    </w:p>
    <w:p>
      <w:pPr>
        <w:pStyle w:val="BodyText"/>
        <w:spacing w:before="5"/>
        <w:rPr>
          <w:b/>
        </w:rPr>
      </w:pPr>
    </w:p>
    <w:p>
      <w:pPr>
        <w:pStyle w:val="ListParagraph"/>
        <w:numPr>
          <w:ilvl w:val="0"/>
          <w:numId w:val="6"/>
        </w:numPr>
        <w:tabs>
          <w:tab w:pos="837" w:val="left" w:leader="none"/>
        </w:tabs>
        <w:spacing w:line="240" w:lineRule="auto" w:before="0" w:after="0"/>
        <w:ind w:left="837" w:right="0" w:hanging="361"/>
        <w:jc w:val="left"/>
        <w:rPr>
          <w:b/>
          <w:sz w:val="24"/>
        </w:rPr>
      </w:pPr>
      <w:r>
        <w:rPr>
          <w:b/>
          <w:sz w:val="24"/>
        </w:rPr>
        <w:t>Recolección de material</w:t>
      </w:r>
      <w:r>
        <w:rPr>
          <w:b/>
          <w:spacing w:val="-16"/>
          <w:sz w:val="24"/>
        </w:rPr>
        <w:t> </w:t>
      </w:r>
      <w:r>
        <w:rPr>
          <w:b/>
          <w:sz w:val="24"/>
        </w:rPr>
        <w:t>vegetal.</w:t>
      </w:r>
    </w:p>
    <w:p>
      <w:pPr>
        <w:pStyle w:val="BodyText"/>
        <w:spacing w:line="360" w:lineRule="auto" w:before="141"/>
        <w:ind w:left="116" w:right="118"/>
        <w:jc w:val="both"/>
      </w:pPr>
      <w:r>
        <w:rPr/>
        <w:t>La recolección se realizó sobre organismos herbáceos (Zona de Plantas Medicinales y Aromáticas y Mariposario), arbustivos y arbóreos (todas las Zonas de Manejo Ambiental), por el método convencional de Lot y Chiang (1986).</w:t>
      </w:r>
    </w:p>
    <w:p>
      <w:pPr>
        <w:pStyle w:val="BodyText"/>
      </w:pPr>
    </w:p>
    <w:p>
      <w:pPr>
        <w:pStyle w:val="BodyText"/>
        <w:spacing w:line="360" w:lineRule="auto" w:before="144"/>
        <w:ind w:left="116" w:right="127"/>
        <w:jc w:val="both"/>
      </w:pPr>
      <w:r>
        <w:rPr/>
        <w:t>El criterio para considerar una especie como árbol, arbusto o hierba se basó en la propuesta de Rzedowski (2006). Este autor describe a un árbol como una  planta leñosa, usualmente de más de 3 m de alto, cuyo tallo en la base forma un tronco manifiesto y que más arriba de ramifica formando una copa. El arbusto lo definió como una planta leñosa, por lo general de menos de 3 m de alto, cuyo tallo se ramifica desde la base y a una herbácea como aquella con aspecto de hierba; relativo a plantas no leñosas, de consistencia por lo general blanda.</w:t>
      </w:r>
    </w:p>
    <w:p>
      <w:pPr>
        <w:pStyle w:val="BodyText"/>
      </w:pPr>
    </w:p>
    <w:p>
      <w:pPr>
        <w:pStyle w:val="BodyText"/>
        <w:spacing w:line="360" w:lineRule="auto" w:before="144"/>
        <w:ind w:left="116" w:right="114"/>
        <w:jc w:val="both"/>
      </w:pPr>
      <w:r>
        <w:rPr/>
        <w:t>Las herbáceas fueron colectadas completamente, es decir, incluyendo la raíz y otros órganos subterráneos (siempre y cuando existan más de tres ejemplares en el sitio de muestreo), empleándose un cuchillo para desenterrarla; para las especies arbustivas y arbóreas se tomó una muestra de la porción terminal de una rama, aproximadamente</w:t>
      </w:r>
    </w:p>
    <w:p>
      <w:pPr>
        <w:pStyle w:val="BodyText"/>
        <w:spacing w:line="360" w:lineRule="auto" w:before="8"/>
        <w:ind w:left="116" w:right="111"/>
        <w:jc w:val="both"/>
      </w:pPr>
      <w:r>
        <w:rPr/>
        <w:t>30 o 35 cm de longitud, observando que tuviera estructuras reproductoras (flor y/o  fruto), </w:t>
      </w:r>
      <w:r>
        <w:rPr>
          <w:spacing w:val="-2"/>
        </w:rPr>
        <w:t>ramas, </w:t>
      </w:r>
      <w:r>
        <w:rPr/>
        <w:t>tallos y hojas, utilizando tijeras para podar. Se eligieron aquellos ejemplares que no estuvieran afectados por insectos, enfermedades o maltratados.  </w:t>
      </w:r>
      <w:r>
        <w:rPr>
          <w:spacing w:val="36"/>
        </w:rPr>
        <w:t> </w:t>
      </w:r>
      <w:r>
        <w:rPr/>
        <w:t>La</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22"/>
        <w:jc w:val="both"/>
      </w:pPr>
      <w:r>
        <w:rPr/>
        <w:t>colecta se realizó en las cuatro estaciones del año (primavera, verano, otoño e invierno), en el periodo de diciembre del 2012 a diciembre del</w:t>
      </w:r>
      <w:r>
        <w:rPr>
          <w:spacing w:val="-22"/>
        </w:rPr>
        <w:t> </w:t>
      </w:r>
      <w:r>
        <w:rPr/>
        <w:t>2013.</w:t>
      </w:r>
    </w:p>
    <w:p>
      <w:pPr>
        <w:pStyle w:val="BodyText"/>
        <w:spacing w:before="11"/>
        <w:rPr>
          <w:sz w:val="35"/>
        </w:rPr>
      </w:pPr>
    </w:p>
    <w:p>
      <w:pPr>
        <w:pStyle w:val="BodyText"/>
        <w:spacing w:line="360" w:lineRule="auto"/>
        <w:ind w:left="116" w:right="110"/>
        <w:jc w:val="both"/>
      </w:pPr>
      <w:r>
        <w:rPr/>
        <w:t>Cada especie de flora se procuró su recolección por duplicado, un ejemplar se resguardó en las oficinas del Parque Universitario “Las Orquídeas” y la otra muestra se donó al Herbario Nacional de México (MEXU), del Instituto de Biología de la  Universidad Nacional Autónoma de México</w:t>
      </w:r>
      <w:r>
        <w:rPr>
          <w:spacing w:val="-16"/>
        </w:rPr>
        <w:t> </w:t>
      </w:r>
      <w:r>
        <w:rPr/>
        <w:t>(IBUNAM).</w:t>
      </w:r>
    </w:p>
    <w:p>
      <w:pPr>
        <w:pStyle w:val="BodyText"/>
      </w:pPr>
    </w:p>
    <w:p>
      <w:pPr>
        <w:pStyle w:val="BodyText"/>
        <w:spacing w:line="360" w:lineRule="auto" w:before="139"/>
        <w:ind w:left="116" w:right="112"/>
        <w:jc w:val="both"/>
      </w:pPr>
      <w:r>
        <w:rPr/>
        <w:t>Al recolectar al organismo se tomaron fotografías del mismo, además se recabó información en la ficha de colecta (Anexo 1), siendo: fecha, Zona de Manejo Ambiental dentro del parque, Municipio, Estado, altitud; algunos rasgos morfológicos que se pierden al tomar la muestra, empezando por el hábito, señalando su forma biológica: árbol, arbusto o herbácea, presencia y color de exudado; color y forma de la flor; forma, color y tamaño del fruto (Villarreal, 1993).</w:t>
      </w:r>
    </w:p>
    <w:p>
      <w:pPr>
        <w:pStyle w:val="BodyText"/>
        <w:spacing w:before="8"/>
        <w:rPr>
          <w:sz w:val="35"/>
        </w:rPr>
      </w:pPr>
    </w:p>
    <w:p>
      <w:pPr>
        <w:pStyle w:val="Heading2"/>
        <w:numPr>
          <w:ilvl w:val="0"/>
          <w:numId w:val="7"/>
        </w:numPr>
        <w:tabs>
          <w:tab w:pos="837" w:val="left" w:leader="none"/>
        </w:tabs>
        <w:spacing w:line="240" w:lineRule="auto" w:before="0" w:after="0"/>
        <w:ind w:left="837" w:right="0" w:hanging="361"/>
        <w:jc w:val="left"/>
      </w:pPr>
      <w:r>
        <w:rPr/>
        <w:t>Prensado, secado e identificación de los</w:t>
      </w:r>
      <w:r>
        <w:rPr>
          <w:spacing w:val="-25"/>
        </w:rPr>
        <w:t> </w:t>
      </w:r>
      <w:r>
        <w:rPr/>
        <w:t>ejemplares</w:t>
      </w:r>
    </w:p>
    <w:p>
      <w:pPr>
        <w:pStyle w:val="BodyText"/>
        <w:spacing w:line="360" w:lineRule="auto" w:before="141"/>
        <w:ind w:left="116" w:right="110"/>
        <w:jc w:val="both"/>
      </w:pPr>
      <w:r>
        <w:rPr/>
        <w:t>Los ejemplares de flora fueron colocados sobre papel periódico, de tal forma que las hojas (haz y envés) y demás partes fueran visibles. Los especímenes herbáceos de </w:t>
      </w:r>
      <w:r>
        <w:rPr>
          <w:spacing w:val="-3"/>
        </w:rPr>
        <w:t>más </w:t>
      </w:r>
      <w:r>
        <w:rPr/>
        <w:t>de 40 cm de largo, fueron acomodados, doblándolos en </w:t>
      </w:r>
      <w:r>
        <w:rPr>
          <w:spacing w:val="-3"/>
        </w:rPr>
        <w:t>forma </w:t>
      </w:r>
      <w:r>
        <w:rPr/>
        <w:t>de “V”, “N” o “W”. Los frutos carnosos fueron cortados en segmentos de </w:t>
      </w:r>
      <w:r>
        <w:rPr>
          <w:spacing w:val="-3"/>
        </w:rPr>
        <w:t>forma </w:t>
      </w:r>
      <w:r>
        <w:rPr/>
        <w:t>transversal o longitudinal o ambos, y fueron prensados en forma aislada y cubiertos con papel secante. Los frutos secos y voluminosos se guardaron en bolsas de papel, en donde </w:t>
      </w:r>
      <w:r>
        <w:rPr>
          <w:spacing w:val="-3"/>
        </w:rPr>
        <w:t>se </w:t>
      </w:r>
      <w:r>
        <w:rPr/>
        <w:t>anotaron los datos de la planta a la que pertenecen (Lot y Chiang,</w:t>
      </w:r>
      <w:r>
        <w:rPr>
          <w:spacing w:val="-15"/>
        </w:rPr>
        <w:t> </w:t>
      </w:r>
      <w:r>
        <w:rPr/>
        <w:t>1986).</w:t>
      </w:r>
    </w:p>
    <w:p>
      <w:pPr>
        <w:pStyle w:val="BodyText"/>
      </w:pPr>
    </w:p>
    <w:p>
      <w:pPr>
        <w:pStyle w:val="BodyText"/>
        <w:spacing w:line="360" w:lineRule="auto" w:before="140"/>
        <w:ind w:left="116" w:right="115"/>
        <w:jc w:val="both"/>
      </w:pPr>
      <w:r>
        <w:rPr/>
        <w:t>Para facilitar el secado se intercalaron piezas de cartón corrugado entre los pliegos de papel periódico que contienen la muestra. La prensa consistió en una rejilla de madera de 50 x 30 cm en los extremos de la pila de muestras, posteriormente se amarraron con un lazo para así prensar las muestras. Para facilitar el manejo de las muestras, se procuró que la prensa obtuviera una altura de medio metro (Villarreal, 1993).</w:t>
      </w:r>
    </w:p>
    <w:p>
      <w:pPr>
        <w:spacing w:after="0" w:line="360" w:lineRule="auto"/>
        <w:jc w:val="both"/>
        <w:sectPr>
          <w:footerReference w:type="default" r:id="rId17"/>
          <w:pgSz w:w="12240" w:h="15840"/>
          <w:pgMar w:footer="1146" w:header="690"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0"/>
        <w:jc w:val="both"/>
      </w:pPr>
      <w:r>
        <w:rPr/>
        <w:t>Posteriormente la prensa fue colocada dentro de una secadora para deshidratar las muestras, durante una semana aproximadamente dependiendo del tipo de ejemplar. La secadora es un cajón de madera de 150 cm de largo por 70 cm de ancho y unos </w:t>
      </w:r>
      <w:r>
        <w:rPr>
          <w:spacing w:val="4"/>
        </w:rPr>
        <w:t>100 </w:t>
      </w:r>
      <w:r>
        <w:rPr/>
        <w:t>cm de alto, dentro de este </w:t>
      </w:r>
      <w:r>
        <w:rPr>
          <w:spacing w:val="-3"/>
        </w:rPr>
        <w:t>cajón </w:t>
      </w:r>
      <w:r>
        <w:rPr/>
        <w:t>se colocó una malla de soporte para la prensa. La fuente de calor </w:t>
      </w:r>
      <w:r>
        <w:rPr>
          <w:spacing w:val="-3"/>
        </w:rPr>
        <w:t>se </w:t>
      </w:r>
      <w:r>
        <w:rPr/>
        <w:t>obtuvo por medio de una resistencia</w:t>
      </w:r>
      <w:r>
        <w:rPr>
          <w:spacing w:val="-6"/>
        </w:rPr>
        <w:t> </w:t>
      </w:r>
      <w:r>
        <w:rPr/>
        <w:t>física.</w:t>
      </w:r>
    </w:p>
    <w:p>
      <w:pPr>
        <w:pStyle w:val="BodyText"/>
      </w:pPr>
    </w:p>
    <w:p>
      <w:pPr>
        <w:pStyle w:val="BodyText"/>
        <w:spacing w:line="360" w:lineRule="auto" w:before="144"/>
        <w:ind w:left="116" w:right="110"/>
        <w:jc w:val="both"/>
      </w:pPr>
      <w:r>
        <w:rPr/>
        <w:t>La identificación taxonómica de las especies se realizó en el Herbario Nacional MEXU, del Instituto Nacional de Biología, mediante el uso de claves taxonómicas disponibles  en la literatura especializada (Stanley, 1982; Mc Vaugh, 1987; Rzedowski </w:t>
      </w:r>
      <w:r>
        <w:rPr>
          <w:i/>
        </w:rPr>
        <w:t>et al., </w:t>
      </w:r>
      <w:r>
        <w:rPr/>
        <w:t>2005). Posteriormente fueron montados, es decir, colocados sobre papel cartulina, junto con la etiqueta de información de colecta. Este procedimiento se realizó en el Herbario MEXU, con el apoyo e instrucción de la M. en C. Angélica Ramírez Roa. Un ejemplar se quedó resguardado en el Parque Universitario “Las Orquídeas” y otro ejemplar se donó al Herbario Nacional de México (MEXU), del Instituto de Biología de la Universidad Nacional Autónoma de México</w:t>
      </w:r>
      <w:r>
        <w:rPr>
          <w:spacing w:val="-20"/>
        </w:rPr>
        <w:t> </w:t>
      </w:r>
      <w:r>
        <w:rPr/>
        <w:t>(IBUNAM).</w:t>
      </w:r>
    </w:p>
    <w:p>
      <w:pPr>
        <w:pStyle w:val="BodyText"/>
      </w:pPr>
    </w:p>
    <w:p>
      <w:pPr>
        <w:pStyle w:val="BodyText"/>
        <w:spacing w:before="139"/>
        <w:ind w:left="116"/>
        <w:jc w:val="both"/>
      </w:pPr>
      <w:r>
        <w:rPr/>
        <w:t>Para las abreviaturas de los autores de las especies se utilizó el    sistema de Villaseñor</w:t>
      </w:r>
    </w:p>
    <w:p>
      <w:pPr>
        <w:spacing w:before="142"/>
        <w:ind w:left="116" w:right="0" w:firstLine="0"/>
        <w:jc w:val="both"/>
        <w:rPr>
          <w:sz w:val="24"/>
        </w:rPr>
      </w:pPr>
      <w:r>
        <w:rPr>
          <w:i/>
          <w:sz w:val="24"/>
        </w:rPr>
        <w:t>et al</w:t>
      </w:r>
      <w:r>
        <w:rPr>
          <w:sz w:val="24"/>
        </w:rPr>
        <w:t>. (2008).</w:t>
      </w:r>
    </w:p>
    <w:p>
      <w:pPr>
        <w:pStyle w:val="BodyText"/>
      </w:pPr>
    </w:p>
    <w:p>
      <w:pPr>
        <w:pStyle w:val="BodyText"/>
        <w:spacing w:before="4"/>
        <w:rPr>
          <w:sz w:val="23"/>
        </w:rPr>
      </w:pPr>
    </w:p>
    <w:p>
      <w:pPr>
        <w:pStyle w:val="Heading2"/>
        <w:numPr>
          <w:ilvl w:val="0"/>
          <w:numId w:val="7"/>
        </w:numPr>
        <w:tabs>
          <w:tab w:pos="837" w:val="left" w:leader="none"/>
        </w:tabs>
        <w:spacing w:line="240" w:lineRule="auto" w:before="0" w:after="0"/>
        <w:ind w:left="837" w:right="0" w:hanging="361"/>
        <w:jc w:val="left"/>
      </w:pPr>
      <w:r>
        <w:rPr/>
        <w:t>Base datos del muestreo de</w:t>
      </w:r>
      <w:r>
        <w:rPr>
          <w:spacing w:val="-20"/>
        </w:rPr>
        <w:t> </w:t>
      </w:r>
      <w:r>
        <w:rPr/>
        <w:t>ejemplares</w:t>
      </w:r>
    </w:p>
    <w:p>
      <w:pPr>
        <w:pStyle w:val="BodyText"/>
        <w:spacing w:line="360" w:lineRule="auto" w:before="142"/>
        <w:ind w:left="116" w:right="114"/>
        <w:jc w:val="both"/>
      </w:pPr>
      <w:r>
        <w:rPr/>
        <w:t>Los datos se incluyeron en una hoja del programa Microsoft Excel versión 2010, la cual se conformó por cuatro partes: La primera, los datos obtenidos durante la colecta de especies, con los siguientes campos: Familia, género, nombre científico y nombre común. La segunda, la información obtenida de la identificación de las plantas. La tercera, las fotografías de los ejemplares y finalmente la cuarta, por datos bibliográficos, como fueron su origen y distribución geográfica.</w:t>
      </w:r>
    </w:p>
    <w:p>
      <w:pPr>
        <w:pStyle w:val="BodyText"/>
      </w:pPr>
    </w:p>
    <w:p>
      <w:pPr>
        <w:pStyle w:val="BodyText"/>
        <w:spacing w:before="144"/>
        <w:ind w:left="116"/>
        <w:jc w:val="both"/>
      </w:pPr>
      <w:r>
        <w:rPr/>
        <w:t>Las fotografías se tomaron utilizando dos tipos de cámaras fotográficas:</w:t>
      </w:r>
    </w:p>
    <w:p>
      <w:pPr>
        <w:pStyle w:val="ListParagraph"/>
        <w:numPr>
          <w:ilvl w:val="0"/>
          <w:numId w:val="8"/>
        </w:numPr>
        <w:tabs>
          <w:tab w:pos="837" w:val="left" w:leader="none"/>
        </w:tabs>
        <w:spacing w:line="240" w:lineRule="auto" w:before="137" w:after="0"/>
        <w:ind w:left="837" w:right="0" w:hanging="361"/>
        <w:jc w:val="left"/>
        <w:rPr>
          <w:sz w:val="24"/>
        </w:rPr>
      </w:pPr>
      <w:r>
        <w:rPr>
          <w:sz w:val="24"/>
        </w:rPr>
        <w:t>Nikon Digital, COOLPIX L810, modo macro sin</w:t>
      </w:r>
      <w:r>
        <w:rPr>
          <w:spacing w:val="-15"/>
          <w:sz w:val="24"/>
        </w:rPr>
        <w:t> </w:t>
      </w:r>
      <w:r>
        <w:rPr>
          <w:sz w:val="24"/>
        </w:rPr>
        <w:t>flash.</w:t>
      </w:r>
    </w:p>
    <w:p>
      <w:pPr>
        <w:pStyle w:val="ListParagraph"/>
        <w:numPr>
          <w:ilvl w:val="0"/>
          <w:numId w:val="8"/>
        </w:numPr>
        <w:tabs>
          <w:tab w:pos="837" w:val="left" w:leader="none"/>
        </w:tabs>
        <w:spacing w:line="240" w:lineRule="auto" w:before="137" w:after="0"/>
        <w:ind w:left="837" w:right="0" w:hanging="361"/>
        <w:jc w:val="left"/>
        <w:rPr>
          <w:sz w:val="24"/>
        </w:rPr>
      </w:pPr>
      <w:r>
        <w:rPr>
          <w:sz w:val="24"/>
        </w:rPr>
        <w:t>Nikon D5100, lente 55300, modo manual y automático con flash y sin</w:t>
      </w:r>
      <w:r>
        <w:rPr>
          <w:spacing w:val="-30"/>
          <w:sz w:val="24"/>
        </w:rPr>
        <w:t> </w:t>
      </w:r>
      <w:r>
        <w:rPr>
          <w:sz w:val="24"/>
        </w:rPr>
        <w:t>flash</w:t>
      </w:r>
    </w:p>
    <w:p>
      <w:pPr>
        <w:spacing w:after="0" w:line="240" w:lineRule="auto"/>
        <w:jc w:val="left"/>
        <w:rPr>
          <w:sz w:val="24"/>
        </w:rPr>
        <w:sectPr>
          <w:footerReference w:type="default" r:id="rId18"/>
          <w:pgSz w:w="12240" w:h="15840"/>
          <w:pgMar w:footer="1146" w:header="690" w:top="880" w:bottom="1340" w:left="1300" w:right="1300"/>
          <w:pgNumType w:start="31"/>
        </w:sectPr>
      </w:pPr>
    </w:p>
    <w:p>
      <w:pPr>
        <w:pStyle w:val="BodyText"/>
        <w:rPr>
          <w:sz w:val="20"/>
        </w:rPr>
      </w:pPr>
    </w:p>
    <w:p>
      <w:pPr>
        <w:pStyle w:val="BodyText"/>
        <w:spacing w:before="11"/>
        <w:rPr>
          <w:sz w:val="18"/>
        </w:rPr>
      </w:pPr>
    </w:p>
    <w:p>
      <w:pPr>
        <w:pStyle w:val="Heading2"/>
        <w:numPr>
          <w:ilvl w:val="0"/>
          <w:numId w:val="7"/>
        </w:numPr>
        <w:tabs>
          <w:tab w:pos="837" w:val="left" w:leader="none"/>
        </w:tabs>
        <w:spacing w:line="240" w:lineRule="auto" w:before="69" w:after="0"/>
        <w:ind w:left="837" w:right="0" w:hanging="361"/>
        <w:jc w:val="left"/>
      </w:pPr>
      <w:r>
        <w:rPr/>
        <w:t>Revisión de los estatus de protección y/o riesgo de las</w:t>
      </w:r>
      <w:r>
        <w:rPr>
          <w:spacing w:val="-24"/>
        </w:rPr>
        <w:t> </w:t>
      </w:r>
      <w:r>
        <w:rPr/>
        <w:t>especies</w:t>
      </w:r>
    </w:p>
    <w:p>
      <w:pPr>
        <w:pStyle w:val="BodyText"/>
        <w:spacing w:line="360" w:lineRule="auto" w:before="146"/>
        <w:ind w:left="116" w:right="111"/>
        <w:jc w:val="both"/>
      </w:pPr>
      <w:r>
        <w:rPr/>
        <w:t>Las especies que se encontraron dentro de alguna categoría de protección y/o riesgo, se determinaron mediante consulta de la </w:t>
      </w:r>
      <w:r>
        <w:rPr>
          <w:spacing w:val="-3"/>
        </w:rPr>
        <w:t>Norma </w:t>
      </w:r>
      <w:r>
        <w:rPr/>
        <w:t>mexicana NOM-059-SEMARNAT-2010 y la lista roja de especies amenazadas de la UICN (acrónimo de la Unión Internacional para la Conservación de la</w:t>
      </w:r>
      <w:r>
        <w:rPr>
          <w:spacing w:val="-13"/>
        </w:rPr>
        <w:t> </w:t>
      </w:r>
      <w:r>
        <w:rPr/>
        <w:t>Naturaleza).</w:t>
      </w:r>
    </w:p>
    <w:p>
      <w:pPr>
        <w:pStyle w:val="BodyText"/>
      </w:pPr>
    </w:p>
    <w:p>
      <w:pPr>
        <w:pStyle w:val="Heading2"/>
        <w:numPr>
          <w:ilvl w:val="0"/>
          <w:numId w:val="7"/>
        </w:numPr>
        <w:tabs>
          <w:tab w:pos="837" w:val="left" w:leader="none"/>
        </w:tabs>
        <w:spacing w:line="240" w:lineRule="auto" w:before="140" w:after="0"/>
        <w:ind w:left="837" w:right="0" w:hanging="361"/>
        <w:jc w:val="left"/>
      </w:pPr>
      <w:r>
        <w:rPr/>
        <w:t>Revisión de distribución</w:t>
      </w:r>
      <w:r>
        <w:rPr>
          <w:spacing w:val="-17"/>
        </w:rPr>
        <w:t> </w:t>
      </w:r>
      <w:r>
        <w:rPr/>
        <w:t>geográfica</w:t>
      </w:r>
    </w:p>
    <w:p>
      <w:pPr>
        <w:pStyle w:val="BodyText"/>
        <w:spacing w:line="360" w:lineRule="auto" w:before="141"/>
        <w:ind w:left="116" w:right="129"/>
        <w:jc w:val="both"/>
      </w:pPr>
      <w:r>
        <w:rPr/>
        <w:t>Los registros de distribución geográfica de las especies fueron consultados en la información bibliográfica disponible.</w:t>
      </w:r>
    </w:p>
    <w:p>
      <w:pPr>
        <w:pStyle w:val="BodyText"/>
      </w:pPr>
    </w:p>
    <w:p>
      <w:pPr>
        <w:pStyle w:val="BodyText"/>
        <w:spacing w:before="7"/>
        <w:rPr>
          <w:sz w:val="22"/>
        </w:rPr>
      </w:pPr>
    </w:p>
    <w:p>
      <w:pPr>
        <w:pStyle w:val="Heading2"/>
        <w:numPr>
          <w:ilvl w:val="1"/>
          <w:numId w:val="5"/>
        </w:numPr>
        <w:tabs>
          <w:tab w:pos="894" w:val="left" w:leader="none"/>
          <w:tab w:pos="895" w:val="left" w:leader="none"/>
        </w:tabs>
        <w:spacing w:line="240" w:lineRule="auto" w:before="0" w:after="0"/>
        <w:ind w:left="894" w:right="0" w:hanging="610"/>
        <w:jc w:val="left"/>
      </w:pPr>
      <w:r>
        <w:rPr/>
        <w:t>Determinación del uso que se atribuye a cada especie de</w:t>
      </w:r>
      <w:r>
        <w:rPr>
          <w:spacing w:val="-22"/>
        </w:rPr>
        <w:t> </w:t>
      </w:r>
      <w:r>
        <w:rPr/>
        <w:t>flora.</w:t>
      </w:r>
    </w:p>
    <w:p>
      <w:pPr>
        <w:pStyle w:val="BodyText"/>
        <w:spacing w:before="3"/>
        <w:rPr>
          <w:b/>
          <w:sz w:val="22"/>
        </w:rPr>
      </w:pPr>
    </w:p>
    <w:p>
      <w:pPr>
        <w:pStyle w:val="ListParagraph"/>
        <w:numPr>
          <w:ilvl w:val="0"/>
          <w:numId w:val="9"/>
        </w:numPr>
        <w:tabs>
          <w:tab w:pos="966" w:val="left" w:leader="none"/>
          <w:tab w:pos="967" w:val="left" w:leader="none"/>
        </w:tabs>
        <w:spacing w:line="240" w:lineRule="auto" w:before="1" w:after="0"/>
        <w:ind w:left="966" w:right="0" w:hanging="706"/>
        <w:jc w:val="left"/>
        <w:rPr>
          <w:b/>
          <w:sz w:val="24"/>
        </w:rPr>
      </w:pPr>
      <w:r>
        <w:rPr>
          <w:b/>
          <w:sz w:val="24"/>
        </w:rPr>
        <w:t>Entrevistas a la comunidad y datos del</w:t>
      </w:r>
      <w:r>
        <w:rPr>
          <w:b/>
          <w:spacing w:val="-24"/>
          <w:sz w:val="24"/>
        </w:rPr>
        <w:t> </w:t>
      </w:r>
      <w:r>
        <w:rPr>
          <w:b/>
          <w:sz w:val="24"/>
        </w:rPr>
        <w:t>cuestionario</w:t>
      </w:r>
    </w:p>
    <w:p>
      <w:pPr>
        <w:pStyle w:val="BodyText"/>
        <w:spacing w:line="360" w:lineRule="auto" w:before="142"/>
        <w:ind w:left="116" w:right="113"/>
        <w:jc w:val="both"/>
      </w:pPr>
      <w:r>
        <w:rPr/>
        <w:t>Primeramente se realizó una introducción a la comunidad para establecer contacto con los informantes clave de la población y explicar el propósito y duración del proyecto de investigación. En este caso, el muestreo de datos consistió en un cuestionario con preguntas de tipo mixto (Sampieri </w:t>
      </w:r>
      <w:r>
        <w:rPr>
          <w:i/>
        </w:rPr>
        <w:t>et al.</w:t>
      </w:r>
      <w:r>
        <w:rPr/>
        <w:t>, 1998) a través del diálogo y entrevista personales.</w:t>
      </w:r>
    </w:p>
    <w:p>
      <w:pPr>
        <w:pStyle w:val="BodyText"/>
      </w:pPr>
    </w:p>
    <w:p>
      <w:pPr>
        <w:pStyle w:val="BodyText"/>
        <w:spacing w:line="360" w:lineRule="auto" w:before="144"/>
        <w:ind w:left="116" w:right="111"/>
        <w:jc w:val="both"/>
      </w:pPr>
      <w:r>
        <w:rPr/>
        <w:t>El cuestionario incluyó tres partes, la primera, los datos generales (fecha, número consecutivo, municipio, localidad y dirección), la segunda, datos del informante  (nombre, edad, sexo, escolaridad y actividad principal) y la tercera, se obtuvo información sobre la especies vegetal (nombre (s) común (es), nombre científico (Incluido una vez que se identificará a la especie), nombre del colector, característica de la planta, usos, y procedencia (silvestre o cultivada) (ANEXO</w:t>
      </w:r>
      <w:r>
        <w:rPr>
          <w:spacing w:val="-14"/>
        </w:rPr>
        <w:t> </w:t>
      </w:r>
      <w:r>
        <w:rPr/>
        <w:t>2).</w:t>
      </w:r>
    </w:p>
    <w:p>
      <w:pPr>
        <w:pStyle w:val="BodyText"/>
      </w:pPr>
    </w:p>
    <w:p>
      <w:pPr>
        <w:pStyle w:val="BodyText"/>
        <w:spacing w:line="360" w:lineRule="auto" w:before="139"/>
        <w:ind w:left="116" w:right="110"/>
        <w:jc w:val="both"/>
      </w:pPr>
      <w:r>
        <w:rPr/>
        <w:t>La aplicación del cuestionario fue a través de una entrevista de tipo personal (Sampieri </w:t>
      </w:r>
      <w:r>
        <w:rPr>
          <w:i/>
        </w:rPr>
        <w:t>et al.</w:t>
      </w:r>
      <w:r>
        <w:rPr/>
        <w:t>, 1998); el cual fue aplicado a personas previamente seleccionadas, considerando aquellas que contaran con conocimiento sobre especies de plantas. Las entrevistas fueron documentadas de forma escrita.</w:t>
      </w:r>
    </w:p>
    <w:p>
      <w:pPr>
        <w:spacing w:after="0" w:line="360" w:lineRule="auto"/>
        <w:jc w:val="both"/>
        <w:sectPr>
          <w:pgSz w:w="12240" w:h="15840"/>
          <w:pgMar w:header="690"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numPr>
          <w:ilvl w:val="1"/>
          <w:numId w:val="9"/>
        </w:numPr>
        <w:tabs>
          <w:tab w:pos="837" w:val="left" w:leader="none"/>
        </w:tabs>
        <w:spacing w:line="240" w:lineRule="auto" w:before="1" w:after="0"/>
        <w:ind w:left="837" w:right="0" w:hanging="361"/>
        <w:jc w:val="left"/>
      </w:pPr>
      <w:r>
        <w:rPr/>
        <w:t>Búsqueda de informantes</w:t>
      </w:r>
      <w:r>
        <w:rPr>
          <w:spacing w:val="-20"/>
        </w:rPr>
        <w:t> </w:t>
      </w:r>
      <w:r>
        <w:rPr/>
        <w:t>clave</w:t>
      </w:r>
    </w:p>
    <w:p>
      <w:pPr>
        <w:pStyle w:val="BodyText"/>
        <w:spacing w:line="360" w:lineRule="auto" w:before="142"/>
        <w:ind w:left="116" w:right="113"/>
        <w:jc w:val="both"/>
      </w:pPr>
      <w:r>
        <w:rPr/>
        <w:t>Se utilizó un procedimiento de informantes clave, del tipo no probabilístico, según el método de bola de nieve (Luján – Álvarez </w:t>
      </w:r>
      <w:r>
        <w:rPr>
          <w:i/>
        </w:rPr>
        <w:t>et al., </w:t>
      </w:r>
      <w:r>
        <w:rPr/>
        <w:t>2000), que algunos autores denominan "muestreo intencional u opinático" (Goetz y Le Compte, 1988). En tal sentido, se establecieron algunos criterios para seleccionar las personas que, a nuestro juicio, presentan las "características típicas" para la investigación.</w:t>
      </w:r>
    </w:p>
    <w:p>
      <w:pPr>
        <w:pStyle w:val="BodyText"/>
      </w:pPr>
    </w:p>
    <w:p>
      <w:pPr>
        <w:pStyle w:val="BodyText"/>
        <w:spacing w:line="362" w:lineRule="auto" w:before="139"/>
        <w:ind w:left="116" w:right="114"/>
        <w:jc w:val="both"/>
      </w:pPr>
      <w:r>
        <w:rPr/>
        <w:t>Para el presente estudio, los informantes clave se definen como personas que han adquirido conocimiento sobre el uso de las plantas a través de observar, experimentar, estudiar, adquirir y transmitir el conocimiento por medio de la palabra.</w:t>
      </w:r>
    </w:p>
    <w:p>
      <w:pPr>
        <w:pStyle w:val="BodyText"/>
        <w:spacing w:before="10"/>
        <w:rPr>
          <w:sz w:val="35"/>
        </w:rPr>
      </w:pPr>
    </w:p>
    <w:p>
      <w:pPr>
        <w:pStyle w:val="BodyText"/>
        <w:ind w:left="116"/>
        <w:jc w:val="both"/>
      </w:pPr>
      <w:r>
        <w:rPr/>
        <w:t>Tales criterios se resumen en que los participantes deberían presentar:</w:t>
      </w:r>
    </w:p>
    <w:p>
      <w:pPr>
        <w:pStyle w:val="ListParagraph"/>
        <w:numPr>
          <w:ilvl w:val="0"/>
          <w:numId w:val="10"/>
        </w:numPr>
        <w:tabs>
          <w:tab w:pos="837" w:val="left" w:leader="none"/>
        </w:tabs>
        <w:spacing w:line="240" w:lineRule="auto" w:before="142" w:after="0"/>
        <w:ind w:left="837" w:right="0" w:hanging="361"/>
        <w:jc w:val="left"/>
        <w:rPr>
          <w:sz w:val="24"/>
        </w:rPr>
      </w:pPr>
      <w:r>
        <w:rPr>
          <w:sz w:val="24"/>
        </w:rPr>
        <w:t>Ser originarios del municipio de Temascaltepec de</w:t>
      </w:r>
      <w:r>
        <w:rPr>
          <w:spacing w:val="-23"/>
          <w:sz w:val="24"/>
        </w:rPr>
        <w:t> </w:t>
      </w:r>
      <w:r>
        <w:rPr>
          <w:sz w:val="24"/>
        </w:rPr>
        <w:t>González</w:t>
      </w:r>
    </w:p>
    <w:p>
      <w:pPr>
        <w:pStyle w:val="ListParagraph"/>
        <w:numPr>
          <w:ilvl w:val="0"/>
          <w:numId w:val="10"/>
        </w:numPr>
        <w:tabs>
          <w:tab w:pos="837" w:val="left" w:leader="none"/>
        </w:tabs>
        <w:spacing w:line="240" w:lineRule="auto" w:before="137" w:after="0"/>
        <w:ind w:left="837" w:right="0" w:hanging="361"/>
        <w:jc w:val="left"/>
        <w:rPr>
          <w:sz w:val="24"/>
        </w:rPr>
      </w:pPr>
      <w:r>
        <w:rPr>
          <w:sz w:val="24"/>
        </w:rPr>
        <w:t>Personas mayores de 50 años de</w:t>
      </w:r>
      <w:r>
        <w:rPr>
          <w:spacing w:val="-13"/>
          <w:sz w:val="24"/>
        </w:rPr>
        <w:t> </w:t>
      </w:r>
      <w:r>
        <w:rPr>
          <w:sz w:val="24"/>
        </w:rPr>
        <w:t>edad</w:t>
      </w:r>
    </w:p>
    <w:p>
      <w:pPr>
        <w:pStyle w:val="ListParagraph"/>
        <w:numPr>
          <w:ilvl w:val="0"/>
          <w:numId w:val="10"/>
        </w:numPr>
        <w:tabs>
          <w:tab w:pos="837" w:val="left" w:leader="none"/>
        </w:tabs>
        <w:spacing w:line="240" w:lineRule="auto" w:before="137" w:after="0"/>
        <w:ind w:left="837" w:right="0" w:hanging="361"/>
        <w:jc w:val="left"/>
        <w:rPr>
          <w:sz w:val="24"/>
        </w:rPr>
      </w:pPr>
      <w:r>
        <w:rPr>
          <w:sz w:val="24"/>
        </w:rPr>
        <w:t>Conocimiento sobre las plantas previamente</w:t>
      </w:r>
      <w:r>
        <w:rPr>
          <w:spacing w:val="-19"/>
          <w:sz w:val="24"/>
        </w:rPr>
        <w:t> </w:t>
      </w:r>
      <w:r>
        <w:rPr>
          <w:sz w:val="24"/>
        </w:rPr>
        <w:t>identificadas</w:t>
      </w:r>
    </w:p>
    <w:p>
      <w:pPr>
        <w:pStyle w:val="BodyText"/>
      </w:pPr>
    </w:p>
    <w:p>
      <w:pPr>
        <w:pStyle w:val="BodyText"/>
        <w:spacing w:before="9"/>
        <w:rPr>
          <w:sz w:val="23"/>
        </w:rPr>
      </w:pPr>
    </w:p>
    <w:p>
      <w:pPr>
        <w:pStyle w:val="Heading2"/>
        <w:numPr>
          <w:ilvl w:val="1"/>
          <w:numId w:val="5"/>
        </w:numPr>
        <w:tabs>
          <w:tab w:pos="828" w:val="left" w:leader="none"/>
        </w:tabs>
        <w:spacing w:line="240" w:lineRule="auto" w:before="0" w:after="0"/>
        <w:ind w:left="827" w:right="0" w:hanging="543"/>
        <w:jc w:val="left"/>
      </w:pPr>
      <w:r>
        <w:rPr/>
        <w:t>Estrategias para la conservación y educación</w:t>
      </w:r>
      <w:r>
        <w:rPr>
          <w:spacing w:val="-28"/>
        </w:rPr>
        <w:t> </w:t>
      </w:r>
      <w:r>
        <w:rPr/>
        <w:t>ambiental.</w:t>
      </w:r>
    </w:p>
    <w:p>
      <w:pPr>
        <w:pStyle w:val="BodyText"/>
        <w:spacing w:line="360" w:lineRule="auto" w:before="141"/>
        <w:ind w:left="116" w:right="111"/>
        <w:jc w:val="both"/>
      </w:pPr>
      <w:r>
        <w:rPr/>
        <w:t>Como primer punto, se realizó la identificación de los problemas en el estado actual, planteando objetivos, entendiendo como objetivo el dar solución a un problema a futuro por medio de estrategias. La identificación de los problemas que aquejan  la  operatividad del Parque Universitario “Las Orquídeas” </w:t>
      </w:r>
      <w:r>
        <w:rPr>
          <w:spacing w:val="-3"/>
        </w:rPr>
        <w:t>se </w:t>
      </w:r>
      <w:r>
        <w:rPr/>
        <w:t>realizó a través de un análisis FODA (Fortalezas, Oportunidades, Debilidades y Amenazas) y un análisis del Enfoque del Marco Lógico (EML) (Camacho </w:t>
      </w:r>
      <w:r>
        <w:rPr>
          <w:i/>
        </w:rPr>
        <w:t>et al</w:t>
      </w:r>
      <w:r>
        <w:rPr/>
        <w:t>,</w:t>
      </w:r>
      <w:r>
        <w:rPr>
          <w:spacing w:val="-13"/>
        </w:rPr>
        <w:t> </w:t>
      </w:r>
      <w:r>
        <w:rPr/>
        <w:t>2001).</w:t>
      </w:r>
    </w:p>
    <w:p>
      <w:pPr>
        <w:pStyle w:val="BodyText"/>
      </w:pPr>
    </w:p>
    <w:p>
      <w:pPr>
        <w:pStyle w:val="BodyText"/>
        <w:spacing w:line="360" w:lineRule="auto" w:before="140"/>
        <w:ind w:left="116" w:right="124"/>
        <w:jc w:val="both"/>
      </w:pPr>
      <w:r>
        <w:rPr/>
        <w:t>Además para se revisó la información bibliográfica con referencia a los Jardines Botánicos, asi como, se realizaron visitas al Jardín Botánico “Francisco Javier  Clavijero”, al de Río de Janeiro, a Colonia,</w:t>
      </w:r>
      <w:r>
        <w:rPr>
          <w:spacing w:val="-21"/>
        </w:rPr>
        <w:t> </w:t>
      </w:r>
      <w:r>
        <w:rPr/>
        <w:t>Alemania.</w:t>
      </w:r>
    </w:p>
    <w:p>
      <w:pPr>
        <w:pStyle w:val="BodyText"/>
      </w:pPr>
    </w:p>
    <w:p>
      <w:pPr>
        <w:pStyle w:val="BodyText"/>
        <w:spacing w:line="362" w:lineRule="auto" w:before="140"/>
        <w:ind w:left="116" w:right="125"/>
        <w:jc w:val="both"/>
      </w:pPr>
      <w:r>
        <w:rPr/>
        <w:t>El EML incorpora un conjunto de componentes: pertinencia, eficacia, eficiencia, impacto y viabilidad como elementos básicos de atención en las prácticas evaluativas. Consta</w:t>
      </w:r>
    </w:p>
    <w:p>
      <w:pPr>
        <w:spacing w:after="0" w:line="362"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25"/>
        <w:jc w:val="both"/>
      </w:pPr>
      <w:r>
        <w:rPr/>
        <w:t>de cinco pasos de discusión que sistematizan las tareas imprescindibles durante las etapas de identificación y diseño de un proyecto de desarrollo. Los cuatro primeros pasos contribuyen a sistematizar una de las fases más importantes de la vida de un proyecto, que habitualmente tiende a quedar en una nebulosa de generalidades. Esos pasos son los siguientes (Camacho </w:t>
      </w:r>
      <w:r>
        <w:rPr>
          <w:i/>
        </w:rPr>
        <w:t>et al</w:t>
      </w:r>
      <w:r>
        <w:rPr/>
        <w:t>, 2001):</w:t>
      </w:r>
    </w:p>
    <w:p>
      <w:pPr>
        <w:pStyle w:val="BodyText"/>
      </w:pPr>
    </w:p>
    <w:p>
      <w:pPr>
        <w:pStyle w:val="ListParagraph"/>
        <w:numPr>
          <w:ilvl w:val="0"/>
          <w:numId w:val="11"/>
        </w:numPr>
        <w:tabs>
          <w:tab w:pos="837" w:val="left" w:leader="none"/>
        </w:tabs>
        <w:spacing w:line="362" w:lineRule="auto" w:before="140" w:after="0"/>
        <w:ind w:left="837" w:right="110" w:hanging="361"/>
        <w:jc w:val="both"/>
        <w:rPr>
          <w:sz w:val="24"/>
        </w:rPr>
      </w:pPr>
      <w:r>
        <w:rPr>
          <w:b/>
          <w:sz w:val="24"/>
        </w:rPr>
        <w:t>Análisis de la participación</w:t>
      </w:r>
      <w:r>
        <w:rPr>
          <w:sz w:val="24"/>
        </w:rPr>
        <w:t>: se trata de tener una visión lo </w:t>
      </w:r>
      <w:r>
        <w:rPr>
          <w:spacing w:val="-3"/>
          <w:sz w:val="24"/>
        </w:rPr>
        <w:t>más </w:t>
      </w:r>
      <w:r>
        <w:rPr>
          <w:sz w:val="24"/>
        </w:rPr>
        <w:t>precisa posible, de la realidad social sobre la cual el futuro proyecto pretende incidir. Muchas intervenciones para el desarrollo fracasan, por haber efectuado un diagnóstico excesivamente superficial del contexto en el que deben</w:t>
      </w:r>
      <w:r>
        <w:rPr>
          <w:spacing w:val="-25"/>
          <w:sz w:val="24"/>
        </w:rPr>
        <w:t> </w:t>
      </w:r>
      <w:r>
        <w:rPr>
          <w:sz w:val="24"/>
        </w:rPr>
        <w:t>insertarse.</w:t>
      </w:r>
    </w:p>
    <w:p>
      <w:pPr>
        <w:pStyle w:val="BodyText"/>
        <w:spacing w:before="5"/>
        <w:rPr>
          <w:sz w:val="35"/>
        </w:rPr>
      </w:pPr>
    </w:p>
    <w:p>
      <w:pPr>
        <w:pStyle w:val="ListParagraph"/>
        <w:numPr>
          <w:ilvl w:val="0"/>
          <w:numId w:val="11"/>
        </w:numPr>
        <w:tabs>
          <w:tab w:pos="837" w:val="left" w:leader="none"/>
        </w:tabs>
        <w:spacing w:line="360" w:lineRule="auto" w:before="0" w:after="0"/>
        <w:ind w:left="837" w:right="114" w:hanging="361"/>
        <w:jc w:val="both"/>
        <w:rPr>
          <w:sz w:val="24"/>
        </w:rPr>
      </w:pPr>
      <w:r>
        <w:rPr>
          <w:b/>
          <w:sz w:val="24"/>
        </w:rPr>
        <w:t>Análisis de los problemas: </w:t>
      </w:r>
      <w:r>
        <w:rPr>
          <w:sz w:val="24"/>
        </w:rPr>
        <w:t>los problemas van siempre con las personas, o dicho de otra manera, no hay problemas sin personas. Por lo tanto, el llamado análisis de la situación es, de hecho, el análisis de la participación </w:t>
      </w:r>
      <w:r>
        <w:rPr>
          <w:spacing w:val="-3"/>
          <w:sz w:val="24"/>
        </w:rPr>
        <w:t>más </w:t>
      </w:r>
      <w:r>
        <w:rPr>
          <w:sz w:val="24"/>
        </w:rPr>
        <w:t>el análisis de problemas. De lo que se trata, es de elaborar un diagrama de causas y efectos entre los distintos problemas identificados en un árbol de problemas, lo que supone el documento quizás </w:t>
      </w:r>
      <w:r>
        <w:rPr>
          <w:spacing w:val="-3"/>
          <w:sz w:val="24"/>
        </w:rPr>
        <w:t>más </w:t>
      </w:r>
      <w:r>
        <w:rPr>
          <w:sz w:val="24"/>
        </w:rPr>
        <w:t>característico de la identificación de proyectos de desarrollo según el</w:t>
      </w:r>
      <w:r>
        <w:rPr>
          <w:spacing w:val="-21"/>
          <w:sz w:val="24"/>
        </w:rPr>
        <w:t> </w:t>
      </w:r>
      <w:r>
        <w:rPr>
          <w:sz w:val="24"/>
        </w:rPr>
        <w:t>EML.</w:t>
      </w:r>
    </w:p>
    <w:p>
      <w:pPr>
        <w:pStyle w:val="BodyText"/>
        <w:spacing w:before="8"/>
        <w:rPr>
          <w:sz w:val="35"/>
        </w:rPr>
      </w:pPr>
    </w:p>
    <w:p>
      <w:pPr>
        <w:pStyle w:val="ListParagraph"/>
        <w:numPr>
          <w:ilvl w:val="0"/>
          <w:numId w:val="11"/>
        </w:numPr>
        <w:tabs>
          <w:tab w:pos="837" w:val="left" w:leader="none"/>
        </w:tabs>
        <w:spacing w:line="360" w:lineRule="auto" w:before="0" w:after="0"/>
        <w:ind w:left="837" w:right="119" w:hanging="361"/>
        <w:jc w:val="both"/>
        <w:rPr>
          <w:sz w:val="24"/>
        </w:rPr>
      </w:pPr>
      <w:r>
        <w:rPr>
          <w:b/>
          <w:sz w:val="24"/>
        </w:rPr>
        <w:t>Análisis de objetivos</w:t>
      </w:r>
      <w:r>
        <w:rPr>
          <w:sz w:val="24"/>
        </w:rPr>
        <w:t>: se construye sobre los resultados obtenidos en el anterior análisis de los problemas. Los problemas que habían sido descritos como situaciones negativas percibidas </w:t>
      </w:r>
      <w:r>
        <w:rPr>
          <w:spacing w:val="-4"/>
          <w:sz w:val="24"/>
        </w:rPr>
        <w:t>como </w:t>
      </w:r>
      <w:r>
        <w:rPr>
          <w:sz w:val="24"/>
        </w:rPr>
        <w:t>tal por algunas de los implicados, pasan ahora a ser definidos como estados alcanzados positivos, que se establecen sobre la resolución de los problemas anteriormente identificados. Para el EML,  los objetivos de desarrollo se construyen sobre la solución de problemas concretos, que afectan a personas concretas, y cuya definición y relaciones se han establecido en el paso</w:t>
      </w:r>
      <w:r>
        <w:rPr>
          <w:spacing w:val="-12"/>
          <w:sz w:val="24"/>
        </w:rPr>
        <w:t> </w:t>
      </w:r>
      <w:r>
        <w:rPr>
          <w:sz w:val="24"/>
        </w:rPr>
        <w:t>anterior.</w:t>
      </w:r>
    </w:p>
    <w:p>
      <w:pPr>
        <w:pStyle w:val="BodyText"/>
        <w:spacing w:before="8"/>
        <w:rPr>
          <w:sz w:val="35"/>
        </w:rPr>
      </w:pPr>
    </w:p>
    <w:p>
      <w:pPr>
        <w:pStyle w:val="ListParagraph"/>
        <w:numPr>
          <w:ilvl w:val="0"/>
          <w:numId w:val="11"/>
        </w:numPr>
        <w:tabs>
          <w:tab w:pos="837" w:val="left" w:leader="none"/>
        </w:tabs>
        <w:spacing w:line="362" w:lineRule="auto" w:before="1" w:after="0"/>
        <w:ind w:left="837" w:right="115" w:hanging="361"/>
        <w:jc w:val="both"/>
        <w:rPr>
          <w:sz w:val="24"/>
        </w:rPr>
      </w:pPr>
      <w:r>
        <w:rPr>
          <w:b/>
          <w:sz w:val="24"/>
        </w:rPr>
        <w:t>Análisis de alternativas</w:t>
      </w:r>
      <w:r>
        <w:rPr>
          <w:sz w:val="24"/>
        </w:rPr>
        <w:t>: es un paso fundamental dentro de la gestión de una intervención,  aunque  inevitablemente  presenta  un  nivel  de  indefinición   </w:t>
      </w:r>
      <w:r>
        <w:rPr>
          <w:spacing w:val="53"/>
          <w:sz w:val="24"/>
        </w:rPr>
        <w:t> </w:t>
      </w:r>
      <w:r>
        <w:rPr>
          <w:sz w:val="24"/>
        </w:rPr>
        <w:t>que</w:t>
      </w:r>
    </w:p>
    <w:p>
      <w:pPr>
        <w:spacing w:after="0" w:line="362" w:lineRule="auto"/>
        <w:jc w:val="both"/>
        <w:rPr>
          <w:sz w:val="24"/>
        </w:rPr>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476"/>
      </w:pPr>
      <w:r>
        <w:rPr/>
        <w:t>resulta impreciso a la hora de plantear una explicación de carácter más bien esquemático y superficial.</w:t>
      </w:r>
    </w:p>
    <w:p>
      <w:pPr>
        <w:pStyle w:val="BodyText"/>
        <w:spacing w:before="6"/>
        <w:rPr>
          <w:sz w:val="35"/>
        </w:rPr>
      </w:pPr>
    </w:p>
    <w:p>
      <w:pPr>
        <w:pStyle w:val="ListParagraph"/>
        <w:numPr>
          <w:ilvl w:val="0"/>
          <w:numId w:val="11"/>
        </w:numPr>
        <w:tabs>
          <w:tab w:pos="477" w:val="left" w:leader="none"/>
        </w:tabs>
        <w:spacing w:line="360" w:lineRule="auto" w:before="0" w:after="0"/>
        <w:ind w:left="477" w:right="121" w:hanging="361"/>
        <w:jc w:val="both"/>
        <w:rPr>
          <w:sz w:val="24"/>
        </w:rPr>
      </w:pPr>
      <w:r>
        <w:rPr>
          <w:b/>
          <w:sz w:val="24"/>
        </w:rPr>
        <w:t>Matriz de planificación del proyecto: </w:t>
      </w:r>
      <w:r>
        <w:rPr>
          <w:sz w:val="24"/>
        </w:rPr>
        <w:t>es el documento y la herramienta </w:t>
      </w:r>
      <w:r>
        <w:rPr>
          <w:spacing w:val="-3"/>
          <w:sz w:val="24"/>
        </w:rPr>
        <w:t>más </w:t>
      </w:r>
      <w:r>
        <w:rPr>
          <w:sz w:val="24"/>
        </w:rPr>
        <w:t>característica del Enfoque del Marco Lógico. De hecho, el marco lógico comenzó siendo una matriz y hasta que se estableció la secuencia de pasos previos que conducen hasta ella, lo que constituye la principal originalidad del método (Camacho </w:t>
      </w:r>
      <w:r>
        <w:rPr>
          <w:i/>
          <w:sz w:val="24"/>
        </w:rPr>
        <w:t>et al,</w:t>
      </w:r>
      <w:r>
        <w:rPr>
          <w:i/>
          <w:spacing w:val="-4"/>
          <w:sz w:val="24"/>
        </w:rPr>
        <w:t> </w:t>
      </w:r>
      <w:r>
        <w:rPr>
          <w:sz w:val="24"/>
        </w:rPr>
        <w:t>2001).</w:t>
      </w:r>
    </w:p>
    <w:p>
      <w:pPr>
        <w:spacing w:after="0" w:line="360" w:lineRule="auto"/>
        <w:jc w:val="both"/>
        <w:rPr>
          <w:sz w:val="24"/>
        </w:rPr>
        <w:sectPr>
          <w:pgSz w:w="12240" w:h="15840"/>
          <w:pgMar w:header="690" w:footer="1146" w:top="880" w:bottom="1340" w:left="1660" w:right="130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spacing w:before="1"/>
        <w:ind w:left="2723" w:right="78"/>
        <w:jc w:val="left"/>
      </w:pPr>
      <w:r>
        <w:rPr/>
        <w:t>CAPÍTULO III. RESULTADOS Y DISCUSIÓN</w:t>
      </w:r>
    </w:p>
    <w:p>
      <w:pPr>
        <w:pStyle w:val="BodyText"/>
        <w:spacing w:line="360" w:lineRule="auto" w:before="142"/>
        <w:ind w:left="116" w:right="124"/>
        <w:jc w:val="both"/>
      </w:pPr>
      <w:r>
        <w:rPr/>
        <w:t>El capitulo III, contiene los resultados y discusión obtenidos de las acciones realizadas en los dos capítulos precedentes. La distribución geográfica del área de estudio, así como sus aspectos físicos-geograficos y bióticos se descriptiven y en algunos casos, </w:t>
      </w:r>
      <w:r>
        <w:rPr>
          <w:spacing w:val="-3"/>
        </w:rPr>
        <w:t>se </w:t>
      </w:r>
      <w:r>
        <w:rPr/>
        <w:t>ilustran. </w:t>
      </w:r>
      <w:r>
        <w:rPr>
          <w:spacing w:val="-4"/>
        </w:rPr>
        <w:t>El </w:t>
      </w:r>
      <w:r>
        <w:rPr/>
        <w:t>contexto socioeconómico hace referencia a la Cabecera Municipal y al Centro Universitario UAEM Temascaltepec, debido a que insiden en el área de</w:t>
      </w:r>
      <w:r>
        <w:rPr>
          <w:spacing w:val="-32"/>
        </w:rPr>
        <w:t> </w:t>
      </w:r>
      <w:r>
        <w:rPr/>
        <w:t>estudio.</w:t>
      </w:r>
    </w:p>
    <w:p>
      <w:pPr>
        <w:pStyle w:val="BodyText"/>
      </w:pPr>
    </w:p>
    <w:p>
      <w:pPr>
        <w:pStyle w:val="BodyText"/>
        <w:spacing w:line="360" w:lineRule="auto" w:before="139"/>
        <w:ind w:left="116" w:right="78"/>
      </w:pPr>
      <w:r>
        <w:rPr/>
        <w:t>Las Zonas de Manejo Ambiental (ZMA) se nombran y se indican en un mapa de sitio. Posteriormente, se presenta el número total de especies identificadas, las familias representativas en el presente trabajo y en otras investigaciones de la Cuenca del Río Balsas, el inventario florístico por ZMA cuenta con la siguiente información: Familia, nombre científico y común, usos y distribución geográfica.</w:t>
      </w:r>
    </w:p>
    <w:p>
      <w:pPr>
        <w:pStyle w:val="BodyText"/>
      </w:pPr>
    </w:p>
    <w:p>
      <w:pPr>
        <w:pStyle w:val="BodyText"/>
        <w:spacing w:line="360" w:lineRule="auto" w:before="144"/>
        <w:ind w:left="116" w:right="123"/>
        <w:jc w:val="both"/>
      </w:pPr>
      <w:r>
        <w:rPr/>
        <w:t>Además, se mencionan los usos que los entrevistados asignan a las especies y se indican el número de especies para cada uso. La discusión se realiza conforme a dos formas de manejo: </w:t>
      </w:r>
      <w:r>
        <w:rPr>
          <w:i/>
        </w:rPr>
        <w:t>in situ </w:t>
      </w:r>
      <w:r>
        <w:rPr/>
        <w:t>y </w:t>
      </w:r>
      <w:r>
        <w:rPr>
          <w:i/>
        </w:rPr>
        <w:t>ex situ</w:t>
      </w:r>
      <w:r>
        <w:rPr/>
        <w:t>. Los análisis FODA y el EML permitieron concluir con la propuesta del Jardín Botánico como una estrategía de conservación ambiental.</w:t>
      </w:r>
    </w:p>
    <w:p>
      <w:pPr>
        <w:pStyle w:val="BodyText"/>
      </w:pPr>
    </w:p>
    <w:p>
      <w:pPr>
        <w:pStyle w:val="BodyText"/>
        <w:spacing w:before="10"/>
        <w:rPr>
          <w:sz w:val="35"/>
        </w:rPr>
      </w:pPr>
    </w:p>
    <w:p>
      <w:pPr>
        <w:pStyle w:val="Heading2"/>
        <w:numPr>
          <w:ilvl w:val="1"/>
          <w:numId w:val="12"/>
        </w:numPr>
        <w:tabs>
          <w:tab w:pos="828" w:val="left" w:leader="none"/>
        </w:tabs>
        <w:spacing w:line="240" w:lineRule="auto" w:before="0" w:after="0"/>
        <w:ind w:left="827" w:right="0" w:hanging="543"/>
        <w:jc w:val="left"/>
      </w:pPr>
      <w:r>
        <w:rPr/>
        <w:t>Caracterización geográfica del área de</w:t>
      </w:r>
      <w:r>
        <w:rPr>
          <w:spacing w:val="-29"/>
        </w:rPr>
        <w:t> </w:t>
      </w:r>
      <w:r>
        <w:rPr/>
        <w:t>estudio</w:t>
      </w:r>
    </w:p>
    <w:p>
      <w:pPr>
        <w:pStyle w:val="BodyText"/>
        <w:spacing w:line="357" w:lineRule="auto" w:before="142"/>
        <w:ind w:left="116" w:right="112"/>
        <w:jc w:val="both"/>
      </w:pPr>
      <w:r>
        <w:rPr/>
        <w:t>El Parque Universitario “Las Orquídeas” se localiza en el interior del </w:t>
      </w:r>
      <w:r>
        <w:rPr>
          <w:spacing w:val="2"/>
        </w:rPr>
        <w:t>Centro</w:t>
      </w:r>
      <w:r>
        <w:rPr>
          <w:spacing w:val="70"/>
        </w:rPr>
        <w:t> </w:t>
      </w:r>
      <w:r>
        <w:rPr/>
        <w:t>Universitario Temascaltepec, perteneciente a la Universidad Autónoma del Estado de México, ubicado en el Barrio de Santiago, en la cabecera municipal de Temascaltepec de González, al suroeste del Xinantecatl o Nevado de Toluca. Este municipio </w:t>
      </w:r>
      <w:r>
        <w:rPr>
          <w:spacing w:val="-3"/>
        </w:rPr>
        <w:t>se </w:t>
      </w:r>
      <w:r>
        <w:rPr/>
        <w:t>ubica en la parte suroeste del Estado de México, posee una extensión de 547.5 </w:t>
      </w:r>
      <w:r>
        <w:rPr>
          <w:spacing w:val="-3"/>
        </w:rPr>
        <w:t>km</w:t>
      </w:r>
      <w:r>
        <w:rPr>
          <w:spacing w:val="-3"/>
          <w:position w:val="11"/>
          <w:sz w:val="16"/>
        </w:rPr>
        <w:t>2</w:t>
      </w:r>
      <w:r>
        <w:rPr>
          <w:spacing w:val="-3"/>
        </w:rPr>
        <w:t>, </w:t>
      </w:r>
      <w:r>
        <w:rPr/>
        <w:t>cantidad que representa el 2.43% del total de la superficie del estado y </w:t>
      </w:r>
      <w:r>
        <w:rPr>
          <w:spacing w:val="3"/>
        </w:rPr>
        <w:t>sus </w:t>
      </w:r>
      <w:r>
        <w:rPr/>
        <w:t>límites son: al  noreste con Zinacantepec, al norte con Valle de Bravo y Amanalco de Becerra; al oeste con Zacazonapan, al sur con San </w:t>
      </w:r>
      <w:r>
        <w:rPr>
          <w:spacing w:val="-3"/>
        </w:rPr>
        <w:t>Simón </w:t>
      </w:r>
      <w:r>
        <w:rPr/>
        <w:t>de Guerrero y Texcaltitlán; al sureste con Coatepec Harinas, y al suroeste Tejupilco (Figura 1) (Borboa, 1999; IGECEM, 2011; SEDESOL, 2012; Bando municipal,</w:t>
      </w:r>
      <w:r>
        <w:rPr>
          <w:spacing w:val="-9"/>
        </w:rPr>
        <w:t> </w:t>
      </w:r>
      <w:r>
        <w:rPr/>
        <w:t>2013).</w:t>
      </w:r>
    </w:p>
    <w:p>
      <w:pPr>
        <w:spacing w:after="0" w:line="357" w:lineRule="auto"/>
        <w:jc w:val="both"/>
        <w:sectPr>
          <w:pgSz w:w="12240" w:h="15840"/>
          <w:pgMar w:header="690" w:footer="1146" w:top="880" w:bottom="1340" w:left="1300" w:right="1300"/>
        </w:sectPr>
      </w:pPr>
    </w:p>
    <w:p>
      <w:pPr>
        <w:spacing w:before="49"/>
        <w:ind w:left="0" w:right="122" w:firstLine="0"/>
        <w:jc w:val="right"/>
        <w:rPr>
          <w:sz w:val="16"/>
        </w:rPr>
      </w:pPr>
      <w:r>
        <w:rPr>
          <w:sz w:val="16"/>
        </w:rPr>
        <w:t>BIOL. CRISTINA BERENICE MONSALVO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spacing w:before="76"/>
        <w:ind w:left="2253" w:right="0" w:hanging="524"/>
        <w:jc w:val="left"/>
        <w:rPr>
          <w:b/>
          <w:i/>
          <w:sz w:val="20"/>
        </w:rPr>
      </w:pPr>
      <w:r>
        <w:rPr/>
        <w:drawing>
          <wp:anchor distT="0" distB="0" distL="0" distR="0" allowOverlap="1" layoutInCell="1" locked="0" behindDoc="0" simplePos="0" relativeHeight="1168">
            <wp:simplePos x="0" y="0"/>
            <wp:positionH relativeFrom="page">
              <wp:posOffset>1857375</wp:posOffset>
            </wp:positionH>
            <wp:positionV relativeFrom="paragraph">
              <wp:posOffset>273429</wp:posOffset>
            </wp:positionV>
            <wp:extent cx="6311086" cy="473202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21" cstate="print"/>
                    <a:stretch>
                      <a:fillRect/>
                    </a:stretch>
                  </pic:blipFill>
                  <pic:spPr>
                    <a:xfrm>
                      <a:off x="0" y="0"/>
                      <a:ext cx="6311086" cy="4732020"/>
                    </a:xfrm>
                    <a:prstGeom prst="rect">
                      <a:avLst/>
                    </a:prstGeom>
                  </pic:spPr>
                </pic:pic>
              </a:graphicData>
            </a:graphic>
          </wp:anchor>
        </w:drawing>
      </w:r>
      <w:r>
        <w:rPr>
          <w:b/>
          <w:i/>
          <w:sz w:val="20"/>
        </w:rPr>
        <w:t>Figura 1. Mapa de localización del municipio de Temascaltepec, Estado de México.</w:t>
      </w:r>
    </w:p>
    <w:p>
      <w:pPr>
        <w:spacing w:before="135"/>
        <w:ind w:left="2253" w:right="0" w:firstLine="0"/>
        <w:jc w:val="left"/>
        <w:rPr>
          <w:b/>
          <w:i/>
          <w:sz w:val="20"/>
        </w:rPr>
      </w:pPr>
      <w:r>
        <w:rPr>
          <w:b/>
          <w:i/>
          <w:sz w:val="20"/>
        </w:rPr>
        <w:t>Fuente: Elaboración propia, a partir de información vectorial del INEGI (1987).</w:t>
      </w:r>
    </w:p>
    <w:p>
      <w:pPr>
        <w:pStyle w:val="BodyText"/>
        <w:rPr>
          <w:b/>
          <w:i/>
          <w:sz w:val="20"/>
        </w:rPr>
      </w:pPr>
    </w:p>
    <w:p>
      <w:pPr>
        <w:pStyle w:val="BodyText"/>
        <w:spacing w:before="7"/>
        <w:rPr>
          <w:b/>
          <w:i/>
          <w:sz w:val="18"/>
        </w:rPr>
      </w:pPr>
    </w:p>
    <w:p>
      <w:pPr>
        <w:spacing w:line="267" w:lineRule="exact" w:before="0"/>
        <w:ind w:left="0" w:right="114" w:firstLine="0"/>
        <w:jc w:val="right"/>
        <w:rPr>
          <w:rFonts w:ascii="Calibri"/>
          <w:sz w:val="22"/>
        </w:rPr>
      </w:pPr>
      <w:r>
        <w:rPr>
          <w:rFonts w:ascii="Calibri"/>
          <w:sz w:val="22"/>
        </w:rPr>
        <w:t>37</w:t>
      </w:r>
    </w:p>
    <w:p>
      <w:pPr>
        <w:spacing w:before="0"/>
        <w:ind w:left="3444" w:right="3858" w:hanging="135"/>
        <w:jc w:val="left"/>
        <w:rPr>
          <w:sz w:val="18"/>
        </w:rPr>
      </w:pPr>
      <w:r>
        <w:rPr>
          <w:sz w:val="18"/>
        </w:rPr>
        <w:t>Estudio florístico del Parque Universitario “Las Orquídeas”, como base para la conservación y educación ambiental</w:t>
      </w:r>
    </w:p>
    <w:p>
      <w:pPr>
        <w:spacing w:after="0"/>
        <w:jc w:val="left"/>
        <w:rPr>
          <w:sz w:val="18"/>
        </w:rPr>
        <w:sectPr>
          <w:headerReference w:type="default" r:id="rId19"/>
          <w:footerReference w:type="default" r:id="rId20"/>
          <w:pgSz w:w="15840" w:h="12240" w:orient="landscape"/>
          <w:pgMar w:header="0" w:footer="0" w:top="660" w:bottom="280" w:left="2260" w:right="1300"/>
        </w:sectPr>
      </w:pPr>
    </w:p>
    <w:p>
      <w:pPr>
        <w:spacing w:before="49"/>
        <w:ind w:left="5798" w:right="0" w:firstLine="0"/>
        <w:jc w:val="left"/>
        <w:rPr>
          <w:sz w:val="16"/>
        </w:rPr>
      </w:pPr>
      <w:r>
        <w:rPr>
          <w:sz w:val="16"/>
        </w:rPr>
        <w:t>BIOL. CRISTINA BERENICE MONSALVO JIMÉNEZ</w:t>
      </w:r>
    </w:p>
    <w:p>
      <w:pPr>
        <w:pStyle w:val="BodyText"/>
        <w:rPr>
          <w:sz w:val="20"/>
        </w:rPr>
      </w:pPr>
    </w:p>
    <w:p>
      <w:pPr>
        <w:pStyle w:val="BodyText"/>
        <w:rPr>
          <w:sz w:val="19"/>
        </w:rPr>
      </w:pPr>
    </w:p>
    <w:p>
      <w:pPr>
        <w:pStyle w:val="BodyText"/>
        <w:spacing w:line="360" w:lineRule="auto" w:before="70"/>
        <w:ind w:left="136" w:right="189"/>
        <w:jc w:val="both"/>
      </w:pPr>
      <w:r>
        <w:rPr/>
        <w:t>La vía de comunicación terrestre para acceder a la cabecera municipal de Temascaltepec de González, es a través de la carretera Federal No. 134, Toluca – Ciudad Altamirano. La distancia entre la Ciudad de Toluca y la cabecera municipal es  de 70 km (SCT, 2013). El parque se localiza en el kilómetro 67.5. Una manera de llegar a este lugar, es por medio de la única línea de autotransporte que presta el servicio desde la Ciudad de México o de la Ciudad de Toluca, que son los autobuses México – Toluca – Zinacantepec y Ramales, S. A. de C. V. con destino a Arcelia, Ciudad Altamirano y Zihuatanejo del Estado de</w:t>
      </w:r>
      <w:r>
        <w:rPr>
          <w:spacing w:val="-20"/>
        </w:rPr>
        <w:t> </w:t>
      </w:r>
      <w:r>
        <w:rPr/>
        <w:t>Guerrero.</w:t>
      </w:r>
    </w:p>
    <w:p>
      <w:pPr>
        <w:pStyle w:val="BodyText"/>
      </w:pPr>
    </w:p>
    <w:p>
      <w:pPr>
        <w:pStyle w:val="BodyText"/>
        <w:spacing w:line="360" w:lineRule="auto" w:before="145"/>
        <w:ind w:left="136" w:right="190"/>
        <w:jc w:val="both"/>
      </w:pPr>
      <w:r>
        <w:rPr/>
        <w:t>El Centro Universitario Temascaltepec comprende un área aproximada de 13.5 hectáreas, de las cuales, el 15 % está construido y el porcentaje restante pertenece a vegetación natural e introducida (debido por cuestiones de educación ambiental). Las coordenadas geográficas son las siguientes (Cuadro 3):</w:t>
      </w:r>
    </w:p>
    <w:p>
      <w:pPr>
        <w:pStyle w:val="BodyText"/>
        <w:spacing w:before="2"/>
        <w:rPr>
          <w:sz w:val="33"/>
        </w:rPr>
      </w:pPr>
    </w:p>
    <w:p>
      <w:pPr>
        <w:spacing w:before="0"/>
        <w:ind w:left="943" w:right="0" w:firstLine="0"/>
        <w:jc w:val="left"/>
        <w:rPr>
          <w:b/>
          <w:i/>
          <w:sz w:val="20"/>
        </w:rPr>
      </w:pPr>
      <w:r>
        <w:rPr>
          <w:b/>
          <w:i/>
          <w:sz w:val="20"/>
        </w:rPr>
        <w:t>Cuadro 3. Coordenadas geográficas, mínimas y máximas del Parque Universitario</w:t>
      </w:r>
    </w:p>
    <w:p>
      <w:pPr>
        <w:pStyle w:val="BodyText"/>
        <w:spacing w:before="2" w:after="1"/>
        <w:rPr>
          <w:b/>
          <w:i/>
          <w:sz w:val="9"/>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2670"/>
        <w:gridCol w:w="3150"/>
        <w:gridCol w:w="3568"/>
      </w:tblGrid>
      <w:tr>
        <w:trPr>
          <w:trHeight w:val="437" w:hRule="exact"/>
        </w:trPr>
        <w:tc>
          <w:tcPr>
            <w:tcW w:w="2670" w:type="dxa"/>
            <w:tcBorders>
              <w:bottom w:val="thinThickMediumGap" w:sz="17" w:space="0" w:color="000000"/>
              <w:right w:val="thinThickMediumGap" w:sz="17" w:space="0" w:color="000000"/>
            </w:tcBorders>
            <w:shd w:val="clear" w:color="auto" w:fill="808080"/>
          </w:tcPr>
          <w:p>
            <w:pPr/>
          </w:p>
        </w:tc>
        <w:tc>
          <w:tcPr>
            <w:tcW w:w="3150" w:type="dxa"/>
            <w:tcBorders>
              <w:bottom w:val="thinThickMediumGap" w:sz="17" w:space="0" w:color="000000"/>
              <w:right w:val="thinThickMediumGap" w:sz="17" w:space="0" w:color="000000"/>
            </w:tcBorders>
          </w:tcPr>
          <w:p>
            <w:pPr>
              <w:pStyle w:val="TableParagraph"/>
              <w:spacing w:before="14"/>
              <w:ind w:left="943" w:right="942"/>
              <w:jc w:val="center"/>
              <w:rPr>
                <w:sz w:val="20"/>
              </w:rPr>
            </w:pPr>
            <w:r>
              <w:rPr>
                <w:sz w:val="20"/>
              </w:rPr>
              <w:t>LATITUD</w:t>
            </w:r>
          </w:p>
        </w:tc>
        <w:tc>
          <w:tcPr>
            <w:tcW w:w="3568" w:type="dxa"/>
            <w:tcBorders>
              <w:bottom w:val="thinThickMediumGap" w:sz="17" w:space="0" w:color="000000"/>
              <w:right w:val="thinThickMediumGap" w:sz="17" w:space="0" w:color="000000"/>
            </w:tcBorders>
          </w:tcPr>
          <w:p>
            <w:pPr>
              <w:pStyle w:val="TableParagraph"/>
              <w:spacing w:before="14"/>
              <w:ind w:left="1099" w:right="1094"/>
              <w:jc w:val="center"/>
              <w:rPr>
                <w:sz w:val="20"/>
              </w:rPr>
            </w:pPr>
            <w:r>
              <w:rPr>
                <w:sz w:val="20"/>
              </w:rPr>
              <w:t>LONGITUD</w:t>
            </w:r>
          </w:p>
        </w:tc>
      </w:tr>
      <w:tr>
        <w:trPr>
          <w:trHeight w:val="437" w:hRule="exact"/>
        </w:trPr>
        <w:tc>
          <w:tcPr>
            <w:tcW w:w="2670" w:type="dxa"/>
            <w:tcBorders>
              <w:bottom w:val="thinThickMediumGap" w:sz="17" w:space="0" w:color="000000"/>
              <w:right w:val="thinThickMediumGap" w:sz="17" w:space="0" w:color="000000"/>
            </w:tcBorders>
          </w:tcPr>
          <w:p>
            <w:pPr>
              <w:pStyle w:val="TableParagraph"/>
              <w:spacing w:before="14"/>
              <w:ind w:left="879" w:right="875"/>
              <w:jc w:val="center"/>
              <w:rPr>
                <w:sz w:val="20"/>
              </w:rPr>
            </w:pPr>
            <w:r>
              <w:rPr>
                <w:sz w:val="20"/>
              </w:rPr>
              <w:t>MÍNIMA</w:t>
            </w:r>
          </w:p>
        </w:tc>
        <w:tc>
          <w:tcPr>
            <w:tcW w:w="3150" w:type="dxa"/>
            <w:tcBorders>
              <w:bottom w:val="thinThickMediumGap" w:sz="17" w:space="0" w:color="000000"/>
              <w:right w:val="thinThickMediumGap" w:sz="17" w:space="0" w:color="000000"/>
            </w:tcBorders>
          </w:tcPr>
          <w:p>
            <w:pPr>
              <w:pStyle w:val="TableParagraph"/>
              <w:spacing w:before="14"/>
              <w:ind w:left="946" w:right="942"/>
              <w:jc w:val="center"/>
              <w:rPr>
                <w:sz w:val="20"/>
              </w:rPr>
            </w:pPr>
            <w:r>
              <w:rPr>
                <w:sz w:val="20"/>
              </w:rPr>
              <w:t>19° 2' 36.01"</w:t>
            </w:r>
          </w:p>
        </w:tc>
        <w:tc>
          <w:tcPr>
            <w:tcW w:w="3568" w:type="dxa"/>
            <w:tcBorders>
              <w:bottom w:val="thinThickMediumGap" w:sz="17" w:space="0" w:color="000000"/>
              <w:right w:val="thinThickMediumGap" w:sz="17" w:space="0" w:color="000000"/>
            </w:tcBorders>
          </w:tcPr>
          <w:p>
            <w:pPr>
              <w:pStyle w:val="TableParagraph"/>
              <w:spacing w:before="14"/>
              <w:ind w:left="1096" w:right="1096"/>
              <w:jc w:val="center"/>
              <w:rPr>
                <w:sz w:val="20"/>
              </w:rPr>
            </w:pPr>
            <w:r>
              <w:rPr>
                <w:sz w:val="20"/>
              </w:rPr>
              <w:t>100° 3' 3.07"</w:t>
            </w:r>
          </w:p>
        </w:tc>
      </w:tr>
      <w:tr>
        <w:trPr>
          <w:trHeight w:val="451" w:hRule="exact"/>
        </w:trPr>
        <w:tc>
          <w:tcPr>
            <w:tcW w:w="2670" w:type="dxa"/>
            <w:tcBorders>
              <w:bottom w:val="thinThickMediumGap" w:sz="17" w:space="0" w:color="000000"/>
              <w:right w:val="thinThickMediumGap" w:sz="17" w:space="0" w:color="000000"/>
            </w:tcBorders>
          </w:tcPr>
          <w:p>
            <w:pPr>
              <w:pStyle w:val="TableParagraph"/>
              <w:spacing w:before="9"/>
              <w:ind w:left="879" w:right="875"/>
              <w:jc w:val="center"/>
              <w:rPr>
                <w:sz w:val="20"/>
              </w:rPr>
            </w:pPr>
            <w:r>
              <w:rPr>
                <w:sz w:val="20"/>
              </w:rPr>
              <w:t>MÁXIMA</w:t>
            </w:r>
          </w:p>
        </w:tc>
        <w:tc>
          <w:tcPr>
            <w:tcW w:w="3150" w:type="dxa"/>
            <w:tcBorders>
              <w:bottom w:val="thinThickMediumGap" w:sz="17" w:space="0" w:color="000000"/>
              <w:right w:val="thinThickMediumGap" w:sz="17" w:space="0" w:color="000000"/>
            </w:tcBorders>
          </w:tcPr>
          <w:p>
            <w:pPr>
              <w:pStyle w:val="TableParagraph"/>
              <w:spacing w:before="9"/>
              <w:ind w:left="946" w:right="942"/>
              <w:jc w:val="center"/>
              <w:rPr>
                <w:sz w:val="20"/>
              </w:rPr>
            </w:pPr>
            <w:r>
              <w:rPr>
                <w:sz w:val="20"/>
              </w:rPr>
              <w:t>19° 2' 49.26"</w:t>
            </w:r>
          </w:p>
        </w:tc>
        <w:tc>
          <w:tcPr>
            <w:tcW w:w="3568" w:type="dxa"/>
            <w:tcBorders>
              <w:bottom w:val="thinThickMediumGap" w:sz="17" w:space="0" w:color="000000"/>
              <w:right w:val="thinThickMediumGap" w:sz="17" w:space="0" w:color="000000"/>
            </w:tcBorders>
          </w:tcPr>
          <w:p>
            <w:pPr>
              <w:pStyle w:val="TableParagraph"/>
              <w:spacing w:before="9"/>
              <w:ind w:left="1099" w:right="1096"/>
              <w:jc w:val="center"/>
              <w:rPr>
                <w:sz w:val="20"/>
              </w:rPr>
            </w:pPr>
            <w:r>
              <w:rPr>
                <w:sz w:val="20"/>
              </w:rPr>
              <w:t>100° 3' 33.24"</w:t>
            </w:r>
          </w:p>
        </w:tc>
      </w:tr>
    </w:tbl>
    <w:p>
      <w:pPr>
        <w:spacing w:line="220" w:lineRule="exact" w:before="0"/>
        <w:ind w:left="136" w:right="0" w:firstLine="0"/>
        <w:jc w:val="both"/>
        <w:rPr>
          <w:b/>
          <w:i/>
          <w:sz w:val="20"/>
        </w:rPr>
      </w:pPr>
      <w:r>
        <w:rPr>
          <w:b/>
          <w:i/>
          <w:sz w:val="20"/>
        </w:rPr>
        <w:t>Fuente: Registradas en campo utilizando un GPS (Global Position System).</w:t>
      </w:r>
    </w:p>
    <w:p>
      <w:pPr>
        <w:pStyle w:val="BodyText"/>
        <w:rPr>
          <w:b/>
          <w:i/>
          <w:sz w:val="20"/>
        </w:rPr>
      </w:pPr>
    </w:p>
    <w:p>
      <w:pPr>
        <w:pStyle w:val="BodyText"/>
        <w:spacing w:before="6"/>
        <w:rPr>
          <w:b/>
          <w:i/>
          <w:sz w:val="23"/>
        </w:rPr>
      </w:pPr>
    </w:p>
    <w:p>
      <w:pPr>
        <w:pStyle w:val="BodyText"/>
        <w:spacing w:line="360" w:lineRule="auto"/>
        <w:ind w:left="136" w:right="190"/>
        <w:jc w:val="both"/>
      </w:pPr>
      <w:r>
        <w:rPr/>
        <w:t>Limita al norte con área vecinal boscosa; al noroeste con la carretera Federal No. 134, Toluca – Ciudad Altamirano; al este con zona urbana, al sur con el Río Temascaltepec, al oeste con el fraccionamiento las juntas.</w:t>
      </w:r>
    </w:p>
    <w:p>
      <w:pPr>
        <w:pStyle w:val="BodyText"/>
      </w:pPr>
    </w:p>
    <w:p>
      <w:pPr>
        <w:pStyle w:val="ListParagraph"/>
        <w:numPr>
          <w:ilvl w:val="2"/>
          <w:numId w:val="12"/>
        </w:numPr>
        <w:tabs>
          <w:tab w:pos="2263" w:val="left" w:leader="none"/>
          <w:tab w:pos="2264" w:val="left" w:leader="none"/>
        </w:tabs>
        <w:spacing w:line="240" w:lineRule="auto" w:before="140" w:after="0"/>
        <w:ind w:left="2263" w:right="0" w:hanging="1277"/>
        <w:jc w:val="left"/>
        <w:rPr>
          <w:i/>
          <w:sz w:val="24"/>
        </w:rPr>
      </w:pPr>
      <w:r>
        <w:rPr>
          <w:i/>
          <w:sz w:val="24"/>
        </w:rPr>
        <w:t>Aspectos Físico</w:t>
      </w:r>
      <w:r>
        <w:rPr>
          <w:i/>
          <w:spacing w:val="-14"/>
          <w:sz w:val="24"/>
        </w:rPr>
        <w:t> </w:t>
      </w:r>
      <w:r>
        <w:rPr>
          <w:i/>
          <w:sz w:val="24"/>
        </w:rPr>
        <w:t>Geográficos</w:t>
      </w:r>
    </w:p>
    <w:p>
      <w:pPr>
        <w:pStyle w:val="BodyText"/>
        <w:spacing w:line="360" w:lineRule="auto" w:before="137"/>
        <w:ind w:left="136" w:right="206"/>
        <w:jc w:val="both"/>
      </w:pPr>
      <w:r>
        <w:rPr/>
        <w:t>El parque presenta una topografía de sierra alta compleja con cañadas de diversas altitudes, la mínima se encuentra en el cauce del río Temascaltepec donde se registran 1600 msnm. La máxima altitud se registra en la porción norte del parque con 1740 msnm (INEGI, 1987).</w:t>
      </w:r>
    </w:p>
    <w:p>
      <w:pPr>
        <w:pStyle w:val="BodyText"/>
        <w:rPr>
          <w:sz w:val="20"/>
        </w:rPr>
      </w:pPr>
    </w:p>
    <w:p>
      <w:pPr>
        <w:pStyle w:val="BodyText"/>
        <w:rPr>
          <w:sz w:val="20"/>
        </w:rPr>
      </w:pPr>
    </w:p>
    <w:p>
      <w:pPr>
        <w:pStyle w:val="BodyText"/>
        <w:rPr>
          <w:sz w:val="20"/>
        </w:rPr>
      </w:pPr>
    </w:p>
    <w:p>
      <w:pPr>
        <w:pStyle w:val="BodyText"/>
        <w:spacing w:before="4"/>
        <w:rPr>
          <w:sz w:val="29"/>
        </w:rPr>
      </w:pPr>
    </w:p>
    <w:p>
      <w:pPr>
        <w:spacing w:line="267" w:lineRule="exact" w:before="57"/>
        <w:ind w:left="0" w:right="194" w:firstLine="0"/>
        <w:jc w:val="right"/>
        <w:rPr>
          <w:rFonts w:ascii="Calibri"/>
          <w:sz w:val="22"/>
        </w:rPr>
      </w:pPr>
      <w:r>
        <w:rPr>
          <w:rFonts w:ascii="Calibri"/>
          <w:sz w:val="22"/>
        </w:rPr>
        <w:t>38</w:t>
      </w:r>
    </w:p>
    <w:p>
      <w:pPr>
        <w:spacing w:before="0"/>
        <w:ind w:left="2623" w:right="2539" w:hanging="135"/>
        <w:jc w:val="left"/>
        <w:rPr>
          <w:sz w:val="18"/>
        </w:rPr>
      </w:pPr>
      <w:r>
        <w:rPr>
          <w:sz w:val="18"/>
        </w:rPr>
        <w:t>Estudio florístico del Parque Universitario “Las Orquídeas”, como base para la conservación y educación ambiental</w:t>
      </w:r>
    </w:p>
    <w:p>
      <w:pPr>
        <w:spacing w:after="0"/>
        <w:jc w:val="left"/>
        <w:rPr>
          <w:sz w:val="18"/>
        </w:rPr>
        <w:sectPr>
          <w:headerReference w:type="default" r:id="rId22"/>
          <w:footerReference w:type="default" r:id="rId23"/>
          <w:pgSz w:w="12240" w:h="15840"/>
          <w:pgMar w:header="0" w:footer="0" w:top="660" w:bottom="280" w:left="1280" w:right="1220"/>
        </w:sectPr>
      </w:pPr>
    </w:p>
    <w:p>
      <w:pPr>
        <w:spacing w:before="49"/>
        <w:ind w:left="0" w:right="122" w:firstLine="0"/>
        <w:jc w:val="right"/>
        <w:rPr>
          <w:sz w:val="16"/>
        </w:rPr>
      </w:pPr>
      <w:r>
        <w:rPr>
          <w:sz w:val="16"/>
        </w:rPr>
        <w:t>BIOL. CRISTINA BERENICE MONSALVO JIMÉNEZ</w:t>
      </w:r>
    </w:p>
    <w:p>
      <w:pPr>
        <w:pStyle w:val="BodyText"/>
        <w:rPr>
          <w:sz w:val="20"/>
        </w:rPr>
      </w:pPr>
    </w:p>
    <w:p>
      <w:pPr>
        <w:pStyle w:val="BodyText"/>
        <w:rPr>
          <w:sz w:val="20"/>
        </w:rPr>
      </w:pPr>
    </w:p>
    <w:p>
      <w:pPr>
        <w:pStyle w:val="BodyText"/>
        <w:rPr>
          <w:sz w:val="20"/>
        </w:rPr>
      </w:pPr>
    </w:p>
    <w:p>
      <w:pPr>
        <w:pStyle w:val="BodyText"/>
        <w:spacing w:before="11"/>
        <w:rPr>
          <w:sz w:val="20"/>
        </w:rPr>
      </w:pPr>
    </w:p>
    <w:p>
      <w:pPr>
        <w:spacing w:before="0"/>
        <w:ind w:left="3151" w:right="0" w:firstLine="0"/>
        <w:jc w:val="left"/>
        <w:rPr>
          <w:b/>
          <w:i/>
          <w:sz w:val="20"/>
        </w:rPr>
      </w:pPr>
      <w:r>
        <w:rPr/>
        <w:drawing>
          <wp:anchor distT="0" distB="0" distL="0" distR="0" allowOverlap="1" layoutInCell="1" locked="0" behindDoc="0" simplePos="0" relativeHeight="1192">
            <wp:simplePos x="0" y="0"/>
            <wp:positionH relativeFrom="page">
              <wp:posOffset>1609725</wp:posOffset>
            </wp:positionH>
            <wp:positionV relativeFrom="paragraph">
              <wp:posOffset>225169</wp:posOffset>
            </wp:positionV>
            <wp:extent cx="6791517" cy="5146071"/>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26" cstate="print"/>
                    <a:stretch>
                      <a:fillRect/>
                    </a:stretch>
                  </pic:blipFill>
                  <pic:spPr>
                    <a:xfrm>
                      <a:off x="0" y="0"/>
                      <a:ext cx="6791517" cy="5146071"/>
                    </a:xfrm>
                    <a:prstGeom prst="rect">
                      <a:avLst/>
                    </a:prstGeom>
                  </pic:spPr>
                </pic:pic>
              </a:graphicData>
            </a:graphic>
          </wp:anchor>
        </w:drawing>
      </w:r>
      <w:r>
        <w:rPr>
          <w:b/>
          <w:i/>
          <w:sz w:val="20"/>
        </w:rPr>
        <w:t>Figura 3. Mapa Topografico del parque Universitario.</w:t>
      </w:r>
    </w:p>
    <w:p>
      <w:pPr>
        <w:pStyle w:val="BodyText"/>
        <w:spacing w:before="4"/>
        <w:rPr>
          <w:b/>
          <w:i/>
          <w:sz w:val="7"/>
        </w:rPr>
      </w:pPr>
    </w:p>
    <w:p>
      <w:pPr>
        <w:spacing w:before="76"/>
        <w:ind w:left="1974" w:right="2942" w:firstLine="0"/>
        <w:jc w:val="center"/>
        <w:rPr>
          <w:b/>
          <w:i/>
          <w:sz w:val="20"/>
        </w:rPr>
      </w:pPr>
      <w:r>
        <w:rPr>
          <w:b/>
          <w:i/>
          <w:sz w:val="20"/>
        </w:rPr>
        <w:t>Fuente: Elaboración propia, a partir de información vectorial del INEGI (1987)</w:t>
      </w:r>
    </w:p>
    <w:p>
      <w:pPr>
        <w:spacing w:line="267" w:lineRule="exact" w:before="146"/>
        <w:ind w:left="0" w:right="114" w:firstLine="0"/>
        <w:jc w:val="right"/>
        <w:rPr>
          <w:rFonts w:ascii="Calibri"/>
          <w:sz w:val="22"/>
        </w:rPr>
      </w:pPr>
      <w:r>
        <w:rPr>
          <w:rFonts w:ascii="Calibri"/>
          <w:sz w:val="22"/>
        </w:rPr>
        <w:t>39</w:t>
      </w:r>
    </w:p>
    <w:p>
      <w:pPr>
        <w:spacing w:before="0"/>
        <w:ind w:left="3310" w:right="4277" w:firstLine="0"/>
        <w:jc w:val="center"/>
        <w:rPr>
          <w:sz w:val="18"/>
        </w:rPr>
      </w:pPr>
      <w:r>
        <w:rPr>
          <w:sz w:val="18"/>
        </w:rPr>
        <w:t>Estudio florístico del Parque Universitario “Las Orquídeas”, como base para la conservación y educación ambiental</w:t>
      </w:r>
    </w:p>
    <w:p>
      <w:pPr>
        <w:spacing w:after="0"/>
        <w:jc w:val="center"/>
        <w:rPr>
          <w:sz w:val="18"/>
        </w:rPr>
        <w:sectPr>
          <w:headerReference w:type="default" r:id="rId24"/>
          <w:footerReference w:type="default" r:id="rId25"/>
          <w:pgSz w:w="15840" w:h="12240" w:orient="landscape"/>
          <w:pgMar w:header="0" w:footer="0" w:top="660" w:bottom="280" w:left="2260" w:right="1300"/>
        </w:sectPr>
      </w:pPr>
    </w:p>
    <w:p>
      <w:pPr>
        <w:spacing w:before="49"/>
        <w:ind w:left="5778" w:right="78" w:firstLine="0"/>
        <w:jc w:val="left"/>
        <w:rPr>
          <w:sz w:val="16"/>
        </w:rPr>
      </w:pPr>
      <w:r>
        <w:rPr>
          <w:sz w:val="16"/>
        </w:rPr>
        <w:t>BIOL. CRISTINA BERENICE MONSALVO JIMÉNEZ</w:t>
      </w:r>
    </w:p>
    <w:p>
      <w:pPr>
        <w:pStyle w:val="BodyText"/>
        <w:rPr>
          <w:sz w:val="20"/>
        </w:rPr>
      </w:pPr>
    </w:p>
    <w:p>
      <w:pPr>
        <w:pStyle w:val="BodyText"/>
        <w:rPr>
          <w:sz w:val="20"/>
        </w:rPr>
      </w:pPr>
    </w:p>
    <w:p>
      <w:pPr>
        <w:pStyle w:val="BodyText"/>
        <w:rPr>
          <w:sz w:val="20"/>
        </w:rPr>
      </w:pPr>
    </w:p>
    <w:p>
      <w:pPr>
        <w:pStyle w:val="BodyText"/>
        <w:spacing w:before="4"/>
        <w:rPr>
          <w:sz w:val="21"/>
        </w:rPr>
      </w:pPr>
    </w:p>
    <w:p>
      <w:pPr>
        <w:pStyle w:val="BodyText"/>
        <w:spacing w:line="360" w:lineRule="auto"/>
        <w:ind w:left="116" w:right="114"/>
        <w:jc w:val="both"/>
      </w:pPr>
      <w:r>
        <w:rPr/>
        <w:t>Dicha topografía se debe a que la composición geológica que corresponde al segundo período eruptivo del volcán Xinantecatl o Nevado de Toluca, originándose en el momento en que fueron arrojadas rocas volcánicas (ígneas intrusivas y extrusivas) de tipo basáltico que datan del período cuaternario, generando el aumento del relieve del suelo, y a su vez formaciones rocosas, nuevos macizos y a la formación de mesetas, valles y depresiones (Figura 4) (Servicios técnicos forestales, 2006). Por eso se afirma que “en las capas de pizarras arcillosas de Temascaltepec, existen yacimientos de oro, plata y plomo, así como de minerales radiactivos”. Las rocas que forman el suelo, en efecto, sedimentarias (las pizarras arcillosas) e ígneas (granito, rhyolita, andesita, basalto y tobas volcánicas) (Borboa, 1999).</w:t>
      </w:r>
    </w:p>
    <w:p>
      <w:pPr>
        <w:pStyle w:val="BodyText"/>
      </w:pPr>
    </w:p>
    <w:p>
      <w:pPr>
        <w:pStyle w:val="BodyText"/>
        <w:spacing w:line="360" w:lineRule="auto" w:before="139"/>
        <w:ind w:left="116" w:right="112"/>
        <w:jc w:val="both"/>
      </w:pPr>
      <w:r>
        <w:rPr/>
        <w:t>El sustrato rocoso se observan al noroeste del parque (área natural) y al suroeste (orquídeario). Los materiales sedimentarios se observan en los límites con el Río Temascaltepec. En el parque se presentan deslaves de suelo y material rocoso que en ocasiones obstruye los senderos, debido a las lluvias torrenciales.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line="267" w:lineRule="exact" w:before="0"/>
        <w:ind w:left="0" w:right="114" w:firstLine="0"/>
        <w:jc w:val="right"/>
        <w:rPr>
          <w:rFonts w:ascii="Calibri"/>
          <w:sz w:val="22"/>
        </w:rPr>
      </w:pPr>
      <w:r>
        <w:rPr>
          <w:rFonts w:ascii="Calibri"/>
          <w:sz w:val="22"/>
        </w:rPr>
        <w:t>40</w:t>
      </w:r>
    </w:p>
    <w:p>
      <w:pPr>
        <w:spacing w:before="0"/>
        <w:ind w:left="2603" w:right="2459" w:hanging="135"/>
        <w:jc w:val="left"/>
        <w:rPr>
          <w:sz w:val="18"/>
        </w:rPr>
      </w:pPr>
      <w:r>
        <w:rPr>
          <w:sz w:val="18"/>
        </w:rPr>
        <w:t>Estudio florístico del Parque Universitario “Las Orquídeas”, como base para la conservación y educación ambiental</w:t>
      </w:r>
    </w:p>
    <w:p>
      <w:pPr>
        <w:spacing w:after="0"/>
        <w:jc w:val="left"/>
        <w:rPr>
          <w:sz w:val="18"/>
        </w:rPr>
        <w:sectPr>
          <w:headerReference w:type="default" r:id="rId27"/>
          <w:footerReference w:type="default" r:id="rId28"/>
          <w:pgSz w:w="12240" w:h="15840"/>
          <w:pgMar w:header="0" w:footer="0" w:top="660" w:bottom="280" w:left="1300" w:right="1300"/>
        </w:sectPr>
      </w:pPr>
    </w:p>
    <w:p>
      <w:pPr>
        <w:spacing w:before="49"/>
        <w:ind w:left="0" w:right="122" w:firstLine="0"/>
        <w:jc w:val="right"/>
        <w:rPr>
          <w:sz w:val="16"/>
        </w:rPr>
      </w:pPr>
      <w:r>
        <w:rPr>
          <w:sz w:val="16"/>
        </w:rPr>
        <w:t>BIOL. CRISTINA BERENICE MONSALVO JIMÉNEZ</w:t>
      </w:r>
    </w:p>
    <w:p>
      <w:pPr>
        <w:pStyle w:val="BodyText"/>
        <w:rPr>
          <w:sz w:val="20"/>
        </w:rPr>
      </w:pPr>
    </w:p>
    <w:p>
      <w:pPr>
        <w:pStyle w:val="BodyText"/>
        <w:rPr>
          <w:sz w:val="18"/>
        </w:rPr>
      </w:pPr>
    </w:p>
    <w:p>
      <w:pPr>
        <w:spacing w:before="76"/>
        <w:ind w:left="2712" w:right="0" w:firstLine="0"/>
        <w:jc w:val="left"/>
        <w:rPr>
          <w:b/>
          <w:i/>
          <w:sz w:val="20"/>
        </w:rPr>
      </w:pPr>
      <w:r>
        <w:rPr/>
        <w:drawing>
          <wp:anchor distT="0" distB="0" distL="0" distR="0" allowOverlap="1" layoutInCell="1" locked="0" behindDoc="0" simplePos="0" relativeHeight="1216">
            <wp:simplePos x="0" y="0"/>
            <wp:positionH relativeFrom="page">
              <wp:posOffset>1447800</wp:posOffset>
            </wp:positionH>
            <wp:positionV relativeFrom="paragraph">
              <wp:posOffset>274673</wp:posOffset>
            </wp:positionV>
            <wp:extent cx="7154363" cy="546735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31" cstate="print"/>
                    <a:stretch>
                      <a:fillRect/>
                    </a:stretch>
                  </pic:blipFill>
                  <pic:spPr>
                    <a:xfrm>
                      <a:off x="0" y="0"/>
                      <a:ext cx="7154363" cy="5467350"/>
                    </a:xfrm>
                    <a:prstGeom prst="rect">
                      <a:avLst/>
                    </a:prstGeom>
                  </pic:spPr>
                </pic:pic>
              </a:graphicData>
            </a:graphic>
          </wp:anchor>
        </w:drawing>
      </w:r>
      <w:r>
        <w:rPr>
          <w:b/>
          <w:i/>
          <w:sz w:val="20"/>
        </w:rPr>
        <w:t>Figura 4. Mapa de Geología presente en el parque Universitario.</w:t>
      </w:r>
    </w:p>
    <w:p>
      <w:pPr>
        <w:spacing w:before="99"/>
        <w:ind w:left="2025" w:right="2915" w:firstLine="0"/>
        <w:jc w:val="center"/>
        <w:rPr>
          <w:b/>
          <w:i/>
          <w:sz w:val="20"/>
        </w:rPr>
      </w:pPr>
      <w:r>
        <w:rPr>
          <w:b/>
          <w:i/>
          <w:sz w:val="20"/>
        </w:rPr>
        <w:t>Fuente: Elaboración propia, a partir de información vectorial del INEGI (1987).</w:t>
      </w:r>
    </w:p>
    <w:p>
      <w:pPr>
        <w:spacing w:line="267" w:lineRule="exact" w:before="117"/>
        <w:ind w:left="0" w:right="114" w:firstLine="0"/>
        <w:jc w:val="right"/>
        <w:rPr>
          <w:rFonts w:ascii="Calibri"/>
          <w:sz w:val="22"/>
        </w:rPr>
      </w:pPr>
      <w:r>
        <w:rPr>
          <w:rFonts w:ascii="Calibri"/>
          <w:sz w:val="22"/>
        </w:rPr>
        <w:t>41</w:t>
      </w:r>
    </w:p>
    <w:p>
      <w:pPr>
        <w:spacing w:before="0"/>
        <w:ind w:left="3369" w:right="4258" w:firstLine="0"/>
        <w:jc w:val="center"/>
        <w:rPr>
          <w:sz w:val="18"/>
        </w:rPr>
      </w:pPr>
      <w:r>
        <w:rPr>
          <w:sz w:val="18"/>
        </w:rPr>
        <w:t>Estudio florístico del Parque Universitario “Las Orquídeas”, como base para la conservación y educación ambiental</w:t>
      </w:r>
    </w:p>
    <w:p>
      <w:pPr>
        <w:spacing w:after="0"/>
        <w:jc w:val="center"/>
        <w:rPr>
          <w:sz w:val="18"/>
        </w:rPr>
        <w:sectPr>
          <w:headerReference w:type="default" r:id="rId29"/>
          <w:footerReference w:type="default" r:id="rId30"/>
          <w:pgSz w:w="15840" w:h="12240" w:orient="landscape"/>
          <w:pgMar w:header="0" w:footer="0" w:top="660" w:bottom="280" w:left="2180" w:right="1300"/>
        </w:sect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360" w:lineRule="auto" w:before="69"/>
        <w:ind w:left="116" w:right="116"/>
        <w:jc w:val="both"/>
      </w:pPr>
      <w:r>
        <w:rPr/>
        <w:t>Debido a su ubicación geográfica y a la topografía, el parque forma parte de la  Provincia Sierra Madre del Sur y de la Subprovincia Depresión del</w:t>
      </w:r>
      <w:r>
        <w:rPr>
          <w:spacing w:val="-19"/>
        </w:rPr>
        <w:t> </w:t>
      </w:r>
      <w:r>
        <w:rPr/>
        <w:t>Balsas.</w:t>
      </w:r>
    </w:p>
    <w:p>
      <w:pPr>
        <w:pStyle w:val="BodyText"/>
      </w:pPr>
    </w:p>
    <w:p>
      <w:pPr>
        <w:pStyle w:val="BodyText"/>
        <w:spacing w:line="360" w:lineRule="auto" w:before="139"/>
        <w:ind w:left="116" w:right="120"/>
        <w:jc w:val="both"/>
      </w:pPr>
      <w:r>
        <w:rPr/>
        <w:t>La Sierra Madre del Sur, está compuesta por rocas de diferente naturaleza geológica, donde existen rocas intrusivas cristalinas, especialmente de granitos y metamórficas. Limita al norte con el eje neovolcánico; al este con la Llanura Costera del Golfo Sur y la Llanura Costera Centroamericana del Pacífico y al sur con el Océano Pacífico. Dentro de la cuenca abarca el estado de Guerrero, Michoacán, México, Morelos y Oaxaca (Fernández </w:t>
      </w:r>
      <w:r>
        <w:rPr>
          <w:i/>
        </w:rPr>
        <w:t>et al., </w:t>
      </w:r>
      <w:r>
        <w:rPr/>
        <w:t>1998).</w:t>
      </w:r>
    </w:p>
    <w:p>
      <w:pPr>
        <w:pStyle w:val="BodyText"/>
      </w:pPr>
    </w:p>
    <w:p>
      <w:pPr>
        <w:pStyle w:val="BodyText"/>
        <w:spacing w:line="360" w:lineRule="auto" w:before="139"/>
        <w:ind w:left="116" w:right="119"/>
        <w:jc w:val="both"/>
      </w:pPr>
      <w:r>
        <w:rPr/>
        <w:t>Esta provincia debe gran parte de sus rasgos particulares a la placa de Cocos. Esta última emerge a la superficie litosférica en el Océano Pacífico, al suroeste y oeste de las costas mexicanas. Esta relación con seguridad ha determinado que algunos de los principales ejes estructurales de la provincia (depresión del Balsas, cordilleras  costeñas, línea de costa y otros) tengan una estricta orientación de este a oeste (Fernández </w:t>
      </w:r>
      <w:r>
        <w:rPr>
          <w:i/>
        </w:rPr>
        <w:t>et al.,</w:t>
      </w:r>
      <w:r>
        <w:rPr>
          <w:i/>
          <w:spacing w:val="-12"/>
        </w:rPr>
        <w:t> </w:t>
      </w:r>
      <w:r>
        <w:rPr/>
        <w:t>1998).</w:t>
      </w:r>
    </w:p>
    <w:p>
      <w:pPr>
        <w:pStyle w:val="BodyText"/>
      </w:pPr>
    </w:p>
    <w:p>
      <w:pPr>
        <w:pStyle w:val="BodyText"/>
        <w:spacing w:line="360" w:lineRule="auto" w:before="144"/>
        <w:ind w:left="116" w:right="116"/>
        <w:jc w:val="both"/>
      </w:pPr>
      <w:r>
        <w:rPr/>
        <w:t>La subprovincia fisiográfica de la Depresión del Balsas se caracteriza por tener varios tipos de vegetación, resultado principalmente de la variación climática que se da en relación al desnivel altitudinal, presentándose desde matorrales xerófilos y bosques tropicales, hasta bosques de encino y pino e incluso pastizales alpinos por arriba del límite de la vegetación arbórea. La gran diversidad de condiciones ambientales que se dan, así como sus relaciones con las provincias florísticas circundantes, pertenecientes a dos regiones fisiográficas distintas, le confieren una gran riqueza florística.</w:t>
      </w:r>
    </w:p>
    <w:p>
      <w:pPr>
        <w:pStyle w:val="BodyText"/>
      </w:pPr>
    </w:p>
    <w:p>
      <w:pPr>
        <w:pStyle w:val="BodyText"/>
        <w:spacing w:line="360" w:lineRule="auto" w:before="144"/>
        <w:ind w:left="116" w:right="121"/>
        <w:jc w:val="both"/>
      </w:pPr>
      <w:r>
        <w:rPr/>
        <w:t>Abarca porciones de los estados de Guerrero, México y Michoacán. De los sistemas de topoformas </w:t>
      </w:r>
      <w:r>
        <w:rPr>
          <w:spacing w:val="-3"/>
        </w:rPr>
        <w:t>más </w:t>
      </w:r>
      <w:r>
        <w:rPr/>
        <w:t>importantes que se presentan en esa subprovincia es el de la sierra con cañadas y mesetas, el lomerío, el valle de laderas tendidas con lomeríos y meseta lávica (Fernández </w:t>
      </w:r>
      <w:r>
        <w:rPr>
          <w:i/>
        </w:rPr>
        <w:t>et al.,</w:t>
      </w:r>
      <w:r>
        <w:rPr>
          <w:i/>
          <w:spacing w:val="-10"/>
        </w:rPr>
        <w:t> </w:t>
      </w:r>
      <w:r>
        <w:rPr/>
        <w:t>1998).</w:t>
      </w:r>
    </w:p>
    <w:p>
      <w:pPr>
        <w:spacing w:after="0" w:line="360" w:lineRule="auto"/>
        <w:jc w:val="both"/>
        <w:sectPr>
          <w:headerReference w:type="default" r:id="rId32"/>
          <w:footerReference w:type="default" r:id="rId33"/>
          <w:pgSz w:w="12240" w:h="15840"/>
          <w:pgMar w:header="690" w:footer="1146" w:top="880" w:bottom="1340" w:left="1300" w:right="1300"/>
          <w:pgNumType w:start="42"/>
        </w:sectPr>
      </w:pPr>
    </w:p>
    <w:p>
      <w:pPr>
        <w:pStyle w:val="BodyText"/>
        <w:rPr>
          <w:sz w:val="20"/>
        </w:rPr>
      </w:pPr>
    </w:p>
    <w:p>
      <w:pPr>
        <w:pStyle w:val="BodyText"/>
        <w:spacing w:before="11"/>
        <w:rPr>
          <w:sz w:val="18"/>
        </w:rPr>
      </w:pPr>
    </w:p>
    <w:p>
      <w:pPr>
        <w:pStyle w:val="Heading2"/>
        <w:spacing w:before="69"/>
      </w:pPr>
      <w:r>
        <w:rPr/>
        <w:t>Clima</w:t>
      </w:r>
    </w:p>
    <w:p>
      <w:pPr>
        <w:pStyle w:val="BodyText"/>
        <w:rPr>
          <w:b/>
        </w:rPr>
      </w:pPr>
    </w:p>
    <w:p>
      <w:pPr>
        <w:pStyle w:val="BodyText"/>
        <w:spacing w:before="7"/>
        <w:rPr>
          <w:b/>
        </w:rPr>
      </w:pPr>
    </w:p>
    <w:p>
      <w:pPr>
        <w:pStyle w:val="BodyText"/>
        <w:spacing w:line="360" w:lineRule="auto" w:before="1"/>
        <w:ind w:left="116" w:right="113"/>
        <w:jc w:val="both"/>
      </w:pPr>
      <w:r>
        <w:rPr/>
        <w:t>El climograma (Figura 5) se realizó con los datos de las normales climatológicas del Servicio Meteorológico Nacional, periodo comprendido: 1981 – 2010, de la estación: 00015118 Temascaltepec, altura 1, 882 msnm (Latitud 19º 03’ 29’’ N, Longitud 100º  03’</w:t>
      </w:r>
    </w:p>
    <w:p>
      <w:pPr>
        <w:pStyle w:val="BodyText"/>
        <w:spacing w:before="7"/>
        <w:ind w:left="116"/>
        <w:jc w:val="both"/>
      </w:pPr>
      <w:r>
        <w:rPr/>
        <w:t>11’’ W) (SMN, 2010).</w:t>
      </w:r>
    </w:p>
    <w:p>
      <w:pPr>
        <w:pStyle w:val="BodyText"/>
      </w:pPr>
    </w:p>
    <w:p>
      <w:pPr>
        <w:pStyle w:val="BodyText"/>
        <w:spacing w:before="9"/>
        <w:rPr>
          <w:sz w:val="23"/>
        </w:rPr>
      </w:pPr>
    </w:p>
    <w:p>
      <w:pPr>
        <w:pStyle w:val="BodyText"/>
        <w:spacing w:line="360" w:lineRule="auto"/>
        <w:ind w:left="116" w:right="112"/>
        <w:jc w:val="both"/>
      </w:pPr>
      <w:r>
        <w:rPr/>
        <w:t>El tipo de clima de acuerdo a la clasificación climática de Köppen, modificado por E. García (1987) es A (C) Semicálido con predominancia cálido y características del templado, como se observa en la figura 5, con lluvias en verano, donde precipita el 94% del total anual, temperatura media anual de 17.9 ºC, enero es el mes más frío con   15.3</w:t>
      </w:r>
    </w:p>
    <w:p>
      <w:pPr>
        <w:pStyle w:val="BodyText"/>
        <w:spacing w:line="360" w:lineRule="auto" w:before="2"/>
        <w:ind w:left="116" w:right="129"/>
        <w:jc w:val="both"/>
      </w:pPr>
      <w:r>
        <w:rPr/>
        <w:t>ºC y mayo el </w:t>
      </w:r>
      <w:r>
        <w:rPr>
          <w:spacing w:val="-3"/>
        </w:rPr>
        <w:t>más </w:t>
      </w:r>
      <w:r>
        <w:rPr/>
        <w:t>cálido con 19.6 ºC, precipitación pluvial media anual de 1159.7 </w:t>
      </w:r>
      <w:r>
        <w:rPr>
          <w:spacing w:val="-3"/>
        </w:rPr>
        <w:t>mm,  </w:t>
      </w:r>
      <w:r>
        <w:rPr/>
        <w:t>el periodo de lluvia comienza en mayo y termina en</w:t>
      </w:r>
      <w:r>
        <w:rPr>
          <w:spacing w:val="-19"/>
        </w:rPr>
        <w:t> </w:t>
      </w:r>
      <w:r>
        <w:rPr/>
        <w:t>octubre.</w:t>
      </w:r>
    </w:p>
    <w:p>
      <w:pPr>
        <w:pStyle w:val="BodyText"/>
      </w:pPr>
    </w:p>
    <w:p>
      <w:pPr>
        <w:spacing w:before="139"/>
        <w:ind w:left="130" w:right="130" w:firstLine="0"/>
        <w:jc w:val="center"/>
        <w:rPr>
          <w:b/>
          <w:i/>
          <w:sz w:val="20"/>
        </w:rPr>
      </w:pPr>
      <w:r>
        <w:rPr/>
        <w:drawing>
          <wp:anchor distT="0" distB="0" distL="0" distR="0" allowOverlap="1" layoutInCell="1" locked="0" behindDoc="0" simplePos="0" relativeHeight="1240">
            <wp:simplePos x="0" y="0"/>
            <wp:positionH relativeFrom="page">
              <wp:posOffset>904875</wp:posOffset>
            </wp:positionH>
            <wp:positionV relativeFrom="paragraph">
              <wp:posOffset>312545</wp:posOffset>
            </wp:positionV>
            <wp:extent cx="5985073" cy="3994213"/>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4" cstate="print"/>
                    <a:stretch>
                      <a:fillRect/>
                    </a:stretch>
                  </pic:blipFill>
                  <pic:spPr>
                    <a:xfrm>
                      <a:off x="0" y="0"/>
                      <a:ext cx="5985073" cy="3994213"/>
                    </a:xfrm>
                    <a:prstGeom prst="rect">
                      <a:avLst/>
                    </a:prstGeom>
                  </pic:spPr>
                </pic:pic>
              </a:graphicData>
            </a:graphic>
          </wp:anchor>
        </w:drawing>
      </w:r>
      <w:r>
        <w:rPr>
          <w:b/>
          <w:i/>
          <w:sz w:val="20"/>
        </w:rPr>
        <w:t>Figura 5. Climograma de la estación Temascaltepec entre los años 1981 - 2010</w:t>
      </w:r>
    </w:p>
    <w:p>
      <w:pPr>
        <w:spacing w:before="78"/>
        <w:ind w:left="129" w:right="130" w:firstLine="0"/>
        <w:jc w:val="center"/>
        <w:rPr>
          <w:b/>
          <w:i/>
          <w:sz w:val="20"/>
        </w:rPr>
      </w:pPr>
      <w:r>
        <w:rPr>
          <w:b/>
          <w:i/>
          <w:sz w:val="20"/>
        </w:rPr>
        <w:t>Fuente: Elaboración propia a partir de los datos del SMN, 2010.</w:t>
      </w:r>
    </w:p>
    <w:p>
      <w:pPr>
        <w:spacing w:after="0"/>
        <w:jc w:val="center"/>
        <w:rPr>
          <w:sz w:val="20"/>
        </w:rPr>
        <w:sectPr>
          <w:pgSz w:w="12240" w:h="15840"/>
          <w:pgMar w:header="690" w:footer="1146" w:top="880" w:bottom="1340" w:left="1300" w:right="1300"/>
        </w:sectPr>
      </w:pPr>
    </w:p>
    <w:p>
      <w:pPr>
        <w:pStyle w:val="BodyText"/>
        <w:rPr>
          <w:b/>
          <w:i/>
          <w:sz w:val="20"/>
        </w:rPr>
      </w:pPr>
    </w:p>
    <w:p>
      <w:pPr>
        <w:pStyle w:val="BodyText"/>
        <w:rPr>
          <w:b/>
          <w:i/>
          <w:sz w:val="20"/>
        </w:rPr>
      </w:pPr>
    </w:p>
    <w:p>
      <w:pPr>
        <w:pStyle w:val="BodyText"/>
        <w:rPr>
          <w:b/>
          <w:i/>
          <w:sz w:val="20"/>
        </w:rPr>
      </w:pPr>
    </w:p>
    <w:p>
      <w:pPr>
        <w:pStyle w:val="BodyText"/>
        <w:spacing w:before="3"/>
        <w:rPr>
          <w:b/>
          <w:i/>
          <w:sz w:val="21"/>
        </w:rPr>
      </w:pPr>
    </w:p>
    <w:p>
      <w:pPr>
        <w:pStyle w:val="Heading2"/>
        <w:spacing w:before="1"/>
      </w:pPr>
      <w:r>
        <w:rPr/>
        <w:t>Hidrología</w:t>
      </w:r>
    </w:p>
    <w:p>
      <w:pPr>
        <w:pStyle w:val="BodyText"/>
        <w:rPr>
          <w:b/>
        </w:rPr>
      </w:pPr>
    </w:p>
    <w:p>
      <w:pPr>
        <w:pStyle w:val="BodyText"/>
        <w:spacing w:before="3"/>
        <w:rPr>
          <w:b/>
        </w:rPr>
      </w:pPr>
    </w:p>
    <w:p>
      <w:pPr>
        <w:pStyle w:val="BodyText"/>
        <w:spacing w:line="360" w:lineRule="auto"/>
        <w:ind w:left="116" w:right="115"/>
        <w:jc w:val="both"/>
      </w:pPr>
      <w:r>
        <w:rPr/>
        <w:t>El parque colinda, en la parte sur con el río Temascaltepec de cauce permanente y circulación de este a oeste (pertenece a la subcuenca del </w:t>
      </w:r>
      <w:r>
        <w:rPr>
          <w:spacing w:val="-3"/>
        </w:rPr>
        <w:t>mismo </w:t>
      </w:r>
      <w:r>
        <w:rPr/>
        <w:t>nombre) (Figura 5), se origina por la unión de dos corrientes, una, el Río Vado, que se forma en la serranía de Temascaltepec, al norte del pueblo de Tequesquipan, y la otra, el Río Verde, que cruza San Mateo Almomoloa. El Río Temascaltepec se une al Río Cutzamala, uno de los principales afluentes del Río Balsas (Luna, 1988). </w:t>
      </w:r>
      <w:r>
        <w:rPr>
          <w:color w:val="18171C"/>
          <w:spacing w:val="-4"/>
        </w:rPr>
        <w:t>El </w:t>
      </w:r>
      <w:r>
        <w:rPr>
          <w:color w:val="18171C"/>
        </w:rPr>
        <w:t>río Godínez nace en el paraje de este nombre, después de recibir las aguas de los manantiales de La Albarrada y Telpintla, </w:t>
      </w:r>
      <w:r>
        <w:rPr>
          <w:color w:val="18171C"/>
          <w:spacing w:val="-4"/>
        </w:rPr>
        <w:t>toma</w:t>
      </w:r>
      <w:r>
        <w:rPr>
          <w:color w:val="18171C"/>
          <w:spacing w:val="58"/>
        </w:rPr>
        <w:t> </w:t>
      </w:r>
      <w:r>
        <w:rPr>
          <w:color w:val="18171C"/>
        </w:rPr>
        <w:t>el nombre de Telpintla, para desembocar finalmente, en el río Temascaltepec en el sitio conocido como Las Juntas (Borboa, 1999).</w:t>
      </w:r>
    </w:p>
    <w:p>
      <w:pPr>
        <w:pStyle w:val="BodyText"/>
      </w:pPr>
    </w:p>
    <w:p>
      <w:pPr>
        <w:pStyle w:val="BodyText"/>
        <w:spacing w:line="360" w:lineRule="auto" w:before="144"/>
        <w:ind w:left="116" w:right="126"/>
        <w:jc w:val="both"/>
      </w:pPr>
      <w:r>
        <w:rPr>
          <w:color w:val="18171C"/>
        </w:rPr>
        <w:t>La contaminación a este río se genera por los desechos de la posta zootécnica (principalmente estiércol, orina, productos químicos de limpieza, entre otros), debido a que son arrastrados por la pendiente, depositados en primera instancia sobre el sendero y posteriormente por la acción del agua (en época de lluvias) se precipitan hacia el Río</w:t>
      </w:r>
      <w:r>
        <w:rPr>
          <w:color w:val="18171C"/>
          <w:spacing w:val="-5"/>
        </w:rPr>
        <w:t> </w:t>
      </w:r>
      <w:r>
        <w:rPr>
          <w:color w:val="18171C"/>
        </w:rPr>
        <w:t>Temascaltepec.</w:t>
      </w:r>
    </w:p>
    <w:p>
      <w:pPr>
        <w:spacing w:after="0" w:line="360" w:lineRule="auto"/>
        <w:jc w:val="both"/>
        <w:sectPr>
          <w:pgSz w:w="12240" w:h="15840"/>
          <w:pgMar w:header="690" w:footer="1146" w:top="880" w:bottom="1340" w:left="1300" w:right="1300"/>
        </w:sectPr>
      </w:pPr>
    </w:p>
    <w:p>
      <w:pPr>
        <w:spacing w:before="49"/>
        <w:ind w:left="0" w:right="120" w:firstLine="0"/>
        <w:jc w:val="right"/>
        <w:rPr>
          <w:sz w:val="16"/>
        </w:rPr>
      </w:pPr>
      <w:r>
        <w:rPr>
          <w:sz w:val="16"/>
        </w:rPr>
        <w:t>BIOL. CRISTINA BERENICE MONSALVO JIMÉNEZ</w:t>
      </w:r>
    </w:p>
    <w:p>
      <w:pPr>
        <w:pStyle w:val="BodyText"/>
        <w:rPr>
          <w:sz w:val="20"/>
        </w:rPr>
      </w:pPr>
    </w:p>
    <w:p>
      <w:pPr>
        <w:pStyle w:val="BodyText"/>
        <w:rPr>
          <w:sz w:val="18"/>
        </w:rPr>
      </w:pPr>
    </w:p>
    <w:p>
      <w:pPr>
        <w:spacing w:before="76"/>
        <w:ind w:left="3346" w:right="0" w:firstLine="0"/>
        <w:jc w:val="left"/>
        <w:rPr>
          <w:b/>
          <w:i/>
          <w:sz w:val="20"/>
        </w:rPr>
      </w:pPr>
      <w:r>
        <w:rPr/>
        <w:drawing>
          <wp:anchor distT="0" distB="0" distL="0" distR="0" allowOverlap="1" layoutInCell="1" locked="0" behindDoc="0" simplePos="0" relativeHeight="1264">
            <wp:simplePos x="0" y="0"/>
            <wp:positionH relativeFrom="page">
              <wp:posOffset>1152525</wp:posOffset>
            </wp:positionH>
            <wp:positionV relativeFrom="paragraph">
              <wp:posOffset>274699</wp:posOffset>
            </wp:positionV>
            <wp:extent cx="7688281" cy="5153310"/>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7" cstate="print"/>
                    <a:stretch>
                      <a:fillRect/>
                    </a:stretch>
                  </pic:blipFill>
                  <pic:spPr>
                    <a:xfrm>
                      <a:off x="0" y="0"/>
                      <a:ext cx="7688281" cy="5153310"/>
                    </a:xfrm>
                    <a:prstGeom prst="rect">
                      <a:avLst/>
                    </a:prstGeom>
                  </pic:spPr>
                </pic:pic>
              </a:graphicData>
            </a:graphic>
          </wp:anchor>
        </w:drawing>
      </w:r>
      <w:r>
        <w:rPr>
          <w:b/>
          <w:i/>
          <w:sz w:val="20"/>
        </w:rPr>
        <w:t>Figura 5. Mapa Hidrológico del municipio de Temascaltepec.</w:t>
      </w:r>
    </w:p>
    <w:p>
      <w:pPr>
        <w:pStyle w:val="BodyText"/>
        <w:rPr>
          <w:b/>
          <w:i/>
          <w:sz w:val="20"/>
        </w:rPr>
      </w:pPr>
    </w:p>
    <w:p>
      <w:pPr>
        <w:pStyle w:val="BodyText"/>
        <w:rPr>
          <w:b/>
          <w:i/>
          <w:sz w:val="25"/>
        </w:rPr>
      </w:pPr>
    </w:p>
    <w:p>
      <w:pPr>
        <w:spacing w:before="76"/>
        <w:ind w:left="3086" w:right="3489" w:firstLine="0"/>
        <w:jc w:val="center"/>
        <w:rPr>
          <w:b/>
          <w:i/>
          <w:sz w:val="20"/>
        </w:rPr>
      </w:pPr>
      <w:r>
        <w:rPr>
          <w:b/>
          <w:i/>
          <w:sz w:val="20"/>
        </w:rPr>
        <w:t>Fuente: Cuaderno Estadístico Municipal de Temascaltepec (2006)</w:t>
      </w:r>
    </w:p>
    <w:p>
      <w:pPr>
        <w:spacing w:line="267" w:lineRule="exact" w:before="117"/>
        <w:ind w:left="0" w:right="114" w:firstLine="0"/>
        <w:jc w:val="right"/>
        <w:rPr>
          <w:rFonts w:ascii="Calibri"/>
          <w:sz w:val="22"/>
        </w:rPr>
      </w:pPr>
      <w:r>
        <w:rPr>
          <w:rFonts w:ascii="Calibri"/>
          <w:sz w:val="22"/>
        </w:rPr>
        <w:t>45</w:t>
      </w:r>
    </w:p>
    <w:p>
      <w:pPr>
        <w:spacing w:before="0"/>
        <w:ind w:left="3849" w:right="4258" w:firstLine="0"/>
        <w:jc w:val="center"/>
        <w:rPr>
          <w:sz w:val="18"/>
        </w:rPr>
      </w:pPr>
      <w:r>
        <w:rPr>
          <w:sz w:val="18"/>
        </w:rPr>
        <w:t>Estudio florístico del Parque Universitario “Las Orquídeas”, como base para la conservación y educación ambiental</w:t>
      </w:r>
    </w:p>
    <w:p>
      <w:pPr>
        <w:spacing w:after="0"/>
        <w:jc w:val="center"/>
        <w:rPr>
          <w:sz w:val="18"/>
        </w:rPr>
        <w:sectPr>
          <w:headerReference w:type="default" r:id="rId35"/>
          <w:footerReference w:type="default" r:id="rId36"/>
          <w:pgSz w:w="15840" w:h="12240" w:orient="landscape"/>
          <w:pgMar w:header="0" w:footer="0" w:top="660" w:bottom="280" w:left="1700" w:right="1300"/>
        </w:sectPr>
      </w:pPr>
    </w:p>
    <w:p>
      <w:pPr>
        <w:pStyle w:val="BodyText"/>
        <w:rPr>
          <w:sz w:val="20"/>
        </w:rPr>
      </w:pPr>
    </w:p>
    <w:p>
      <w:pPr>
        <w:pStyle w:val="BodyText"/>
        <w:rPr>
          <w:sz w:val="20"/>
        </w:rPr>
      </w:pPr>
    </w:p>
    <w:p>
      <w:pPr>
        <w:pStyle w:val="BodyText"/>
        <w:rPr>
          <w:sz w:val="20"/>
        </w:rPr>
      </w:pPr>
    </w:p>
    <w:p>
      <w:pPr>
        <w:pStyle w:val="BodyText"/>
        <w:spacing w:before="11"/>
        <w:rPr>
          <w:sz w:val="21"/>
        </w:rPr>
      </w:pPr>
    </w:p>
    <w:p>
      <w:pPr>
        <w:pStyle w:val="Heading2"/>
        <w:spacing w:before="69"/>
      </w:pPr>
      <w:r>
        <w:rPr/>
        <w:t>Suelo</w:t>
      </w:r>
    </w:p>
    <w:p>
      <w:pPr>
        <w:pStyle w:val="BodyText"/>
        <w:spacing w:line="360" w:lineRule="auto" w:before="142"/>
        <w:ind w:left="116" w:right="113"/>
        <w:jc w:val="both"/>
      </w:pPr>
      <w:r>
        <w:rPr/>
        <w:t>El tipo de suelo característico en el parque de acuerdo a la información obtenida de la Carta E14A46, Valle de Bravo, escala 1:50 000, editada por el Instituto Nacional de Estadística Geografía e informática (INEGI), corresponde a un tipo de suelo Ao+Re/2 perteneciente a acrisol + regosol con clase de textura media en 30 cm superficiales de suelo, el cual se distingue por ser ácido, característico de zonas montañosas de origen volcánico en virtud de su relación con las condiciones geológicas de la región.</w:t>
      </w:r>
    </w:p>
    <w:p>
      <w:pPr>
        <w:pStyle w:val="BodyText"/>
      </w:pPr>
    </w:p>
    <w:p>
      <w:pPr>
        <w:pStyle w:val="BodyText"/>
        <w:spacing w:line="360" w:lineRule="auto" w:before="145"/>
        <w:ind w:left="116" w:right="111"/>
        <w:jc w:val="both"/>
      </w:pPr>
      <w:r>
        <w:rPr/>
        <w:t>El suelo es color amarillo claro, pobre en elementos nutritivos, susceptible a los procesos erosivos que debido al arrastre y sedimentación son arcillosos en las partes bajas. La interacción de las condiciones geológicas, edafológicas, topográficas y climáticas en el parque favorecen la existencia de bosques templados con diversas especies vegetales cuya forma biología es: herbácea, arbustiva y arbórea (Cervantes y Jardón, 2007).</w:t>
      </w:r>
    </w:p>
    <w:p>
      <w:pPr>
        <w:pStyle w:val="BodyText"/>
      </w:pPr>
    </w:p>
    <w:p>
      <w:pPr>
        <w:pStyle w:val="BodyText"/>
        <w:spacing w:before="6"/>
        <w:rPr>
          <w:sz w:val="20"/>
        </w:rPr>
      </w:pPr>
    </w:p>
    <w:p>
      <w:pPr>
        <w:pStyle w:val="ListParagraph"/>
        <w:numPr>
          <w:ilvl w:val="2"/>
          <w:numId w:val="12"/>
        </w:numPr>
        <w:tabs>
          <w:tab w:pos="828" w:val="left" w:leader="none"/>
        </w:tabs>
        <w:spacing w:line="240" w:lineRule="auto" w:before="0" w:after="0"/>
        <w:ind w:left="827" w:right="0" w:hanging="653"/>
        <w:jc w:val="both"/>
        <w:rPr>
          <w:i/>
          <w:sz w:val="24"/>
        </w:rPr>
      </w:pPr>
      <w:r>
        <w:rPr>
          <w:i/>
          <w:sz w:val="24"/>
        </w:rPr>
        <w:t>Aspectos</w:t>
      </w:r>
      <w:r>
        <w:rPr>
          <w:i/>
          <w:spacing w:val="-12"/>
          <w:sz w:val="24"/>
        </w:rPr>
        <w:t> </w:t>
      </w:r>
      <w:r>
        <w:rPr>
          <w:i/>
          <w:sz w:val="24"/>
        </w:rPr>
        <w:t>bióticos</w:t>
      </w:r>
    </w:p>
    <w:p>
      <w:pPr>
        <w:pStyle w:val="BodyText"/>
        <w:rPr>
          <w:i/>
        </w:rPr>
      </w:pPr>
    </w:p>
    <w:p>
      <w:pPr>
        <w:pStyle w:val="BodyText"/>
        <w:spacing w:before="9"/>
        <w:rPr>
          <w:i/>
          <w:sz w:val="23"/>
        </w:rPr>
      </w:pPr>
    </w:p>
    <w:p>
      <w:pPr>
        <w:pStyle w:val="Heading2"/>
      </w:pPr>
      <w:r>
        <w:rPr/>
        <w:t>Vegetación</w:t>
      </w:r>
    </w:p>
    <w:p>
      <w:pPr>
        <w:pStyle w:val="BodyText"/>
        <w:spacing w:line="360" w:lineRule="auto" w:before="141"/>
        <w:ind w:left="116" w:right="111"/>
        <w:jc w:val="both"/>
      </w:pPr>
      <w:r>
        <w:rPr/>
        <w:t>Las especies de flora presentes en el parque, constituyen básicamente tres formas biológicas, de acuerdo a la clasificación propuesta por Rzedowski (2006): hierbas, árboles y arbustos. Existen especies características del bosque mesófilo de montaña, bosque tropical caducifolio, bosque mixto (encino-pino), bosque de galería y vegetación secundaria. De acuerdo a las actividades académicas del CU Temascaltepec, se introdujeron plantas con intereses: medicinal, cultural, educativo y económico.</w:t>
      </w:r>
    </w:p>
    <w:p>
      <w:pPr>
        <w:pStyle w:val="BodyText"/>
      </w:pPr>
    </w:p>
    <w:p>
      <w:pPr>
        <w:pStyle w:val="BodyText"/>
        <w:spacing w:line="360" w:lineRule="auto" w:before="144"/>
        <w:ind w:left="116" w:right="111"/>
        <w:jc w:val="both"/>
      </w:pPr>
      <w:r>
        <w:rPr/>
        <w:t>El estudio preliminar realizado por Valdez (2003) enlista 86 especies silvestres, 75 géneros y 41 familias (Cuadro 4), representada principalmente por las familias: Asteraceae, Poaceae, Apiaceae, Rubiaceae, Liliaceae y Fabaceae.</w:t>
      </w:r>
    </w:p>
    <w:p>
      <w:pPr>
        <w:spacing w:after="0" w:line="360" w:lineRule="auto"/>
        <w:jc w:val="both"/>
        <w:sectPr>
          <w:headerReference w:type="default" r:id="rId38"/>
          <w:footerReference w:type="default" r:id="rId39"/>
          <w:pgSz w:w="12240" w:h="15840"/>
          <w:pgMar w:header="690" w:footer="1146" w:top="880" w:bottom="1340" w:left="1300" w:right="1300"/>
          <w:pgNumType w:start="46"/>
        </w:sectPr>
      </w:pPr>
    </w:p>
    <w:p>
      <w:pPr>
        <w:pStyle w:val="BodyText"/>
        <w:rPr>
          <w:sz w:val="20"/>
        </w:rPr>
      </w:pPr>
    </w:p>
    <w:p>
      <w:pPr>
        <w:pStyle w:val="BodyText"/>
        <w:rPr>
          <w:sz w:val="20"/>
        </w:rPr>
      </w:pPr>
    </w:p>
    <w:p>
      <w:pPr>
        <w:pStyle w:val="BodyText"/>
        <w:rPr>
          <w:sz w:val="20"/>
        </w:rPr>
      </w:pPr>
    </w:p>
    <w:p>
      <w:pPr>
        <w:pStyle w:val="BodyText"/>
        <w:spacing w:before="1"/>
        <w:rPr>
          <w:sz w:val="22"/>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199"/>
        <w:gridCol w:w="4538"/>
        <w:gridCol w:w="2891"/>
      </w:tblGrid>
      <w:tr>
        <w:trPr>
          <w:trHeight w:val="389" w:hRule="exact"/>
        </w:trPr>
        <w:tc>
          <w:tcPr>
            <w:tcW w:w="9628" w:type="dxa"/>
            <w:gridSpan w:val="3"/>
            <w:tcBorders>
              <w:bottom w:val="thinThickMediumGap" w:sz="12" w:space="0" w:color="000000"/>
              <w:right w:val="thinThickMediumGap" w:sz="12" w:space="0" w:color="000000"/>
            </w:tcBorders>
          </w:tcPr>
          <w:p>
            <w:pPr>
              <w:pStyle w:val="TableParagraph"/>
              <w:spacing w:line="220" w:lineRule="exact"/>
              <w:ind w:left="926"/>
              <w:rPr>
                <w:b/>
                <w:i/>
                <w:sz w:val="20"/>
              </w:rPr>
            </w:pPr>
            <w:r>
              <w:rPr>
                <w:b/>
                <w:i/>
                <w:sz w:val="20"/>
              </w:rPr>
              <w:t>Cuadro 4. Listado preliminar de la flora del Parque Universitario “Las Orquídeas”</w:t>
            </w:r>
          </w:p>
        </w:tc>
      </w:tr>
      <w:tr>
        <w:trPr>
          <w:trHeight w:val="439" w:hRule="exact"/>
        </w:trPr>
        <w:tc>
          <w:tcPr>
            <w:tcW w:w="2199" w:type="dxa"/>
            <w:tcBorders>
              <w:top w:val="thickThinMediumGap" w:sz="12" w:space="0" w:color="000000"/>
              <w:bottom w:val="thinThickMediumGap" w:sz="12" w:space="0" w:color="000000"/>
              <w:right w:val="thinThickMediumGap" w:sz="12" w:space="0" w:color="000000"/>
            </w:tcBorders>
            <w:shd w:val="clear" w:color="auto" w:fill="D9D9D9"/>
          </w:tcPr>
          <w:p>
            <w:pPr>
              <w:pStyle w:val="TableParagraph"/>
              <w:spacing w:before="14"/>
              <w:ind w:left="691"/>
              <w:rPr>
                <w:b/>
                <w:sz w:val="22"/>
              </w:rPr>
            </w:pPr>
            <w:r>
              <w:rPr>
                <w:b/>
                <w:sz w:val="22"/>
              </w:rPr>
              <w:t>Familia</w:t>
            </w:r>
          </w:p>
        </w:tc>
        <w:tc>
          <w:tcPr>
            <w:tcW w:w="4538" w:type="dxa"/>
            <w:tcBorders>
              <w:top w:val="thickThinMediumGap" w:sz="12" w:space="0" w:color="000000"/>
              <w:bottom w:val="thinThickMediumGap" w:sz="12" w:space="0" w:color="000000"/>
              <w:right w:val="thinThickMediumGap" w:sz="12" w:space="0" w:color="000000"/>
            </w:tcBorders>
            <w:shd w:val="clear" w:color="auto" w:fill="D9D9D9"/>
          </w:tcPr>
          <w:p>
            <w:pPr>
              <w:pStyle w:val="TableParagraph"/>
              <w:spacing w:before="14"/>
              <w:ind w:left="1310"/>
              <w:rPr>
                <w:b/>
                <w:sz w:val="22"/>
              </w:rPr>
            </w:pPr>
            <w:r>
              <w:rPr>
                <w:b/>
                <w:sz w:val="22"/>
              </w:rPr>
              <w:t>Nombre científico</w:t>
            </w:r>
          </w:p>
        </w:tc>
        <w:tc>
          <w:tcPr>
            <w:tcW w:w="2891" w:type="dxa"/>
            <w:tcBorders>
              <w:top w:val="thickThinMediumGap" w:sz="12" w:space="0" w:color="000000"/>
              <w:left w:val="thickThinMediumGap" w:sz="12" w:space="0" w:color="000000"/>
              <w:bottom w:val="thinThickMediumGap" w:sz="12" w:space="0" w:color="000000"/>
              <w:right w:val="thinThickMediumGap" w:sz="12" w:space="0" w:color="000000"/>
            </w:tcBorders>
            <w:shd w:val="clear" w:color="auto" w:fill="D9D9D9"/>
          </w:tcPr>
          <w:p>
            <w:pPr>
              <w:pStyle w:val="TableParagraph"/>
              <w:spacing w:before="14"/>
              <w:ind w:left="546" w:right="547"/>
              <w:jc w:val="center"/>
              <w:rPr>
                <w:b/>
                <w:sz w:val="22"/>
              </w:rPr>
            </w:pPr>
            <w:r>
              <w:rPr>
                <w:b/>
                <w:sz w:val="22"/>
              </w:rPr>
              <w:t>Forma biológica</w:t>
            </w:r>
          </w:p>
        </w:tc>
      </w:tr>
      <w:tr>
        <w:trPr>
          <w:trHeight w:val="439" w:hRule="exact"/>
        </w:trPr>
        <w:tc>
          <w:tcPr>
            <w:tcW w:w="2199" w:type="dxa"/>
            <w:tcBorders>
              <w:top w:val="thickThinMediumGap" w:sz="12" w:space="0" w:color="000000"/>
              <w:bottom w:val="thinThickMediumGap" w:sz="12" w:space="0" w:color="000000"/>
              <w:right w:val="thinThickMediumGap" w:sz="12" w:space="0" w:color="000000"/>
            </w:tcBorders>
          </w:tcPr>
          <w:p>
            <w:pPr>
              <w:pStyle w:val="TableParagraph"/>
              <w:spacing w:before="14"/>
              <w:ind w:left="81"/>
              <w:rPr>
                <w:sz w:val="22"/>
              </w:rPr>
            </w:pPr>
            <w:r>
              <w:rPr>
                <w:sz w:val="22"/>
              </w:rPr>
              <w:t>Polypodiaceae</w:t>
            </w:r>
          </w:p>
        </w:tc>
        <w:tc>
          <w:tcPr>
            <w:tcW w:w="4538" w:type="dxa"/>
            <w:tcBorders>
              <w:top w:val="thickThinMediumGap" w:sz="12" w:space="0" w:color="000000"/>
              <w:bottom w:val="thinThickMediumGap" w:sz="12" w:space="0" w:color="000000"/>
              <w:right w:val="thinThickMediumGap" w:sz="12" w:space="0" w:color="000000"/>
            </w:tcBorders>
          </w:tcPr>
          <w:p>
            <w:pPr>
              <w:pStyle w:val="TableParagraph"/>
              <w:spacing w:before="9"/>
              <w:ind w:left="81"/>
              <w:rPr>
                <w:sz w:val="22"/>
              </w:rPr>
            </w:pPr>
            <w:r>
              <w:rPr>
                <w:i/>
                <w:sz w:val="22"/>
              </w:rPr>
              <w:t>Polypodium polypodiodes </w:t>
            </w:r>
            <w:r>
              <w:rPr>
                <w:sz w:val="22"/>
              </w:rPr>
              <w:t>Linn</w:t>
            </w:r>
          </w:p>
        </w:tc>
        <w:tc>
          <w:tcPr>
            <w:tcW w:w="2891" w:type="dxa"/>
            <w:tcBorders>
              <w:top w:val="thickThinMediumGap" w:sz="12" w:space="0" w:color="000000"/>
              <w:left w:val="thickThinMediumGap" w:sz="12" w:space="0" w:color="000000"/>
              <w:bottom w:val="thinThickMediumGap" w:sz="12" w:space="0" w:color="000000"/>
              <w:right w:val="thinThickMediumGap" w:sz="12" w:space="0" w:color="000000"/>
            </w:tcBorders>
          </w:tcPr>
          <w:p>
            <w:pPr>
              <w:pStyle w:val="TableParagraph"/>
              <w:spacing w:before="14"/>
              <w:ind w:left="546" w:right="546"/>
              <w:jc w:val="center"/>
              <w:rPr>
                <w:sz w:val="22"/>
              </w:rPr>
            </w:pPr>
            <w:r>
              <w:rPr>
                <w:sz w:val="22"/>
              </w:rPr>
              <w:t>Hierba perenne</w:t>
            </w:r>
          </w:p>
        </w:tc>
      </w:tr>
      <w:tr>
        <w:trPr>
          <w:trHeight w:val="442" w:hRule="exact"/>
        </w:trPr>
        <w:tc>
          <w:tcPr>
            <w:tcW w:w="2199" w:type="dxa"/>
            <w:tcBorders>
              <w:bottom w:val="thinThickMediumGap" w:sz="12" w:space="0" w:color="000000"/>
              <w:right w:val="thinThickMediumGap" w:sz="12" w:space="0" w:color="000000"/>
            </w:tcBorders>
          </w:tcPr>
          <w:p>
            <w:pPr>
              <w:pStyle w:val="TableParagraph"/>
              <w:spacing w:before="19"/>
              <w:ind w:left="81"/>
              <w:rPr>
                <w:sz w:val="22"/>
              </w:rPr>
            </w:pPr>
            <w:r>
              <w:rPr>
                <w:sz w:val="22"/>
              </w:rPr>
              <w:t>Cupresaceae</w:t>
            </w:r>
          </w:p>
        </w:tc>
        <w:tc>
          <w:tcPr>
            <w:tcW w:w="4538" w:type="dxa"/>
            <w:tcBorders>
              <w:bottom w:val="thinThickMediumGap" w:sz="12" w:space="0" w:color="000000"/>
              <w:right w:val="thinThickMediumGap" w:sz="12" w:space="0" w:color="000000"/>
            </w:tcBorders>
          </w:tcPr>
          <w:p>
            <w:pPr>
              <w:pStyle w:val="TableParagraph"/>
              <w:spacing w:before="14"/>
              <w:ind w:left="81"/>
              <w:rPr>
                <w:sz w:val="22"/>
              </w:rPr>
            </w:pPr>
            <w:r>
              <w:rPr>
                <w:i/>
                <w:sz w:val="22"/>
              </w:rPr>
              <w:t>junierus flaccida </w:t>
            </w:r>
            <w:r>
              <w:rPr>
                <w:sz w:val="22"/>
              </w:rPr>
              <w:t>Schl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9"/>
              <w:ind w:left="546" w:right="538"/>
              <w:jc w:val="center"/>
              <w:rPr>
                <w:sz w:val="22"/>
              </w:rPr>
            </w:pPr>
            <w:r>
              <w:rPr>
                <w:sz w:val="22"/>
              </w:rPr>
              <w:t>Árbol</w:t>
            </w:r>
          </w:p>
        </w:tc>
      </w:tr>
      <w:tr>
        <w:trPr>
          <w:trHeight w:val="437" w:hRule="exact"/>
        </w:trPr>
        <w:tc>
          <w:tcPr>
            <w:tcW w:w="2199" w:type="dxa"/>
            <w:tcBorders>
              <w:bottom w:val="thinThickMediumGap" w:sz="12" w:space="0" w:color="000000"/>
              <w:right w:val="thinThickMediumGap" w:sz="12" w:space="0" w:color="000000"/>
            </w:tcBorders>
          </w:tcPr>
          <w:p>
            <w:pPr>
              <w:pStyle w:val="TableParagraph"/>
              <w:spacing w:before="15"/>
              <w:ind w:left="81"/>
              <w:rPr>
                <w:sz w:val="22"/>
              </w:rPr>
            </w:pPr>
            <w:r>
              <w:rPr>
                <w:sz w:val="22"/>
              </w:rPr>
              <w:t>Araceae</w:t>
            </w:r>
          </w:p>
        </w:tc>
        <w:tc>
          <w:tcPr>
            <w:tcW w:w="4538" w:type="dxa"/>
            <w:tcBorders>
              <w:bottom w:val="thinThickMediumGap" w:sz="12" w:space="0" w:color="000000"/>
              <w:right w:val="thinThickMediumGap" w:sz="12" w:space="0" w:color="000000"/>
            </w:tcBorders>
          </w:tcPr>
          <w:p>
            <w:pPr>
              <w:pStyle w:val="TableParagraph"/>
              <w:spacing w:before="10"/>
              <w:ind w:left="81"/>
              <w:rPr>
                <w:sz w:val="22"/>
              </w:rPr>
            </w:pPr>
            <w:r>
              <w:rPr>
                <w:i/>
                <w:sz w:val="22"/>
              </w:rPr>
              <w:t>Arisaema macrospathum </w:t>
            </w:r>
            <w:r>
              <w:rPr>
                <w:sz w:val="22"/>
              </w:rPr>
              <w:t>Benth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5"/>
              <w:ind w:left="546" w:right="546"/>
              <w:jc w:val="center"/>
              <w:rPr>
                <w:sz w:val="22"/>
              </w:rPr>
            </w:pPr>
            <w:r>
              <w:rPr>
                <w:sz w:val="22"/>
              </w:rPr>
              <w:t>Hierba perenne</w:t>
            </w:r>
          </w:p>
        </w:tc>
      </w:tr>
      <w:tr>
        <w:trPr>
          <w:trHeight w:val="442" w:hRule="exact"/>
        </w:trPr>
        <w:tc>
          <w:tcPr>
            <w:tcW w:w="2199" w:type="dxa"/>
            <w:tcBorders>
              <w:bottom w:val="thinThickMediumGap" w:sz="12" w:space="0" w:color="000000"/>
              <w:right w:val="thinThickMediumGap" w:sz="12" w:space="0" w:color="000000"/>
            </w:tcBorders>
          </w:tcPr>
          <w:p>
            <w:pPr>
              <w:pStyle w:val="TableParagraph"/>
              <w:spacing w:before="19"/>
              <w:ind w:left="81"/>
              <w:rPr>
                <w:sz w:val="22"/>
              </w:rPr>
            </w:pPr>
            <w:r>
              <w:rPr>
                <w:sz w:val="22"/>
              </w:rPr>
              <w:t>Commelinaceae</w:t>
            </w:r>
          </w:p>
        </w:tc>
        <w:tc>
          <w:tcPr>
            <w:tcW w:w="4538" w:type="dxa"/>
            <w:tcBorders>
              <w:bottom w:val="thinThickMediumGap" w:sz="12" w:space="0" w:color="000000"/>
              <w:right w:val="thinThickMediumGap" w:sz="12" w:space="0" w:color="000000"/>
            </w:tcBorders>
          </w:tcPr>
          <w:p>
            <w:pPr>
              <w:pStyle w:val="TableParagraph"/>
              <w:spacing w:before="14"/>
              <w:ind w:left="81"/>
              <w:rPr>
                <w:sz w:val="22"/>
              </w:rPr>
            </w:pPr>
            <w:r>
              <w:rPr>
                <w:i/>
                <w:sz w:val="22"/>
              </w:rPr>
              <w:t>Callisia multiflora</w:t>
            </w:r>
            <w:r>
              <w:rPr>
                <w:sz w:val="22"/>
              </w:rPr>
              <w:t>n Mart and Gal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77"/>
              <w:ind w:left="546" w:right="546"/>
              <w:jc w:val="center"/>
              <w:rPr>
                <w:sz w:val="22"/>
              </w:rPr>
            </w:pPr>
            <w:r>
              <w:rPr>
                <w:sz w:val="22"/>
              </w:rPr>
              <w:t>Hierba perenne</w:t>
            </w:r>
          </w:p>
        </w:tc>
      </w:tr>
      <w:tr>
        <w:trPr>
          <w:trHeight w:val="451" w:hRule="exact"/>
        </w:trPr>
        <w:tc>
          <w:tcPr>
            <w:tcW w:w="2199" w:type="dxa"/>
            <w:tcBorders>
              <w:bottom w:val="thinThickMediumGap" w:sz="12" w:space="0" w:color="000000"/>
              <w:right w:val="thinThickMediumGap" w:sz="12" w:space="0" w:color="000000"/>
            </w:tcBorders>
          </w:tcPr>
          <w:p>
            <w:pPr>
              <w:pStyle w:val="TableParagraph"/>
              <w:spacing w:before="14"/>
              <w:ind w:left="81"/>
              <w:rPr>
                <w:sz w:val="22"/>
              </w:rPr>
            </w:pPr>
            <w:r>
              <w:rPr>
                <w:sz w:val="22"/>
              </w:rPr>
              <w:t>Cyperaceae</w:t>
            </w:r>
          </w:p>
        </w:tc>
        <w:tc>
          <w:tcPr>
            <w:tcW w:w="4538" w:type="dxa"/>
            <w:tcBorders>
              <w:bottom w:val="thinThickMediumGap" w:sz="12" w:space="0" w:color="000000"/>
              <w:right w:val="thinThickMediumGap" w:sz="12" w:space="0" w:color="000000"/>
            </w:tcBorders>
          </w:tcPr>
          <w:p>
            <w:pPr>
              <w:pStyle w:val="TableParagraph"/>
              <w:spacing w:before="9"/>
              <w:ind w:left="81"/>
              <w:rPr>
                <w:sz w:val="22"/>
              </w:rPr>
            </w:pPr>
            <w:r>
              <w:rPr>
                <w:i/>
                <w:sz w:val="22"/>
              </w:rPr>
              <w:t>Fimbristylis complanta </w:t>
            </w:r>
            <w:r>
              <w:rPr>
                <w:sz w:val="22"/>
              </w:rPr>
              <w:t>(Retz.) Link.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72"/>
              <w:ind w:left="546" w:right="546"/>
              <w:jc w:val="center"/>
              <w:rPr>
                <w:sz w:val="22"/>
              </w:rPr>
            </w:pPr>
            <w:r>
              <w:rPr>
                <w:sz w:val="22"/>
              </w:rPr>
              <w:t>Hierba perenne</w:t>
            </w:r>
          </w:p>
        </w:tc>
      </w:tr>
      <w:tr>
        <w:trPr>
          <w:trHeight w:val="428" w:hRule="exact"/>
        </w:trPr>
        <w:tc>
          <w:tcPr>
            <w:tcW w:w="2199" w:type="dxa"/>
            <w:tcBorders>
              <w:bottom w:val="thinThickMediumGap" w:sz="12" w:space="0" w:color="000000"/>
              <w:right w:val="thinThickMediumGap" w:sz="12" w:space="0" w:color="000000"/>
            </w:tcBorders>
          </w:tcPr>
          <w:p>
            <w:pPr>
              <w:pStyle w:val="TableParagraph"/>
              <w:spacing w:before="5"/>
              <w:ind w:left="81"/>
              <w:rPr>
                <w:sz w:val="22"/>
              </w:rPr>
            </w:pPr>
            <w:r>
              <w:rPr>
                <w:sz w:val="22"/>
              </w:rPr>
              <w:t>Iridaceae</w:t>
            </w: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Tripsacum dactyloides </w:t>
            </w:r>
            <w:r>
              <w:rPr>
                <w:sz w:val="22"/>
              </w:rPr>
              <w:t>(Linn.)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62"/>
              <w:ind w:left="546" w:right="546"/>
              <w:jc w:val="center"/>
              <w:rPr>
                <w:sz w:val="22"/>
              </w:rPr>
            </w:pPr>
            <w:r>
              <w:rPr>
                <w:sz w:val="22"/>
              </w:rPr>
              <w:t>Hierba perenne</w:t>
            </w:r>
          </w:p>
        </w:tc>
      </w:tr>
      <w:tr>
        <w:trPr>
          <w:trHeight w:val="451" w:hRule="exact"/>
        </w:trPr>
        <w:tc>
          <w:tcPr>
            <w:tcW w:w="2199" w:type="dxa"/>
            <w:vMerge w:val="restart"/>
            <w:tcBorders>
              <w:right w:val="thinThickMediumGap" w:sz="12" w:space="0" w:color="000000"/>
            </w:tcBorders>
          </w:tcPr>
          <w:p>
            <w:pPr>
              <w:pStyle w:val="TableParagraph"/>
              <w:rPr>
                <w:sz w:val="22"/>
              </w:rPr>
            </w:pPr>
          </w:p>
          <w:p>
            <w:pPr>
              <w:pStyle w:val="TableParagraph"/>
              <w:rPr>
                <w:sz w:val="22"/>
              </w:rPr>
            </w:pPr>
          </w:p>
          <w:p>
            <w:pPr>
              <w:pStyle w:val="TableParagraph"/>
              <w:spacing w:before="171"/>
              <w:ind w:left="81"/>
              <w:rPr>
                <w:sz w:val="22"/>
              </w:rPr>
            </w:pPr>
            <w:r>
              <w:rPr>
                <w:sz w:val="22"/>
              </w:rPr>
              <w:t>Liliaceaea</w:t>
            </w:r>
          </w:p>
        </w:tc>
        <w:tc>
          <w:tcPr>
            <w:tcW w:w="4538" w:type="dxa"/>
            <w:tcBorders>
              <w:bottom w:val="thinThickMediumGap" w:sz="12" w:space="0" w:color="000000"/>
              <w:right w:val="thinThickMediumGap" w:sz="12" w:space="0" w:color="000000"/>
            </w:tcBorders>
          </w:tcPr>
          <w:p>
            <w:pPr>
              <w:pStyle w:val="TableParagraph"/>
              <w:spacing w:before="9"/>
              <w:ind w:left="81"/>
              <w:rPr>
                <w:sz w:val="22"/>
              </w:rPr>
            </w:pPr>
            <w:r>
              <w:rPr>
                <w:i/>
                <w:sz w:val="22"/>
              </w:rPr>
              <w:t>Echeandia unduata </w:t>
            </w:r>
            <w:r>
              <w:rPr>
                <w:sz w:val="22"/>
              </w:rPr>
              <w:t>Cruden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77"/>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Echeandia flavescens </w:t>
            </w:r>
            <w:r>
              <w:rPr>
                <w:sz w:val="22"/>
              </w:rPr>
              <w:t>Schultes Schultes F.</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62"/>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Sprekelia formosissima </w:t>
            </w:r>
            <w:r>
              <w:rPr>
                <w:sz w:val="22"/>
              </w:rPr>
              <w:t>(Linn.) Herb.</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62"/>
              <w:ind w:left="546" w:right="546"/>
              <w:jc w:val="center"/>
              <w:rPr>
                <w:sz w:val="22"/>
              </w:rPr>
            </w:pPr>
            <w:r>
              <w:rPr>
                <w:sz w:val="22"/>
              </w:rPr>
              <w:t>Hierba perenne</w:t>
            </w:r>
          </w:p>
        </w:tc>
      </w:tr>
      <w:tr>
        <w:trPr>
          <w:trHeight w:val="437" w:hRule="exact"/>
        </w:trPr>
        <w:tc>
          <w:tcPr>
            <w:tcW w:w="2199" w:type="dxa"/>
            <w:vMerge/>
            <w:tcBorders>
              <w:bottom w:val="thinThickMediumGap" w:sz="12" w:space="0" w:color="000000"/>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Zephyranthes sessilis </w:t>
            </w:r>
            <w:r>
              <w:rPr>
                <w:sz w:val="22"/>
              </w:rPr>
              <w:t>Herb.</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8"/>
              <w:ind w:left="546" w:right="546"/>
              <w:jc w:val="center"/>
              <w:rPr>
                <w:sz w:val="22"/>
              </w:rPr>
            </w:pPr>
            <w:r>
              <w:rPr>
                <w:sz w:val="22"/>
              </w:rPr>
              <w:t>Hierba perenne</w:t>
            </w:r>
          </w:p>
        </w:tc>
      </w:tr>
      <w:tr>
        <w:trPr>
          <w:trHeight w:val="442" w:hRule="exact"/>
        </w:trPr>
        <w:tc>
          <w:tcPr>
            <w:tcW w:w="2199" w:type="dxa"/>
            <w:vMerge w:val="restart"/>
            <w:tcBorders>
              <w:right w:val="thinThickMediumGap" w:sz="12"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43"/>
              <w:ind w:left="81"/>
              <w:rPr>
                <w:sz w:val="22"/>
              </w:rPr>
            </w:pPr>
            <w:r>
              <w:rPr>
                <w:sz w:val="22"/>
              </w:rPr>
              <w:t>Poaceaea</w:t>
            </w: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Chloris gayana </w:t>
            </w:r>
            <w:r>
              <w:rPr>
                <w:sz w:val="22"/>
              </w:rPr>
              <w:t>Kunth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62"/>
              <w:ind w:left="546" w:right="546"/>
              <w:jc w:val="center"/>
              <w:rPr>
                <w:sz w:val="22"/>
              </w:rPr>
            </w:pPr>
            <w:r>
              <w:rPr>
                <w:sz w:val="22"/>
              </w:rPr>
              <w:t>Hierba perenne</w:t>
            </w:r>
          </w:p>
        </w:tc>
      </w:tr>
      <w:tr>
        <w:trPr>
          <w:trHeight w:val="437"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Digitaria leucites </w:t>
            </w:r>
            <w:r>
              <w:rPr>
                <w:sz w:val="22"/>
              </w:rPr>
              <w:t>(Trin.) Hern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line="248" w:lineRule="exact"/>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Eleusine multiflora </w:t>
            </w:r>
            <w:r>
              <w:rPr>
                <w:sz w:val="22"/>
              </w:rPr>
              <w:t>Hochst. ex A. Rich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4"/>
              <w:jc w:val="center"/>
              <w:rPr>
                <w:sz w:val="22"/>
              </w:rPr>
            </w:pPr>
            <w:r>
              <w:rPr>
                <w:sz w:val="22"/>
              </w:rPr>
              <w:t>Hierba anual</w:t>
            </w:r>
          </w:p>
        </w:tc>
      </w:tr>
      <w:tr>
        <w:trPr>
          <w:trHeight w:val="437"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Eragrotis tenuifolia </w:t>
            </w:r>
            <w:r>
              <w:rPr>
                <w:sz w:val="22"/>
              </w:rPr>
              <w:t>(A. Rich.) Hochst.</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line="248" w:lineRule="exact"/>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Heteropongo contortus </w:t>
            </w:r>
            <w:r>
              <w:rPr>
                <w:sz w:val="22"/>
              </w:rPr>
              <w:t>Linn.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37"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Muhlenbergia ciliata </w:t>
            </w:r>
            <w:r>
              <w:rPr>
                <w:sz w:val="22"/>
              </w:rPr>
              <w:t>(H.B. &amp; K.) Kunth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line="248" w:lineRule="exact"/>
              <w:ind w:left="546" w:right="544"/>
              <w:jc w:val="center"/>
              <w:rPr>
                <w:sz w:val="22"/>
              </w:rPr>
            </w:pPr>
            <w:r>
              <w:rPr>
                <w:sz w:val="22"/>
              </w:rPr>
              <w:t>Hierba anual</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Muhlenbergia robusta </w:t>
            </w:r>
            <w:r>
              <w:rPr>
                <w:sz w:val="22"/>
              </w:rPr>
              <w:t>(Fourn.) Hitchc.</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Oplismonus compositus </w:t>
            </w:r>
            <w:r>
              <w:rPr>
                <w:sz w:val="22"/>
              </w:rPr>
              <w:t>Linn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4"/>
              <w:jc w:val="center"/>
              <w:rPr>
                <w:sz w:val="22"/>
              </w:rPr>
            </w:pPr>
            <w:r>
              <w:rPr>
                <w:sz w:val="22"/>
              </w:rPr>
              <w:t>Hierba anual</w:t>
            </w:r>
          </w:p>
        </w:tc>
      </w:tr>
      <w:tr>
        <w:trPr>
          <w:trHeight w:val="437"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Panicum bulbosum </w:t>
            </w:r>
            <w:r>
              <w:rPr>
                <w:sz w:val="22"/>
              </w:rPr>
              <w:t>H.B. &amp;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line="248" w:lineRule="exact"/>
              <w:ind w:left="546" w:right="546"/>
              <w:jc w:val="center"/>
              <w:rPr>
                <w:sz w:val="22"/>
              </w:rPr>
            </w:pPr>
            <w:r>
              <w:rPr>
                <w:sz w:val="22"/>
              </w:rPr>
              <w:t>Hierba perenne</w:t>
            </w:r>
          </w:p>
        </w:tc>
      </w:tr>
      <w:tr>
        <w:trPr>
          <w:trHeight w:val="442"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Paspalum convexum </w:t>
            </w:r>
            <w:r>
              <w:rPr>
                <w:sz w:val="22"/>
              </w:rPr>
              <w:t>Humb &amp; Bonpl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37" w:hRule="exact"/>
        </w:trPr>
        <w:tc>
          <w:tcPr>
            <w:tcW w:w="2199" w:type="dxa"/>
            <w:vMerge/>
            <w:tcBorders>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Rhynchelitrum repens </w:t>
            </w:r>
            <w:r>
              <w:rPr>
                <w:sz w:val="22"/>
              </w:rPr>
              <w:t>(Willd.) Hubb.</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line="248" w:lineRule="exact"/>
              <w:ind w:left="546" w:right="545"/>
              <w:jc w:val="center"/>
              <w:rPr>
                <w:sz w:val="22"/>
              </w:rPr>
            </w:pPr>
            <w:r>
              <w:rPr>
                <w:sz w:val="22"/>
              </w:rPr>
              <w:t>Hierba perenne</w:t>
            </w:r>
          </w:p>
        </w:tc>
      </w:tr>
      <w:tr>
        <w:trPr>
          <w:trHeight w:val="442" w:hRule="exact"/>
        </w:trPr>
        <w:tc>
          <w:tcPr>
            <w:tcW w:w="2199" w:type="dxa"/>
            <w:vMerge/>
            <w:tcBorders>
              <w:bottom w:val="thinThickMediumGap" w:sz="12" w:space="0" w:color="000000"/>
              <w:right w:val="thinThickMediumGap" w:sz="12" w:space="0" w:color="000000"/>
            </w:tcBorders>
          </w:tcPr>
          <w:p>
            <w:pPr/>
          </w:p>
        </w:tc>
        <w:tc>
          <w:tcPr>
            <w:tcW w:w="4538" w:type="dxa"/>
            <w:tcBorders>
              <w:bottom w:val="thinThickMediumGap" w:sz="12" w:space="0" w:color="000000"/>
              <w:right w:val="thinThickMediumGap" w:sz="12" w:space="0" w:color="000000"/>
            </w:tcBorders>
          </w:tcPr>
          <w:p>
            <w:pPr>
              <w:pStyle w:val="TableParagraph"/>
              <w:ind w:left="81"/>
              <w:rPr>
                <w:sz w:val="22"/>
              </w:rPr>
            </w:pPr>
            <w:r>
              <w:rPr>
                <w:i/>
                <w:sz w:val="22"/>
              </w:rPr>
              <w:t>Sporobolus atrovirens </w:t>
            </w:r>
            <w:r>
              <w:rPr>
                <w:sz w:val="22"/>
              </w:rPr>
              <w:t>(H.B. &amp; K.) Kunth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bl>
    <w:p>
      <w:pPr>
        <w:spacing w:line="220" w:lineRule="exact" w:before="0"/>
        <w:ind w:left="256" w:right="0" w:firstLine="0"/>
        <w:jc w:val="left"/>
        <w:rPr>
          <w:b/>
          <w:i/>
          <w:sz w:val="20"/>
        </w:rPr>
      </w:pPr>
      <w:r>
        <w:rPr>
          <w:b/>
          <w:i/>
          <w:sz w:val="20"/>
        </w:rPr>
        <w:t>Fuente: Elaboración propia, a partir de Valdez (2003).</w:t>
      </w:r>
    </w:p>
    <w:p>
      <w:pPr>
        <w:spacing w:after="0" w:line="220" w:lineRule="exact"/>
        <w:jc w:val="left"/>
        <w:rPr>
          <w:sz w:val="20"/>
        </w:rPr>
        <w:sectPr>
          <w:pgSz w:w="12240" w:h="15840"/>
          <w:pgMar w:header="690" w:footer="1146" w:top="880" w:bottom="1340" w:left="1160" w:right="1140"/>
        </w:sectPr>
      </w:pPr>
    </w:p>
    <w:p>
      <w:pPr>
        <w:pStyle w:val="BodyText"/>
        <w:rPr>
          <w:b/>
          <w:i/>
          <w:sz w:val="20"/>
        </w:rPr>
      </w:pPr>
    </w:p>
    <w:p>
      <w:pPr>
        <w:pStyle w:val="BodyText"/>
        <w:spacing w:before="9"/>
        <w:rPr>
          <w:b/>
          <w:i/>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195"/>
        <w:gridCol w:w="4542"/>
        <w:gridCol w:w="2891"/>
      </w:tblGrid>
      <w:tr>
        <w:trPr>
          <w:trHeight w:val="408" w:hRule="exact"/>
        </w:trPr>
        <w:tc>
          <w:tcPr>
            <w:tcW w:w="9628" w:type="dxa"/>
            <w:gridSpan w:val="3"/>
            <w:tcBorders>
              <w:bottom w:val="thinThickMediumGap" w:sz="12" w:space="0" w:color="000000"/>
              <w:right w:val="thinThickMediumGap" w:sz="12" w:space="0" w:color="000000"/>
            </w:tcBorders>
          </w:tcPr>
          <w:p>
            <w:pPr>
              <w:pStyle w:val="TableParagraph"/>
              <w:spacing w:line="225" w:lineRule="exact"/>
              <w:ind w:left="355"/>
              <w:rPr>
                <w:b/>
                <w:i/>
                <w:sz w:val="20"/>
              </w:rPr>
            </w:pPr>
            <w:r>
              <w:rPr>
                <w:b/>
                <w:i/>
                <w:sz w:val="20"/>
              </w:rPr>
              <w:t>Cuadro 4. Listado de la flora presente en el Parque Universitario “Las Orquídeas” (Continúa).</w:t>
            </w:r>
          </w:p>
        </w:tc>
      </w:tr>
      <w:tr>
        <w:trPr>
          <w:trHeight w:val="421" w:hRule="exact"/>
        </w:trPr>
        <w:tc>
          <w:tcPr>
            <w:tcW w:w="2195" w:type="dxa"/>
            <w:tcBorders>
              <w:bottom w:val="thinThickMediumGap" w:sz="12" w:space="0" w:color="000000"/>
              <w:right w:val="thinThickMediumGap" w:sz="12" w:space="0" w:color="000000"/>
            </w:tcBorders>
            <w:shd w:val="clear" w:color="auto" w:fill="D9D9D9"/>
          </w:tcPr>
          <w:p>
            <w:pPr>
              <w:pStyle w:val="TableParagraph"/>
              <w:spacing w:line="248" w:lineRule="exact"/>
              <w:ind w:left="691"/>
              <w:rPr>
                <w:b/>
                <w:sz w:val="22"/>
              </w:rPr>
            </w:pPr>
            <w:r>
              <w:rPr>
                <w:b/>
                <w:sz w:val="22"/>
              </w:rPr>
              <w:t>Familia</w:t>
            </w:r>
          </w:p>
        </w:tc>
        <w:tc>
          <w:tcPr>
            <w:tcW w:w="4542" w:type="dxa"/>
            <w:tcBorders>
              <w:bottom w:val="thinThickMediumGap" w:sz="12" w:space="0" w:color="000000"/>
              <w:right w:val="thinThickMediumGap" w:sz="12" w:space="0" w:color="000000"/>
            </w:tcBorders>
            <w:shd w:val="clear" w:color="auto" w:fill="D9D9D9"/>
          </w:tcPr>
          <w:p>
            <w:pPr>
              <w:pStyle w:val="TableParagraph"/>
              <w:spacing w:line="248" w:lineRule="exact"/>
              <w:ind w:left="1315"/>
              <w:rPr>
                <w:b/>
                <w:sz w:val="22"/>
              </w:rPr>
            </w:pPr>
            <w:r>
              <w:rPr>
                <w:b/>
                <w:sz w:val="22"/>
              </w:rPr>
              <w:t>Nombre científico</w:t>
            </w:r>
          </w:p>
        </w:tc>
        <w:tc>
          <w:tcPr>
            <w:tcW w:w="2891" w:type="dxa"/>
            <w:tcBorders>
              <w:left w:val="thickThinMediumGap" w:sz="12" w:space="0" w:color="000000"/>
              <w:bottom w:val="thinThickMediumGap" w:sz="12" w:space="0" w:color="000000"/>
              <w:right w:val="thinThickMediumGap" w:sz="12" w:space="0" w:color="000000"/>
            </w:tcBorders>
            <w:shd w:val="clear" w:color="auto" w:fill="D9D9D9"/>
          </w:tcPr>
          <w:p>
            <w:pPr>
              <w:pStyle w:val="TableParagraph"/>
              <w:spacing w:line="248" w:lineRule="exact"/>
              <w:ind w:left="546" w:right="547"/>
              <w:jc w:val="center"/>
              <w:rPr>
                <w:b/>
                <w:sz w:val="22"/>
              </w:rPr>
            </w:pPr>
            <w:r>
              <w:rPr>
                <w:b/>
                <w:sz w:val="22"/>
              </w:rPr>
              <w:t>Forma biológica</w:t>
            </w:r>
          </w:p>
        </w:tc>
      </w:tr>
      <w:tr>
        <w:trPr>
          <w:trHeight w:val="458" w:hRule="exact"/>
        </w:trPr>
        <w:tc>
          <w:tcPr>
            <w:tcW w:w="2195" w:type="dxa"/>
            <w:vMerge w:val="restart"/>
            <w:tcBorders>
              <w:top w:val="thickThinMediumGap" w:sz="12" w:space="0" w:color="000000"/>
              <w:right w:val="thinThickMediumGap" w:sz="12" w:space="0" w:color="000000"/>
            </w:tcBorders>
          </w:tcPr>
          <w:p>
            <w:pPr>
              <w:pStyle w:val="TableParagraph"/>
              <w:spacing w:before="10"/>
              <w:rPr>
                <w:b/>
                <w:i/>
                <w:sz w:val="20"/>
              </w:rPr>
            </w:pPr>
          </w:p>
          <w:p>
            <w:pPr>
              <w:pStyle w:val="TableParagraph"/>
              <w:ind w:left="81"/>
              <w:rPr>
                <w:sz w:val="22"/>
              </w:rPr>
            </w:pPr>
            <w:r>
              <w:rPr>
                <w:sz w:val="22"/>
              </w:rPr>
              <w:t>Acanthaceae</w:t>
            </w:r>
          </w:p>
        </w:tc>
        <w:tc>
          <w:tcPr>
            <w:tcW w:w="4542" w:type="dxa"/>
            <w:tcBorders>
              <w:top w:val="thickThinMediumGap" w:sz="12" w:space="0" w:color="000000"/>
              <w:bottom w:val="thinThickMediumGap" w:sz="12" w:space="0" w:color="000000"/>
              <w:right w:val="thinThickMediumGap" w:sz="12" w:space="0" w:color="000000"/>
            </w:tcBorders>
          </w:tcPr>
          <w:p>
            <w:pPr>
              <w:pStyle w:val="TableParagraph"/>
              <w:spacing w:before="14"/>
              <w:ind w:left="81"/>
              <w:rPr>
                <w:sz w:val="22"/>
              </w:rPr>
            </w:pPr>
            <w:r>
              <w:rPr>
                <w:i/>
                <w:sz w:val="22"/>
              </w:rPr>
              <w:t>Ruellia lactea </w:t>
            </w:r>
            <w:r>
              <w:rPr>
                <w:sz w:val="22"/>
              </w:rPr>
              <w:t>Cav.</w:t>
            </w:r>
          </w:p>
        </w:tc>
        <w:tc>
          <w:tcPr>
            <w:tcW w:w="2891" w:type="dxa"/>
            <w:tcBorders>
              <w:top w:val="thickThinMediumGap" w:sz="12" w:space="0" w:color="000000"/>
              <w:left w:val="thickThinMediumGap" w:sz="12" w:space="0" w:color="000000"/>
              <w:bottom w:val="thinThickMediumGap" w:sz="12" w:space="0" w:color="000000"/>
              <w:right w:val="thinThickMediumGap" w:sz="12" w:space="0" w:color="000000"/>
            </w:tcBorders>
          </w:tcPr>
          <w:p>
            <w:pPr>
              <w:pStyle w:val="TableParagraph"/>
              <w:spacing w:before="19"/>
              <w:ind w:left="546" w:right="546"/>
              <w:jc w:val="center"/>
              <w:rPr>
                <w:sz w:val="22"/>
              </w:rPr>
            </w:pPr>
            <w:r>
              <w:rPr>
                <w:sz w:val="22"/>
              </w:rPr>
              <w:t>Hierba perenne</w:t>
            </w:r>
          </w:p>
        </w:tc>
      </w:tr>
      <w:tr>
        <w:trPr>
          <w:trHeight w:val="437" w:hRule="exact"/>
        </w:trPr>
        <w:tc>
          <w:tcPr>
            <w:tcW w:w="2195" w:type="dxa"/>
            <w:vMerge/>
            <w:tcBorders>
              <w:bottom w:val="thinThickMediumGap" w:sz="12" w:space="0" w:color="000000"/>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Tetramerium nervosum </w:t>
            </w:r>
            <w:r>
              <w:rPr>
                <w:sz w:val="22"/>
              </w:rPr>
              <w:t>Nees</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195" w:type="dxa"/>
            <w:vMerge w:val="restart"/>
            <w:tcBorders>
              <w:right w:val="thinThickMediumGap" w:sz="12" w:space="0" w:color="000000"/>
            </w:tcBorders>
          </w:tcPr>
          <w:p>
            <w:pPr>
              <w:pStyle w:val="TableParagraph"/>
              <w:spacing w:before="7"/>
              <w:rPr>
                <w:b/>
                <w:i/>
                <w:sz w:val="19"/>
              </w:rPr>
            </w:pPr>
          </w:p>
          <w:p>
            <w:pPr>
              <w:pStyle w:val="TableParagraph"/>
              <w:ind w:left="81"/>
              <w:rPr>
                <w:sz w:val="22"/>
              </w:rPr>
            </w:pPr>
            <w:r>
              <w:rPr>
                <w:sz w:val="22"/>
              </w:rPr>
              <w:t>Amaranthaceae</w:t>
            </w: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Gomphrena decumbens </w:t>
            </w:r>
            <w:r>
              <w:rPr>
                <w:sz w:val="22"/>
              </w:rPr>
              <w:t>Jacq.</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28" w:hRule="exact"/>
        </w:trPr>
        <w:tc>
          <w:tcPr>
            <w:tcW w:w="2195" w:type="dxa"/>
            <w:vMerge/>
            <w:tcBorders>
              <w:bottom w:val="thinThickMediumGap" w:sz="12" w:space="0" w:color="000000"/>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Iresine celosía </w:t>
            </w:r>
            <w:r>
              <w:rPr>
                <w:sz w:val="22"/>
              </w:rPr>
              <w:t>Linn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51" w:hRule="exact"/>
        </w:trPr>
        <w:tc>
          <w:tcPr>
            <w:tcW w:w="2195" w:type="dxa"/>
            <w:vMerge w:val="restart"/>
            <w:tcBorders>
              <w:right w:val="thinThickMediumGap" w:sz="12" w:space="0" w:color="000000"/>
            </w:tcBorders>
          </w:tcPr>
          <w:p>
            <w:pPr>
              <w:pStyle w:val="TableParagraph"/>
              <w:rPr>
                <w:b/>
                <w:i/>
                <w:sz w:val="22"/>
              </w:rPr>
            </w:pPr>
          </w:p>
          <w:p>
            <w:pPr>
              <w:pStyle w:val="TableParagraph"/>
              <w:rPr>
                <w:b/>
                <w:i/>
                <w:sz w:val="22"/>
              </w:rPr>
            </w:pPr>
          </w:p>
          <w:p>
            <w:pPr>
              <w:pStyle w:val="TableParagraph"/>
              <w:spacing w:before="166"/>
              <w:ind w:left="81"/>
              <w:rPr>
                <w:sz w:val="22"/>
              </w:rPr>
            </w:pPr>
            <w:r>
              <w:rPr>
                <w:sz w:val="22"/>
              </w:rPr>
              <w:t>Apiaceae</w:t>
            </w:r>
          </w:p>
        </w:tc>
        <w:tc>
          <w:tcPr>
            <w:tcW w:w="4542" w:type="dxa"/>
            <w:tcBorders>
              <w:bottom w:val="thinThickMediumGap" w:sz="12" w:space="0" w:color="000000"/>
              <w:right w:val="thinThickMediumGap" w:sz="12" w:space="0" w:color="000000"/>
            </w:tcBorders>
          </w:tcPr>
          <w:p>
            <w:pPr>
              <w:pStyle w:val="TableParagraph"/>
              <w:spacing w:before="9"/>
              <w:ind w:left="81"/>
              <w:rPr>
                <w:sz w:val="22"/>
              </w:rPr>
            </w:pPr>
            <w:r>
              <w:rPr>
                <w:i/>
                <w:sz w:val="22"/>
              </w:rPr>
              <w:t>Eryngium carlinae </w:t>
            </w:r>
            <w:r>
              <w:rPr>
                <w:sz w:val="22"/>
              </w:rPr>
              <w:t>Delear F.</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46"/>
              <w:jc w:val="center"/>
              <w:rPr>
                <w:sz w:val="22"/>
              </w:rPr>
            </w:pPr>
            <w:r>
              <w:rPr>
                <w:sz w:val="22"/>
              </w:rPr>
              <w:t>Hierba perenne</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Eryngium cervantesii </w:t>
            </w:r>
            <w:r>
              <w:rPr>
                <w:sz w:val="22"/>
              </w:rPr>
              <w:t>Delear f.</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Prionoscladium thapsoides </w:t>
            </w:r>
            <w:r>
              <w:rPr>
                <w:sz w:val="22"/>
              </w:rPr>
              <w:t>(DC.) Math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27" w:hRule="exact"/>
        </w:trPr>
        <w:tc>
          <w:tcPr>
            <w:tcW w:w="2195" w:type="dxa"/>
            <w:vMerge/>
            <w:tcBorders>
              <w:bottom w:val="thinThickMediumGap" w:sz="12" w:space="0" w:color="000000"/>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Sphanathe paniculata </w:t>
            </w:r>
            <w:r>
              <w:rPr>
                <w:sz w:val="22"/>
              </w:rPr>
              <w:t>Linn.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51" w:hRule="exact"/>
        </w:trPr>
        <w:tc>
          <w:tcPr>
            <w:tcW w:w="2195" w:type="dxa"/>
            <w:tcBorders>
              <w:bottom w:val="thinThickMediumGap" w:sz="12" w:space="0" w:color="000000"/>
              <w:right w:val="thinThickMediumGap" w:sz="12" w:space="0" w:color="000000"/>
            </w:tcBorders>
          </w:tcPr>
          <w:p>
            <w:pPr>
              <w:pStyle w:val="TableParagraph"/>
              <w:spacing w:before="14"/>
              <w:ind w:left="81"/>
              <w:rPr>
                <w:sz w:val="22"/>
              </w:rPr>
            </w:pPr>
            <w:r>
              <w:rPr>
                <w:sz w:val="22"/>
              </w:rPr>
              <w:t>Asclepiadaceae</w:t>
            </w:r>
          </w:p>
        </w:tc>
        <w:tc>
          <w:tcPr>
            <w:tcW w:w="4542" w:type="dxa"/>
            <w:tcBorders>
              <w:bottom w:val="thinThickMediumGap" w:sz="12" w:space="0" w:color="000000"/>
              <w:right w:val="thinThickMediumGap" w:sz="12" w:space="0" w:color="000000"/>
            </w:tcBorders>
          </w:tcPr>
          <w:p>
            <w:pPr>
              <w:pStyle w:val="TableParagraph"/>
              <w:spacing w:before="9"/>
              <w:ind w:left="81"/>
              <w:rPr>
                <w:sz w:val="22"/>
              </w:rPr>
            </w:pPr>
            <w:r>
              <w:rPr>
                <w:i/>
                <w:sz w:val="22"/>
              </w:rPr>
              <w:t>Asclepias angustifolia </w:t>
            </w:r>
            <w:r>
              <w:rPr>
                <w:sz w:val="22"/>
              </w:rPr>
              <w:t>Schweeig</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46"/>
              <w:jc w:val="center"/>
              <w:rPr>
                <w:sz w:val="22"/>
              </w:rPr>
            </w:pPr>
            <w:r>
              <w:rPr>
                <w:sz w:val="22"/>
              </w:rPr>
              <w:t>Hierba perenne</w:t>
            </w:r>
          </w:p>
        </w:tc>
      </w:tr>
      <w:tr>
        <w:trPr>
          <w:trHeight w:val="442" w:hRule="exact"/>
        </w:trPr>
        <w:tc>
          <w:tcPr>
            <w:tcW w:w="2195" w:type="dxa"/>
            <w:vMerge w:val="restart"/>
            <w:tcBorders>
              <w:right w:val="thinThickMediumGap" w:sz="12" w:space="0" w:color="000000"/>
            </w:tcBorders>
          </w:tcPr>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spacing w:before="1"/>
              <w:rPr>
                <w:b/>
                <w:i/>
                <w:sz w:val="20"/>
              </w:rPr>
            </w:pPr>
          </w:p>
          <w:p>
            <w:pPr>
              <w:pStyle w:val="TableParagraph"/>
              <w:ind w:left="81"/>
              <w:rPr>
                <w:sz w:val="22"/>
              </w:rPr>
            </w:pPr>
            <w:r>
              <w:rPr>
                <w:sz w:val="22"/>
              </w:rPr>
              <w:t>Asteraceae</w:t>
            </w: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Ageratum corymbosum </w:t>
            </w:r>
            <w:r>
              <w:rPr>
                <w:sz w:val="22"/>
              </w:rPr>
              <w:t>Zucc. ex. Pers.</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Dahlia coccinea </w:t>
            </w:r>
            <w:r>
              <w:rPr>
                <w:sz w:val="22"/>
              </w:rPr>
              <w:t>Cav.</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Erigeron longipes </w:t>
            </w:r>
            <w:r>
              <w:rPr>
                <w:sz w:val="22"/>
              </w:rPr>
              <w:t>DC.</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4"/>
              <w:jc w:val="center"/>
              <w:rPr>
                <w:sz w:val="22"/>
              </w:rPr>
            </w:pPr>
            <w:r>
              <w:rPr>
                <w:sz w:val="22"/>
              </w:rPr>
              <w:t>Hierba anual</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Galinosoga quadriradiata </w:t>
            </w:r>
            <w:r>
              <w:rPr>
                <w:sz w:val="22"/>
              </w:rPr>
              <w:t>Ruiz &amp; Pavón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4"/>
              <w:jc w:val="center"/>
              <w:rPr>
                <w:sz w:val="22"/>
              </w:rPr>
            </w:pPr>
            <w:r>
              <w:rPr>
                <w:sz w:val="22"/>
              </w:rPr>
              <w:t>Hierba anual</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Gnaphallum americanum </w:t>
            </w:r>
            <w:r>
              <w:rPr>
                <w:sz w:val="22"/>
              </w:rPr>
              <w:t>Mill.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4"/>
              <w:jc w:val="center"/>
              <w:rPr>
                <w:sz w:val="22"/>
              </w:rPr>
            </w:pPr>
            <w:r>
              <w:rPr>
                <w:sz w:val="22"/>
              </w:rPr>
              <w:t>Hierba anual</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Gnaphallum chartesum </w:t>
            </w:r>
            <w:r>
              <w:rPr>
                <w:sz w:val="22"/>
              </w:rPr>
              <w:t>Greenm.</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4"/>
              <w:jc w:val="center"/>
              <w:rPr>
                <w:sz w:val="22"/>
              </w:rPr>
            </w:pPr>
            <w:r>
              <w:rPr>
                <w:sz w:val="22"/>
              </w:rPr>
              <w:t>Hierba anual</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Gnaphallum rosaceum </w:t>
            </w:r>
            <w:r>
              <w:rPr>
                <w:sz w:val="22"/>
              </w:rPr>
              <w:t>I. M. Johnston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Melampodium divaracatum </w:t>
            </w:r>
            <w:r>
              <w:rPr>
                <w:sz w:val="22"/>
              </w:rPr>
              <w:t>(Rich.) DC.</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4"/>
              <w:jc w:val="center"/>
              <w:rPr>
                <w:sz w:val="22"/>
              </w:rPr>
            </w:pPr>
            <w:r>
              <w:rPr>
                <w:sz w:val="22"/>
              </w:rPr>
              <w:t>Hierba anual</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Montanoa frutescens </w:t>
            </w:r>
            <w:r>
              <w:rPr>
                <w:sz w:val="22"/>
              </w:rPr>
              <w:t>Mairet</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Arbusto</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Perymenium reticulatum </w:t>
            </w:r>
            <w:r>
              <w:rPr>
                <w:sz w:val="22"/>
              </w:rPr>
              <w:t>Fay.</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Arbusto</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Simsia sanguinea </w:t>
            </w:r>
            <w:r>
              <w:rPr>
                <w:sz w:val="22"/>
              </w:rPr>
              <w:t>A. Gray. Smitson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Stevia salicifolia </w:t>
            </w:r>
            <w:r>
              <w:rPr>
                <w:sz w:val="22"/>
              </w:rPr>
              <w:t>Cav.</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Arbusto</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Stevia Inepgnita </w:t>
            </w:r>
            <w:r>
              <w:rPr>
                <w:sz w:val="22"/>
              </w:rPr>
              <w:t>Grashoff.</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Stevia subpubescens</w:t>
            </w:r>
            <w:r>
              <w:rPr>
                <w:i/>
                <w:spacing w:val="53"/>
                <w:sz w:val="22"/>
              </w:rPr>
              <w:t> </w:t>
            </w:r>
            <w:r>
              <w:rPr>
                <w:sz w:val="22"/>
              </w:rPr>
              <w:t>Lag.</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Arbusto</w:t>
            </w:r>
          </w:p>
        </w:tc>
      </w:tr>
      <w:tr>
        <w:trPr>
          <w:trHeight w:val="442"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Tagetes lucida </w:t>
            </w:r>
            <w:r>
              <w:rPr>
                <w:sz w:val="22"/>
              </w:rPr>
              <w:t>Cav.</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195" w:type="dxa"/>
            <w:vMerge/>
            <w:tcBorders>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Tagetes lunulata </w:t>
            </w:r>
            <w:r>
              <w:rPr>
                <w:sz w:val="22"/>
              </w:rPr>
              <w:t>Ort.</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4"/>
              <w:jc w:val="center"/>
              <w:rPr>
                <w:sz w:val="22"/>
              </w:rPr>
            </w:pPr>
            <w:r>
              <w:rPr>
                <w:sz w:val="22"/>
              </w:rPr>
              <w:t>Hierba anual</w:t>
            </w:r>
          </w:p>
        </w:tc>
      </w:tr>
      <w:tr>
        <w:trPr>
          <w:trHeight w:val="442" w:hRule="exact"/>
        </w:trPr>
        <w:tc>
          <w:tcPr>
            <w:tcW w:w="2195" w:type="dxa"/>
            <w:vMerge/>
            <w:tcBorders>
              <w:bottom w:val="thinThickMediumGap" w:sz="12" w:space="0" w:color="000000"/>
              <w:right w:val="thinThickMediumGap" w:sz="12" w:space="0" w:color="000000"/>
            </w:tcBorders>
          </w:tcPr>
          <w:p>
            <w:pPr/>
          </w:p>
        </w:tc>
        <w:tc>
          <w:tcPr>
            <w:tcW w:w="4542" w:type="dxa"/>
            <w:tcBorders>
              <w:bottom w:val="thinThickMediumGap" w:sz="12" w:space="0" w:color="000000"/>
              <w:right w:val="thinThickMediumGap" w:sz="12" w:space="0" w:color="000000"/>
            </w:tcBorders>
          </w:tcPr>
          <w:p>
            <w:pPr>
              <w:pStyle w:val="TableParagraph"/>
              <w:ind w:left="81"/>
              <w:rPr>
                <w:sz w:val="22"/>
              </w:rPr>
            </w:pPr>
            <w:r>
              <w:rPr>
                <w:i/>
                <w:sz w:val="22"/>
              </w:rPr>
              <w:t>Viguiera cordata </w:t>
            </w:r>
            <w:r>
              <w:rPr>
                <w:sz w:val="22"/>
              </w:rPr>
              <w:t>(Hook &amp; Arn.) D’ Arcy</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bl>
    <w:p>
      <w:pPr>
        <w:spacing w:line="220" w:lineRule="exact" w:before="0"/>
        <w:ind w:left="2436" w:right="0" w:firstLine="0"/>
        <w:jc w:val="left"/>
        <w:rPr>
          <w:b/>
          <w:i/>
          <w:sz w:val="20"/>
        </w:rPr>
      </w:pPr>
      <w:r>
        <w:rPr>
          <w:b/>
          <w:i/>
          <w:sz w:val="20"/>
        </w:rPr>
        <w:t>Fuente: Elaboración propia, a partir de Valdez (2003).</w:t>
      </w:r>
    </w:p>
    <w:p>
      <w:pPr>
        <w:spacing w:after="0" w:line="220" w:lineRule="exact"/>
        <w:jc w:val="left"/>
        <w:rPr>
          <w:sz w:val="20"/>
        </w:rPr>
        <w:sectPr>
          <w:pgSz w:w="12240" w:h="15840"/>
          <w:pgMar w:header="690" w:footer="1146" w:top="880" w:bottom="1340" w:left="1160" w:right="1140"/>
        </w:sectPr>
      </w:pPr>
    </w:p>
    <w:p>
      <w:pPr>
        <w:pStyle w:val="BodyText"/>
        <w:rPr>
          <w:b/>
          <w:i/>
          <w:sz w:val="20"/>
        </w:rPr>
      </w:pPr>
    </w:p>
    <w:p>
      <w:pPr>
        <w:pStyle w:val="BodyText"/>
        <w:spacing w:before="9"/>
        <w:rPr>
          <w:b/>
          <w:i/>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204"/>
        <w:gridCol w:w="4533"/>
        <w:gridCol w:w="2891"/>
      </w:tblGrid>
      <w:tr>
        <w:trPr>
          <w:trHeight w:val="408" w:hRule="exact"/>
        </w:trPr>
        <w:tc>
          <w:tcPr>
            <w:tcW w:w="9628" w:type="dxa"/>
            <w:gridSpan w:val="3"/>
            <w:tcBorders>
              <w:bottom w:val="thinThickMediumGap" w:sz="12" w:space="0" w:color="000000"/>
              <w:right w:val="thinThickMediumGap" w:sz="12" w:space="0" w:color="000000"/>
            </w:tcBorders>
          </w:tcPr>
          <w:p>
            <w:pPr>
              <w:pStyle w:val="TableParagraph"/>
              <w:spacing w:line="225" w:lineRule="exact"/>
              <w:ind w:left="355"/>
              <w:rPr>
                <w:b/>
                <w:i/>
                <w:sz w:val="20"/>
              </w:rPr>
            </w:pPr>
            <w:r>
              <w:rPr>
                <w:b/>
                <w:i/>
                <w:sz w:val="20"/>
              </w:rPr>
              <w:t>Cuadro 4. Listado de la flora presente en el Parque Universitario “Las Orquídeas” (Continúa).</w:t>
            </w:r>
          </w:p>
        </w:tc>
      </w:tr>
      <w:tr>
        <w:trPr>
          <w:trHeight w:val="421" w:hRule="exact"/>
        </w:trPr>
        <w:tc>
          <w:tcPr>
            <w:tcW w:w="2204" w:type="dxa"/>
            <w:tcBorders>
              <w:bottom w:val="thinThickMediumGap" w:sz="12" w:space="0" w:color="000000"/>
              <w:right w:val="thinThickMediumGap" w:sz="12" w:space="0" w:color="000000"/>
            </w:tcBorders>
            <w:shd w:val="clear" w:color="auto" w:fill="D9D9D9"/>
          </w:tcPr>
          <w:p>
            <w:pPr>
              <w:pStyle w:val="TableParagraph"/>
              <w:spacing w:line="248" w:lineRule="exact"/>
              <w:ind w:left="691"/>
              <w:rPr>
                <w:b/>
                <w:sz w:val="22"/>
              </w:rPr>
            </w:pPr>
            <w:r>
              <w:rPr>
                <w:b/>
                <w:sz w:val="22"/>
              </w:rPr>
              <w:t>Familia</w:t>
            </w:r>
          </w:p>
        </w:tc>
        <w:tc>
          <w:tcPr>
            <w:tcW w:w="4533" w:type="dxa"/>
            <w:tcBorders>
              <w:bottom w:val="thinThickMediumGap" w:sz="12" w:space="0" w:color="000000"/>
              <w:right w:val="thinThickMediumGap" w:sz="12" w:space="0" w:color="000000"/>
            </w:tcBorders>
            <w:shd w:val="clear" w:color="auto" w:fill="D9D9D9"/>
          </w:tcPr>
          <w:p>
            <w:pPr>
              <w:pStyle w:val="TableParagraph"/>
              <w:spacing w:line="248" w:lineRule="exact"/>
              <w:ind w:left="1311"/>
              <w:rPr>
                <w:b/>
                <w:sz w:val="22"/>
              </w:rPr>
            </w:pPr>
            <w:r>
              <w:rPr>
                <w:b/>
                <w:sz w:val="22"/>
              </w:rPr>
              <w:t>Nombre científico</w:t>
            </w:r>
          </w:p>
        </w:tc>
        <w:tc>
          <w:tcPr>
            <w:tcW w:w="2891" w:type="dxa"/>
            <w:tcBorders>
              <w:left w:val="thickThinMediumGap" w:sz="12" w:space="0" w:color="000000"/>
              <w:bottom w:val="thinThickMediumGap" w:sz="12" w:space="0" w:color="000000"/>
              <w:right w:val="thinThickMediumGap" w:sz="12" w:space="0" w:color="000000"/>
            </w:tcBorders>
            <w:shd w:val="clear" w:color="auto" w:fill="D9D9D9"/>
          </w:tcPr>
          <w:p>
            <w:pPr>
              <w:pStyle w:val="TableParagraph"/>
              <w:spacing w:line="248" w:lineRule="exact"/>
              <w:ind w:left="546" w:right="547"/>
              <w:jc w:val="center"/>
              <w:rPr>
                <w:b/>
                <w:sz w:val="22"/>
              </w:rPr>
            </w:pPr>
            <w:r>
              <w:rPr>
                <w:b/>
                <w:sz w:val="22"/>
              </w:rPr>
              <w:t>Forma biológica</w:t>
            </w:r>
          </w:p>
        </w:tc>
      </w:tr>
      <w:tr>
        <w:trPr>
          <w:trHeight w:val="444" w:hRule="exact"/>
        </w:trPr>
        <w:tc>
          <w:tcPr>
            <w:tcW w:w="2204" w:type="dxa"/>
            <w:tcBorders>
              <w:top w:val="thickThinMediumGap" w:sz="12" w:space="0" w:color="000000"/>
              <w:bottom w:val="thinThickMediumGap" w:sz="12" w:space="0" w:color="000000"/>
              <w:right w:val="thinThickMediumGap" w:sz="12" w:space="0" w:color="000000"/>
            </w:tcBorders>
          </w:tcPr>
          <w:p>
            <w:pPr>
              <w:pStyle w:val="TableParagraph"/>
              <w:spacing w:before="19"/>
              <w:ind w:left="81"/>
              <w:rPr>
                <w:sz w:val="22"/>
              </w:rPr>
            </w:pPr>
            <w:r>
              <w:rPr>
                <w:sz w:val="22"/>
              </w:rPr>
              <w:t>Begoniaceae</w:t>
            </w:r>
          </w:p>
        </w:tc>
        <w:tc>
          <w:tcPr>
            <w:tcW w:w="4533" w:type="dxa"/>
            <w:tcBorders>
              <w:top w:val="thickThinMediumGap" w:sz="12" w:space="0" w:color="000000"/>
              <w:bottom w:val="thinThickMediumGap" w:sz="12" w:space="0" w:color="000000"/>
              <w:right w:val="thinThickMediumGap" w:sz="12" w:space="0" w:color="000000"/>
            </w:tcBorders>
          </w:tcPr>
          <w:p>
            <w:pPr>
              <w:pStyle w:val="TableParagraph"/>
              <w:spacing w:before="14"/>
              <w:ind w:left="81"/>
              <w:rPr>
                <w:sz w:val="22"/>
              </w:rPr>
            </w:pPr>
            <w:r>
              <w:rPr>
                <w:i/>
                <w:sz w:val="22"/>
              </w:rPr>
              <w:t>Begonia gracilis </w:t>
            </w:r>
            <w:r>
              <w:rPr>
                <w:sz w:val="22"/>
              </w:rPr>
              <w:t>H.B. &amp; K.</w:t>
            </w:r>
          </w:p>
        </w:tc>
        <w:tc>
          <w:tcPr>
            <w:tcW w:w="2891" w:type="dxa"/>
            <w:tcBorders>
              <w:top w:val="thickThinMediumGap" w:sz="12" w:space="0" w:color="000000"/>
              <w:left w:val="thickThinMediumGap" w:sz="12" w:space="0" w:color="000000"/>
              <w:bottom w:val="thinThickMediumGap" w:sz="12" w:space="0" w:color="000000"/>
              <w:right w:val="thinThickMediumGap" w:sz="12" w:space="0" w:color="000000"/>
            </w:tcBorders>
          </w:tcPr>
          <w:p>
            <w:pPr>
              <w:pStyle w:val="TableParagraph"/>
              <w:spacing w:before="19"/>
              <w:ind w:left="546" w:right="546"/>
              <w:jc w:val="center"/>
              <w:rPr>
                <w:sz w:val="22"/>
              </w:rPr>
            </w:pPr>
            <w:r>
              <w:rPr>
                <w:sz w:val="22"/>
              </w:rPr>
              <w:t>Hierba perenne</w:t>
            </w:r>
          </w:p>
        </w:tc>
      </w:tr>
      <w:tr>
        <w:trPr>
          <w:trHeight w:val="451" w:hRule="exact"/>
        </w:trPr>
        <w:tc>
          <w:tcPr>
            <w:tcW w:w="2204" w:type="dxa"/>
            <w:tcBorders>
              <w:bottom w:val="thinThickMediumGap" w:sz="12" w:space="0" w:color="000000"/>
              <w:right w:val="thinThickMediumGap" w:sz="12" w:space="0" w:color="000000"/>
            </w:tcBorders>
          </w:tcPr>
          <w:p>
            <w:pPr>
              <w:pStyle w:val="TableParagraph"/>
              <w:spacing w:before="14"/>
              <w:ind w:left="81"/>
              <w:rPr>
                <w:sz w:val="22"/>
              </w:rPr>
            </w:pPr>
            <w:r>
              <w:rPr>
                <w:sz w:val="22"/>
              </w:rPr>
              <w:t>Betulaceae</w:t>
            </w:r>
          </w:p>
        </w:tc>
        <w:tc>
          <w:tcPr>
            <w:tcW w:w="4533" w:type="dxa"/>
            <w:tcBorders>
              <w:bottom w:val="thinThickMediumGap" w:sz="12" w:space="0" w:color="000000"/>
              <w:right w:val="thinThickMediumGap" w:sz="12" w:space="0" w:color="000000"/>
            </w:tcBorders>
          </w:tcPr>
          <w:p>
            <w:pPr>
              <w:pStyle w:val="TableParagraph"/>
              <w:spacing w:before="9"/>
              <w:ind w:left="81"/>
              <w:rPr>
                <w:sz w:val="22"/>
              </w:rPr>
            </w:pPr>
            <w:r>
              <w:rPr>
                <w:i/>
                <w:sz w:val="22"/>
              </w:rPr>
              <w:t>Alnus jorullensis </w:t>
            </w:r>
            <w:r>
              <w:rPr>
                <w:sz w:val="22"/>
              </w:rPr>
              <w:t>H.B. &amp;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38"/>
              <w:jc w:val="center"/>
              <w:rPr>
                <w:sz w:val="22"/>
              </w:rPr>
            </w:pPr>
            <w:r>
              <w:rPr>
                <w:sz w:val="22"/>
              </w:rPr>
              <w:t>Árbol</w:t>
            </w:r>
          </w:p>
        </w:tc>
      </w:tr>
      <w:tr>
        <w:trPr>
          <w:trHeight w:val="427"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Bignonaceae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Tecoma stans </w:t>
            </w:r>
            <w:r>
              <w:rPr>
                <w:sz w:val="22"/>
              </w:rPr>
              <w:t>(Linn.) H.B. &amp;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Arbusto</w:t>
            </w:r>
          </w:p>
        </w:tc>
      </w:tr>
      <w:tr>
        <w:trPr>
          <w:trHeight w:val="442" w:hRule="exact"/>
        </w:trPr>
        <w:tc>
          <w:tcPr>
            <w:tcW w:w="2204" w:type="dxa"/>
            <w:tcBorders>
              <w:bottom w:val="thinThickMediumGap" w:sz="12" w:space="0" w:color="000000"/>
              <w:right w:val="thinThickMediumGap" w:sz="12" w:space="0" w:color="000000"/>
            </w:tcBorders>
          </w:tcPr>
          <w:p>
            <w:pPr>
              <w:pStyle w:val="TableParagraph"/>
              <w:spacing w:before="19"/>
              <w:ind w:left="81"/>
              <w:rPr>
                <w:sz w:val="22"/>
              </w:rPr>
            </w:pPr>
            <w:r>
              <w:rPr>
                <w:sz w:val="22"/>
              </w:rPr>
              <w:t>Brassicaeae</w:t>
            </w:r>
          </w:p>
        </w:tc>
        <w:tc>
          <w:tcPr>
            <w:tcW w:w="4533" w:type="dxa"/>
            <w:tcBorders>
              <w:bottom w:val="thinThickMediumGap" w:sz="12" w:space="0" w:color="000000"/>
              <w:right w:val="thinThickMediumGap" w:sz="12" w:space="0" w:color="000000"/>
            </w:tcBorders>
          </w:tcPr>
          <w:p>
            <w:pPr>
              <w:pStyle w:val="TableParagraph"/>
              <w:spacing w:before="15"/>
              <w:ind w:left="81"/>
              <w:rPr>
                <w:sz w:val="22"/>
              </w:rPr>
            </w:pPr>
            <w:r>
              <w:rPr>
                <w:i/>
                <w:sz w:val="22"/>
              </w:rPr>
              <w:t>Lepidium oblongum </w:t>
            </w:r>
            <w:r>
              <w:rPr>
                <w:sz w:val="22"/>
              </w:rPr>
              <w:t>Small.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9"/>
              <w:ind w:left="546" w:right="546"/>
              <w:jc w:val="center"/>
              <w:rPr>
                <w:sz w:val="22"/>
              </w:rPr>
            </w:pPr>
            <w:r>
              <w:rPr>
                <w:sz w:val="22"/>
              </w:rPr>
              <w:t>Hierba perenne</w:t>
            </w:r>
          </w:p>
        </w:tc>
      </w:tr>
      <w:tr>
        <w:trPr>
          <w:trHeight w:val="451" w:hRule="exact"/>
        </w:trPr>
        <w:tc>
          <w:tcPr>
            <w:tcW w:w="2204" w:type="dxa"/>
            <w:vMerge w:val="restart"/>
            <w:tcBorders>
              <w:right w:val="thinThickMediumGap" w:sz="12" w:space="0" w:color="000000"/>
            </w:tcBorders>
          </w:tcPr>
          <w:p>
            <w:pPr>
              <w:pStyle w:val="TableParagraph"/>
              <w:spacing w:before="5"/>
              <w:rPr>
                <w:b/>
                <w:i/>
                <w:sz w:val="20"/>
              </w:rPr>
            </w:pPr>
          </w:p>
          <w:p>
            <w:pPr>
              <w:pStyle w:val="TableParagraph"/>
              <w:ind w:left="81"/>
              <w:rPr>
                <w:sz w:val="22"/>
              </w:rPr>
            </w:pPr>
            <w:r>
              <w:rPr>
                <w:sz w:val="22"/>
              </w:rPr>
              <w:t>Campanulaceae</w:t>
            </w:r>
          </w:p>
        </w:tc>
        <w:tc>
          <w:tcPr>
            <w:tcW w:w="4533" w:type="dxa"/>
            <w:tcBorders>
              <w:bottom w:val="thinThickMediumGap" w:sz="12" w:space="0" w:color="000000"/>
              <w:right w:val="thinThickMediumGap" w:sz="12" w:space="0" w:color="000000"/>
            </w:tcBorders>
          </w:tcPr>
          <w:p>
            <w:pPr>
              <w:pStyle w:val="TableParagraph"/>
              <w:spacing w:before="9"/>
              <w:ind w:left="81"/>
              <w:rPr>
                <w:sz w:val="22"/>
              </w:rPr>
            </w:pPr>
            <w:r>
              <w:rPr>
                <w:i/>
                <w:sz w:val="22"/>
              </w:rPr>
              <w:t>Dlastatea micrantha </w:t>
            </w:r>
            <w:r>
              <w:rPr>
                <w:sz w:val="22"/>
              </w:rPr>
              <w:t>(H.B. &amp; K.) McVugh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46"/>
              <w:jc w:val="center"/>
              <w:rPr>
                <w:sz w:val="22"/>
              </w:rPr>
            </w:pPr>
            <w:r>
              <w:rPr>
                <w:sz w:val="22"/>
              </w:rPr>
              <w:t>Hierba perenne</w:t>
            </w:r>
          </w:p>
        </w:tc>
      </w:tr>
      <w:tr>
        <w:trPr>
          <w:trHeight w:val="442" w:hRule="exact"/>
        </w:trPr>
        <w:tc>
          <w:tcPr>
            <w:tcW w:w="2204" w:type="dxa"/>
            <w:vMerge/>
            <w:tcBorders>
              <w:bottom w:val="thinThickMediumGap" w:sz="12" w:space="0" w:color="000000"/>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Lobelia laxiflora </w:t>
            </w:r>
            <w:r>
              <w:rPr>
                <w:sz w:val="22"/>
              </w:rPr>
              <w:t>H.B.&amp;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204" w:type="dxa"/>
            <w:tcBorders>
              <w:bottom w:val="thinThickMediumGap" w:sz="12" w:space="0" w:color="000000"/>
              <w:right w:val="thinThickMediumGap" w:sz="12" w:space="0" w:color="000000"/>
            </w:tcBorders>
          </w:tcPr>
          <w:p>
            <w:pPr>
              <w:pStyle w:val="TableParagraph"/>
              <w:ind w:left="81"/>
              <w:rPr>
                <w:sz w:val="22"/>
              </w:rPr>
            </w:pPr>
            <w:r>
              <w:rPr>
                <w:sz w:val="22"/>
              </w:rPr>
              <w:t>Caryophyllaceae</w:t>
            </w:r>
          </w:p>
        </w:tc>
        <w:tc>
          <w:tcPr>
            <w:tcW w:w="4533"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Drymaria effusa </w:t>
            </w:r>
            <w:r>
              <w:rPr>
                <w:sz w:val="22"/>
              </w:rPr>
              <w:t>A. Gray.</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4"/>
              <w:jc w:val="center"/>
              <w:rPr>
                <w:sz w:val="22"/>
              </w:rPr>
            </w:pPr>
            <w:r>
              <w:rPr>
                <w:sz w:val="22"/>
              </w:rPr>
              <w:t>Hierba anual</w:t>
            </w:r>
          </w:p>
        </w:tc>
      </w:tr>
      <w:tr>
        <w:trPr>
          <w:trHeight w:val="427"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Clusiaceae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Clusia salvinii </w:t>
            </w:r>
            <w:r>
              <w:rPr>
                <w:sz w:val="22"/>
              </w:rPr>
              <w:t>J. Donnell. Smith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38"/>
              <w:jc w:val="center"/>
              <w:rPr>
                <w:sz w:val="22"/>
              </w:rPr>
            </w:pPr>
            <w:r>
              <w:rPr>
                <w:sz w:val="22"/>
              </w:rPr>
              <w:t>Árbol</w:t>
            </w:r>
          </w:p>
        </w:tc>
      </w:tr>
      <w:tr>
        <w:trPr>
          <w:trHeight w:val="451" w:hRule="exact"/>
        </w:trPr>
        <w:tc>
          <w:tcPr>
            <w:tcW w:w="2204" w:type="dxa"/>
            <w:tcBorders>
              <w:bottom w:val="thinThickMediumGap" w:sz="12" w:space="0" w:color="000000"/>
              <w:right w:val="thinThickMediumGap" w:sz="12" w:space="0" w:color="000000"/>
            </w:tcBorders>
          </w:tcPr>
          <w:p>
            <w:pPr>
              <w:pStyle w:val="TableParagraph"/>
              <w:spacing w:before="14"/>
              <w:ind w:left="81"/>
              <w:rPr>
                <w:sz w:val="22"/>
              </w:rPr>
            </w:pPr>
            <w:r>
              <w:rPr>
                <w:sz w:val="22"/>
              </w:rPr>
              <w:t>Ericaceae</w:t>
            </w:r>
          </w:p>
        </w:tc>
        <w:tc>
          <w:tcPr>
            <w:tcW w:w="4533" w:type="dxa"/>
            <w:tcBorders>
              <w:bottom w:val="thinThickMediumGap" w:sz="12" w:space="0" w:color="000000"/>
              <w:right w:val="thinThickMediumGap" w:sz="12" w:space="0" w:color="000000"/>
            </w:tcBorders>
          </w:tcPr>
          <w:p>
            <w:pPr>
              <w:pStyle w:val="TableParagraph"/>
              <w:spacing w:before="9"/>
              <w:ind w:left="81"/>
              <w:rPr>
                <w:sz w:val="22"/>
              </w:rPr>
            </w:pPr>
            <w:r>
              <w:rPr>
                <w:i/>
                <w:sz w:val="22"/>
              </w:rPr>
              <w:t>Arctostaphylos discolor </w:t>
            </w:r>
            <w:r>
              <w:rPr>
                <w:sz w:val="22"/>
              </w:rPr>
              <w:t>(Hook.) Diggs</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46"/>
              <w:jc w:val="center"/>
              <w:rPr>
                <w:sz w:val="22"/>
              </w:rPr>
            </w:pPr>
            <w:r>
              <w:rPr>
                <w:sz w:val="22"/>
              </w:rPr>
              <w:t>Arbusto</w:t>
            </w:r>
          </w:p>
        </w:tc>
      </w:tr>
      <w:tr>
        <w:trPr>
          <w:trHeight w:val="442" w:hRule="exact"/>
        </w:trPr>
        <w:tc>
          <w:tcPr>
            <w:tcW w:w="2204" w:type="dxa"/>
            <w:vMerge w:val="restart"/>
            <w:tcBorders>
              <w:right w:val="thinThickMediumGap" w:sz="12" w:space="0" w:color="000000"/>
            </w:tcBorders>
          </w:tcPr>
          <w:p>
            <w:pPr>
              <w:pStyle w:val="TableParagraph"/>
              <w:spacing w:before="7"/>
              <w:rPr>
                <w:b/>
                <w:i/>
                <w:sz w:val="19"/>
              </w:rPr>
            </w:pPr>
          </w:p>
          <w:p>
            <w:pPr>
              <w:pStyle w:val="TableParagraph"/>
              <w:ind w:left="81"/>
              <w:rPr>
                <w:sz w:val="22"/>
              </w:rPr>
            </w:pPr>
            <w:r>
              <w:rPr>
                <w:sz w:val="22"/>
              </w:rPr>
              <w:t>Euphorbiaceae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Acalypha jerzedowskii </w:t>
            </w:r>
            <w:r>
              <w:rPr>
                <w:sz w:val="22"/>
              </w:rPr>
              <w:t>Calderon</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204" w:type="dxa"/>
            <w:vMerge/>
            <w:tcBorders>
              <w:bottom w:val="thinThickMediumGap" w:sz="12" w:space="0" w:color="000000"/>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Croton morifollus </w:t>
            </w:r>
            <w:r>
              <w:rPr>
                <w:sz w:val="22"/>
              </w:rPr>
              <w:t>Willd.</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Fabaceae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Erythrina coralloides </w:t>
            </w:r>
            <w:r>
              <w:rPr>
                <w:sz w:val="22"/>
              </w:rPr>
              <w:t>D. C.</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Arbusto</w:t>
            </w:r>
          </w:p>
        </w:tc>
      </w:tr>
      <w:tr>
        <w:trPr>
          <w:trHeight w:val="442" w:hRule="exact"/>
        </w:trPr>
        <w:tc>
          <w:tcPr>
            <w:tcW w:w="2204" w:type="dxa"/>
            <w:vMerge w:val="restart"/>
            <w:tcBorders>
              <w:right w:val="thinThickMediumGap" w:sz="12" w:space="0" w:color="000000"/>
            </w:tcBorders>
          </w:tcPr>
          <w:p>
            <w:pPr>
              <w:pStyle w:val="TableParagraph"/>
              <w:rPr>
                <w:b/>
                <w:i/>
                <w:sz w:val="22"/>
              </w:rPr>
            </w:pPr>
          </w:p>
          <w:p>
            <w:pPr>
              <w:pStyle w:val="TableParagraph"/>
              <w:spacing w:before="188"/>
              <w:ind w:left="81"/>
              <w:rPr>
                <w:sz w:val="22"/>
              </w:rPr>
            </w:pPr>
            <w:r>
              <w:rPr>
                <w:sz w:val="22"/>
              </w:rPr>
              <w:t>Fagaceae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Quercus crasifolia </w:t>
            </w:r>
            <w:r>
              <w:rPr>
                <w:sz w:val="22"/>
              </w:rPr>
              <w:t>Humb. &amp; Bonpl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38"/>
              <w:jc w:val="center"/>
              <w:rPr>
                <w:sz w:val="22"/>
              </w:rPr>
            </w:pPr>
            <w:r>
              <w:rPr>
                <w:sz w:val="22"/>
              </w:rPr>
              <w:t>Árbol</w:t>
            </w:r>
          </w:p>
        </w:tc>
      </w:tr>
      <w:tr>
        <w:trPr>
          <w:trHeight w:val="437" w:hRule="exact"/>
        </w:trPr>
        <w:tc>
          <w:tcPr>
            <w:tcW w:w="2204" w:type="dxa"/>
            <w:vMerge/>
            <w:tcBorders>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Quercus gergii </w:t>
            </w:r>
            <w:r>
              <w:rPr>
                <w:sz w:val="22"/>
              </w:rPr>
              <w:t>Trel.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38"/>
              <w:jc w:val="center"/>
              <w:rPr>
                <w:sz w:val="22"/>
              </w:rPr>
            </w:pPr>
            <w:r>
              <w:rPr>
                <w:sz w:val="22"/>
              </w:rPr>
              <w:t>Árbol</w:t>
            </w:r>
          </w:p>
        </w:tc>
      </w:tr>
      <w:tr>
        <w:trPr>
          <w:trHeight w:val="427" w:hRule="exact"/>
        </w:trPr>
        <w:tc>
          <w:tcPr>
            <w:tcW w:w="2204" w:type="dxa"/>
            <w:vMerge/>
            <w:tcBorders>
              <w:bottom w:val="thinThickMediumGap" w:sz="12" w:space="0" w:color="000000"/>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Quercus potosina </w:t>
            </w:r>
            <w:r>
              <w:rPr>
                <w:sz w:val="22"/>
              </w:rPr>
              <w:t>Trel.</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38"/>
              <w:jc w:val="center"/>
              <w:rPr>
                <w:sz w:val="22"/>
              </w:rPr>
            </w:pPr>
            <w:r>
              <w:rPr>
                <w:sz w:val="22"/>
              </w:rPr>
              <w:t>Árbol</w:t>
            </w:r>
          </w:p>
        </w:tc>
      </w:tr>
      <w:tr>
        <w:trPr>
          <w:trHeight w:val="451" w:hRule="exact"/>
        </w:trPr>
        <w:tc>
          <w:tcPr>
            <w:tcW w:w="2204" w:type="dxa"/>
            <w:tcBorders>
              <w:bottom w:val="thinThickMediumGap" w:sz="12" w:space="0" w:color="000000"/>
              <w:right w:val="thinThickMediumGap" w:sz="12" w:space="0" w:color="000000"/>
            </w:tcBorders>
          </w:tcPr>
          <w:p>
            <w:pPr>
              <w:pStyle w:val="TableParagraph"/>
              <w:spacing w:before="14"/>
              <w:ind w:left="81"/>
              <w:rPr>
                <w:sz w:val="22"/>
              </w:rPr>
            </w:pPr>
            <w:r>
              <w:rPr>
                <w:sz w:val="22"/>
              </w:rPr>
              <w:t>Hydrophylaceae</w:t>
            </w:r>
          </w:p>
        </w:tc>
        <w:tc>
          <w:tcPr>
            <w:tcW w:w="4533" w:type="dxa"/>
            <w:tcBorders>
              <w:bottom w:val="thinThickMediumGap" w:sz="12" w:space="0" w:color="000000"/>
              <w:right w:val="thinThickMediumGap" w:sz="12" w:space="0" w:color="000000"/>
            </w:tcBorders>
          </w:tcPr>
          <w:p>
            <w:pPr>
              <w:pStyle w:val="TableParagraph"/>
              <w:spacing w:before="9"/>
              <w:ind w:left="81"/>
              <w:rPr>
                <w:sz w:val="22"/>
              </w:rPr>
            </w:pPr>
            <w:r>
              <w:rPr>
                <w:i/>
                <w:sz w:val="22"/>
              </w:rPr>
              <w:t>Wigandia urens </w:t>
            </w:r>
            <w:r>
              <w:rPr>
                <w:sz w:val="22"/>
              </w:rPr>
              <w:t>(Ruiz &amp; Pavón) Kunth.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14"/>
              <w:ind w:left="546" w:right="538"/>
              <w:jc w:val="center"/>
              <w:rPr>
                <w:sz w:val="22"/>
              </w:rPr>
            </w:pPr>
            <w:r>
              <w:rPr>
                <w:sz w:val="22"/>
              </w:rPr>
              <w:t>Árbol</w:t>
            </w:r>
          </w:p>
        </w:tc>
      </w:tr>
      <w:tr>
        <w:trPr>
          <w:trHeight w:val="442"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Lhytraceae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Cuphea jorullensis </w:t>
            </w:r>
            <w:r>
              <w:rPr>
                <w:sz w:val="22"/>
              </w:rPr>
              <w:t>H.B. &amp;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204" w:type="dxa"/>
            <w:tcBorders>
              <w:bottom w:val="thinThickMediumGap" w:sz="12" w:space="0" w:color="000000"/>
              <w:right w:val="thinThickMediumGap" w:sz="12" w:space="0" w:color="000000"/>
            </w:tcBorders>
          </w:tcPr>
          <w:p>
            <w:pPr>
              <w:pStyle w:val="TableParagraph"/>
              <w:ind w:left="81"/>
              <w:rPr>
                <w:sz w:val="22"/>
              </w:rPr>
            </w:pPr>
            <w:r>
              <w:rPr>
                <w:sz w:val="22"/>
              </w:rPr>
              <w:t>Malpighiaceae</w:t>
            </w:r>
          </w:p>
        </w:tc>
        <w:tc>
          <w:tcPr>
            <w:tcW w:w="4533"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Galphinia glauca </w:t>
            </w:r>
            <w:r>
              <w:rPr>
                <w:sz w:val="22"/>
              </w:rPr>
              <w:t>Cav.</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Arbusto</w:t>
            </w:r>
          </w:p>
        </w:tc>
      </w:tr>
      <w:tr>
        <w:trPr>
          <w:trHeight w:val="442"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Mimosaceae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Calliandra grandiflora </w:t>
            </w:r>
            <w:r>
              <w:rPr>
                <w:sz w:val="22"/>
              </w:rPr>
              <w:t>(L’Hér.) Benth.</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Arbusto</w:t>
            </w:r>
          </w:p>
        </w:tc>
      </w:tr>
      <w:tr>
        <w:trPr>
          <w:trHeight w:val="437" w:hRule="exact"/>
        </w:trPr>
        <w:tc>
          <w:tcPr>
            <w:tcW w:w="2204" w:type="dxa"/>
            <w:tcBorders>
              <w:bottom w:val="thinThickMediumGap" w:sz="12" w:space="0" w:color="000000"/>
              <w:right w:val="thinThickMediumGap" w:sz="12" w:space="0" w:color="000000"/>
            </w:tcBorders>
          </w:tcPr>
          <w:p>
            <w:pPr>
              <w:pStyle w:val="TableParagraph"/>
              <w:ind w:left="81"/>
              <w:rPr>
                <w:sz w:val="22"/>
              </w:rPr>
            </w:pPr>
            <w:r>
              <w:rPr>
                <w:sz w:val="22"/>
              </w:rPr>
              <w:t>Onagraceae</w:t>
            </w:r>
          </w:p>
        </w:tc>
        <w:tc>
          <w:tcPr>
            <w:tcW w:w="4533"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Oenothera rosea </w:t>
            </w:r>
            <w:r>
              <w:rPr>
                <w:sz w:val="22"/>
              </w:rPr>
              <w:t>L’Hér. ex Alt</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204" w:type="dxa"/>
            <w:tcBorders>
              <w:bottom w:val="thinThickMediumGap" w:sz="12" w:space="0" w:color="000000"/>
              <w:right w:val="thinThickMediumGap" w:sz="12" w:space="0" w:color="000000"/>
            </w:tcBorders>
          </w:tcPr>
          <w:p>
            <w:pPr>
              <w:pStyle w:val="TableParagraph"/>
              <w:spacing w:before="5"/>
              <w:ind w:left="81"/>
              <w:rPr>
                <w:sz w:val="22"/>
              </w:rPr>
            </w:pPr>
            <w:r>
              <w:rPr>
                <w:sz w:val="22"/>
              </w:rPr>
              <w:t>Orobanchaceae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Conopholis alpina </w:t>
            </w:r>
            <w:r>
              <w:rPr>
                <w:sz w:val="22"/>
              </w:rPr>
              <w:t>Liemb</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42" w:hRule="exact"/>
        </w:trPr>
        <w:tc>
          <w:tcPr>
            <w:tcW w:w="2204" w:type="dxa"/>
            <w:vMerge w:val="restart"/>
            <w:tcBorders>
              <w:right w:val="thinThickMediumGap" w:sz="12" w:space="0" w:color="000000"/>
            </w:tcBorders>
          </w:tcPr>
          <w:p>
            <w:pPr>
              <w:pStyle w:val="TableParagraph"/>
              <w:rPr>
                <w:b/>
                <w:i/>
                <w:sz w:val="22"/>
              </w:rPr>
            </w:pPr>
          </w:p>
          <w:p>
            <w:pPr>
              <w:pStyle w:val="TableParagraph"/>
              <w:spacing w:before="188"/>
              <w:ind w:left="81"/>
              <w:rPr>
                <w:sz w:val="22"/>
              </w:rPr>
            </w:pPr>
            <w:r>
              <w:rPr>
                <w:sz w:val="22"/>
              </w:rPr>
              <w:t>Oxalidaceae</w:t>
            </w: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Oxalis albicans </w:t>
            </w:r>
            <w:r>
              <w:rPr>
                <w:sz w:val="22"/>
              </w:rPr>
              <w:t>H.B. &amp; K.</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204" w:type="dxa"/>
            <w:vMerge/>
            <w:tcBorders>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Oxalis hernandesii </w:t>
            </w:r>
            <w:r>
              <w:rPr>
                <w:sz w:val="22"/>
              </w:rPr>
              <w:t>D. C.</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204" w:type="dxa"/>
            <w:vMerge/>
            <w:tcBorders>
              <w:bottom w:val="thinThickMediumGap" w:sz="12" w:space="0" w:color="000000"/>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Oxalis tetraphylla </w:t>
            </w:r>
            <w:r>
              <w:rPr>
                <w:sz w:val="22"/>
              </w:rPr>
              <w:t>Cav.</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r>
        <w:trPr>
          <w:trHeight w:val="437" w:hRule="exact"/>
        </w:trPr>
        <w:tc>
          <w:tcPr>
            <w:tcW w:w="2204" w:type="dxa"/>
            <w:vMerge w:val="restart"/>
            <w:tcBorders>
              <w:right w:val="thinThickMediumGap" w:sz="12" w:space="0" w:color="000000"/>
            </w:tcBorders>
          </w:tcPr>
          <w:p>
            <w:pPr>
              <w:pStyle w:val="TableParagraph"/>
              <w:spacing w:before="2"/>
              <w:rPr>
                <w:b/>
                <w:i/>
                <w:sz w:val="19"/>
              </w:rPr>
            </w:pPr>
          </w:p>
          <w:p>
            <w:pPr>
              <w:pStyle w:val="TableParagraph"/>
              <w:spacing w:before="1"/>
              <w:ind w:left="81"/>
              <w:rPr>
                <w:sz w:val="22"/>
              </w:rPr>
            </w:pPr>
            <w:r>
              <w:rPr>
                <w:sz w:val="22"/>
              </w:rPr>
              <w:t>Papaveraceae</w:t>
            </w:r>
          </w:p>
        </w:tc>
        <w:tc>
          <w:tcPr>
            <w:tcW w:w="4533"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Agemone ochroleuca </w:t>
            </w:r>
            <w:r>
              <w:rPr>
                <w:sz w:val="22"/>
              </w:rPr>
              <w:t>Sweet.</w:t>
            </w:r>
          </w:p>
        </w:tc>
        <w:tc>
          <w:tcPr>
            <w:tcW w:w="2891" w:type="dxa"/>
            <w:tcBorders>
              <w:left w:val="thickThinMediumGap" w:sz="12" w:space="0" w:color="000000"/>
              <w:bottom w:val="thinThickMediumGap" w:sz="12" w:space="0" w:color="000000"/>
              <w:right w:val="thinThickMediumGap" w:sz="12" w:space="0" w:color="000000"/>
            </w:tcBorders>
          </w:tcPr>
          <w:p>
            <w:pPr>
              <w:pStyle w:val="TableParagraph"/>
              <w:ind w:left="546" w:right="546"/>
              <w:jc w:val="center"/>
              <w:rPr>
                <w:sz w:val="22"/>
              </w:rPr>
            </w:pPr>
            <w:r>
              <w:rPr>
                <w:sz w:val="22"/>
              </w:rPr>
              <w:t>Hierba perenne</w:t>
            </w:r>
          </w:p>
        </w:tc>
      </w:tr>
      <w:tr>
        <w:trPr>
          <w:trHeight w:val="442" w:hRule="exact"/>
        </w:trPr>
        <w:tc>
          <w:tcPr>
            <w:tcW w:w="2204" w:type="dxa"/>
            <w:vMerge/>
            <w:tcBorders>
              <w:bottom w:val="thinThickMediumGap" w:sz="12" w:space="0" w:color="000000"/>
              <w:right w:val="thinThickMediumGap" w:sz="12" w:space="0" w:color="000000"/>
            </w:tcBorders>
          </w:tcPr>
          <w:p>
            <w:pPr/>
          </w:p>
        </w:tc>
        <w:tc>
          <w:tcPr>
            <w:tcW w:w="4533" w:type="dxa"/>
            <w:tcBorders>
              <w:bottom w:val="thinThickMediumGap" w:sz="12" w:space="0" w:color="000000"/>
              <w:right w:val="thinThickMediumGap" w:sz="12" w:space="0" w:color="000000"/>
            </w:tcBorders>
          </w:tcPr>
          <w:p>
            <w:pPr>
              <w:pStyle w:val="TableParagraph"/>
              <w:ind w:left="81"/>
              <w:rPr>
                <w:sz w:val="22"/>
              </w:rPr>
            </w:pPr>
            <w:r>
              <w:rPr>
                <w:i/>
                <w:sz w:val="22"/>
              </w:rPr>
              <w:t>Bocconia arbórea </w:t>
            </w:r>
            <w:r>
              <w:rPr>
                <w:sz w:val="22"/>
              </w:rPr>
              <w:t>S. Wats</w:t>
            </w:r>
          </w:p>
        </w:tc>
        <w:tc>
          <w:tcPr>
            <w:tcW w:w="2891" w:type="dxa"/>
            <w:tcBorders>
              <w:left w:val="thickThinMediumGap" w:sz="12" w:space="0" w:color="000000"/>
              <w:bottom w:val="thinThickMediumGap" w:sz="12" w:space="0" w:color="000000"/>
              <w:right w:val="thinThickMediumGap" w:sz="12" w:space="0" w:color="000000"/>
            </w:tcBorders>
          </w:tcPr>
          <w:p>
            <w:pPr>
              <w:pStyle w:val="TableParagraph"/>
              <w:spacing w:before="5"/>
              <w:ind w:left="546" w:right="546"/>
              <w:jc w:val="center"/>
              <w:rPr>
                <w:sz w:val="22"/>
              </w:rPr>
            </w:pPr>
            <w:r>
              <w:rPr>
                <w:sz w:val="22"/>
              </w:rPr>
              <w:t>Hierba perenne</w:t>
            </w:r>
          </w:p>
        </w:tc>
      </w:tr>
    </w:tbl>
    <w:p>
      <w:pPr>
        <w:spacing w:line="220" w:lineRule="exact" w:before="0"/>
        <w:ind w:left="2436" w:right="0" w:firstLine="0"/>
        <w:jc w:val="left"/>
        <w:rPr>
          <w:b/>
          <w:i/>
          <w:sz w:val="20"/>
        </w:rPr>
      </w:pPr>
      <w:r>
        <w:rPr>
          <w:b/>
          <w:i/>
          <w:sz w:val="20"/>
        </w:rPr>
        <w:t>Fuente: Elaboración propia, a partir de Valdez (2003).</w:t>
      </w:r>
    </w:p>
    <w:p>
      <w:pPr>
        <w:spacing w:after="0" w:line="220" w:lineRule="exact"/>
        <w:jc w:val="left"/>
        <w:rPr>
          <w:sz w:val="20"/>
        </w:rPr>
        <w:sectPr>
          <w:pgSz w:w="12240" w:h="15840"/>
          <w:pgMar w:header="690" w:footer="1146" w:top="880" w:bottom="1340" w:left="1160" w:right="1140"/>
        </w:sectPr>
      </w:pPr>
    </w:p>
    <w:p>
      <w:pPr>
        <w:pStyle w:val="BodyText"/>
        <w:rPr>
          <w:b/>
          <w:i/>
          <w:sz w:val="20"/>
        </w:rPr>
      </w:pPr>
    </w:p>
    <w:p>
      <w:pPr>
        <w:pStyle w:val="BodyText"/>
        <w:spacing w:before="9"/>
        <w:rPr>
          <w:b/>
          <w:i/>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214"/>
        <w:gridCol w:w="4519"/>
        <w:gridCol w:w="2896"/>
      </w:tblGrid>
      <w:tr>
        <w:trPr>
          <w:trHeight w:val="408" w:hRule="exact"/>
        </w:trPr>
        <w:tc>
          <w:tcPr>
            <w:tcW w:w="9628" w:type="dxa"/>
            <w:gridSpan w:val="3"/>
            <w:tcBorders>
              <w:bottom w:val="thinThickMediumGap" w:sz="12" w:space="0" w:color="000000"/>
              <w:right w:val="thinThickMediumGap" w:sz="12" w:space="0" w:color="000000"/>
            </w:tcBorders>
          </w:tcPr>
          <w:p>
            <w:pPr>
              <w:pStyle w:val="TableParagraph"/>
              <w:spacing w:line="225" w:lineRule="exact"/>
              <w:ind w:left="355"/>
              <w:rPr>
                <w:b/>
                <w:i/>
                <w:sz w:val="20"/>
              </w:rPr>
            </w:pPr>
            <w:r>
              <w:rPr>
                <w:b/>
                <w:i/>
                <w:sz w:val="20"/>
              </w:rPr>
              <w:t>Cuadro 4. Listado de la flora presente en el Parque Universitario “Las Orquídeas” (Continúa).</w:t>
            </w:r>
          </w:p>
        </w:tc>
      </w:tr>
      <w:tr>
        <w:trPr>
          <w:trHeight w:val="421" w:hRule="exact"/>
        </w:trPr>
        <w:tc>
          <w:tcPr>
            <w:tcW w:w="2214" w:type="dxa"/>
            <w:tcBorders>
              <w:bottom w:val="thinThickMediumGap" w:sz="12" w:space="0" w:color="000000"/>
              <w:right w:val="thinThickMediumGap" w:sz="12" w:space="0" w:color="000000"/>
            </w:tcBorders>
            <w:shd w:val="clear" w:color="auto" w:fill="D9D9D9"/>
          </w:tcPr>
          <w:p>
            <w:pPr>
              <w:pStyle w:val="TableParagraph"/>
              <w:spacing w:line="248" w:lineRule="exact"/>
              <w:ind w:left="696"/>
              <w:rPr>
                <w:b/>
                <w:sz w:val="22"/>
              </w:rPr>
            </w:pPr>
            <w:r>
              <w:rPr>
                <w:b/>
                <w:sz w:val="22"/>
              </w:rPr>
              <w:t>Familia</w:t>
            </w:r>
          </w:p>
        </w:tc>
        <w:tc>
          <w:tcPr>
            <w:tcW w:w="4519" w:type="dxa"/>
            <w:tcBorders>
              <w:bottom w:val="thinThickMediumGap" w:sz="12" w:space="0" w:color="000000"/>
              <w:right w:val="thinThickMediumGap" w:sz="12" w:space="0" w:color="000000"/>
            </w:tcBorders>
            <w:shd w:val="clear" w:color="auto" w:fill="D9D9D9"/>
          </w:tcPr>
          <w:p>
            <w:pPr>
              <w:pStyle w:val="TableParagraph"/>
              <w:spacing w:line="248" w:lineRule="exact"/>
              <w:ind w:left="1301"/>
              <w:rPr>
                <w:b/>
                <w:sz w:val="22"/>
              </w:rPr>
            </w:pPr>
            <w:r>
              <w:rPr>
                <w:b/>
                <w:sz w:val="22"/>
              </w:rPr>
              <w:t>Nombre científico</w:t>
            </w:r>
          </w:p>
        </w:tc>
        <w:tc>
          <w:tcPr>
            <w:tcW w:w="2896" w:type="dxa"/>
            <w:tcBorders>
              <w:left w:val="thickThinMediumGap" w:sz="12" w:space="0" w:color="000000"/>
              <w:bottom w:val="thinThickMediumGap" w:sz="12" w:space="0" w:color="000000"/>
              <w:right w:val="thinThickMediumGap" w:sz="12" w:space="0" w:color="000000"/>
            </w:tcBorders>
            <w:shd w:val="clear" w:color="auto" w:fill="D9D9D9"/>
          </w:tcPr>
          <w:p>
            <w:pPr>
              <w:pStyle w:val="TableParagraph"/>
              <w:spacing w:line="248" w:lineRule="exact"/>
              <w:ind w:left="549" w:right="548"/>
              <w:jc w:val="center"/>
              <w:rPr>
                <w:b/>
                <w:sz w:val="22"/>
              </w:rPr>
            </w:pPr>
            <w:r>
              <w:rPr>
                <w:b/>
                <w:sz w:val="22"/>
              </w:rPr>
              <w:t>Forma biológica</w:t>
            </w:r>
          </w:p>
        </w:tc>
      </w:tr>
      <w:tr>
        <w:trPr>
          <w:trHeight w:val="444" w:hRule="exact"/>
        </w:trPr>
        <w:tc>
          <w:tcPr>
            <w:tcW w:w="2214" w:type="dxa"/>
            <w:tcBorders>
              <w:top w:val="thickThinMediumGap" w:sz="12" w:space="0" w:color="000000"/>
              <w:bottom w:val="thinThickMediumGap" w:sz="12" w:space="0" w:color="000000"/>
              <w:right w:val="thinThickMediumGap" w:sz="12" w:space="0" w:color="000000"/>
            </w:tcBorders>
          </w:tcPr>
          <w:p>
            <w:pPr>
              <w:pStyle w:val="TableParagraph"/>
              <w:spacing w:before="19"/>
              <w:ind w:left="81"/>
              <w:rPr>
                <w:sz w:val="22"/>
              </w:rPr>
            </w:pPr>
            <w:r>
              <w:rPr>
                <w:sz w:val="22"/>
              </w:rPr>
              <w:t>Piperaceae</w:t>
            </w:r>
          </w:p>
        </w:tc>
        <w:tc>
          <w:tcPr>
            <w:tcW w:w="4519" w:type="dxa"/>
            <w:tcBorders>
              <w:top w:val="thickThinMediumGap" w:sz="12" w:space="0" w:color="000000"/>
              <w:bottom w:val="thinThickMediumGap" w:sz="12" w:space="0" w:color="000000"/>
              <w:right w:val="thinThickMediumGap" w:sz="12" w:space="0" w:color="000000"/>
            </w:tcBorders>
          </w:tcPr>
          <w:p>
            <w:pPr>
              <w:pStyle w:val="TableParagraph"/>
              <w:spacing w:before="14"/>
              <w:ind w:left="76"/>
              <w:rPr>
                <w:sz w:val="22"/>
              </w:rPr>
            </w:pPr>
            <w:r>
              <w:rPr>
                <w:i/>
                <w:sz w:val="22"/>
              </w:rPr>
              <w:t>Peperomia hispidula </w:t>
            </w:r>
            <w:r>
              <w:rPr>
                <w:sz w:val="22"/>
              </w:rPr>
              <w:t>(SW.) A. Dietr.</w:t>
            </w:r>
          </w:p>
        </w:tc>
        <w:tc>
          <w:tcPr>
            <w:tcW w:w="2896" w:type="dxa"/>
            <w:tcBorders>
              <w:top w:val="thickThinMediumGap" w:sz="12" w:space="0" w:color="000000"/>
              <w:left w:val="thickThinMediumGap" w:sz="12" w:space="0" w:color="000000"/>
              <w:bottom w:val="thinThickMediumGap" w:sz="12" w:space="0" w:color="000000"/>
              <w:right w:val="thinThickMediumGap" w:sz="12" w:space="0" w:color="000000"/>
            </w:tcBorders>
          </w:tcPr>
          <w:p>
            <w:pPr>
              <w:pStyle w:val="TableParagraph"/>
              <w:spacing w:before="19"/>
              <w:ind w:left="549" w:right="545"/>
              <w:jc w:val="center"/>
              <w:rPr>
                <w:sz w:val="22"/>
              </w:rPr>
            </w:pPr>
            <w:r>
              <w:rPr>
                <w:sz w:val="22"/>
              </w:rPr>
              <w:t>Hierba perenne</w:t>
            </w:r>
          </w:p>
        </w:tc>
      </w:tr>
      <w:tr>
        <w:trPr>
          <w:trHeight w:val="437" w:hRule="exact"/>
        </w:trPr>
        <w:tc>
          <w:tcPr>
            <w:tcW w:w="2214" w:type="dxa"/>
            <w:tcBorders>
              <w:bottom w:val="thinThickMediumGap" w:sz="12" w:space="0" w:color="000000"/>
              <w:right w:val="thinThickMediumGap" w:sz="12" w:space="0" w:color="000000"/>
            </w:tcBorders>
          </w:tcPr>
          <w:p>
            <w:pPr>
              <w:pStyle w:val="TableParagraph"/>
              <w:spacing w:before="14"/>
              <w:ind w:left="81"/>
              <w:rPr>
                <w:sz w:val="22"/>
              </w:rPr>
            </w:pPr>
            <w:r>
              <w:rPr>
                <w:sz w:val="22"/>
              </w:rPr>
              <w:t>Polygonaceae</w:t>
            </w:r>
          </w:p>
        </w:tc>
        <w:tc>
          <w:tcPr>
            <w:tcW w:w="4519" w:type="dxa"/>
            <w:tcBorders>
              <w:bottom w:val="thinThickMediumGap" w:sz="12" w:space="0" w:color="000000"/>
              <w:right w:val="thinThickMediumGap" w:sz="12" w:space="0" w:color="000000"/>
            </w:tcBorders>
          </w:tcPr>
          <w:p>
            <w:pPr>
              <w:pStyle w:val="TableParagraph"/>
              <w:spacing w:before="9"/>
              <w:ind w:left="76"/>
              <w:rPr>
                <w:sz w:val="22"/>
              </w:rPr>
            </w:pPr>
            <w:r>
              <w:rPr>
                <w:i/>
                <w:sz w:val="22"/>
              </w:rPr>
              <w:t>Rumex obtusifollus </w:t>
            </w:r>
            <w:r>
              <w:rPr>
                <w:sz w:val="22"/>
              </w:rPr>
              <w:t>Linn.</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4"/>
              <w:ind w:left="549" w:right="545"/>
              <w:jc w:val="center"/>
              <w:rPr>
                <w:sz w:val="22"/>
              </w:rPr>
            </w:pPr>
            <w:r>
              <w:rPr>
                <w:sz w:val="22"/>
              </w:rPr>
              <w:t>Hierba perenne</w:t>
            </w:r>
          </w:p>
        </w:tc>
      </w:tr>
      <w:tr>
        <w:trPr>
          <w:trHeight w:val="442" w:hRule="exact"/>
        </w:trPr>
        <w:tc>
          <w:tcPr>
            <w:tcW w:w="2214" w:type="dxa"/>
            <w:tcBorders>
              <w:bottom w:val="thinThickMediumGap" w:sz="12" w:space="0" w:color="000000"/>
              <w:right w:val="thinThickMediumGap" w:sz="12" w:space="0" w:color="000000"/>
            </w:tcBorders>
          </w:tcPr>
          <w:p>
            <w:pPr>
              <w:pStyle w:val="TableParagraph"/>
              <w:spacing w:before="19"/>
              <w:ind w:left="81"/>
              <w:rPr>
                <w:sz w:val="22"/>
              </w:rPr>
            </w:pPr>
            <w:r>
              <w:rPr>
                <w:sz w:val="22"/>
              </w:rPr>
              <w:t>Ranunculaceae</w:t>
            </w:r>
          </w:p>
        </w:tc>
        <w:tc>
          <w:tcPr>
            <w:tcW w:w="4519" w:type="dxa"/>
            <w:tcBorders>
              <w:bottom w:val="thinThickMediumGap" w:sz="12" w:space="0" w:color="000000"/>
              <w:right w:val="thinThickMediumGap" w:sz="12" w:space="0" w:color="000000"/>
            </w:tcBorders>
          </w:tcPr>
          <w:p>
            <w:pPr>
              <w:pStyle w:val="TableParagraph"/>
              <w:spacing w:before="14"/>
              <w:ind w:left="76"/>
              <w:rPr>
                <w:sz w:val="22"/>
              </w:rPr>
            </w:pPr>
            <w:r>
              <w:rPr>
                <w:i/>
                <w:sz w:val="22"/>
              </w:rPr>
              <w:t>Ranunculus petiolaris </w:t>
            </w:r>
            <w:r>
              <w:rPr>
                <w:sz w:val="22"/>
              </w:rPr>
              <w:t>H.B. &amp; K.</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9"/>
              <w:ind w:left="549" w:right="545"/>
              <w:jc w:val="center"/>
              <w:rPr>
                <w:sz w:val="22"/>
              </w:rPr>
            </w:pPr>
            <w:r>
              <w:rPr>
                <w:sz w:val="22"/>
              </w:rPr>
              <w:t>Hierba perenne</w:t>
            </w:r>
          </w:p>
        </w:tc>
      </w:tr>
      <w:tr>
        <w:trPr>
          <w:trHeight w:val="442" w:hRule="exact"/>
        </w:trPr>
        <w:tc>
          <w:tcPr>
            <w:tcW w:w="2214" w:type="dxa"/>
            <w:tcBorders>
              <w:bottom w:val="thinThickMediumGap" w:sz="12" w:space="0" w:color="000000"/>
              <w:right w:val="thinThickMediumGap" w:sz="12" w:space="0" w:color="000000"/>
            </w:tcBorders>
          </w:tcPr>
          <w:p>
            <w:pPr>
              <w:pStyle w:val="TableParagraph"/>
              <w:spacing w:before="19"/>
              <w:ind w:left="81"/>
              <w:rPr>
                <w:sz w:val="22"/>
              </w:rPr>
            </w:pPr>
            <w:r>
              <w:rPr>
                <w:sz w:val="22"/>
              </w:rPr>
              <w:t>Resedaceae</w:t>
            </w:r>
          </w:p>
        </w:tc>
        <w:tc>
          <w:tcPr>
            <w:tcW w:w="4519" w:type="dxa"/>
            <w:tcBorders>
              <w:bottom w:val="thinThickMediumGap" w:sz="12" w:space="0" w:color="000000"/>
              <w:right w:val="thinThickMediumGap" w:sz="12" w:space="0" w:color="000000"/>
            </w:tcBorders>
          </w:tcPr>
          <w:p>
            <w:pPr>
              <w:pStyle w:val="TableParagraph"/>
              <w:spacing w:before="15"/>
              <w:ind w:left="76"/>
              <w:rPr>
                <w:sz w:val="22"/>
              </w:rPr>
            </w:pPr>
            <w:r>
              <w:rPr>
                <w:i/>
                <w:sz w:val="22"/>
              </w:rPr>
              <w:t>Reseda luteola </w:t>
            </w:r>
            <w:r>
              <w:rPr>
                <w:sz w:val="22"/>
              </w:rPr>
              <w:t>Linn.</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9"/>
              <w:ind w:left="549" w:right="545"/>
              <w:jc w:val="center"/>
              <w:rPr>
                <w:sz w:val="22"/>
              </w:rPr>
            </w:pPr>
            <w:r>
              <w:rPr>
                <w:sz w:val="22"/>
              </w:rPr>
              <w:t>Hierba perenne</w:t>
            </w:r>
          </w:p>
        </w:tc>
      </w:tr>
      <w:tr>
        <w:trPr>
          <w:trHeight w:val="451" w:hRule="exact"/>
        </w:trPr>
        <w:tc>
          <w:tcPr>
            <w:tcW w:w="2214" w:type="dxa"/>
            <w:vMerge w:val="restart"/>
            <w:tcBorders>
              <w:right w:val="thinThickMediumGap" w:sz="12" w:space="0" w:color="000000"/>
            </w:tcBorders>
          </w:tcPr>
          <w:p>
            <w:pPr>
              <w:pStyle w:val="TableParagraph"/>
              <w:rPr>
                <w:b/>
                <w:i/>
                <w:sz w:val="22"/>
              </w:rPr>
            </w:pPr>
          </w:p>
          <w:p>
            <w:pPr>
              <w:pStyle w:val="TableParagraph"/>
              <w:spacing w:before="7"/>
              <w:rPr>
                <w:b/>
                <w:i/>
                <w:sz w:val="17"/>
              </w:rPr>
            </w:pPr>
          </w:p>
          <w:p>
            <w:pPr>
              <w:pStyle w:val="TableParagraph"/>
              <w:ind w:left="81"/>
              <w:rPr>
                <w:sz w:val="22"/>
              </w:rPr>
            </w:pPr>
            <w:r>
              <w:rPr>
                <w:sz w:val="22"/>
              </w:rPr>
              <w:t>Rubiaceae</w:t>
            </w:r>
          </w:p>
        </w:tc>
        <w:tc>
          <w:tcPr>
            <w:tcW w:w="4519" w:type="dxa"/>
            <w:tcBorders>
              <w:bottom w:val="thinThickMediumGap" w:sz="12" w:space="0" w:color="000000"/>
              <w:right w:val="thinThickMediumGap" w:sz="12" w:space="0" w:color="000000"/>
            </w:tcBorders>
          </w:tcPr>
          <w:p>
            <w:pPr>
              <w:pStyle w:val="TableParagraph"/>
              <w:spacing w:before="9"/>
              <w:ind w:left="76"/>
              <w:rPr>
                <w:sz w:val="22"/>
              </w:rPr>
            </w:pPr>
            <w:r>
              <w:rPr>
                <w:i/>
                <w:sz w:val="22"/>
              </w:rPr>
              <w:t>Borreira leavis </w:t>
            </w:r>
            <w:r>
              <w:rPr>
                <w:sz w:val="22"/>
              </w:rPr>
              <w:t>Lam</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4"/>
              <w:ind w:left="549" w:right="545"/>
              <w:jc w:val="center"/>
              <w:rPr>
                <w:sz w:val="22"/>
              </w:rPr>
            </w:pPr>
            <w:r>
              <w:rPr>
                <w:sz w:val="22"/>
              </w:rPr>
              <w:t>Hierba perenne</w:t>
            </w:r>
          </w:p>
        </w:tc>
      </w:tr>
      <w:tr>
        <w:trPr>
          <w:trHeight w:val="442" w:hRule="exact"/>
        </w:trPr>
        <w:tc>
          <w:tcPr>
            <w:tcW w:w="2214" w:type="dxa"/>
            <w:vMerge/>
            <w:tcBorders>
              <w:right w:val="thinThickMediumGap" w:sz="12" w:space="0" w:color="000000"/>
            </w:tcBorders>
          </w:tcPr>
          <w:p>
            <w:pPr/>
          </w:p>
        </w:tc>
        <w:tc>
          <w:tcPr>
            <w:tcW w:w="4519" w:type="dxa"/>
            <w:tcBorders>
              <w:bottom w:val="thinThickMediumGap" w:sz="12" w:space="0" w:color="000000"/>
              <w:right w:val="thinThickMediumGap" w:sz="12" w:space="0" w:color="000000"/>
            </w:tcBorders>
          </w:tcPr>
          <w:p>
            <w:pPr>
              <w:pStyle w:val="TableParagraph"/>
              <w:ind w:left="76"/>
              <w:rPr>
                <w:sz w:val="22"/>
              </w:rPr>
            </w:pPr>
            <w:r>
              <w:rPr>
                <w:i/>
                <w:sz w:val="22"/>
              </w:rPr>
              <w:t>Galium mexicanum </w:t>
            </w:r>
            <w:r>
              <w:rPr>
                <w:sz w:val="22"/>
              </w:rPr>
              <w:t>H.B. &amp; K.</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5"/>
              <w:ind w:left="549" w:right="545"/>
              <w:jc w:val="center"/>
              <w:rPr>
                <w:sz w:val="22"/>
              </w:rPr>
            </w:pPr>
            <w:r>
              <w:rPr>
                <w:sz w:val="22"/>
              </w:rPr>
              <w:t>Hierba perenne</w:t>
            </w:r>
          </w:p>
        </w:tc>
      </w:tr>
      <w:tr>
        <w:trPr>
          <w:trHeight w:val="423" w:hRule="exact"/>
        </w:trPr>
        <w:tc>
          <w:tcPr>
            <w:tcW w:w="2214" w:type="dxa"/>
            <w:vMerge/>
            <w:tcBorders>
              <w:bottom w:val="thinThickMediumGap" w:sz="12" w:space="0" w:color="000000"/>
              <w:right w:val="thinThickMediumGap" w:sz="12" w:space="0" w:color="000000"/>
            </w:tcBorders>
          </w:tcPr>
          <w:p>
            <w:pPr/>
          </w:p>
        </w:tc>
        <w:tc>
          <w:tcPr>
            <w:tcW w:w="4519" w:type="dxa"/>
            <w:tcBorders>
              <w:bottom w:val="thinThickMediumGap" w:sz="12" w:space="0" w:color="000000"/>
              <w:right w:val="thinThickMediumGap" w:sz="12" w:space="0" w:color="000000"/>
            </w:tcBorders>
          </w:tcPr>
          <w:p>
            <w:pPr>
              <w:pStyle w:val="TableParagraph"/>
              <w:spacing w:line="248" w:lineRule="exact"/>
              <w:ind w:left="76"/>
              <w:rPr>
                <w:sz w:val="22"/>
              </w:rPr>
            </w:pPr>
            <w:r>
              <w:rPr>
                <w:i/>
                <w:sz w:val="22"/>
              </w:rPr>
              <w:t>Richardia scabra </w:t>
            </w:r>
            <w:r>
              <w:rPr>
                <w:sz w:val="22"/>
              </w:rPr>
              <w:t>Linn.</w:t>
            </w:r>
          </w:p>
        </w:tc>
        <w:tc>
          <w:tcPr>
            <w:tcW w:w="2896" w:type="dxa"/>
            <w:tcBorders>
              <w:left w:val="thickThinMediumGap" w:sz="12" w:space="0" w:color="000000"/>
              <w:bottom w:val="thinThickMediumGap" w:sz="12" w:space="0" w:color="000000"/>
              <w:right w:val="thinThickMediumGap" w:sz="12" w:space="0" w:color="000000"/>
            </w:tcBorders>
          </w:tcPr>
          <w:p>
            <w:pPr>
              <w:pStyle w:val="TableParagraph"/>
              <w:ind w:left="549" w:right="545"/>
              <w:jc w:val="center"/>
              <w:rPr>
                <w:sz w:val="22"/>
              </w:rPr>
            </w:pPr>
            <w:r>
              <w:rPr>
                <w:sz w:val="22"/>
              </w:rPr>
              <w:t>Hierba perenne</w:t>
            </w:r>
          </w:p>
        </w:tc>
      </w:tr>
      <w:tr>
        <w:trPr>
          <w:trHeight w:val="442" w:hRule="exact"/>
        </w:trPr>
        <w:tc>
          <w:tcPr>
            <w:tcW w:w="2214" w:type="dxa"/>
            <w:tcBorders>
              <w:bottom w:val="thinThickMediumGap" w:sz="12" w:space="0" w:color="000000"/>
              <w:right w:val="thinThickMediumGap" w:sz="12" w:space="0" w:color="000000"/>
            </w:tcBorders>
          </w:tcPr>
          <w:p>
            <w:pPr>
              <w:pStyle w:val="TableParagraph"/>
              <w:spacing w:before="19"/>
              <w:ind w:left="81"/>
              <w:rPr>
                <w:sz w:val="22"/>
              </w:rPr>
            </w:pPr>
            <w:r>
              <w:rPr>
                <w:sz w:val="22"/>
              </w:rPr>
              <w:t>Solananea</w:t>
            </w:r>
          </w:p>
        </w:tc>
        <w:tc>
          <w:tcPr>
            <w:tcW w:w="4519" w:type="dxa"/>
            <w:tcBorders>
              <w:bottom w:val="thinThickMediumGap" w:sz="12" w:space="0" w:color="000000"/>
              <w:right w:val="thinThickMediumGap" w:sz="12" w:space="0" w:color="000000"/>
            </w:tcBorders>
          </w:tcPr>
          <w:p>
            <w:pPr>
              <w:pStyle w:val="TableParagraph"/>
              <w:spacing w:before="14"/>
              <w:ind w:left="76"/>
              <w:rPr>
                <w:sz w:val="22"/>
              </w:rPr>
            </w:pPr>
            <w:r>
              <w:rPr>
                <w:i/>
                <w:sz w:val="22"/>
              </w:rPr>
              <w:t>Datura ceratocaula </w:t>
            </w:r>
            <w:r>
              <w:rPr>
                <w:sz w:val="22"/>
              </w:rPr>
              <w:t>Ort.</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9"/>
              <w:ind w:left="549" w:right="544"/>
              <w:jc w:val="center"/>
              <w:rPr>
                <w:sz w:val="22"/>
              </w:rPr>
            </w:pPr>
            <w:r>
              <w:rPr>
                <w:sz w:val="22"/>
              </w:rPr>
              <w:t>Arbusto</w:t>
            </w:r>
          </w:p>
        </w:tc>
      </w:tr>
      <w:tr>
        <w:trPr>
          <w:trHeight w:val="437" w:hRule="exact"/>
        </w:trPr>
        <w:tc>
          <w:tcPr>
            <w:tcW w:w="2214" w:type="dxa"/>
            <w:tcBorders>
              <w:bottom w:val="thinThickMediumGap" w:sz="12" w:space="0" w:color="000000"/>
              <w:right w:val="thinThickMediumGap" w:sz="12" w:space="0" w:color="000000"/>
            </w:tcBorders>
          </w:tcPr>
          <w:p>
            <w:pPr>
              <w:pStyle w:val="TableParagraph"/>
              <w:spacing w:before="14"/>
              <w:ind w:left="81"/>
              <w:rPr>
                <w:sz w:val="22"/>
              </w:rPr>
            </w:pPr>
            <w:r>
              <w:rPr>
                <w:sz w:val="22"/>
              </w:rPr>
              <w:t>Scrophulariaceae</w:t>
            </w:r>
          </w:p>
        </w:tc>
        <w:tc>
          <w:tcPr>
            <w:tcW w:w="4519" w:type="dxa"/>
            <w:tcBorders>
              <w:bottom w:val="thinThickMediumGap" w:sz="12" w:space="0" w:color="000000"/>
              <w:right w:val="thinThickMediumGap" w:sz="12" w:space="0" w:color="000000"/>
            </w:tcBorders>
          </w:tcPr>
          <w:p>
            <w:pPr>
              <w:pStyle w:val="TableParagraph"/>
              <w:spacing w:before="9"/>
              <w:ind w:left="76"/>
              <w:rPr>
                <w:sz w:val="22"/>
              </w:rPr>
            </w:pPr>
            <w:r>
              <w:rPr>
                <w:i/>
                <w:sz w:val="22"/>
              </w:rPr>
              <w:t>Bacopa procumbens </w:t>
            </w:r>
            <w:r>
              <w:rPr>
                <w:sz w:val="22"/>
              </w:rPr>
              <w:t>(Mill.) Samall</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4"/>
              <w:ind w:left="549" w:right="545"/>
              <w:jc w:val="center"/>
              <w:rPr>
                <w:sz w:val="22"/>
              </w:rPr>
            </w:pPr>
            <w:r>
              <w:rPr>
                <w:sz w:val="22"/>
              </w:rPr>
              <w:t>Hierba perenne</w:t>
            </w:r>
          </w:p>
        </w:tc>
      </w:tr>
      <w:tr>
        <w:trPr>
          <w:trHeight w:val="442" w:hRule="exact"/>
        </w:trPr>
        <w:tc>
          <w:tcPr>
            <w:tcW w:w="2214" w:type="dxa"/>
            <w:tcBorders>
              <w:bottom w:val="thinThickMediumGap" w:sz="12" w:space="0" w:color="000000"/>
              <w:right w:val="thinThickMediumGap" w:sz="12" w:space="0" w:color="000000"/>
            </w:tcBorders>
          </w:tcPr>
          <w:p>
            <w:pPr>
              <w:pStyle w:val="TableParagraph"/>
              <w:spacing w:before="19"/>
              <w:ind w:left="81"/>
              <w:rPr>
                <w:sz w:val="22"/>
              </w:rPr>
            </w:pPr>
            <w:r>
              <w:rPr>
                <w:sz w:val="22"/>
              </w:rPr>
              <w:t>Ulmaceae</w:t>
            </w:r>
          </w:p>
        </w:tc>
        <w:tc>
          <w:tcPr>
            <w:tcW w:w="4519" w:type="dxa"/>
            <w:tcBorders>
              <w:bottom w:val="thinThickMediumGap" w:sz="12" w:space="0" w:color="000000"/>
              <w:right w:val="thinThickMediumGap" w:sz="12" w:space="0" w:color="000000"/>
            </w:tcBorders>
          </w:tcPr>
          <w:p>
            <w:pPr>
              <w:pStyle w:val="TableParagraph"/>
              <w:spacing w:before="14"/>
              <w:ind w:left="76"/>
              <w:rPr>
                <w:sz w:val="22"/>
              </w:rPr>
            </w:pPr>
            <w:r>
              <w:rPr>
                <w:i/>
                <w:sz w:val="22"/>
              </w:rPr>
              <w:t>Trema micrantha </w:t>
            </w:r>
            <w:r>
              <w:rPr>
                <w:sz w:val="22"/>
              </w:rPr>
              <w:t>(L.) Blume</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9"/>
              <w:ind w:left="549" w:right="544"/>
              <w:jc w:val="center"/>
              <w:rPr>
                <w:sz w:val="22"/>
              </w:rPr>
            </w:pPr>
            <w:r>
              <w:rPr>
                <w:sz w:val="22"/>
              </w:rPr>
              <w:t>Arbusto</w:t>
            </w:r>
          </w:p>
        </w:tc>
      </w:tr>
      <w:tr>
        <w:trPr>
          <w:trHeight w:val="456" w:hRule="exact"/>
        </w:trPr>
        <w:tc>
          <w:tcPr>
            <w:tcW w:w="2214" w:type="dxa"/>
            <w:tcBorders>
              <w:bottom w:val="thinThickMediumGap" w:sz="12" w:space="0" w:color="000000"/>
              <w:right w:val="thinThickMediumGap" w:sz="12" w:space="0" w:color="000000"/>
            </w:tcBorders>
          </w:tcPr>
          <w:p>
            <w:pPr>
              <w:pStyle w:val="TableParagraph"/>
              <w:spacing w:before="15"/>
              <w:ind w:left="81"/>
              <w:rPr>
                <w:sz w:val="22"/>
              </w:rPr>
            </w:pPr>
            <w:r>
              <w:rPr>
                <w:sz w:val="22"/>
              </w:rPr>
              <w:t>Verbenaceae</w:t>
            </w:r>
          </w:p>
        </w:tc>
        <w:tc>
          <w:tcPr>
            <w:tcW w:w="4519" w:type="dxa"/>
            <w:tcBorders>
              <w:bottom w:val="thinThickMediumGap" w:sz="12" w:space="0" w:color="000000"/>
              <w:right w:val="thinThickMediumGap" w:sz="12" w:space="0" w:color="000000"/>
            </w:tcBorders>
          </w:tcPr>
          <w:p>
            <w:pPr>
              <w:pStyle w:val="TableParagraph"/>
              <w:spacing w:before="10"/>
              <w:ind w:left="76"/>
              <w:rPr>
                <w:sz w:val="22"/>
              </w:rPr>
            </w:pPr>
            <w:r>
              <w:rPr>
                <w:i/>
                <w:sz w:val="22"/>
              </w:rPr>
              <w:t>Verbena carolina </w:t>
            </w:r>
            <w:r>
              <w:rPr>
                <w:sz w:val="22"/>
              </w:rPr>
              <w:t>Linn.</w:t>
            </w:r>
          </w:p>
        </w:tc>
        <w:tc>
          <w:tcPr>
            <w:tcW w:w="2896" w:type="dxa"/>
            <w:tcBorders>
              <w:left w:val="thickThinMediumGap" w:sz="12" w:space="0" w:color="000000"/>
              <w:bottom w:val="thinThickMediumGap" w:sz="12" w:space="0" w:color="000000"/>
              <w:right w:val="thinThickMediumGap" w:sz="12" w:space="0" w:color="000000"/>
            </w:tcBorders>
          </w:tcPr>
          <w:p>
            <w:pPr>
              <w:pStyle w:val="TableParagraph"/>
              <w:spacing w:before="15"/>
              <w:ind w:left="549" w:right="545"/>
              <w:jc w:val="center"/>
              <w:rPr>
                <w:sz w:val="22"/>
              </w:rPr>
            </w:pPr>
            <w:r>
              <w:rPr>
                <w:sz w:val="22"/>
              </w:rPr>
              <w:t>Hierba perenne</w:t>
            </w:r>
          </w:p>
        </w:tc>
      </w:tr>
    </w:tbl>
    <w:p>
      <w:pPr>
        <w:spacing w:line="220" w:lineRule="exact" w:before="0"/>
        <w:ind w:left="2436" w:right="0" w:firstLine="0"/>
        <w:jc w:val="left"/>
        <w:rPr>
          <w:b/>
          <w:i/>
          <w:sz w:val="20"/>
        </w:rPr>
      </w:pPr>
      <w:r>
        <w:rPr>
          <w:b/>
          <w:i/>
          <w:sz w:val="20"/>
        </w:rPr>
        <w:t>Fuente: Elaboración propia, a partir de Valdez (2003).</w:t>
      </w:r>
    </w:p>
    <w:p>
      <w:pPr>
        <w:pStyle w:val="BodyText"/>
        <w:rPr>
          <w:b/>
          <w:i/>
          <w:sz w:val="20"/>
        </w:rPr>
      </w:pPr>
    </w:p>
    <w:p>
      <w:pPr>
        <w:pStyle w:val="BodyText"/>
        <w:rPr>
          <w:b/>
          <w:i/>
          <w:sz w:val="20"/>
        </w:rPr>
      </w:pPr>
    </w:p>
    <w:p>
      <w:pPr>
        <w:pStyle w:val="BodyText"/>
        <w:rPr>
          <w:b/>
          <w:i/>
          <w:sz w:val="20"/>
        </w:rPr>
      </w:pPr>
    </w:p>
    <w:p>
      <w:pPr>
        <w:pStyle w:val="BodyText"/>
        <w:spacing w:before="4"/>
        <w:rPr>
          <w:b/>
          <w:i/>
          <w:sz w:val="22"/>
        </w:rPr>
      </w:pPr>
    </w:p>
    <w:p>
      <w:pPr>
        <w:pStyle w:val="BodyText"/>
        <w:spacing w:line="360" w:lineRule="auto"/>
        <w:ind w:left="256" w:right="273"/>
        <w:jc w:val="both"/>
      </w:pPr>
      <w:r>
        <w:rPr/>
        <w:t>En la parte noroeste del Parque, en la ZMA: Orquídeario se concentra el mayor número de especies de la familia Orchidaceae. González (2011) realizó un catálogo de esta familia, incluye una descripción morfológica, ecológica, y fenológica; así como datos de distribución nacional, municipal y local, de 22 especies de orquídeas: trece de hábito epifito, una litofita y ocho terrestres (Cuadro 5).</w:t>
      </w:r>
    </w:p>
    <w:p>
      <w:pPr>
        <w:spacing w:after="0" w:line="360" w:lineRule="auto"/>
        <w:jc w:val="both"/>
        <w:sectPr>
          <w:footerReference w:type="default" r:id="rId40"/>
          <w:pgSz w:w="12240" w:h="15840"/>
          <w:pgMar w:footer="1146" w:header="690" w:top="880" w:bottom="1340" w:left="1160" w:right="1140"/>
        </w:sectPr>
      </w:pPr>
    </w:p>
    <w:p>
      <w:pPr>
        <w:pStyle w:val="BodyText"/>
        <w:rPr>
          <w:sz w:val="20"/>
        </w:rPr>
      </w:pPr>
    </w:p>
    <w:p>
      <w:pPr>
        <w:pStyle w:val="BodyText"/>
        <w:rPr>
          <w:sz w:val="20"/>
        </w:rPr>
      </w:pPr>
    </w:p>
    <w:p>
      <w:pPr>
        <w:pStyle w:val="BodyText"/>
        <w:rPr>
          <w:sz w:val="20"/>
        </w:rPr>
      </w:pPr>
    </w:p>
    <w:p>
      <w:pPr>
        <w:pStyle w:val="BodyText"/>
        <w:spacing w:before="1"/>
        <w:rPr>
          <w:sz w:val="22"/>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7222"/>
        <w:gridCol w:w="2406"/>
      </w:tblGrid>
      <w:tr>
        <w:trPr>
          <w:trHeight w:val="749" w:hRule="exact"/>
        </w:trPr>
        <w:tc>
          <w:tcPr>
            <w:tcW w:w="9628" w:type="dxa"/>
            <w:gridSpan w:val="2"/>
            <w:tcBorders>
              <w:bottom w:val="thinThickMediumGap" w:sz="12" w:space="0" w:color="000000"/>
              <w:right w:val="thinThickMediumGap" w:sz="12" w:space="0" w:color="000000"/>
            </w:tcBorders>
          </w:tcPr>
          <w:p>
            <w:pPr>
              <w:pStyle w:val="TableParagraph"/>
              <w:spacing w:line="362" w:lineRule="auto"/>
              <w:ind w:left="4211" w:right="645" w:hanging="3554"/>
              <w:rPr>
                <w:b/>
                <w:i/>
                <w:sz w:val="20"/>
              </w:rPr>
            </w:pPr>
            <w:r>
              <w:rPr>
                <w:b/>
                <w:i/>
                <w:sz w:val="20"/>
              </w:rPr>
              <w:t>Cuadro 5. Listado de especies de la familia Orchidaceae, del Parque Universitario “Las </w:t>
            </w:r>
            <w:r>
              <w:rPr>
                <w:b/>
                <w:i/>
                <w:sz w:val="20"/>
              </w:rPr>
              <w:t>Orquídeas”.</w:t>
            </w:r>
          </w:p>
        </w:tc>
      </w:tr>
      <w:tr>
        <w:trPr>
          <w:trHeight w:val="434" w:hRule="exact"/>
        </w:trPr>
        <w:tc>
          <w:tcPr>
            <w:tcW w:w="7222" w:type="dxa"/>
            <w:tcBorders>
              <w:bottom w:val="single" w:sz="12" w:space="0" w:color="000000"/>
              <w:right w:val="thinThickMediumGap" w:sz="12" w:space="0" w:color="000000"/>
            </w:tcBorders>
            <w:shd w:val="clear" w:color="auto" w:fill="D9D9D9"/>
          </w:tcPr>
          <w:p>
            <w:pPr>
              <w:pStyle w:val="TableParagraph"/>
              <w:spacing w:line="248" w:lineRule="exact"/>
              <w:ind w:left="2634" w:right="2632"/>
              <w:jc w:val="center"/>
              <w:rPr>
                <w:b/>
                <w:sz w:val="22"/>
              </w:rPr>
            </w:pPr>
            <w:r>
              <w:rPr>
                <w:b/>
                <w:sz w:val="22"/>
              </w:rPr>
              <w:t>Nombre científico</w:t>
            </w:r>
          </w:p>
        </w:tc>
        <w:tc>
          <w:tcPr>
            <w:tcW w:w="2406" w:type="dxa"/>
            <w:tcBorders>
              <w:bottom w:val="single" w:sz="12" w:space="0" w:color="000000"/>
              <w:right w:val="thinThickMediumGap" w:sz="12" w:space="0" w:color="000000"/>
            </w:tcBorders>
            <w:shd w:val="clear" w:color="auto" w:fill="D9D9D9"/>
          </w:tcPr>
          <w:p>
            <w:pPr>
              <w:pStyle w:val="TableParagraph"/>
              <w:spacing w:line="248" w:lineRule="exact"/>
              <w:ind w:left="781" w:right="781"/>
              <w:jc w:val="center"/>
              <w:rPr>
                <w:b/>
                <w:sz w:val="22"/>
              </w:rPr>
            </w:pPr>
            <w:r>
              <w:rPr>
                <w:b/>
                <w:sz w:val="22"/>
              </w:rPr>
              <w:t>Habitat</w:t>
            </w:r>
          </w:p>
        </w:tc>
      </w:tr>
      <w:tr>
        <w:trPr>
          <w:trHeight w:val="444" w:hRule="exact"/>
        </w:trPr>
        <w:tc>
          <w:tcPr>
            <w:tcW w:w="7222" w:type="dxa"/>
            <w:tcBorders>
              <w:top w:val="single" w:sz="12" w:space="0" w:color="000000"/>
              <w:bottom w:val="thinThickMediumGap" w:sz="12" w:space="0" w:color="000000"/>
              <w:right w:val="thinThickMediumGap" w:sz="12" w:space="0" w:color="000000"/>
            </w:tcBorders>
          </w:tcPr>
          <w:p>
            <w:pPr>
              <w:pStyle w:val="TableParagraph"/>
              <w:spacing w:before="17"/>
              <w:ind w:left="81"/>
              <w:rPr>
                <w:sz w:val="22"/>
              </w:rPr>
            </w:pPr>
            <w:r>
              <w:rPr>
                <w:i/>
                <w:sz w:val="22"/>
              </w:rPr>
              <w:t>Bletia macristhmochila </w:t>
            </w:r>
            <w:r>
              <w:rPr>
                <w:sz w:val="22"/>
              </w:rPr>
              <w:t>Greenm</w:t>
            </w:r>
          </w:p>
        </w:tc>
        <w:tc>
          <w:tcPr>
            <w:tcW w:w="2406" w:type="dxa"/>
            <w:tcBorders>
              <w:top w:val="single" w:sz="12" w:space="0" w:color="000000"/>
              <w:bottom w:val="thinThickMediumGap" w:sz="12" w:space="0" w:color="000000"/>
              <w:right w:val="thinThickMediumGap" w:sz="12" w:space="0" w:color="000000"/>
            </w:tcBorders>
          </w:tcPr>
          <w:p>
            <w:pPr>
              <w:pStyle w:val="TableParagraph"/>
              <w:spacing w:before="21"/>
              <w:ind w:right="721"/>
              <w:jc w:val="right"/>
              <w:rPr>
                <w:sz w:val="22"/>
              </w:rPr>
            </w:pPr>
            <w:r>
              <w:rPr>
                <w:sz w:val="22"/>
              </w:rPr>
              <w:t>Terrestre</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Bletia purpurea </w:t>
            </w:r>
            <w:r>
              <w:rPr>
                <w:sz w:val="22"/>
              </w:rPr>
              <w:t>(Lam.) DC.</w:t>
            </w:r>
          </w:p>
        </w:tc>
        <w:tc>
          <w:tcPr>
            <w:tcW w:w="2406" w:type="dxa"/>
            <w:tcBorders>
              <w:bottom w:val="thinThickMediumGap" w:sz="12" w:space="0" w:color="000000"/>
              <w:right w:val="thinThickMediumGap" w:sz="12" w:space="0" w:color="000000"/>
            </w:tcBorders>
          </w:tcPr>
          <w:p>
            <w:pPr>
              <w:pStyle w:val="TableParagraph"/>
              <w:spacing w:before="5"/>
              <w:ind w:right="721"/>
              <w:jc w:val="right"/>
              <w:rPr>
                <w:sz w:val="22"/>
              </w:rPr>
            </w:pPr>
            <w:r>
              <w:rPr>
                <w:sz w:val="22"/>
              </w:rPr>
              <w:t>Terrestre</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Deiregyne pyramidalis </w:t>
            </w:r>
            <w:r>
              <w:rPr>
                <w:sz w:val="22"/>
              </w:rPr>
              <w:t>(Lindl.) Burns-Bal.</w:t>
            </w:r>
          </w:p>
        </w:tc>
        <w:tc>
          <w:tcPr>
            <w:tcW w:w="2406" w:type="dxa"/>
            <w:tcBorders>
              <w:bottom w:val="thinThickMediumGap" w:sz="12" w:space="0" w:color="000000"/>
              <w:right w:val="thinThickMediumGap" w:sz="12" w:space="0" w:color="000000"/>
            </w:tcBorders>
          </w:tcPr>
          <w:p>
            <w:pPr>
              <w:pStyle w:val="TableParagraph"/>
              <w:ind w:right="721"/>
              <w:jc w:val="right"/>
              <w:rPr>
                <w:sz w:val="22"/>
              </w:rPr>
            </w:pPr>
            <w:r>
              <w:rPr>
                <w:sz w:val="22"/>
              </w:rPr>
              <w:t>Terrestre</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Dichromanthus aurantiacus </w:t>
            </w:r>
            <w:r>
              <w:rPr>
                <w:sz w:val="22"/>
              </w:rPr>
              <w:t>(La Llave &amp; Lex.) Salazar &amp; Soto Arenas</w:t>
            </w:r>
          </w:p>
        </w:tc>
        <w:tc>
          <w:tcPr>
            <w:tcW w:w="2406" w:type="dxa"/>
            <w:tcBorders>
              <w:bottom w:val="thinThickMediumGap" w:sz="12" w:space="0" w:color="000000"/>
              <w:right w:val="thinThickMediumGap" w:sz="12" w:space="0" w:color="000000"/>
            </w:tcBorders>
          </w:tcPr>
          <w:p>
            <w:pPr>
              <w:pStyle w:val="TableParagraph"/>
              <w:spacing w:before="5"/>
              <w:ind w:right="721"/>
              <w:jc w:val="right"/>
              <w:rPr>
                <w:sz w:val="22"/>
              </w:rPr>
            </w:pPr>
            <w:r>
              <w:rPr>
                <w:sz w:val="22"/>
              </w:rPr>
              <w:t>Terrestre</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Encyclia adenocaula </w:t>
            </w:r>
            <w:r>
              <w:rPr>
                <w:sz w:val="22"/>
              </w:rPr>
              <w:t>(La Llave &amp; Lex.) Schltr.</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Epidendrum parkinsonianum </w:t>
            </w:r>
            <w:r>
              <w:rPr>
                <w:sz w:val="22"/>
              </w:rPr>
              <w:t>Hook.</w:t>
            </w:r>
          </w:p>
        </w:tc>
        <w:tc>
          <w:tcPr>
            <w:tcW w:w="2406" w:type="dxa"/>
            <w:tcBorders>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Epidendrum anisatum </w:t>
            </w:r>
            <w:r>
              <w:rPr>
                <w:sz w:val="22"/>
              </w:rPr>
              <w:t>La llave &amp; Lex.</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Encyclia linkiana </w:t>
            </w:r>
            <w:r>
              <w:rPr>
                <w:sz w:val="22"/>
              </w:rPr>
              <w:t>(Klotzsch) Schltr.</w:t>
            </w:r>
          </w:p>
        </w:tc>
        <w:tc>
          <w:tcPr>
            <w:tcW w:w="2406" w:type="dxa"/>
            <w:tcBorders>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Encyclia microbulbon </w:t>
            </w:r>
            <w:r>
              <w:rPr>
                <w:sz w:val="22"/>
              </w:rPr>
              <w:t>(Hook.) Schltr.</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Habenaria guadalajarana </w:t>
            </w:r>
            <w:r>
              <w:rPr>
                <w:sz w:val="22"/>
              </w:rPr>
              <w:t>S. Watson</w:t>
            </w:r>
          </w:p>
        </w:tc>
        <w:tc>
          <w:tcPr>
            <w:tcW w:w="2406" w:type="dxa"/>
            <w:tcBorders>
              <w:bottom w:val="thinThickMediumGap" w:sz="12" w:space="0" w:color="000000"/>
              <w:right w:val="thinThickMediumGap" w:sz="12" w:space="0" w:color="000000"/>
            </w:tcBorders>
          </w:tcPr>
          <w:p>
            <w:pPr>
              <w:pStyle w:val="TableParagraph"/>
              <w:spacing w:before="5"/>
              <w:ind w:right="721"/>
              <w:jc w:val="right"/>
              <w:rPr>
                <w:sz w:val="22"/>
              </w:rPr>
            </w:pPr>
            <w:r>
              <w:rPr>
                <w:sz w:val="22"/>
              </w:rPr>
              <w:t>Terrestre</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Hintonella mexicana </w:t>
            </w:r>
            <w:r>
              <w:rPr>
                <w:sz w:val="22"/>
              </w:rPr>
              <w:t>Ames</w:t>
            </w:r>
          </w:p>
        </w:tc>
        <w:tc>
          <w:tcPr>
            <w:tcW w:w="2406" w:type="dxa"/>
            <w:tcBorders>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Leochilus carinatus </w:t>
            </w:r>
            <w:r>
              <w:rPr>
                <w:sz w:val="22"/>
              </w:rPr>
              <w:t>(Knowles &amp; Westc.) Lindl.</w:t>
            </w:r>
          </w:p>
        </w:tc>
        <w:tc>
          <w:tcPr>
            <w:tcW w:w="2406" w:type="dxa"/>
            <w:tcBorders>
              <w:bottom w:val="thinThickMediumGap" w:sz="12" w:space="0" w:color="000000"/>
              <w:right w:val="thinThickMediumGap" w:sz="12" w:space="0" w:color="000000"/>
            </w:tcBorders>
          </w:tcPr>
          <w:p>
            <w:pPr>
              <w:pStyle w:val="TableParagraph"/>
              <w:ind w:left="781" w:right="779"/>
              <w:jc w:val="center"/>
              <w:rPr>
                <w:sz w:val="22"/>
              </w:rPr>
            </w:pPr>
            <w:r>
              <w:rPr>
                <w:sz w:val="22"/>
              </w:rPr>
              <w:t>Epifito</w:t>
            </w:r>
          </w:p>
        </w:tc>
      </w:tr>
      <w:tr>
        <w:trPr>
          <w:trHeight w:val="442" w:hRule="exact"/>
        </w:trPr>
        <w:tc>
          <w:tcPr>
            <w:tcW w:w="7222" w:type="dxa"/>
            <w:tcBorders>
              <w:top w:val="thickThinMediumGap" w:sz="12" w:space="0" w:color="000000"/>
              <w:bottom w:val="thinThickMediumGap" w:sz="12" w:space="0" w:color="000000"/>
              <w:right w:val="thinThickMediumGap" w:sz="12" w:space="0" w:color="000000"/>
            </w:tcBorders>
          </w:tcPr>
          <w:p>
            <w:pPr>
              <w:pStyle w:val="TableParagraph"/>
              <w:ind w:left="81"/>
              <w:rPr>
                <w:sz w:val="22"/>
              </w:rPr>
            </w:pPr>
            <w:r>
              <w:rPr>
                <w:i/>
                <w:sz w:val="22"/>
              </w:rPr>
              <w:t>Malaxis lepidota </w:t>
            </w:r>
            <w:r>
              <w:rPr>
                <w:sz w:val="22"/>
              </w:rPr>
              <w:t>(Finet) Ames</w:t>
            </w:r>
          </w:p>
        </w:tc>
        <w:tc>
          <w:tcPr>
            <w:tcW w:w="2406" w:type="dxa"/>
            <w:tcBorders>
              <w:top w:val="thickThinMediumGap" w:sz="12" w:space="0" w:color="000000"/>
              <w:bottom w:val="thinThickMediumGap" w:sz="12" w:space="0" w:color="000000"/>
              <w:right w:val="thinThickMediumGap" w:sz="12" w:space="0" w:color="000000"/>
            </w:tcBorders>
          </w:tcPr>
          <w:p>
            <w:pPr>
              <w:pStyle w:val="TableParagraph"/>
              <w:spacing w:before="5"/>
              <w:ind w:right="721"/>
              <w:jc w:val="right"/>
              <w:rPr>
                <w:sz w:val="22"/>
              </w:rPr>
            </w:pPr>
            <w:r>
              <w:rPr>
                <w:sz w:val="22"/>
              </w:rPr>
              <w:t>Terrestre</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Oncidium cavendishianum </w:t>
            </w:r>
            <w:r>
              <w:rPr>
                <w:sz w:val="22"/>
              </w:rPr>
              <w:t>Bateman</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Oncidium graminifolium </w:t>
            </w:r>
            <w:r>
              <w:rPr>
                <w:sz w:val="22"/>
              </w:rPr>
              <w:t>(Lindl.) Lindl.</w:t>
            </w:r>
          </w:p>
        </w:tc>
        <w:tc>
          <w:tcPr>
            <w:tcW w:w="2406" w:type="dxa"/>
            <w:tcBorders>
              <w:bottom w:val="thinThickMediumGap" w:sz="12" w:space="0" w:color="000000"/>
              <w:right w:val="thinThickMediumGap" w:sz="12" w:space="0" w:color="000000"/>
            </w:tcBorders>
          </w:tcPr>
          <w:p>
            <w:pPr>
              <w:pStyle w:val="TableParagraph"/>
              <w:spacing w:before="5"/>
              <w:ind w:right="667"/>
              <w:jc w:val="right"/>
              <w:rPr>
                <w:sz w:val="22"/>
              </w:rPr>
            </w:pPr>
            <w:r>
              <w:rPr>
                <w:sz w:val="22"/>
              </w:rPr>
              <w:t>Terrestres</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9" w:lineRule="exact"/>
              <w:ind w:left="81"/>
              <w:rPr>
                <w:sz w:val="22"/>
              </w:rPr>
            </w:pPr>
            <w:r>
              <w:rPr>
                <w:i/>
                <w:sz w:val="22"/>
              </w:rPr>
              <w:t>Oncidium hastatum </w:t>
            </w:r>
            <w:r>
              <w:rPr>
                <w:sz w:val="22"/>
              </w:rPr>
              <w:t>(Bateman) Lindl.</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Oncidium hyalinobulbon </w:t>
            </w:r>
            <w:r>
              <w:rPr>
                <w:sz w:val="22"/>
              </w:rPr>
              <w:t>La Llave &amp; Lex.</w:t>
            </w:r>
          </w:p>
        </w:tc>
        <w:tc>
          <w:tcPr>
            <w:tcW w:w="2406" w:type="dxa"/>
            <w:tcBorders>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Oncidium reichenheimii </w:t>
            </w:r>
            <w:r>
              <w:rPr>
                <w:sz w:val="22"/>
              </w:rPr>
              <w:t>(Linden &amp; Rchb. f.) Garay &amp; Stacy</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Epifito</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Oncidium unguiculatum </w:t>
            </w:r>
            <w:r>
              <w:rPr>
                <w:sz w:val="22"/>
              </w:rPr>
              <w:t>Lindl.</w:t>
            </w:r>
          </w:p>
        </w:tc>
        <w:tc>
          <w:tcPr>
            <w:tcW w:w="2406" w:type="dxa"/>
            <w:tcBorders>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42" w:hRule="exact"/>
        </w:trPr>
        <w:tc>
          <w:tcPr>
            <w:tcW w:w="7222" w:type="dxa"/>
            <w:tcBorders>
              <w:top w:val="thickThinMediumGap" w:sz="12" w:space="0" w:color="000000"/>
              <w:bottom w:val="thinThickMediumGap" w:sz="12" w:space="0" w:color="000000"/>
              <w:right w:val="thinThickMediumGap" w:sz="12" w:space="0" w:color="000000"/>
            </w:tcBorders>
          </w:tcPr>
          <w:p>
            <w:pPr>
              <w:pStyle w:val="TableParagraph"/>
              <w:ind w:left="81"/>
              <w:rPr>
                <w:sz w:val="22"/>
              </w:rPr>
            </w:pPr>
            <w:r>
              <w:rPr>
                <w:i/>
                <w:sz w:val="22"/>
              </w:rPr>
              <w:t>Pleurothallis hirsuta </w:t>
            </w:r>
            <w:r>
              <w:rPr>
                <w:sz w:val="22"/>
              </w:rPr>
              <w:t>Ames</w:t>
            </w:r>
          </w:p>
        </w:tc>
        <w:tc>
          <w:tcPr>
            <w:tcW w:w="2406" w:type="dxa"/>
            <w:tcBorders>
              <w:top w:val="thickThinMediumGap" w:sz="12" w:space="0" w:color="000000"/>
              <w:bottom w:val="thinThickMediumGap" w:sz="12" w:space="0" w:color="000000"/>
              <w:right w:val="thinThickMediumGap" w:sz="12" w:space="0" w:color="000000"/>
            </w:tcBorders>
          </w:tcPr>
          <w:p>
            <w:pPr>
              <w:pStyle w:val="TableParagraph"/>
              <w:spacing w:before="5"/>
              <w:ind w:left="781" w:right="780"/>
              <w:jc w:val="center"/>
              <w:rPr>
                <w:sz w:val="22"/>
              </w:rPr>
            </w:pPr>
            <w:r>
              <w:rPr>
                <w:sz w:val="22"/>
              </w:rPr>
              <w:t>Epifito</w:t>
            </w:r>
          </w:p>
        </w:tc>
      </w:tr>
      <w:tr>
        <w:trPr>
          <w:trHeight w:val="437" w:hRule="exact"/>
        </w:trPr>
        <w:tc>
          <w:tcPr>
            <w:tcW w:w="7222" w:type="dxa"/>
            <w:tcBorders>
              <w:bottom w:val="thinThickMediumGap" w:sz="12" w:space="0" w:color="000000"/>
              <w:right w:val="thinThickMediumGap" w:sz="12" w:space="0" w:color="000000"/>
            </w:tcBorders>
          </w:tcPr>
          <w:p>
            <w:pPr>
              <w:pStyle w:val="TableParagraph"/>
              <w:spacing w:line="248" w:lineRule="exact"/>
              <w:ind w:left="81"/>
              <w:rPr>
                <w:sz w:val="22"/>
              </w:rPr>
            </w:pPr>
            <w:r>
              <w:rPr>
                <w:i/>
                <w:sz w:val="22"/>
              </w:rPr>
              <w:t>Stanhopea hernandezii </w:t>
            </w:r>
            <w:r>
              <w:rPr>
                <w:sz w:val="22"/>
              </w:rPr>
              <w:t>(Kunth) Schltr.</w:t>
            </w:r>
          </w:p>
        </w:tc>
        <w:tc>
          <w:tcPr>
            <w:tcW w:w="2406" w:type="dxa"/>
            <w:tcBorders>
              <w:bottom w:val="thinThickMediumGap" w:sz="12" w:space="0" w:color="000000"/>
              <w:right w:val="thinThickMediumGap" w:sz="12" w:space="0" w:color="000000"/>
            </w:tcBorders>
          </w:tcPr>
          <w:p>
            <w:pPr>
              <w:pStyle w:val="TableParagraph"/>
              <w:ind w:left="781" w:right="780"/>
              <w:jc w:val="center"/>
              <w:rPr>
                <w:sz w:val="22"/>
              </w:rPr>
            </w:pPr>
            <w:r>
              <w:rPr>
                <w:sz w:val="22"/>
              </w:rPr>
              <w:t>Litofita</w:t>
            </w:r>
          </w:p>
        </w:tc>
      </w:tr>
      <w:tr>
        <w:trPr>
          <w:trHeight w:val="442" w:hRule="exact"/>
        </w:trPr>
        <w:tc>
          <w:tcPr>
            <w:tcW w:w="7222" w:type="dxa"/>
            <w:tcBorders>
              <w:bottom w:val="thinThickMediumGap" w:sz="12" w:space="0" w:color="000000"/>
              <w:right w:val="thinThickMediumGap" w:sz="12" w:space="0" w:color="000000"/>
            </w:tcBorders>
          </w:tcPr>
          <w:p>
            <w:pPr>
              <w:pStyle w:val="TableParagraph"/>
              <w:ind w:left="81"/>
              <w:rPr>
                <w:sz w:val="22"/>
              </w:rPr>
            </w:pPr>
            <w:r>
              <w:rPr>
                <w:i/>
                <w:sz w:val="22"/>
              </w:rPr>
              <w:t>Stenorrhynchos aurantiacum </w:t>
            </w:r>
            <w:r>
              <w:rPr>
                <w:sz w:val="22"/>
              </w:rPr>
              <w:t>(La Llave &amp;Lex.) Lindl.</w:t>
            </w:r>
          </w:p>
        </w:tc>
        <w:tc>
          <w:tcPr>
            <w:tcW w:w="2406" w:type="dxa"/>
            <w:tcBorders>
              <w:bottom w:val="thinThickMediumGap" w:sz="12" w:space="0" w:color="000000"/>
              <w:right w:val="thinThickMediumGap" w:sz="12" w:space="0" w:color="000000"/>
            </w:tcBorders>
          </w:tcPr>
          <w:p>
            <w:pPr>
              <w:pStyle w:val="TableParagraph"/>
              <w:spacing w:before="5"/>
              <w:ind w:right="721"/>
              <w:jc w:val="right"/>
              <w:rPr>
                <w:sz w:val="22"/>
              </w:rPr>
            </w:pPr>
            <w:r>
              <w:rPr>
                <w:sz w:val="22"/>
              </w:rPr>
              <w:t>Terrestre</w:t>
            </w:r>
          </w:p>
        </w:tc>
      </w:tr>
    </w:tbl>
    <w:p>
      <w:pPr>
        <w:spacing w:line="221" w:lineRule="exact" w:before="0"/>
        <w:ind w:left="2350" w:right="0" w:firstLine="0"/>
        <w:jc w:val="left"/>
        <w:rPr>
          <w:b/>
          <w:i/>
          <w:sz w:val="20"/>
        </w:rPr>
      </w:pPr>
      <w:r>
        <w:rPr>
          <w:b/>
          <w:i/>
          <w:sz w:val="20"/>
        </w:rPr>
        <w:t>Fuente: Elaboración propia, a partir de González, 2011.</w:t>
      </w:r>
    </w:p>
    <w:p>
      <w:pPr>
        <w:spacing w:after="0" w:line="221" w:lineRule="exact"/>
        <w:jc w:val="left"/>
        <w:rPr>
          <w:sz w:val="20"/>
        </w:rPr>
        <w:sectPr>
          <w:footerReference w:type="default" r:id="rId41"/>
          <w:pgSz w:w="12240" w:h="15840"/>
          <w:pgMar w:footer="1146" w:header="690" w:top="880" w:bottom="1340" w:left="1160" w:right="1140"/>
          <w:pgNumType w:start="51"/>
        </w:sectPr>
      </w:pPr>
    </w:p>
    <w:p>
      <w:pPr>
        <w:pStyle w:val="BodyText"/>
        <w:rPr>
          <w:b/>
          <w:i/>
          <w:sz w:val="20"/>
        </w:rPr>
      </w:pPr>
    </w:p>
    <w:p>
      <w:pPr>
        <w:pStyle w:val="BodyText"/>
        <w:spacing w:before="4"/>
        <w:rPr>
          <w:b/>
          <w:i/>
          <w:sz w:val="19"/>
        </w:rPr>
      </w:pPr>
    </w:p>
    <w:p>
      <w:pPr>
        <w:pStyle w:val="BodyText"/>
        <w:spacing w:line="362" w:lineRule="auto" w:before="70"/>
        <w:ind w:left="116" w:right="127"/>
        <w:jc w:val="both"/>
      </w:pPr>
      <w:r>
        <w:rPr/>
        <w:t>El problema que incide en la vegetación es debido a la extracción de especies de su hábitat natural, sobre todo de aquellas suceptibles de ser comercializadas como las orquídeas.</w:t>
      </w:r>
    </w:p>
    <w:p>
      <w:pPr>
        <w:pStyle w:val="BodyText"/>
        <w:spacing w:before="5"/>
        <w:rPr>
          <w:sz w:val="35"/>
        </w:rPr>
      </w:pPr>
    </w:p>
    <w:p>
      <w:pPr>
        <w:pStyle w:val="Heading2"/>
      </w:pPr>
      <w:r>
        <w:rPr/>
        <w:t>Fauna</w:t>
      </w:r>
    </w:p>
    <w:p>
      <w:pPr>
        <w:pStyle w:val="BodyText"/>
        <w:spacing w:line="360" w:lineRule="auto" w:before="146"/>
        <w:ind w:left="116" w:right="117"/>
        <w:jc w:val="both"/>
      </w:pPr>
      <w:r>
        <w:rPr/>
        <w:t>Las especies de animales presentes en el municipio de Temascaltepec están formados principalmente por individuos característicos del reino Neotropical, sin embargo, al encontrase en una zona de transición también se pueden encontrar especies propias del reino</w:t>
      </w:r>
      <w:r>
        <w:rPr>
          <w:spacing w:val="-1"/>
        </w:rPr>
        <w:t> </w:t>
      </w:r>
      <w:r>
        <w:rPr/>
        <w:t>Neártico.</w:t>
      </w:r>
    </w:p>
    <w:p>
      <w:pPr>
        <w:pStyle w:val="BodyText"/>
      </w:pPr>
    </w:p>
    <w:p>
      <w:pPr>
        <w:pStyle w:val="BodyText"/>
        <w:spacing w:line="360" w:lineRule="auto" w:before="145"/>
        <w:ind w:left="116" w:right="109"/>
        <w:jc w:val="both"/>
      </w:pPr>
      <w:r>
        <w:rPr/>
        <w:t>Entre los animales invertebrados, en el grupo de los anélidos </w:t>
      </w:r>
      <w:r>
        <w:rPr>
          <w:spacing w:val="-3"/>
        </w:rPr>
        <w:t>se </w:t>
      </w:r>
      <w:r>
        <w:rPr/>
        <w:t>pueden encontrar: gallina ciega, lombriz de tierra y sanguijuela (Borboa, 1999); en el grupo de </w:t>
      </w:r>
      <w:r>
        <w:rPr>
          <w:spacing w:val="2"/>
        </w:rPr>
        <w:t>los </w:t>
      </w:r>
      <w:r>
        <w:rPr/>
        <w:t>arácnidos: alacrán (negro y güero), araña, ciempiés, escorpión (diversas especies), garrapata y tarántula y para el grupo de los crustáceos: Acocil o cangrejo de agua  dulce, camarón de río, cochinilla y pulga de agua (Borboa, </w:t>
      </w:r>
      <w:r>
        <w:rPr>
          <w:i/>
        </w:rPr>
        <w:t>op.</w:t>
      </w:r>
      <w:r>
        <w:rPr>
          <w:i/>
          <w:spacing w:val="-24"/>
        </w:rPr>
        <w:t> </w:t>
      </w:r>
      <w:r>
        <w:rPr>
          <w:i/>
        </w:rPr>
        <w:t>cit.</w:t>
      </w:r>
      <w:r>
        <w:rPr/>
        <w:t>).</w:t>
      </w:r>
    </w:p>
    <w:p>
      <w:pPr>
        <w:pStyle w:val="BodyText"/>
      </w:pPr>
    </w:p>
    <w:p>
      <w:pPr>
        <w:pStyle w:val="BodyText"/>
        <w:spacing w:line="360" w:lineRule="auto" w:before="139"/>
        <w:ind w:left="116" w:right="112"/>
        <w:jc w:val="both"/>
      </w:pPr>
      <w:r>
        <w:rPr/>
        <w:t>En el grupo de insectos: abeja, abejorro, avispa (colorada y parda), avispón, cara de niño, Catarina o mariquita, cigarra, cocuyo, cucaracha, chapulín, chicharra, chinche, escarabajo, escarcha, gorgojo, grillo, guaticolote, hormiga (negra, colorada y arriera), insecto hoja, insecto palito, jicote, langosta, libélula o caballo del diablo, luciérnaga, mariposa, mayate, medidor, mosca común, mosca verde, mosco, moscón, nígua,  oruga, palomilla de San Juan, pinacate </w:t>
      </w:r>
      <w:r>
        <w:rPr>
          <w:spacing w:val="-2"/>
        </w:rPr>
        <w:t>(común </w:t>
      </w:r>
      <w:r>
        <w:rPr/>
        <w:t>y del campo), piojo, polilla, pulga, pulgón, saltamontes, tábano o “negritos”, tlaconete baboso y zancudo (Borboa, </w:t>
      </w:r>
      <w:r>
        <w:rPr>
          <w:i/>
        </w:rPr>
        <w:t>op.</w:t>
      </w:r>
      <w:r>
        <w:rPr>
          <w:i/>
          <w:spacing w:val="-28"/>
        </w:rPr>
        <w:t> </w:t>
      </w:r>
      <w:r>
        <w:rPr>
          <w:i/>
        </w:rPr>
        <w:t>cit.</w:t>
      </w:r>
      <w:r>
        <w:rPr/>
        <w:t>).</w:t>
      </w:r>
    </w:p>
    <w:p>
      <w:pPr>
        <w:pStyle w:val="BodyText"/>
      </w:pPr>
    </w:p>
    <w:p>
      <w:pPr>
        <w:pStyle w:val="BodyText"/>
        <w:spacing w:line="360" w:lineRule="auto" w:before="140"/>
        <w:ind w:left="116" w:right="110"/>
        <w:jc w:val="both"/>
      </w:pPr>
      <w:r>
        <w:rPr/>
        <w:t>Los animales vertebrados observados en Temascaltepec, se encuentran los anfibios: rana (</w:t>
      </w:r>
      <w:r>
        <w:rPr>
          <w:i/>
        </w:rPr>
        <w:t>Hyla sp.) </w:t>
      </w:r>
      <w:r>
        <w:rPr/>
        <w:t>sapo (</w:t>
      </w:r>
      <w:r>
        <w:rPr>
          <w:i/>
        </w:rPr>
        <w:t>Bufo sp.) </w:t>
      </w:r>
      <w:r>
        <w:rPr/>
        <w:t>(Monroy-Vilchis y Mundo, 2009), salamandra y tortuga (Borboa, </w:t>
      </w:r>
      <w:r>
        <w:rPr>
          <w:i/>
        </w:rPr>
        <w:t>op. cit.</w:t>
      </w:r>
      <w:r>
        <w:rPr/>
        <w:t>).</w:t>
      </w:r>
    </w:p>
    <w:p>
      <w:pPr>
        <w:pStyle w:val="BodyText"/>
      </w:pPr>
    </w:p>
    <w:p>
      <w:pPr>
        <w:pStyle w:val="BodyText"/>
        <w:spacing w:line="345" w:lineRule="auto" w:before="140"/>
        <w:ind w:left="116" w:right="111"/>
        <w:jc w:val="both"/>
      </w:pPr>
      <w:r>
        <w:rPr/>
        <w:t>Gómez de Silva (1997), realizó un trabajo avifaunístico en una zona rectangular de cerca de 1 km</w:t>
      </w:r>
      <w:r>
        <w:rPr>
          <w:position w:val="11"/>
          <w:sz w:val="16"/>
        </w:rPr>
        <w:t>2</w:t>
      </w:r>
      <w:r>
        <w:rPr/>
        <w:t>, situada a aproximadamente 1.5 km al este de Temascaltepec, registró 160 especies de aves. Los nombres comunes de algunas especies de aves son:</w:t>
      </w:r>
      <w:r>
        <w:rPr>
          <w:spacing w:val="39"/>
        </w:rPr>
        <w:t> </w:t>
      </w:r>
      <w:r>
        <w:rPr/>
        <w:t>águila,</w:t>
      </w:r>
    </w:p>
    <w:p>
      <w:pPr>
        <w:spacing w:after="0" w:line="345"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1"/>
        <w:jc w:val="both"/>
      </w:pPr>
      <w:r>
        <w:rPr/>
        <w:t>aguililla, aura, calandria, canario, cardenal, cenzontle, codorniz, colibrí o chupamirto, correcaminos, cuervo, chachalaca, chichicuilote, faisán, gallina, gallo, gallo gallina, ganso, garza chica, garrapatero, gavilán, golondrina, gorrión, guacamaya, guajolote, güilota, halcón, jilguero, lechuza o búho, loro común, mulato, paloma blanca paloma doméstica, pájaro bobo, pájaro carpintero, pájaro maicero, pájaro mosquetero, pato, perico, periquillo australiano, pollo, primavera, quebrantahuesos, saltapared, tecolote, tordo, tórtola, triguero, urraca, verdín, zanate y zopilote (Borboa, 1999).</w:t>
      </w:r>
    </w:p>
    <w:p>
      <w:pPr>
        <w:pStyle w:val="BodyText"/>
      </w:pPr>
    </w:p>
    <w:p>
      <w:pPr>
        <w:pStyle w:val="BodyText"/>
        <w:spacing w:line="360" w:lineRule="auto" w:before="139"/>
        <w:ind w:left="116" w:right="110"/>
        <w:jc w:val="both"/>
      </w:pPr>
      <w:r>
        <w:rPr/>
        <w:t>En el grupo de los mamíferos: ardilla, armadillo, asno, buey, cacomixtle, caballo, cabra, carnero, cerdo, conejo, coyote, cuinique, gato doméstico, gato montés, hurón, jabalí, liebre, mula, murciélago, perro, puerco espín, rata, rata de campo, ratón, tejón, tigrillo, tlacuache, tuza, vaca, venado, zorrillo y zorro (Borboa, </w:t>
      </w:r>
      <w:r>
        <w:rPr>
          <w:i/>
        </w:rPr>
        <w:t>op. cit.</w:t>
      </w:r>
      <w:r>
        <w:rPr/>
        <w:t>). Además se reporta a la nutria Neotropical (</w:t>
      </w:r>
      <w:r>
        <w:rPr>
          <w:i/>
        </w:rPr>
        <w:t>Lontra longicaudis</w:t>
      </w:r>
      <w:r>
        <w:rPr/>
        <w:t>) catalogada como especie amenazada según la norma mexicana NOM-059-SEMARNAT-2010, (Guerrero-Flores, 2013). Peces: Trucha arcoíris (</w:t>
      </w:r>
      <w:r>
        <w:rPr>
          <w:i/>
        </w:rPr>
        <w:t>Onchorhyncus mykiss</w:t>
      </w:r>
      <w:r>
        <w:rPr/>
        <w:t>) (Guerrero-Flores, 2013), ajolote o tepocate, carpa, bagre, mojarra de río, mojarra plateada, trucha de río, entre otras. Reptiles: alicante, cincute, culebra, iguana, lagartija, víboras, entre otros (Borboa, </w:t>
      </w:r>
      <w:r>
        <w:rPr>
          <w:i/>
        </w:rPr>
        <w:t>op. cit.</w:t>
      </w:r>
      <w:r>
        <w:rPr/>
        <w:t>).</w:t>
      </w:r>
    </w:p>
    <w:p>
      <w:pPr>
        <w:pStyle w:val="BodyText"/>
      </w:pPr>
    </w:p>
    <w:p>
      <w:pPr>
        <w:pStyle w:val="ListParagraph"/>
        <w:numPr>
          <w:ilvl w:val="2"/>
          <w:numId w:val="12"/>
        </w:numPr>
        <w:tabs>
          <w:tab w:pos="828" w:val="left" w:leader="none"/>
        </w:tabs>
        <w:spacing w:line="240" w:lineRule="auto" w:before="144" w:after="0"/>
        <w:ind w:left="827" w:right="0" w:hanging="711"/>
        <w:jc w:val="both"/>
        <w:rPr>
          <w:i/>
          <w:sz w:val="24"/>
        </w:rPr>
      </w:pPr>
      <w:r>
        <w:rPr>
          <w:i/>
          <w:sz w:val="24"/>
        </w:rPr>
        <w:t>Contexto socioeconómico de la Cabecera Municipal y del Centro</w:t>
      </w:r>
      <w:r>
        <w:rPr>
          <w:i/>
          <w:spacing w:val="-36"/>
          <w:sz w:val="24"/>
        </w:rPr>
        <w:t> </w:t>
      </w:r>
      <w:r>
        <w:rPr>
          <w:i/>
          <w:sz w:val="24"/>
        </w:rPr>
        <w:t>Universitario</w:t>
      </w:r>
    </w:p>
    <w:p>
      <w:pPr>
        <w:pStyle w:val="BodyText"/>
        <w:rPr>
          <w:i/>
        </w:rPr>
      </w:pPr>
    </w:p>
    <w:p>
      <w:pPr>
        <w:pStyle w:val="BodyText"/>
        <w:spacing w:before="9"/>
        <w:rPr>
          <w:i/>
          <w:sz w:val="23"/>
        </w:rPr>
      </w:pPr>
    </w:p>
    <w:p>
      <w:pPr>
        <w:pStyle w:val="BodyText"/>
        <w:spacing w:line="360" w:lineRule="auto"/>
        <w:ind w:left="116" w:right="111"/>
        <w:jc w:val="both"/>
      </w:pPr>
      <w:r>
        <w:rPr/>
        <w:t>La Cabecera Municipal de Temascaltepec de González esta dividido políticamente por 13 Barrios, entre ellos Barrio de Santiago, lugar donde se localiza el Parque (Bando municipal, 2013); cuenta con 2, 533 habitantes, el 51% son hombres y el 49% son mujeres, existen 204 personas con 60 años y más (8% de la población total) de acuerdo con el último Censo de Población y Vivienda 2010 (INEGI, 2010; IGECEM, 2011).</w:t>
      </w:r>
    </w:p>
    <w:p>
      <w:pPr>
        <w:pStyle w:val="BodyText"/>
      </w:pPr>
    </w:p>
    <w:p>
      <w:pPr>
        <w:pStyle w:val="BodyText"/>
        <w:spacing w:line="360" w:lineRule="auto" w:before="144"/>
        <w:ind w:left="116" w:right="110"/>
        <w:jc w:val="both"/>
      </w:pPr>
      <w:r>
        <w:rPr/>
        <w:t>La Población Económicamente Activa (PEA) son 1, 024, la economía está basada principalmente en el comercio y la agricultura. Existen dos centros educativos como: la Preparatoria Regional de Temascaltepec y el CU UAEM Temascaltepec.</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116" w:right="110"/>
        <w:jc w:val="both"/>
      </w:pPr>
      <w:r>
        <w:rPr/>
        <w:t>La Universidad Autónoma de México con el único propósito de llevar la educación superior al sur de la entidad. En el año de 1982, crea la Unidad de Extensión Académica Profesional Temascaltepec, dependiente de la Facultad de Ciencias Agrícolas, inicia sus actividades ofertando la Licenciatura de Ingeniero agrónomo Fitotecnista y posteriormente la Licenciatura de Ingeniero agrónomo Zootecnista. En septiembre del año 2000 se modifica su estructura orgánica y se transforma en Unidad Académica Profesional, incluyendo tres licenciaturas más: Contaduría, Informática Administrativa y Derecho. En el </w:t>
      </w:r>
      <w:r>
        <w:rPr>
          <w:spacing w:val="-3"/>
        </w:rPr>
        <w:t>mes </w:t>
      </w:r>
      <w:r>
        <w:rPr/>
        <w:t>de abril del año 2006, se transforma a lo que actualmente se conoce como: Centro Universitario UAEM Temascaltepec y oferta las licenciaturas antes mencionadas y en el segundo semestre del 2014 se incorpora la Licenciatura de Turismo</w:t>
      </w:r>
      <w:r>
        <w:rPr>
          <w:spacing w:val="-10"/>
        </w:rPr>
        <w:t> </w:t>
      </w:r>
      <w:r>
        <w:rPr/>
        <w:t>Rural.</w:t>
      </w:r>
    </w:p>
    <w:p>
      <w:pPr>
        <w:pStyle w:val="BodyText"/>
      </w:pPr>
    </w:p>
    <w:p>
      <w:pPr>
        <w:pStyle w:val="BodyText"/>
        <w:spacing w:line="360" w:lineRule="auto" w:before="139"/>
        <w:ind w:left="116" w:right="115"/>
        <w:jc w:val="both"/>
      </w:pPr>
      <w:r>
        <w:rPr/>
        <w:t>El Parque Universitario “Las Orquídeas” pertenece al Centro Universitario Temascaltepec de la Universidad Autónoma del Estado de México. En el año de 1998 fue establecido </w:t>
      </w:r>
      <w:r>
        <w:rPr>
          <w:spacing w:val="-4"/>
        </w:rPr>
        <w:t>como </w:t>
      </w:r>
      <w:r>
        <w:rPr/>
        <w:t>área de conservación de flora y fauna; contempló </w:t>
      </w:r>
      <w:r>
        <w:rPr>
          <w:spacing w:val="-4"/>
        </w:rPr>
        <w:t>como </w:t>
      </w:r>
      <w:r>
        <w:rPr/>
        <w:t>una de  las metas principales: realizar educación ambiental y turismo ecológico, para contribuir al conocimiento y esparcimiento de la población mexiquense y visitantes. Algunos antecedentes económicos del parque</w:t>
      </w:r>
      <w:r>
        <w:rPr>
          <w:spacing w:val="-16"/>
        </w:rPr>
        <w:t> </w:t>
      </w:r>
      <w:r>
        <w:rPr/>
        <w:t>son:</w:t>
      </w:r>
    </w:p>
    <w:p>
      <w:pPr>
        <w:pStyle w:val="BodyText"/>
      </w:pPr>
    </w:p>
    <w:p>
      <w:pPr>
        <w:pStyle w:val="BodyText"/>
        <w:spacing w:line="360" w:lineRule="auto" w:before="139"/>
        <w:ind w:left="116" w:right="110"/>
        <w:jc w:val="both"/>
      </w:pPr>
      <w:r>
        <w:rPr/>
        <w:t>En base al informe de actividades realizado por el Dr. José Luis Tinoco Jaramillo, Director del Centro Universitario UAEM Temascaltepec, de fecha 20 de junio del 2009, donde se describe la gestión y aplicación de $600,000.00 (seiscientos mil pesos m/n), donados por la Fundación UAEMEX, cuyos recursos fueron aplicados a proyectos inherentes al Parque Universitario </w:t>
      </w:r>
      <w:r>
        <w:rPr>
          <w:i/>
        </w:rPr>
        <w:t>Las Orquídeas </w:t>
      </w:r>
      <w:r>
        <w:rPr/>
        <w:t>se indica lo siguiente:</w:t>
      </w:r>
    </w:p>
    <w:p>
      <w:pPr>
        <w:pStyle w:val="BodyText"/>
      </w:pPr>
    </w:p>
    <w:p>
      <w:pPr>
        <w:pStyle w:val="ListParagraph"/>
        <w:numPr>
          <w:ilvl w:val="0"/>
          <w:numId w:val="13"/>
        </w:numPr>
        <w:tabs>
          <w:tab w:pos="837" w:val="left" w:leader="none"/>
        </w:tabs>
        <w:spacing w:line="362" w:lineRule="auto" w:before="140" w:after="0"/>
        <w:ind w:left="837" w:right="116" w:hanging="361"/>
        <w:jc w:val="both"/>
        <w:rPr>
          <w:sz w:val="24"/>
        </w:rPr>
      </w:pPr>
      <w:r>
        <w:rPr>
          <w:sz w:val="24"/>
        </w:rPr>
        <w:t>El monto de $400,000.00 se destinaron para la construcción del sendero interpretativo del</w:t>
      </w:r>
      <w:r>
        <w:rPr>
          <w:spacing w:val="-8"/>
          <w:sz w:val="24"/>
        </w:rPr>
        <w:t> </w:t>
      </w:r>
      <w:r>
        <w:rPr>
          <w:sz w:val="24"/>
        </w:rPr>
        <w:t>Parque.</w:t>
      </w:r>
    </w:p>
    <w:p>
      <w:pPr>
        <w:pStyle w:val="ListParagraph"/>
        <w:numPr>
          <w:ilvl w:val="0"/>
          <w:numId w:val="13"/>
        </w:numPr>
        <w:tabs>
          <w:tab w:pos="837" w:val="left" w:leader="none"/>
        </w:tabs>
        <w:spacing w:line="360" w:lineRule="auto" w:before="0" w:after="0"/>
        <w:ind w:left="837" w:right="120" w:hanging="361"/>
        <w:jc w:val="both"/>
        <w:rPr>
          <w:sz w:val="24"/>
        </w:rPr>
      </w:pPr>
      <w:r>
        <w:rPr>
          <w:sz w:val="24"/>
        </w:rPr>
        <w:t>La cantidad de $200,000.00 utilizados para la construcción de un biodigestor prototipo, para reciclar desechos orgánicos (estiércol de ganado bovino y cerdos) y obtención de energías alternas (biogás y biofertilizante). Además para la creación de un mariposario a cielo</w:t>
      </w:r>
      <w:r>
        <w:rPr>
          <w:spacing w:val="-17"/>
          <w:sz w:val="24"/>
        </w:rPr>
        <w:t> </w:t>
      </w:r>
      <w:r>
        <w:rPr>
          <w:sz w:val="24"/>
        </w:rPr>
        <w:t>abierto.</w:t>
      </w:r>
    </w:p>
    <w:p>
      <w:pPr>
        <w:spacing w:after="0" w:line="360" w:lineRule="auto"/>
        <w:jc w:val="both"/>
        <w:rPr>
          <w:sz w:val="24"/>
        </w:rPr>
        <w:sectPr>
          <w:pgSz w:w="12240" w:h="15840"/>
          <w:pgMar w:header="690"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numPr>
          <w:ilvl w:val="1"/>
          <w:numId w:val="12"/>
        </w:numPr>
        <w:tabs>
          <w:tab w:pos="828" w:val="left" w:leader="none"/>
        </w:tabs>
        <w:spacing w:line="240" w:lineRule="auto" w:before="1" w:after="0"/>
        <w:ind w:left="827" w:right="0" w:hanging="543"/>
        <w:jc w:val="left"/>
      </w:pPr>
      <w:r>
        <w:rPr/>
        <w:t>Zonificación Ambiental en el POETEM,</w:t>
      </w:r>
      <w:r>
        <w:rPr>
          <w:spacing w:val="-19"/>
        </w:rPr>
        <w:t> </w:t>
      </w:r>
      <w:r>
        <w:rPr/>
        <w:t>2006</w:t>
      </w:r>
    </w:p>
    <w:p>
      <w:pPr>
        <w:pStyle w:val="BodyText"/>
        <w:spacing w:line="360" w:lineRule="auto" w:before="142"/>
        <w:ind w:left="116" w:right="112"/>
        <w:jc w:val="both"/>
      </w:pPr>
      <w:r>
        <w:rPr/>
        <w:t>Según la actualización del Programa de Ordenamiento Ecológico del Territorio del Estado de México (POETEM), de fecha 19 de diciembre del 2006, el municipio de Temascaltepec se localiza en la región VI, en la cual se consideran 42 unidades ecológicas. El parque se ubica en la unidad ecológica P-3-402, el uso predominante es pecuario (pastizal), la fragilidad ambiental es media y la política ambiental es de restauración, los criterios de regulación ecológica son los siguientes:</w:t>
      </w:r>
    </w:p>
    <w:p>
      <w:pPr>
        <w:pStyle w:val="BodyText"/>
      </w:pPr>
    </w:p>
    <w:p>
      <w:pPr>
        <w:pStyle w:val="BodyText"/>
        <w:spacing w:line="360" w:lineRule="auto" w:before="145"/>
        <w:ind w:left="683" w:right="78" w:hanging="567"/>
      </w:pPr>
      <w:r>
        <w:rPr/>
        <w:t>132. El cambio autorizado de uso de suelo de agrícola a pecuario se realizará a través de la creación de praderas cultivadas.</w:t>
      </w:r>
    </w:p>
    <w:p>
      <w:pPr>
        <w:pStyle w:val="BodyText"/>
        <w:spacing w:line="360" w:lineRule="auto" w:before="2"/>
        <w:ind w:left="544" w:right="127" w:hanging="428"/>
        <w:jc w:val="both"/>
      </w:pPr>
      <w:r>
        <w:rPr/>
        <w:t>143 En las zonas de uso agrícola y pecuario de transición a forestal se impulsarán las prácticas de reforestación con especies nativas y asociadas a frutales.</w:t>
      </w:r>
    </w:p>
    <w:p>
      <w:pPr>
        <w:pStyle w:val="Heading3"/>
        <w:spacing w:line="360" w:lineRule="auto" w:before="8"/>
        <w:ind w:left="544" w:right="124" w:hanging="428"/>
      </w:pPr>
      <w:r>
        <w:rPr>
          <w:i/>
        </w:rPr>
        <w:t>170. Los jardines botánicos, viveros y unidades de producción de fauna podrán </w:t>
      </w:r>
      <w:r>
        <w:rPr/>
        <w:t>incorporar actividades de ecoturismo.</w:t>
      </w:r>
    </w:p>
    <w:p>
      <w:pPr>
        <w:spacing w:line="360" w:lineRule="auto" w:before="2"/>
        <w:ind w:left="544" w:right="124" w:hanging="428"/>
        <w:jc w:val="both"/>
        <w:rPr>
          <w:b/>
          <w:i/>
          <w:sz w:val="24"/>
        </w:rPr>
      </w:pPr>
      <w:r>
        <w:rPr>
          <w:b/>
          <w:i/>
          <w:sz w:val="24"/>
        </w:rPr>
        <w:t>178. Salvaguardar la diversidad genética de las especies silvestres de las que </w:t>
      </w:r>
      <w:r>
        <w:rPr>
          <w:b/>
          <w:i/>
          <w:sz w:val="24"/>
        </w:rPr>
        <w:t>depende la comunidad evolutiva; así como asegurar la preservación y el aprovechamiento sustentable de la biodiversidad del territorio estatal, en particular preservar las especies que están en peligro de extinción, las amenazadas, las endémicas, las raras y las que se encuentran sujetas a protección especial.</w:t>
      </w:r>
    </w:p>
    <w:p>
      <w:pPr>
        <w:pStyle w:val="BodyText"/>
        <w:spacing w:line="360" w:lineRule="auto" w:before="7"/>
        <w:ind w:left="544" w:right="124" w:hanging="428"/>
        <w:jc w:val="both"/>
      </w:pPr>
      <w:r>
        <w:rPr/>
        <w:t>187. En desarrollos turísticos, la construcción de caminos deberá realizarse utilizando al menos el 50% de materiales que permitan la infiltración del agua pluvial al  subsuelo, asimismo, los caminos deberán ser estables, consolidados y con drenes adecuados a la dinámica hidráulica</w:t>
      </w:r>
      <w:r>
        <w:rPr>
          <w:spacing w:val="-12"/>
        </w:rPr>
        <w:t> </w:t>
      </w:r>
      <w:r>
        <w:rPr/>
        <w:t>natural.</w:t>
      </w:r>
    </w:p>
    <w:p>
      <w:pPr>
        <w:pStyle w:val="BodyText"/>
        <w:spacing w:before="2"/>
        <w:ind w:left="116" w:right="78"/>
      </w:pPr>
      <w:r>
        <w:rPr/>
        <w:t>196. Desarrollo de sistemas de captación de agua de lluvia en el sitio.</w:t>
      </w:r>
    </w:p>
    <w:p>
      <w:pPr>
        <w:pStyle w:val="BodyText"/>
        <w:spacing w:before="141"/>
        <w:ind w:left="116" w:right="78"/>
      </w:pPr>
      <w:r>
        <w:rPr/>
        <w:t>200. Queda limitado el aprovechamiento del agua del subsuelo en zonas de veda.</w:t>
      </w:r>
    </w:p>
    <w:p>
      <w:pPr>
        <w:pStyle w:val="BodyText"/>
        <w:spacing w:line="360" w:lineRule="auto" w:before="137"/>
        <w:ind w:left="544" w:right="111" w:hanging="428"/>
        <w:jc w:val="both"/>
      </w:pPr>
      <w:r>
        <w:rPr/>
        <w:t>204. Se permite la disposición adecuada de residuos sólidos y líquidos, mediante el manejo previsto en el manifiesto de impacto ambiental y cumpliendo con la NOM- 083-SEMARNAT-2003 o demás normatividad aplicable.</w:t>
      </w:r>
    </w:p>
    <w:p>
      <w:pPr>
        <w:spacing w:after="0" w:line="360" w:lineRule="auto"/>
        <w:jc w:val="both"/>
        <w:sectPr>
          <w:pgSz w:w="12240" w:h="15840"/>
          <w:pgMar w:header="690"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116" w:right="112"/>
        <w:jc w:val="both"/>
      </w:pPr>
      <w:r>
        <w:rPr/>
        <w:t>De acuerdo a los criterios de regulación ecológica antes expuestos, el número 170 y 178, coinciden con el objetivo del presente trabajo sobre la conservación y educación ambiental.</w:t>
      </w:r>
    </w:p>
    <w:p>
      <w:pPr>
        <w:pStyle w:val="BodyText"/>
        <w:spacing w:line="360" w:lineRule="auto"/>
        <w:ind w:left="116" w:right="116"/>
        <w:jc w:val="both"/>
      </w:pPr>
      <w:r>
        <w:rPr/>
        <w:t>Con estas consideraciones, se procedió a realizar la delimitación de las Zonas de Manejo Ambiental, siendo representadas en un mapa, mediante el uso de Sistemas de Información Geográfica (SIG), se establecieron siete zonas (Figura 8):</w:t>
      </w:r>
    </w:p>
    <w:p>
      <w:pPr>
        <w:pStyle w:val="BodyText"/>
      </w:pPr>
    </w:p>
    <w:p>
      <w:pPr>
        <w:pStyle w:val="ListParagraph"/>
        <w:numPr>
          <w:ilvl w:val="0"/>
          <w:numId w:val="14"/>
        </w:numPr>
        <w:tabs>
          <w:tab w:pos="414" w:val="left" w:leader="none"/>
        </w:tabs>
        <w:spacing w:line="362" w:lineRule="auto" w:before="140" w:after="0"/>
        <w:ind w:left="116" w:right="117" w:firstLine="0"/>
        <w:jc w:val="both"/>
        <w:rPr>
          <w:sz w:val="24"/>
        </w:rPr>
      </w:pPr>
      <w:r>
        <w:rPr>
          <w:sz w:val="24"/>
        </w:rPr>
        <w:t>Plantas medicinales y aromáticas: Esta área es destinada para aquellas plantas que presenten una o varias características que las distinga </w:t>
      </w:r>
      <w:r>
        <w:rPr>
          <w:spacing w:val="-4"/>
          <w:sz w:val="24"/>
        </w:rPr>
        <w:t>como </w:t>
      </w:r>
      <w:r>
        <w:rPr>
          <w:sz w:val="24"/>
        </w:rPr>
        <w:t>medicinales y aromáticas (Fotografía</w:t>
      </w:r>
      <w:r>
        <w:rPr>
          <w:spacing w:val="-4"/>
          <w:sz w:val="24"/>
        </w:rPr>
        <w:t> </w:t>
      </w:r>
      <w:r>
        <w:rPr>
          <w:sz w:val="24"/>
        </w:rPr>
        <w:t>1).</w:t>
      </w:r>
    </w:p>
    <w:p>
      <w:pPr>
        <w:pStyle w:val="BodyText"/>
        <w:spacing w:before="4"/>
        <w:rPr>
          <w:sz w:val="35"/>
        </w:rPr>
      </w:pPr>
    </w:p>
    <w:p>
      <w:pPr>
        <w:spacing w:before="0"/>
        <w:ind w:left="127" w:right="130" w:firstLine="0"/>
        <w:jc w:val="center"/>
        <w:rPr>
          <w:b/>
          <w:i/>
          <w:sz w:val="20"/>
        </w:rPr>
      </w:pPr>
      <w:r>
        <w:rPr>
          <w:b/>
          <w:i/>
          <w:sz w:val="20"/>
        </w:rPr>
        <w:t>Fotografía 1. Zona de Manejo Ambiental: Plantas medicinales y aromáticas</w:t>
      </w:r>
    </w:p>
    <w:p>
      <w:pPr>
        <w:pStyle w:val="BodyText"/>
        <w:rPr>
          <w:b/>
          <w:i/>
          <w:sz w:val="20"/>
        </w:rPr>
      </w:pPr>
    </w:p>
    <w:p>
      <w:pPr>
        <w:pStyle w:val="BodyText"/>
        <w:spacing w:before="3"/>
        <w:rPr>
          <w:b/>
          <w:i/>
          <w:sz w:val="23"/>
        </w:rPr>
      </w:pPr>
      <w:r>
        <w:rPr/>
        <w:drawing>
          <wp:anchor distT="0" distB="0" distL="0" distR="0" allowOverlap="1" layoutInCell="1" locked="0" behindDoc="0" simplePos="0" relativeHeight="1288">
            <wp:simplePos x="0" y="0"/>
            <wp:positionH relativeFrom="page">
              <wp:posOffset>1843023</wp:posOffset>
            </wp:positionH>
            <wp:positionV relativeFrom="paragraph">
              <wp:posOffset>195222</wp:posOffset>
            </wp:positionV>
            <wp:extent cx="4078300" cy="3055239"/>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42" cstate="print"/>
                    <a:stretch>
                      <a:fillRect/>
                    </a:stretch>
                  </pic:blipFill>
                  <pic:spPr>
                    <a:xfrm>
                      <a:off x="0" y="0"/>
                      <a:ext cx="4078300" cy="3055239"/>
                    </a:xfrm>
                    <a:prstGeom prst="rect">
                      <a:avLst/>
                    </a:prstGeom>
                  </pic:spPr>
                </pic:pic>
              </a:graphicData>
            </a:graphic>
          </wp:anchor>
        </w:drawing>
      </w:r>
    </w:p>
    <w:p>
      <w:pPr>
        <w:spacing w:before="120"/>
        <w:ind w:left="131" w:right="130" w:firstLine="0"/>
        <w:jc w:val="center"/>
        <w:rPr>
          <w:b/>
          <w:i/>
          <w:sz w:val="20"/>
        </w:rPr>
      </w:pPr>
      <w:r>
        <w:rPr>
          <w:b/>
          <w:i/>
          <w:sz w:val="20"/>
        </w:rPr>
        <w:t>Fuente: Trabajo de campo, fecha 1 de marzo del 2013</w:t>
      </w:r>
    </w:p>
    <w:p>
      <w:pPr>
        <w:spacing w:after="0"/>
        <w:jc w:val="center"/>
        <w:rPr>
          <w:sz w:val="20"/>
        </w:rPr>
        <w:sectPr>
          <w:pgSz w:w="12240" w:h="15840"/>
          <w:pgMar w:header="690" w:footer="1146" w:top="880" w:bottom="1340" w:left="1300" w:right="1300"/>
        </w:sectPr>
      </w:pPr>
    </w:p>
    <w:p>
      <w:pPr>
        <w:pStyle w:val="BodyText"/>
        <w:rPr>
          <w:b/>
          <w:i/>
          <w:sz w:val="20"/>
        </w:rPr>
      </w:pPr>
    </w:p>
    <w:p>
      <w:pPr>
        <w:pStyle w:val="BodyText"/>
        <w:rPr>
          <w:b/>
          <w:i/>
          <w:sz w:val="20"/>
        </w:rPr>
      </w:pPr>
    </w:p>
    <w:p>
      <w:pPr>
        <w:pStyle w:val="BodyText"/>
        <w:rPr>
          <w:b/>
          <w:i/>
          <w:sz w:val="20"/>
        </w:rPr>
      </w:pPr>
    </w:p>
    <w:p>
      <w:pPr>
        <w:pStyle w:val="BodyText"/>
        <w:spacing w:before="4"/>
        <w:rPr>
          <w:b/>
          <w:i/>
          <w:sz w:val="23"/>
        </w:rPr>
      </w:pPr>
    </w:p>
    <w:p>
      <w:pPr>
        <w:spacing w:before="76"/>
        <w:ind w:left="131" w:right="130" w:firstLine="0"/>
        <w:jc w:val="center"/>
        <w:rPr>
          <w:b/>
          <w:i/>
          <w:sz w:val="20"/>
        </w:rPr>
      </w:pPr>
      <w:r>
        <w:rPr/>
        <w:drawing>
          <wp:anchor distT="0" distB="0" distL="0" distR="0" allowOverlap="1" layoutInCell="1" locked="0" behindDoc="0" simplePos="0" relativeHeight="1312">
            <wp:simplePos x="0" y="0"/>
            <wp:positionH relativeFrom="page">
              <wp:posOffset>1890648</wp:posOffset>
            </wp:positionH>
            <wp:positionV relativeFrom="paragraph">
              <wp:posOffset>274064</wp:posOffset>
            </wp:positionV>
            <wp:extent cx="3975316" cy="2982372"/>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43" cstate="print"/>
                    <a:stretch>
                      <a:fillRect/>
                    </a:stretch>
                  </pic:blipFill>
                  <pic:spPr>
                    <a:xfrm>
                      <a:off x="0" y="0"/>
                      <a:ext cx="3975316" cy="2982372"/>
                    </a:xfrm>
                    <a:prstGeom prst="rect">
                      <a:avLst/>
                    </a:prstGeom>
                  </pic:spPr>
                </pic:pic>
              </a:graphicData>
            </a:graphic>
          </wp:anchor>
        </w:drawing>
      </w:r>
      <w:r>
        <w:rPr>
          <w:b/>
          <w:i/>
          <w:sz w:val="20"/>
        </w:rPr>
        <w:t>Fotografía 1. Zona de Manejo Ambiental: Plantas medicinales y aromáticas (Continúa).</w:t>
      </w:r>
    </w:p>
    <w:p>
      <w:pPr>
        <w:spacing w:before="119"/>
        <w:ind w:left="125" w:right="130" w:firstLine="0"/>
        <w:jc w:val="center"/>
        <w:rPr>
          <w:b/>
          <w:i/>
          <w:sz w:val="20"/>
        </w:rPr>
      </w:pPr>
      <w:r>
        <w:rPr>
          <w:b/>
          <w:i/>
          <w:sz w:val="20"/>
        </w:rPr>
        <w:t>Fuente: Trabajo de campo, fecha 10 de abril del 2013</w:t>
      </w:r>
    </w:p>
    <w:p>
      <w:pPr>
        <w:pStyle w:val="BodyText"/>
        <w:rPr>
          <w:b/>
          <w:i/>
          <w:sz w:val="20"/>
        </w:rPr>
      </w:pPr>
    </w:p>
    <w:p>
      <w:pPr>
        <w:pStyle w:val="BodyText"/>
        <w:spacing w:before="5"/>
        <w:rPr>
          <w:b/>
          <w:i/>
          <w:sz w:val="26"/>
        </w:rPr>
      </w:pPr>
    </w:p>
    <w:p>
      <w:pPr>
        <w:pStyle w:val="ListParagraph"/>
        <w:numPr>
          <w:ilvl w:val="0"/>
          <w:numId w:val="14"/>
        </w:numPr>
        <w:tabs>
          <w:tab w:pos="404" w:val="left" w:leader="none"/>
        </w:tabs>
        <w:spacing w:line="360" w:lineRule="auto" w:before="0" w:after="0"/>
        <w:ind w:left="116" w:right="124" w:firstLine="0"/>
        <w:jc w:val="left"/>
        <w:rPr>
          <w:sz w:val="24"/>
        </w:rPr>
      </w:pPr>
      <w:r>
        <w:rPr>
          <w:sz w:val="24"/>
        </w:rPr>
        <w:t>Cafetal: Esta superficie se denomina de esta manera por presentar mayor número de ejemplares de la especie </w:t>
      </w:r>
      <w:r>
        <w:rPr>
          <w:i/>
          <w:sz w:val="24"/>
        </w:rPr>
        <w:t>Coffea arabica </w:t>
      </w:r>
      <w:r>
        <w:rPr>
          <w:sz w:val="24"/>
        </w:rPr>
        <w:t>L. (Fotografía</w:t>
      </w:r>
      <w:r>
        <w:rPr>
          <w:spacing w:val="-13"/>
          <w:sz w:val="24"/>
        </w:rPr>
        <w:t> </w:t>
      </w:r>
      <w:r>
        <w:rPr>
          <w:sz w:val="24"/>
        </w:rPr>
        <w:t>2).</w:t>
      </w:r>
    </w:p>
    <w:p>
      <w:pPr>
        <w:pStyle w:val="BodyText"/>
      </w:pPr>
    </w:p>
    <w:p>
      <w:pPr>
        <w:spacing w:before="138"/>
        <w:ind w:left="2527" w:right="78" w:firstLine="0"/>
        <w:jc w:val="left"/>
        <w:rPr>
          <w:b/>
          <w:i/>
          <w:sz w:val="20"/>
        </w:rPr>
      </w:pPr>
      <w:r>
        <w:rPr/>
        <w:drawing>
          <wp:anchor distT="0" distB="0" distL="0" distR="0" allowOverlap="1" layoutInCell="1" locked="0" behindDoc="0" simplePos="0" relativeHeight="1336">
            <wp:simplePos x="0" y="0"/>
            <wp:positionH relativeFrom="page">
              <wp:posOffset>1976373</wp:posOffset>
            </wp:positionH>
            <wp:positionV relativeFrom="paragraph">
              <wp:posOffset>311656</wp:posOffset>
            </wp:positionV>
            <wp:extent cx="3842855" cy="288255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44" cstate="print"/>
                    <a:stretch>
                      <a:fillRect/>
                    </a:stretch>
                  </pic:blipFill>
                  <pic:spPr>
                    <a:xfrm>
                      <a:off x="0" y="0"/>
                      <a:ext cx="3842855" cy="2882550"/>
                    </a:xfrm>
                    <a:prstGeom prst="rect">
                      <a:avLst/>
                    </a:prstGeom>
                  </pic:spPr>
                </pic:pic>
              </a:graphicData>
            </a:graphic>
          </wp:anchor>
        </w:drawing>
      </w:r>
      <w:r>
        <w:rPr>
          <w:b/>
          <w:i/>
          <w:sz w:val="20"/>
        </w:rPr>
        <w:t>Fotografía 2. Zona de Manejo Ambiental: Cafetal</w:t>
      </w:r>
    </w:p>
    <w:p>
      <w:pPr>
        <w:spacing w:before="77"/>
        <w:ind w:left="125" w:right="130" w:firstLine="0"/>
        <w:jc w:val="center"/>
        <w:rPr>
          <w:b/>
          <w:i/>
          <w:sz w:val="20"/>
        </w:rPr>
      </w:pPr>
      <w:r>
        <w:rPr>
          <w:b/>
          <w:i/>
          <w:sz w:val="20"/>
        </w:rPr>
        <w:t>Fuente: Trabajo de campo, fecha 8 de diciembre del 2012</w:t>
      </w:r>
    </w:p>
    <w:p>
      <w:pPr>
        <w:spacing w:after="0"/>
        <w:jc w:val="center"/>
        <w:rPr>
          <w:sz w:val="20"/>
        </w:rPr>
        <w:sectPr>
          <w:pgSz w:w="12240" w:h="15840"/>
          <w:pgMar w:header="690" w:footer="1146" w:top="880" w:bottom="1340" w:left="1300" w:right="1300"/>
        </w:sectPr>
      </w:pPr>
    </w:p>
    <w:p>
      <w:pPr>
        <w:pStyle w:val="BodyText"/>
        <w:rPr>
          <w:b/>
          <w:i/>
          <w:sz w:val="20"/>
        </w:rPr>
      </w:pPr>
    </w:p>
    <w:p>
      <w:pPr>
        <w:pStyle w:val="BodyText"/>
        <w:rPr>
          <w:b/>
          <w:i/>
          <w:sz w:val="20"/>
        </w:rPr>
      </w:pPr>
    </w:p>
    <w:p>
      <w:pPr>
        <w:pStyle w:val="BodyText"/>
        <w:rPr>
          <w:b/>
          <w:i/>
          <w:sz w:val="20"/>
        </w:rPr>
      </w:pPr>
    </w:p>
    <w:p>
      <w:pPr>
        <w:pStyle w:val="BodyText"/>
        <w:spacing w:before="2"/>
        <w:rPr>
          <w:b/>
          <w:i/>
          <w:sz w:val="21"/>
        </w:rPr>
      </w:pPr>
    </w:p>
    <w:p>
      <w:pPr>
        <w:spacing w:before="1"/>
        <w:ind w:left="129" w:right="130" w:firstLine="0"/>
        <w:jc w:val="center"/>
        <w:rPr>
          <w:b/>
          <w:i/>
          <w:sz w:val="20"/>
        </w:rPr>
      </w:pPr>
      <w:r>
        <w:rPr/>
        <w:drawing>
          <wp:anchor distT="0" distB="0" distL="0" distR="0" allowOverlap="1" layoutInCell="1" locked="0" behindDoc="0" simplePos="0" relativeHeight="1360">
            <wp:simplePos x="0" y="0"/>
            <wp:positionH relativeFrom="page">
              <wp:posOffset>2014473</wp:posOffset>
            </wp:positionH>
            <wp:positionV relativeFrom="paragraph">
              <wp:posOffset>226185</wp:posOffset>
            </wp:positionV>
            <wp:extent cx="3771609" cy="2828163"/>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45" cstate="print"/>
                    <a:stretch>
                      <a:fillRect/>
                    </a:stretch>
                  </pic:blipFill>
                  <pic:spPr>
                    <a:xfrm>
                      <a:off x="0" y="0"/>
                      <a:ext cx="3771609" cy="2828163"/>
                    </a:xfrm>
                    <a:prstGeom prst="rect">
                      <a:avLst/>
                    </a:prstGeom>
                  </pic:spPr>
                </pic:pic>
              </a:graphicData>
            </a:graphic>
          </wp:anchor>
        </w:drawing>
      </w:r>
      <w:r>
        <w:rPr>
          <w:b/>
          <w:i/>
          <w:sz w:val="20"/>
        </w:rPr>
        <w:t>Fotografía 2. Zona de Manejo Ambiental: Cafetal (Continúa)</w:t>
      </w:r>
    </w:p>
    <w:p>
      <w:pPr>
        <w:spacing w:before="45"/>
        <w:ind w:left="125" w:right="130" w:firstLine="0"/>
        <w:jc w:val="center"/>
        <w:rPr>
          <w:b/>
          <w:i/>
          <w:sz w:val="20"/>
        </w:rPr>
      </w:pPr>
      <w:r>
        <w:rPr>
          <w:b/>
          <w:i/>
          <w:sz w:val="20"/>
        </w:rPr>
        <w:t>Fuente: Trabajo de campo, fecha 4 de noviembre del 2013</w:t>
      </w:r>
    </w:p>
    <w:p>
      <w:pPr>
        <w:pStyle w:val="BodyText"/>
        <w:rPr>
          <w:b/>
          <w:i/>
          <w:sz w:val="20"/>
        </w:rPr>
      </w:pPr>
    </w:p>
    <w:p>
      <w:pPr>
        <w:pStyle w:val="BodyText"/>
        <w:spacing w:before="5"/>
        <w:rPr>
          <w:b/>
          <w:i/>
          <w:sz w:val="26"/>
        </w:rPr>
      </w:pPr>
    </w:p>
    <w:p>
      <w:pPr>
        <w:pStyle w:val="ListParagraph"/>
        <w:numPr>
          <w:ilvl w:val="0"/>
          <w:numId w:val="14"/>
        </w:numPr>
        <w:tabs>
          <w:tab w:pos="486" w:val="left" w:leader="none"/>
        </w:tabs>
        <w:spacing w:line="360" w:lineRule="auto" w:before="0" w:after="0"/>
        <w:ind w:left="116" w:right="127" w:firstLine="0"/>
        <w:jc w:val="left"/>
        <w:rPr>
          <w:sz w:val="24"/>
        </w:rPr>
      </w:pPr>
      <w:r>
        <w:rPr>
          <w:sz w:val="24"/>
        </w:rPr>
        <w:t>Hortalizas: Área destinada para cultivo de hortalizas con propósito académico (Fotografía</w:t>
      </w:r>
      <w:r>
        <w:rPr>
          <w:spacing w:val="-4"/>
          <w:sz w:val="24"/>
        </w:rPr>
        <w:t> </w:t>
      </w:r>
      <w:r>
        <w:rPr>
          <w:sz w:val="24"/>
        </w:rPr>
        <w:t>3).</w:t>
      </w:r>
    </w:p>
    <w:p>
      <w:pPr>
        <w:pStyle w:val="BodyText"/>
      </w:pPr>
    </w:p>
    <w:p>
      <w:pPr>
        <w:spacing w:before="139"/>
        <w:ind w:left="124" w:right="130" w:firstLine="0"/>
        <w:jc w:val="center"/>
        <w:rPr>
          <w:b/>
          <w:i/>
          <w:sz w:val="20"/>
        </w:rPr>
      </w:pPr>
      <w:r>
        <w:rPr/>
        <w:drawing>
          <wp:anchor distT="0" distB="0" distL="0" distR="0" allowOverlap="1" layoutInCell="1" locked="0" behindDoc="0" simplePos="0" relativeHeight="1384">
            <wp:simplePos x="0" y="0"/>
            <wp:positionH relativeFrom="page">
              <wp:posOffset>1990725</wp:posOffset>
            </wp:positionH>
            <wp:positionV relativeFrom="paragraph">
              <wp:posOffset>310640</wp:posOffset>
            </wp:positionV>
            <wp:extent cx="3827822" cy="2870835"/>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46" cstate="print"/>
                    <a:stretch>
                      <a:fillRect/>
                    </a:stretch>
                  </pic:blipFill>
                  <pic:spPr>
                    <a:xfrm>
                      <a:off x="0" y="0"/>
                      <a:ext cx="3827822" cy="2870835"/>
                    </a:xfrm>
                    <a:prstGeom prst="rect">
                      <a:avLst/>
                    </a:prstGeom>
                  </pic:spPr>
                </pic:pic>
              </a:graphicData>
            </a:graphic>
          </wp:anchor>
        </w:drawing>
      </w:r>
      <w:r>
        <w:rPr>
          <w:b/>
          <w:i/>
          <w:sz w:val="20"/>
        </w:rPr>
        <w:t>Fotografía 3. Zona de Manejo Ambiental: Hortalizas</w:t>
      </w:r>
    </w:p>
    <w:p>
      <w:pPr>
        <w:spacing w:before="59"/>
        <w:ind w:left="124" w:right="130" w:firstLine="0"/>
        <w:jc w:val="center"/>
        <w:rPr>
          <w:b/>
          <w:i/>
          <w:sz w:val="20"/>
        </w:rPr>
      </w:pPr>
      <w:r>
        <w:rPr>
          <w:b/>
          <w:i/>
          <w:sz w:val="20"/>
        </w:rPr>
        <w:t>Fuente: Trabajo de campo, fecha 4 de noviembre del 2013</w:t>
      </w:r>
    </w:p>
    <w:p>
      <w:pPr>
        <w:spacing w:after="0"/>
        <w:jc w:val="center"/>
        <w:rPr>
          <w:sz w:val="20"/>
        </w:rPr>
        <w:sectPr>
          <w:pgSz w:w="12240" w:h="15840"/>
          <w:pgMar w:header="690" w:footer="1146" w:top="880" w:bottom="1340" w:left="1300" w:right="1300"/>
        </w:sectPr>
      </w:pPr>
    </w:p>
    <w:p>
      <w:pPr>
        <w:pStyle w:val="BodyText"/>
        <w:rPr>
          <w:b/>
          <w:i/>
          <w:sz w:val="20"/>
        </w:rPr>
      </w:pPr>
    </w:p>
    <w:p>
      <w:pPr>
        <w:pStyle w:val="BodyText"/>
        <w:spacing w:before="4"/>
        <w:rPr>
          <w:b/>
          <w:i/>
          <w:sz w:val="19"/>
        </w:rPr>
      </w:pPr>
    </w:p>
    <w:p>
      <w:pPr>
        <w:pStyle w:val="ListParagraph"/>
        <w:numPr>
          <w:ilvl w:val="0"/>
          <w:numId w:val="14"/>
        </w:numPr>
        <w:tabs>
          <w:tab w:pos="399" w:val="left" w:leader="none"/>
        </w:tabs>
        <w:spacing w:line="240" w:lineRule="auto" w:before="70" w:after="0"/>
        <w:ind w:left="398" w:right="0" w:hanging="282"/>
        <w:jc w:val="left"/>
        <w:rPr>
          <w:sz w:val="24"/>
        </w:rPr>
      </w:pPr>
      <w:r>
        <w:rPr>
          <w:sz w:val="24"/>
        </w:rPr>
        <w:t>Frutales. Zona destinada para árboles frutales de interés comercial (Fotografía</w:t>
      </w:r>
      <w:r>
        <w:rPr>
          <w:spacing w:val="-39"/>
          <w:sz w:val="24"/>
        </w:rPr>
        <w:t> </w:t>
      </w:r>
      <w:r>
        <w:rPr>
          <w:sz w:val="24"/>
        </w:rPr>
        <w:t>4).</w:t>
      </w:r>
    </w:p>
    <w:p>
      <w:pPr>
        <w:pStyle w:val="BodyText"/>
      </w:pPr>
    </w:p>
    <w:p>
      <w:pPr>
        <w:spacing w:before="206"/>
        <w:ind w:left="125" w:right="130" w:firstLine="0"/>
        <w:jc w:val="center"/>
        <w:rPr>
          <w:b/>
          <w:i/>
          <w:sz w:val="20"/>
        </w:rPr>
      </w:pPr>
      <w:r>
        <w:rPr>
          <w:b/>
          <w:i/>
          <w:sz w:val="20"/>
        </w:rPr>
        <w:t>Fotografía 4. Zona de Manejo Ambiental: Frutales</w:t>
      </w:r>
    </w:p>
    <w:p>
      <w:pPr>
        <w:pStyle w:val="BodyText"/>
        <w:rPr>
          <w:b/>
          <w:i/>
          <w:sz w:val="20"/>
        </w:rPr>
      </w:pPr>
    </w:p>
    <w:p>
      <w:pPr>
        <w:pStyle w:val="BodyText"/>
        <w:spacing w:before="2"/>
        <w:rPr>
          <w:b/>
          <w:i/>
          <w:sz w:val="17"/>
        </w:rPr>
      </w:pPr>
      <w:r>
        <w:rPr/>
        <w:drawing>
          <wp:anchor distT="0" distB="0" distL="0" distR="0" allowOverlap="1" layoutInCell="1" locked="0" behindDoc="0" simplePos="0" relativeHeight="1408">
            <wp:simplePos x="0" y="0"/>
            <wp:positionH relativeFrom="page">
              <wp:posOffset>1971675</wp:posOffset>
            </wp:positionH>
            <wp:positionV relativeFrom="paragraph">
              <wp:posOffset>150264</wp:posOffset>
            </wp:positionV>
            <wp:extent cx="3842211" cy="2882550"/>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47" cstate="print"/>
                    <a:stretch>
                      <a:fillRect/>
                    </a:stretch>
                  </pic:blipFill>
                  <pic:spPr>
                    <a:xfrm>
                      <a:off x="0" y="0"/>
                      <a:ext cx="3842211" cy="2882550"/>
                    </a:xfrm>
                    <a:prstGeom prst="rect">
                      <a:avLst/>
                    </a:prstGeom>
                  </pic:spPr>
                </pic:pic>
              </a:graphicData>
            </a:graphic>
          </wp:anchor>
        </w:drawing>
      </w:r>
    </w:p>
    <w:p>
      <w:pPr>
        <w:pStyle w:val="BodyText"/>
        <w:rPr>
          <w:b/>
          <w:i/>
          <w:sz w:val="20"/>
        </w:rPr>
      </w:pPr>
    </w:p>
    <w:p>
      <w:pPr>
        <w:pStyle w:val="BodyText"/>
        <w:spacing w:before="3"/>
        <w:rPr>
          <w:b/>
          <w:i/>
          <w:sz w:val="21"/>
        </w:rPr>
      </w:pPr>
      <w:r>
        <w:rPr/>
        <w:drawing>
          <wp:anchor distT="0" distB="0" distL="0" distR="0" allowOverlap="1" layoutInCell="1" locked="0" behindDoc="0" simplePos="0" relativeHeight="1432">
            <wp:simplePos x="0" y="0"/>
            <wp:positionH relativeFrom="page">
              <wp:posOffset>1985898</wp:posOffset>
            </wp:positionH>
            <wp:positionV relativeFrom="paragraph">
              <wp:posOffset>180066</wp:posOffset>
            </wp:positionV>
            <wp:extent cx="3769708" cy="2828163"/>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48" cstate="print"/>
                    <a:stretch>
                      <a:fillRect/>
                    </a:stretch>
                  </pic:blipFill>
                  <pic:spPr>
                    <a:xfrm>
                      <a:off x="0" y="0"/>
                      <a:ext cx="3769708" cy="2828163"/>
                    </a:xfrm>
                    <a:prstGeom prst="rect">
                      <a:avLst/>
                    </a:prstGeom>
                  </pic:spPr>
                </pic:pic>
              </a:graphicData>
            </a:graphic>
          </wp:anchor>
        </w:drawing>
      </w:r>
    </w:p>
    <w:p>
      <w:pPr>
        <w:spacing w:before="148"/>
        <w:ind w:left="125" w:right="130" w:firstLine="0"/>
        <w:jc w:val="center"/>
        <w:rPr>
          <w:b/>
          <w:i/>
          <w:sz w:val="20"/>
        </w:rPr>
      </w:pPr>
      <w:r>
        <w:rPr>
          <w:b/>
          <w:i/>
          <w:sz w:val="20"/>
        </w:rPr>
        <w:t>Fuente: Trabajo de campo, fecha 12 de agosto del 2013</w:t>
      </w:r>
    </w:p>
    <w:p>
      <w:pPr>
        <w:spacing w:after="0"/>
        <w:jc w:val="center"/>
        <w:rPr>
          <w:sz w:val="20"/>
        </w:rPr>
        <w:sectPr>
          <w:pgSz w:w="12240" w:h="15840"/>
          <w:pgMar w:header="690" w:footer="1146" w:top="880" w:bottom="1340" w:left="1300" w:right="1300"/>
        </w:sectPr>
      </w:pPr>
    </w:p>
    <w:p>
      <w:pPr>
        <w:pStyle w:val="BodyText"/>
        <w:rPr>
          <w:b/>
          <w:i/>
          <w:sz w:val="20"/>
        </w:rPr>
      </w:pPr>
    </w:p>
    <w:p>
      <w:pPr>
        <w:pStyle w:val="BodyText"/>
        <w:spacing w:before="4"/>
        <w:rPr>
          <w:b/>
          <w:i/>
          <w:sz w:val="19"/>
        </w:rPr>
      </w:pPr>
    </w:p>
    <w:p>
      <w:pPr>
        <w:pStyle w:val="ListParagraph"/>
        <w:numPr>
          <w:ilvl w:val="0"/>
          <w:numId w:val="14"/>
        </w:numPr>
        <w:tabs>
          <w:tab w:pos="515" w:val="left" w:leader="none"/>
        </w:tabs>
        <w:spacing w:line="362" w:lineRule="auto" w:before="70" w:after="0"/>
        <w:ind w:left="116" w:right="121" w:firstLine="0"/>
        <w:jc w:val="left"/>
        <w:rPr>
          <w:sz w:val="24"/>
        </w:rPr>
      </w:pPr>
      <w:r>
        <w:rPr>
          <w:sz w:val="24"/>
        </w:rPr>
        <w:t>Mariposario: Zona donde </w:t>
      </w:r>
      <w:r>
        <w:rPr>
          <w:spacing w:val="-3"/>
          <w:sz w:val="24"/>
        </w:rPr>
        <w:t>se </w:t>
      </w:r>
      <w:r>
        <w:rPr>
          <w:sz w:val="24"/>
        </w:rPr>
        <w:t>ubican especies hospederas de las mariposas (Fotografía</w:t>
      </w:r>
      <w:r>
        <w:rPr>
          <w:spacing w:val="-4"/>
          <w:sz w:val="24"/>
        </w:rPr>
        <w:t> </w:t>
      </w:r>
      <w:r>
        <w:rPr>
          <w:sz w:val="24"/>
        </w:rPr>
        <w:t>5).</w:t>
      </w:r>
    </w:p>
    <w:p>
      <w:pPr>
        <w:pStyle w:val="BodyText"/>
        <w:spacing w:before="5"/>
        <w:rPr>
          <w:sz w:val="35"/>
        </w:rPr>
      </w:pPr>
    </w:p>
    <w:p>
      <w:pPr>
        <w:spacing w:before="0"/>
        <w:ind w:left="2287" w:right="78" w:firstLine="9"/>
        <w:jc w:val="left"/>
        <w:rPr>
          <w:b/>
          <w:i/>
          <w:sz w:val="20"/>
        </w:rPr>
      </w:pPr>
      <w:r>
        <w:rPr/>
        <w:drawing>
          <wp:anchor distT="0" distB="0" distL="0" distR="0" allowOverlap="1" layoutInCell="1" locked="0" behindDoc="0" simplePos="0" relativeHeight="1456">
            <wp:simplePos x="0" y="0"/>
            <wp:positionH relativeFrom="page">
              <wp:posOffset>1928748</wp:posOffset>
            </wp:positionH>
            <wp:positionV relativeFrom="paragraph">
              <wp:posOffset>225169</wp:posOffset>
            </wp:positionV>
            <wp:extent cx="3919858" cy="2938081"/>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50" cstate="print"/>
                    <a:stretch>
                      <a:fillRect/>
                    </a:stretch>
                  </pic:blipFill>
                  <pic:spPr>
                    <a:xfrm>
                      <a:off x="0" y="0"/>
                      <a:ext cx="3919858" cy="2938081"/>
                    </a:xfrm>
                    <a:prstGeom prst="rect">
                      <a:avLst/>
                    </a:prstGeom>
                  </pic:spPr>
                </pic:pic>
              </a:graphicData>
            </a:graphic>
          </wp:anchor>
        </w:drawing>
      </w:r>
      <w:r>
        <w:rPr>
          <w:b/>
          <w:i/>
          <w:sz w:val="20"/>
        </w:rPr>
        <w:t>Fotografía 5. Zona de Manejo Ambiental: Mariposario</w:t>
      </w:r>
    </w:p>
    <w:p>
      <w:pPr>
        <w:pStyle w:val="BodyText"/>
        <w:rPr>
          <w:b/>
          <w:i/>
          <w:sz w:val="20"/>
        </w:rPr>
      </w:pPr>
    </w:p>
    <w:p>
      <w:pPr>
        <w:pStyle w:val="BodyText"/>
        <w:rPr>
          <w:b/>
          <w:i/>
          <w:sz w:val="20"/>
        </w:rPr>
      </w:pPr>
    </w:p>
    <w:p>
      <w:pPr>
        <w:pStyle w:val="BodyText"/>
        <w:spacing w:before="5"/>
        <w:rPr>
          <w:b/>
          <w:i/>
          <w:sz w:val="10"/>
        </w:rPr>
      </w:pPr>
      <w:r>
        <w:rPr/>
        <w:drawing>
          <wp:anchor distT="0" distB="0" distL="0" distR="0" allowOverlap="1" layoutInCell="1" locked="0" behindDoc="0" simplePos="0" relativeHeight="1480">
            <wp:simplePos x="0" y="0"/>
            <wp:positionH relativeFrom="page">
              <wp:posOffset>1931035</wp:posOffset>
            </wp:positionH>
            <wp:positionV relativeFrom="paragraph">
              <wp:posOffset>101307</wp:posOffset>
            </wp:positionV>
            <wp:extent cx="3914646" cy="2936938"/>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51" cstate="print"/>
                    <a:stretch>
                      <a:fillRect/>
                    </a:stretch>
                  </pic:blipFill>
                  <pic:spPr>
                    <a:xfrm>
                      <a:off x="0" y="0"/>
                      <a:ext cx="3914646" cy="2936938"/>
                    </a:xfrm>
                    <a:prstGeom prst="rect">
                      <a:avLst/>
                    </a:prstGeom>
                  </pic:spPr>
                </pic:pic>
              </a:graphicData>
            </a:graphic>
          </wp:anchor>
        </w:drawing>
      </w:r>
    </w:p>
    <w:p>
      <w:pPr>
        <w:spacing w:before="97"/>
        <w:ind w:left="2287" w:right="78" w:firstLine="0"/>
        <w:jc w:val="left"/>
        <w:rPr>
          <w:b/>
          <w:i/>
          <w:sz w:val="20"/>
        </w:rPr>
      </w:pPr>
      <w:r>
        <w:rPr>
          <w:b/>
          <w:i/>
          <w:sz w:val="20"/>
        </w:rPr>
        <w:t>Fuente: Trabajo de campo, fecha 25 de junio del 2013</w:t>
      </w:r>
    </w:p>
    <w:p>
      <w:pPr>
        <w:spacing w:after="0"/>
        <w:jc w:val="left"/>
        <w:rPr>
          <w:sz w:val="20"/>
        </w:rPr>
        <w:sectPr>
          <w:footerReference w:type="default" r:id="rId49"/>
          <w:pgSz w:w="12240" w:h="15840"/>
          <w:pgMar w:footer="1146" w:header="690" w:top="880" w:bottom="1340" w:left="1300" w:right="1300"/>
        </w:sectPr>
      </w:pPr>
    </w:p>
    <w:p>
      <w:pPr>
        <w:pStyle w:val="BodyText"/>
        <w:rPr>
          <w:b/>
          <w:i/>
          <w:sz w:val="20"/>
        </w:rPr>
      </w:pPr>
    </w:p>
    <w:p>
      <w:pPr>
        <w:pStyle w:val="BodyText"/>
        <w:spacing w:before="4"/>
        <w:rPr>
          <w:b/>
          <w:i/>
          <w:sz w:val="19"/>
        </w:rPr>
      </w:pPr>
    </w:p>
    <w:p>
      <w:pPr>
        <w:pStyle w:val="ListParagraph"/>
        <w:numPr>
          <w:ilvl w:val="0"/>
          <w:numId w:val="14"/>
        </w:numPr>
        <w:tabs>
          <w:tab w:pos="476" w:val="left" w:leader="none"/>
        </w:tabs>
        <w:spacing w:line="362" w:lineRule="auto" w:before="70" w:after="0"/>
        <w:ind w:left="116" w:right="118" w:firstLine="0"/>
        <w:jc w:val="left"/>
        <w:rPr>
          <w:sz w:val="24"/>
        </w:rPr>
      </w:pPr>
      <w:r>
        <w:rPr>
          <w:sz w:val="24"/>
        </w:rPr>
        <w:t>Orquídeario: Esta superficie presenta mayor número de especies de la familia Orchidaceae y otras especies silvestres (Fotografía</w:t>
      </w:r>
      <w:r>
        <w:rPr>
          <w:spacing w:val="-26"/>
          <w:sz w:val="24"/>
        </w:rPr>
        <w:t> </w:t>
      </w:r>
      <w:r>
        <w:rPr>
          <w:sz w:val="24"/>
        </w:rPr>
        <w:t>6).</w:t>
      </w:r>
    </w:p>
    <w:p>
      <w:pPr>
        <w:pStyle w:val="BodyText"/>
        <w:spacing w:before="5"/>
        <w:rPr>
          <w:sz w:val="35"/>
        </w:rPr>
      </w:pPr>
    </w:p>
    <w:p>
      <w:pPr>
        <w:spacing w:before="0"/>
        <w:ind w:left="125" w:right="130" w:firstLine="0"/>
        <w:jc w:val="center"/>
        <w:rPr>
          <w:b/>
          <w:i/>
          <w:sz w:val="20"/>
        </w:rPr>
      </w:pPr>
      <w:r>
        <w:rPr/>
        <w:drawing>
          <wp:anchor distT="0" distB="0" distL="0" distR="0" allowOverlap="1" layoutInCell="1" locked="0" behindDoc="0" simplePos="0" relativeHeight="1504">
            <wp:simplePos x="0" y="0"/>
            <wp:positionH relativeFrom="page">
              <wp:posOffset>1911985</wp:posOffset>
            </wp:positionH>
            <wp:positionV relativeFrom="paragraph">
              <wp:posOffset>225169</wp:posOffset>
            </wp:positionV>
            <wp:extent cx="3914658" cy="2936938"/>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53" cstate="print"/>
                    <a:stretch>
                      <a:fillRect/>
                    </a:stretch>
                  </pic:blipFill>
                  <pic:spPr>
                    <a:xfrm>
                      <a:off x="0" y="0"/>
                      <a:ext cx="3914658" cy="2936938"/>
                    </a:xfrm>
                    <a:prstGeom prst="rect">
                      <a:avLst/>
                    </a:prstGeom>
                  </pic:spPr>
                </pic:pic>
              </a:graphicData>
            </a:graphic>
          </wp:anchor>
        </w:drawing>
      </w:r>
      <w:r>
        <w:rPr>
          <w:b/>
          <w:i/>
          <w:sz w:val="20"/>
        </w:rPr>
        <w:t>Fotografía 6. Zona de Manejo Ambiental: Orquídeario</w:t>
      </w:r>
    </w:p>
    <w:p>
      <w:pPr>
        <w:pStyle w:val="BodyText"/>
        <w:rPr>
          <w:b/>
          <w:i/>
          <w:sz w:val="20"/>
        </w:rPr>
      </w:pPr>
    </w:p>
    <w:p>
      <w:pPr>
        <w:pStyle w:val="BodyText"/>
        <w:spacing w:before="7"/>
        <w:rPr>
          <w:b/>
          <w:i/>
          <w:sz w:val="25"/>
        </w:rPr>
      </w:pPr>
      <w:r>
        <w:rPr/>
        <w:drawing>
          <wp:anchor distT="0" distB="0" distL="0" distR="0" allowOverlap="1" layoutInCell="1" locked="0" behindDoc="0" simplePos="0" relativeHeight="1528">
            <wp:simplePos x="0" y="0"/>
            <wp:positionH relativeFrom="page">
              <wp:posOffset>1905000</wp:posOffset>
            </wp:positionH>
            <wp:positionV relativeFrom="paragraph">
              <wp:posOffset>211784</wp:posOffset>
            </wp:positionV>
            <wp:extent cx="3945846" cy="2959036"/>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54" cstate="print"/>
                    <a:stretch>
                      <a:fillRect/>
                    </a:stretch>
                  </pic:blipFill>
                  <pic:spPr>
                    <a:xfrm>
                      <a:off x="0" y="0"/>
                      <a:ext cx="3945846" cy="2959036"/>
                    </a:xfrm>
                    <a:prstGeom prst="rect">
                      <a:avLst/>
                    </a:prstGeom>
                  </pic:spPr>
                </pic:pic>
              </a:graphicData>
            </a:graphic>
          </wp:anchor>
        </w:drawing>
      </w:r>
    </w:p>
    <w:p>
      <w:pPr>
        <w:spacing w:before="124"/>
        <w:ind w:left="125" w:right="130" w:firstLine="0"/>
        <w:jc w:val="center"/>
        <w:rPr>
          <w:b/>
          <w:i/>
          <w:sz w:val="20"/>
        </w:rPr>
      </w:pPr>
      <w:r>
        <w:rPr>
          <w:b/>
          <w:i/>
          <w:sz w:val="20"/>
        </w:rPr>
        <w:t>Fuente: Trabajo de campo, fecha 4 de noviembre del 2013</w:t>
      </w:r>
    </w:p>
    <w:p>
      <w:pPr>
        <w:spacing w:after="0"/>
        <w:jc w:val="center"/>
        <w:rPr>
          <w:sz w:val="20"/>
        </w:rPr>
        <w:sectPr>
          <w:footerReference w:type="default" r:id="rId52"/>
          <w:pgSz w:w="12240" w:h="15840"/>
          <w:pgMar w:footer="1146" w:header="690" w:top="880" w:bottom="1340" w:left="1300" w:right="1300"/>
          <w:pgNumType w:start="61"/>
        </w:sectPr>
      </w:pPr>
    </w:p>
    <w:p>
      <w:pPr>
        <w:pStyle w:val="BodyText"/>
        <w:rPr>
          <w:b/>
          <w:i/>
          <w:sz w:val="20"/>
        </w:rPr>
      </w:pPr>
    </w:p>
    <w:p>
      <w:pPr>
        <w:pStyle w:val="BodyText"/>
        <w:rPr>
          <w:b/>
          <w:i/>
          <w:sz w:val="20"/>
        </w:rPr>
      </w:pPr>
    </w:p>
    <w:p>
      <w:pPr>
        <w:pStyle w:val="BodyText"/>
        <w:rPr>
          <w:b/>
          <w:i/>
          <w:sz w:val="20"/>
        </w:rPr>
      </w:pPr>
    </w:p>
    <w:p>
      <w:pPr>
        <w:pStyle w:val="BodyText"/>
        <w:spacing w:before="8"/>
        <w:rPr>
          <w:b/>
          <w:i/>
          <w:sz w:val="15"/>
        </w:rPr>
      </w:pPr>
    </w:p>
    <w:p>
      <w:pPr>
        <w:pStyle w:val="ListParagraph"/>
        <w:numPr>
          <w:ilvl w:val="0"/>
          <w:numId w:val="14"/>
        </w:numPr>
        <w:tabs>
          <w:tab w:pos="399" w:val="left" w:leader="none"/>
        </w:tabs>
        <w:spacing w:line="240" w:lineRule="auto" w:before="69" w:after="0"/>
        <w:ind w:left="398" w:right="0" w:hanging="282"/>
        <w:jc w:val="left"/>
        <w:rPr>
          <w:sz w:val="24"/>
        </w:rPr>
      </w:pPr>
      <w:r>
        <w:rPr>
          <w:sz w:val="24"/>
        </w:rPr>
        <w:t>Vegetación natural: Zona poco perturbada, con especies</w:t>
      </w:r>
      <w:r>
        <w:rPr>
          <w:spacing w:val="-21"/>
          <w:sz w:val="24"/>
        </w:rPr>
        <w:t> </w:t>
      </w:r>
      <w:r>
        <w:rPr>
          <w:sz w:val="24"/>
        </w:rPr>
        <w:t>silvetres.</w:t>
      </w:r>
    </w:p>
    <w:p>
      <w:pPr>
        <w:pStyle w:val="BodyText"/>
      </w:pPr>
    </w:p>
    <w:p>
      <w:pPr>
        <w:pStyle w:val="BodyText"/>
        <w:spacing w:before="4"/>
        <w:rPr>
          <w:sz w:val="23"/>
        </w:rPr>
      </w:pPr>
    </w:p>
    <w:p>
      <w:pPr>
        <w:spacing w:before="0"/>
        <w:ind w:left="2315" w:right="78" w:hanging="48"/>
        <w:jc w:val="left"/>
        <w:rPr>
          <w:b/>
          <w:i/>
          <w:sz w:val="20"/>
        </w:rPr>
      </w:pPr>
      <w:r>
        <w:rPr/>
        <w:drawing>
          <wp:anchor distT="0" distB="0" distL="0" distR="0" allowOverlap="1" layoutInCell="1" locked="0" behindDoc="0" simplePos="0" relativeHeight="1552">
            <wp:simplePos x="0" y="0"/>
            <wp:positionH relativeFrom="page">
              <wp:posOffset>1862073</wp:posOffset>
            </wp:positionH>
            <wp:positionV relativeFrom="paragraph">
              <wp:posOffset>225169</wp:posOffset>
            </wp:positionV>
            <wp:extent cx="4059678" cy="3045714"/>
            <wp:effectExtent l="0" t="0" r="0" b="0"/>
            <wp:wrapTopAndBottom/>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55" cstate="print"/>
                    <a:stretch>
                      <a:fillRect/>
                    </a:stretch>
                  </pic:blipFill>
                  <pic:spPr>
                    <a:xfrm>
                      <a:off x="0" y="0"/>
                      <a:ext cx="4059678" cy="3045714"/>
                    </a:xfrm>
                    <a:prstGeom prst="rect">
                      <a:avLst/>
                    </a:prstGeom>
                  </pic:spPr>
                </pic:pic>
              </a:graphicData>
            </a:graphic>
          </wp:anchor>
        </w:drawing>
      </w:r>
      <w:r>
        <w:rPr>
          <w:b/>
          <w:i/>
          <w:sz w:val="20"/>
        </w:rPr>
        <w:t>Fotografía 7. Zona de Manejo Ambiental: Área Natural</w:t>
      </w:r>
    </w:p>
    <w:p>
      <w:pPr>
        <w:pStyle w:val="BodyText"/>
        <w:rPr>
          <w:b/>
          <w:i/>
          <w:sz w:val="20"/>
        </w:rPr>
      </w:pPr>
    </w:p>
    <w:p>
      <w:pPr>
        <w:pStyle w:val="BodyText"/>
        <w:spacing w:before="9"/>
        <w:rPr>
          <w:b/>
          <w:i/>
          <w:sz w:val="20"/>
        </w:rPr>
      </w:pPr>
      <w:r>
        <w:rPr/>
        <w:drawing>
          <wp:anchor distT="0" distB="0" distL="0" distR="0" allowOverlap="1" layoutInCell="1" locked="0" behindDoc="0" simplePos="0" relativeHeight="1576">
            <wp:simplePos x="0" y="0"/>
            <wp:positionH relativeFrom="page">
              <wp:posOffset>1856104</wp:posOffset>
            </wp:positionH>
            <wp:positionV relativeFrom="paragraph">
              <wp:posOffset>176923</wp:posOffset>
            </wp:positionV>
            <wp:extent cx="4059682" cy="3045714"/>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56" cstate="print"/>
                    <a:stretch>
                      <a:fillRect/>
                    </a:stretch>
                  </pic:blipFill>
                  <pic:spPr>
                    <a:xfrm>
                      <a:off x="0" y="0"/>
                      <a:ext cx="4059682" cy="3045714"/>
                    </a:xfrm>
                    <a:prstGeom prst="rect">
                      <a:avLst/>
                    </a:prstGeom>
                  </pic:spPr>
                </pic:pic>
              </a:graphicData>
            </a:graphic>
          </wp:anchor>
        </w:drawing>
      </w:r>
    </w:p>
    <w:p>
      <w:pPr>
        <w:spacing w:before="107"/>
        <w:ind w:left="2315" w:right="78" w:firstLine="0"/>
        <w:jc w:val="left"/>
        <w:rPr>
          <w:b/>
          <w:i/>
          <w:sz w:val="20"/>
        </w:rPr>
      </w:pPr>
      <w:r>
        <w:rPr>
          <w:b/>
          <w:i/>
          <w:sz w:val="20"/>
        </w:rPr>
        <w:t>Fuente: Trabajo de campo, fecha 9 de mayo del 2014</w:t>
      </w:r>
    </w:p>
    <w:p>
      <w:pPr>
        <w:spacing w:after="0"/>
        <w:jc w:val="left"/>
        <w:rPr>
          <w:sz w:val="20"/>
        </w:rPr>
        <w:sectPr>
          <w:pgSz w:w="12240" w:h="15840"/>
          <w:pgMar w:header="690" w:footer="1146" w:top="880" w:bottom="1340" w:left="1300" w:right="1300"/>
        </w:sectPr>
      </w:pPr>
    </w:p>
    <w:p>
      <w:pPr>
        <w:pStyle w:val="BodyText"/>
        <w:rPr>
          <w:b/>
          <w:i/>
          <w:sz w:val="20"/>
        </w:rPr>
      </w:pPr>
    </w:p>
    <w:p>
      <w:pPr>
        <w:pStyle w:val="BodyText"/>
        <w:spacing w:before="4"/>
        <w:rPr>
          <w:b/>
          <w:i/>
          <w:sz w:val="18"/>
        </w:rPr>
      </w:pPr>
    </w:p>
    <w:p>
      <w:pPr>
        <w:spacing w:before="75"/>
        <w:ind w:left="2090" w:right="0" w:firstLine="0"/>
        <w:jc w:val="left"/>
        <w:rPr>
          <w:b/>
          <w:i/>
          <w:sz w:val="20"/>
        </w:rPr>
      </w:pPr>
      <w:r>
        <w:rPr/>
        <w:drawing>
          <wp:anchor distT="0" distB="0" distL="0" distR="0" allowOverlap="1" layoutInCell="1" locked="0" behindDoc="0" simplePos="0" relativeHeight="1600">
            <wp:simplePos x="0" y="0"/>
            <wp:positionH relativeFrom="page">
              <wp:posOffset>900430</wp:posOffset>
            </wp:positionH>
            <wp:positionV relativeFrom="paragraph">
              <wp:posOffset>274064</wp:posOffset>
            </wp:positionV>
            <wp:extent cx="6294461" cy="4123086"/>
            <wp:effectExtent l="0" t="0" r="0" b="0"/>
            <wp:wrapTopAndBottom/>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57" cstate="print"/>
                    <a:stretch>
                      <a:fillRect/>
                    </a:stretch>
                  </pic:blipFill>
                  <pic:spPr>
                    <a:xfrm>
                      <a:off x="0" y="0"/>
                      <a:ext cx="6294461" cy="4123086"/>
                    </a:xfrm>
                    <a:prstGeom prst="rect">
                      <a:avLst/>
                    </a:prstGeom>
                  </pic:spPr>
                </pic:pic>
              </a:graphicData>
            </a:graphic>
          </wp:anchor>
        </w:drawing>
      </w:r>
      <w:r>
        <w:rPr>
          <w:b/>
          <w:i/>
          <w:sz w:val="20"/>
        </w:rPr>
        <w:t>Figura 6. Delimitación de las Zonas de Manejo Ambiental.</w:t>
      </w:r>
    </w:p>
    <w:p>
      <w:pPr>
        <w:spacing w:before="136"/>
        <w:ind w:left="327" w:right="0" w:firstLine="0"/>
        <w:jc w:val="left"/>
        <w:rPr>
          <w:b/>
          <w:i/>
          <w:sz w:val="20"/>
        </w:rPr>
      </w:pPr>
      <w:r>
        <w:rPr>
          <w:b/>
          <w:i/>
          <w:sz w:val="20"/>
        </w:rPr>
        <w:t>Fuente: Elaboración propia, a partir de información vectorial del INEGI (1987) y trabajo de</w:t>
      </w:r>
    </w:p>
    <w:p>
      <w:pPr>
        <w:spacing w:before="115"/>
        <w:ind w:left="4779" w:right="4679" w:firstLine="0"/>
        <w:jc w:val="center"/>
        <w:rPr>
          <w:b/>
          <w:i/>
          <w:sz w:val="20"/>
        </w:rPr>
      </w:pPr>
      <w:r>
        <w:rPr>
          <w:b/>
          <w:i/>
          <w:sz w:val="20"/>
        </w:rPr>
        <w:t>campo.</w:t>
      </w:r>
    </w:p>
    <w:p>
      <w:pPr>
        <w:pStyle w:val="BodyText"/>
        <w:rPr>
          <w:b/>
          <w:i/>
          <w:sz w:val="20"/>
        </w:rPr>
      </w:pPr>
    </w:p>
    <w:p>
      <w:pPr>
        <w:pStyle w:val="BodyText"/>
        <w:spacing w:before="6"/>
        <w:rPr>
          <w:b/>
          <w:i/>
          <w:sz w:val="23"/>
        </w:rPr>
      </w:pPr>
    </w:p>
    <w:p>
      <w:pPr>
        <w:pStyle w:val="BodyText"/>
        <w:spacing w:line="360" w:lineRule="auto"/>
        <w:ind w:left="116" w:right="671"/>
        <w:jc w:val="both"/>
      </w:pPr>
      <w:r>
        <w:rPr/>
        <w:t>La delimitación de áreas con un tipo de vegetación o agrupando un  determinado número de plantas con algún interés especial, es una característica que presentan los Jardines Botánicos. Por ejemplo, considerando al Jardín Botánico del Instituto de Biología (IB) de la Universidad Nacional Autónoma de México, el cual se constituye por dos instalaciones: El Invernadero Faustino Miranda que alberga una colección de plantas tropicales y el Jardín Botánico Exterior que cuenta con 15 Colecciones: 7 Colecciones Taxonómicas (Crasuláceas, Agaváceas, Cactáceas, Opuntias y Orquidáceas, entre otras) y 8 Áreas Temáticas (Plantas Medicinales, Ornamentales, Acuáticas, Atrayentes de Insectos y Arboretum) (Vovides </w:t>
      </w:r>
      <w:r>
        <w:rPr>
          <w:i/>
        </w:rPr>
        <w:t>et al., </w:t>
      </w:r>
      <w:r>
        <w:rPr/>
        <w:t>2010).</w:t>
      </w:r>
    </w:p>
    <w:p>
      <w:pPr>
        <w:spacing w:after="0" w:line="360" w:lineRule="auto"/>
        <w:jc w:val="both"/>
        <w:sectPr>
          <w:pgSz w:w="12240" w:h="15840"/>
          <w:pgMar w:header="690" w:footer="1146" w:top="880" w:bottom="1340" w:left="1300" w:right="740"/>
        </w:sectPr>
      </w:pPr>
    </w:p>
    <w:p>
      <w:pPr>
        <w:pStyle w:val="BodyText"/>
        <w:rPr>
          <w:sz w:val="20"/>
        </w:rPr>
      </w:pPr>
    </w:p>
    <w:p>
      <w:pPr>
        <w:pStyle w:val="BodyText"/>
        <w:spacing w:before="4"/>
        <w:rPr>
          <w:sz w:val="19"/>
        </w:rPr>
      </w:pPr>
    </w:p>
    <w:p>
      <w:pPr>
        <w:pStyle w:val="BodyText"/>
        <w:spacing w:line="362" w:lineRule="auto" w:before="70"/>
        <w:ind w:left="116" w:right="118"/>
        <w:jc w:val="both"/>
      </w:pPr>
      <w:r>
        <w:rPr/>
        <w:t>A diferencia del caso de la UNAM, en que el Jardín Botánico del IB cuenta con Áreas Temáticas; en el Parque Universitario “Las Orquídeas”, son Zonas de Manejo Ambiental. En el área estudiada no existen actualmente Colecciones</w:t>
      </w:r>
      <w:r>
        <w:rPr>
          <w:spacing w:val="-33"/>
        </w:rPr>
        <w:t> </w:t>
      </w:r>
      <w:r>
        <w:rPr/>
        <w:t>Taxonómicas.</w:t>
      </w:r>
    </w:p>
    <w:p>
      <w:pPr>
        <w:pStyle w:val="BodyText"/>
      </w:pPr>
    </w:p>
    <w:p>
      <w:pPr>
        <w:pStyle w:val="BodyText"/>
        <w:spacing w:before="7"/>
        <w:rPr>
          <w:sz w:val="20"/>
        </w:rPr>
      </w:pPr>
    </w:p>
    <w:p>
      <w:pPr>
        <w:pStyle w:val="Heading2"/>
        <w:numPr>
          <w:ilvl w:val="1"/>
          <w:numId w:val="12"/>
        </w:numPr>
        <w:tabs>
          <w:tab w:pos="828" w:val="left" w:leader="none"/>
        </w:tabs>
        <w:spacing w:line="240" w:lineRule="auto" w:before="0" w:after="0"/>
        <w:ind w:left="827" w:right="0" w:hanging="543"/>
        <w:jc w:val="left"/>
      </w:pPr>
      <w:r>
        <w:rPr/>
        <w:t>Inventario Florístico General y por Zonas de Manejo Ambiental</w:t>
      </w:r>
      <w:r>
        <w:rPr>
          <w:spacing w:val="-38"/>
        </w:rPr>
        <w:t> </w:t>
      </w:r>
      <w:r>
        <w:rPr/>
        <w:t>(ZMA)</w:t>
      </w:r>
    </w:p>
    <w:p>
      <w:pPr>
        <w:pStyle w:val="BodyText"/>
        <w:spacing w:line="360" w:lineRule="auto" w:before="142"/>
        <w:ind w:left="116" w:right="113"/>
        <w:jc w:val="both"/>
      </w:pPr>
      <w:r>
        <w:rPr/>
        <w:t>Se identificaron 83 especies distribuidas en 77 géneros y 43 familias. La familias mejor representadas a nivel de especie son: Lamiaceae con 7 (8.7%), Asteraceae y Fabaceae con 6 (7.5%). Las dos primeras familias ocupan los primeros lugares en los listados florísticos de la Cuenca del Río Balsas (Fernández </w:t>
      </w:r>
      <w:r>
        <w:rPr>
          <w:i/>
        </w:rPr>
        <w:t>et al., </w:t>
      </w:r>
      <w:r>
        <w:rPr/>
        <w:t>1998; Torres-Zúñiga y   Tejero</w:t>
      </w:r>
    </w:p>
    <w:p>
      <w:pPr>
        <w:pStyle w:val="BodyText"/>
        <w:spacing w:line="360" w:lineRule="auto" w:before="3"/>
        <w:ind w:left="116" w:right="118"/>
        <w:jc w:val="both"/>
      </w:pPr>
      <w:r>
        <w:rPr/>
        <w:t>– Díez, 1998). Asteraceae y Fabaceae son las familias mejor representadas en la Flora Fanerogámica de México (Rzedowski, 1998). </w:t>
      </w:r>
      <w:r>
        <w:rPr>
          <w:color w:val="221F1F"/>
        </w:rPr>
        <w:t>En el mismo sentido, Zepeda-Gómez y Velázquez-Montes (1999), en su estudio de composición y afinidad geográfica del bosque tropical caducifolio de la vertiente sur de la Sierra de Nanchititla mencionan que las familias más sobresalientes son: Asteraceae y Fabaceae, lo que concuerda con el presente estudio.</w:t>
      </w:r>
    </w:p>
    <w:p>
      <w:pPr>
        <w:pStyle w:val="BodyText"/>
      </w:pPr>
    </w:p>
    <w:p>
      <w:pPr>
        <w:pStyle w:val="BodyText"/>
        <w:spacing w:line="360" w:lineRule="auto" w:before="144"/>
        <w:ind w:left="116" w:right="114"/>
        <w:jc w:val="both"/>
      </w:pPr>
      <w:r>
        <w:rPr/>
        <w:t>Villaseñor (1987) menciona que la familia Asteraceae es un grupo que está muy bien representado en dicha zona, en el presente trabajo se documentaron 6 géneros y 6 especies para la familia. De los cerca de 1 300 géneros existentes en el mundo, 340 están ubicados en México, de ellos 131 se encuentran en la Cuenca del Río Balsas.</w:t>
      </w:r>
    </w:p>
    <w:p>
      <w:pPr>
        <w:pStyle w:val="BodyText"/>
      </w:pPr>
    </w:p>
    <w:p>
      <w:pPr>
        <w:spacing w:before="140"/>
        <w:ind w:left="116" w:right="0" w:firstLine="0"/>
        <w:jc w:val="both"/>
        <w:rPr>
          <w:i/>
          <w:sz w:val="24"/>
        </w:rPr>
      </w:pPr>
      <w:r>
        <w:rPr>
          <w:sz w:val="24"/>
        </w:rPr>
        <w:t>Los géneros con dos o más especies fueron    </w:t>
      </w:r>
      <w:r>
        <w:rPr>
          <w:i/>
          <w:sz w:val="24"/>
        </w:rPr>
        <w:t>Quercus </w:t>
      </w:r>
      <w:r>
        <w:rPr>
          <w:sz w:val="24"/>
        </w:rPr>
        <w:t>(3 sp.), </w:t>
      </w:r>
      <w:r>
        <w:rPr>
          <w:i/>
          <w:sz w:val="24"/>
        </w:rPr>
        <w:t>Citrus </w:t>
      </w:r>
      <w:r>
        <w:rPr>
          <w:sz w:val="24"/>
        </w:rPr>
        <w:t>(2 sp.), </w:t>
      </w:r>
      <w:r>
        <w:rPr>
          <w:i/>
          <w:sz w:val="24"/>
        </w:rPr>
        <w:t>Euphorbia</w:t>
      </w:r>
    </w:p>
    <w:p>
      <w:pPr>
        <w:spacing w:before="137"/>
        <w:ind w:left="116" w:right="0" w:firstLine="0"/>
        <w:jc w:val="both"/>
        <w:rPr>
          <w:sz w:val="24"/>
        </w:rPr>
      </w:pPr>
      <w:r>
        <w:rPr>
          <w:sz w:val="24"/>
        </w:rPr>
        <w:t>(2 sp.), </w:t>
      </w:r>
      <w:r>
        <w:rPr>
          <w:i/>
          <w:sz w:val="24"/>
        </w:rPr>
        <w:t>Hibiscus </w:t>
      </w:r>
      <w:r>
        <w:rPr>
          <w:sz w:val="24"/>
        </w:rPr>
        <w:t>(2 sp.) y </w:t>
      </w:r>
      <w:r>
        <w:rPr>
          <w:i/>
          <w:sz w:val="24"/>
        </w:rPr>
        <w:t>Kalanchoe </w:t>
      </w:r>
      <w:r>
        <w:rPr>
          <w:sz w:val="24"/>
        </w:rPr>
        <w:t>(2 sp.).</w:t>
      </w:r>
    </w:p>
    <w:p>
      <w:pPr>
        <w:pStyle w:val="BodyText"/>
      </w:pPr>
    </w:p>
    <w:p>
      <w:pPr>
        <w:pStyle w:val="BodyText"/>
        <w:spacing w:before="2"/>
      </w:pPr>
    </w:p>
    <w:p>
      <w:pPr>
        <w:pStyle w:val="BodyText"/>
        <w:spacing w:line="360" w:lineRule="auto" w:before="1"/>
        <w:ind w:left="116" w:right="110"/>
        <w:jc w:val="both"/>
      </w:pPr>
      <w:r>
        <w:rPr/>
        <w:t>La forma biológica con mayor número de especies, son los árboles con 38 especies (45%); seguida por las herbáceas 26 especies (32%) y la menor representada por los arbustos con 19 especies (23%).</w:t>
      </w:r>
    </w:p>
    <w:p>
      <w:pPr>
        <w:spacing w:after="0" w:line="360" w:lineRule="auto"/>
        <w:jc w:val="both"/>
        <w:sectPr>
          <w:pgSz w:w="12240" w:h="15840"/>
          <w:pgMar w:header="690"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1"/>
        <w:ind w:left="2277" w:right="78" w:firstLine="0"/>
        <w:jc w:val="left"/>
        <w:rPr>
          <w:b/>
          <w:i/>
          <w:sz w:val="20"/>
        </w:rPr>
      </w:pPr>
      <w:r>
        <w:rPr/>
        <w:drawing>
          <wp:anchor distT="0" distB="0" distL="0" distR="0" allowOverlap="1" layoutInCell="1" locked="0" behindDoc="0" simplePos="0" relativeHeight="1624">
            <wp:simplePos x="0" y="0"/>
            <wp:positionH relativeFrom="page">
              <wp:posOffset>2100198</wp:posOffset>
            </wp:positionH>
            <wp:positionV relativeFrom="paragraph">
              <wp:posOffset>226185</wp:posOffset>
            </wp:positionV>
            <wp:extent cx="3561985" cy="2101977"/>
            <wp:effectExtent l="0" t="0" r="0" b="0"/>
            <wp:wrapTopAndBottom/>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58" cstate="print"/>
                    <a:stretch>
                      <a:fillRect/>
                    </a:stretch>
                  </pic:blipFill>
                  <pic:spPr>
                    <a:xfrm>
                      <a:off x="0" y="0"/>
                      <a:ext cx="3561985" cy="2101977"/>
                    </a:xfrm>
                    <a:prstGeom prst="rect">
                      <a:avLst/>
                    </a:prstGeom>
                  </pic:spPr>
                </pic:pic>
              </a:graphicData>
            </a:graphic>
          </wp:anchor>
        </w:drawing>
      </w:r>
      <w:r>
        <w:rPr>
          <w:b/>
          <w:i/>
          <w:sz w:val="20"/>
        </w:rPr>
        <w:t>Figura 7. Porcentaje de especies por forma biológica.</w:t>
      </w:r>
    </w:p>
    <w:p>
      <w:pPr>
        <w:spacing w:before="109"/>
        <w:ind w:left="2431" w:right="78" w:firstLine="0"/>
        <w:jc w:val="left"/>
        <w:rPr>
          <w:b/>
          <w:i/>
          <w:sz w:val="20"/>
        </w:rPr>
      </w:pPr>
      <w:r>
        <w:rPr>
          <w:b/>
          <w:i/>
          <w:sz w:val="20"/>
        </w:rPr>
        <w:t>Fuente: Elaboración propia, a partir de trabajo de campo.</w:t>
      </w:r>
    </w:p>
    <w:p>
      <w:pPr>
        <w:pStyle w:val="BodyText"/>
        <w:rPr>
          <w:b/>
          <w:i/>
          <w:sz w:val="20"/>
        </w:rPr>
      </w:pPr>
    </w:p>
    <w:p>
      <w:pPr>
        <w:pStyle w:val="BodyText"/>
        <w:rPr>
          <w:b/>
          <w:i/>
          <w:sz w:val="20"/>
        </w:rPr>
      </w:pPr>
    </w:p>
    <w:p>
      <w:pPr>
        <w:pStyle w:val="BodyText"/>
        <w:rPr>
          <w:b/>
          <w:i/>
          <w:sz w:val="20"/>
        </w:rPr>
      </w:pPr>
    </w:p>
    <w:p>
      <w:pPr>
        <w:pStyle w:val="BodyText"/>
        <w:spacing w:before="9"/>
        <w:rPr>
          <w:b/>
          <w:i/>
          <w:sz w:val="22"/>
        </w:rPr>
      </w:pPr>
    </w:p>
    <w:p>
      <w:pPr>
        <w:pStyle w:val="Heading3"/>
        <w:spacing w:before="0"/>
        <w:rPr>
          <w:i/>
        </w:rPr>
      </w:pPr>
      <w:r>
        <w:rPr>
          <w:i/>
        </w:rPr>
        <w:t>El número de especies identificadas por Zonas de Manejo Ambiental (ZMA).</w:t>
      </w:r>
    </w:p>
    <w:p>
      <w:pPr>
        <w:pStyle w:val="BodyText"/>
        <w:spacing w:line="360" w:lineRule="auto" w:before="137"/>
        <w:ind w:left="116" w:right="111"/>
        <w:jc w:val="both"/>
      </w:pPr>
      <w:r>
        <w:rPr/>
        <w:t>En el conteo por ZMA se incluye todas las especies sin descriminar aquellas que se presentan en dos o más áreas, que son el 36 % de las especies: Plantas Medicinales y Aromáticas (33 sp.), Cafetal (8 sp.), Hortalizas (10 sp.), Frutales (13 sp.), Mariposario (18 sp.), Orquídeario (28 sp.) y Zona de Vegetación Natural (9 sp.).El 39.7% de las especies son cultivadas, mientras que el 60.3% son silvestres (Cuadros 6, 7, 8, 9, 10,</w:t>
      </w:r>
    </w:p>
    <w:p>
      <w:pPr>
        <w:pStyle w:val="BodyText"/>
        <w:spacing w:before="2"/>
        <w:ind w:left="116"/>
        <w:jc w:val="both"/>
      </w:pPr>
      <w:r>
        <w:rPr/>
        <w:t>11 y 12).</w:t>
      </w:r>
    </w:p>
    <w:p>
      <w:pPr>
        <w:pStyle w:val="BodyText"/>
      </w:pPr>
    </w:p>
    <w:p>
      <w:pPr>
        <w:pStyle w:val="BodyText"/>
        <w:spacing w:before="4"/>
        <w:rPr>
          <w:sz w:val="23"/>
        </w:rPr>
      </w:pPr>
    </w:p>
    <w:p>
      <w:pPr>
        <w:pStyle w:val="Heading2"/>
        <w:numPr>
          <w:ilvl w:val="1"/>
          <w:numId w:val="15"/>
        </w:numPr>
        <w:tabs>
          <w:tab w:pos="519" w:val="left" w:leader="none"/>
        </w:tabs>
        <w:spacing w:line="240" w:lineRule="auto" w:before="1" w:after="0"/>
        <w:ind w:left="518" w:right="0" w:hanging="402"/>
        <w:jc w:val="both"/>
      </w:pPr>
      <w:r>
        <w:rPr/>
        <w:t>Estudio</w:t>
      </w:r>
      <w:r>
        <w:rPr>
          <w:spacing w:val="-3"/>
        </w:rPr>
        <w:t> </w:t>
      </w:r>
      <w:r>
        <w:rPr/>
        <w:t>Biogeográfico</w:t>
      </w:r>
      <w:r>
        <w:rPr>
          <w:spacing w:val="-17"/>
        </w:rPr>
        <w:t> </w:t>
      </w:r>
      <w:r>
        <w:rPr/>
        <w:t>General</w:t>
      </w:r>
      <w:r>
        <w:rPr>
          <w:spacing w:val="-5"/>
        </w:rPr>
        <w:t> </w:t>
      </w:r>
      <w:r>
        <w:rPr/>
        <w:t>y</w:t>
      </w:r>
      <w:r>
        <w:rPr>
          <w:spacing w:val="-9"/>
        </w:rPr>
        <w:t> </w:t>
      </w:r>
      <w:r>
        <w:rPr/>
        <w:t>por</w:t>
      </w:r>
      <w:r>
        <w:rPr>
          <w:spacing w:val="-8"/>
        </w:rPr>
        <w:t> </w:t>
      </w:r>
      <w:r>
        <w:rPr/>
        <w:t>Zonas</w:t>
      </w:r>
      <w:r>
        <w:rPr>
          <w:spacing w:val="-5"/>
        </w:rPr>
        <w:t> </w:t>
      </w:r>
      <w:r>
        <w:rPr/>
        <w:t>de</w:t>
      </w:r>
      <w:r>
        <w:rPr>
          <w:spacing w:val="-5"/>
        </w:rPr>
        <w:t> </w:t>
      </w:r>
      <w:r>
        <w:rPr/>
        <w:t>Manejo</w:t>
      </w:r>
      <w:r>
        <w:rPr>
          <w:spacing w:val="-3"/>
        </w:rPr>
        <w:t> </w:t>
      </w:r>
      <w:r>
        <w:rPr/>
        <w:t>Ambiental</w:t>
      </w:r>
      <w:r>
        <w:rPr>
          <w:spacing w:val="-5"/>
        </w:rPr>
        <w:t> </w:t>
      </w:r>
      <w:r>
        <w:rPr/>
        <w:t>(ZMA)</w:t>
      </w:r>
    </w:p>
    <w:p>
      <w:pPr>
        <w:spacing w:line="360" w:lineRule="auto" w:before="146"/>
        <w:ind w:left="116" w:right="110" w:firstLine="0"/>
        <w:jc w:val="both"/>
        <w:rPr>
          <w:i/>
          <w:sz w:val="24"/>
        </w:rPr>
      </w:pPr>
      <w:r>
        <w:rPr>
          <w:sz w:val="24"/>
        </w:rPr>
        <w:t>Con base en la revisión bibliográfica de la distribución geográfica de las especies de flora, se reporta que 21 especies tienen un origen diferente al Continente Americano, tal es el caso: </w:t>
      </w:r>
      <w:r>
        <w:rPr>
          <w:i/>
          <w:sz w:val="24"/>
        </w:rPr>
        <w:t>Agapanthus africanus </w:t>
      </w:r>
      <w:r>
        <w:rPr>
          <w:sz w:val="24"/>
        </w:rPr>
        <w:t>(L.) Hoffmanns., </w:t>
      </w:r>
      <w:r>
        <w:rPr>
          <w:i/>
          <w:sz w:val="24"/>
        </w:rPr>
        <w:t>Artemisia absinthium </w:t>
      </w:r>
      <w:r>
        <w:rPr>
          <w:sz w:val="24"/>
        </w:rPr>
        <w:t>L., </w:t>
      </w:r>
      <w:r>
        <w:rPr>
          <w:i/>
          <w:sz w:val="24"/>
        </w:rPr>
        <w:t>Coffea </w:t>
      </w:r>
      <w:r>
        <w:rPr>
          <w:i/>
          <w:sz w:val="24"/>
        </w:rPr>
        <w:t>arabica </w:t>
      </w:r>
      <w:r>
        <w:rPr>
          <w:sz w:val="24"/>
        </w:rPr>
        <w:t>L., </w:t>
      </w:r>
      <w:r>
        <w:rPr>
          <w:i/>
          <w:sz w:val="24"/>
        </w:rPr>
        <w:t>Citrus aurantium </w:t>
      </w:r>
      <w:r>
        <w:rPr>
          <w:sz w:val="24"/>
        </w:rPr>
        <w:t>L., </w:t>
      </w:r>
      <w:r>
        <w:rPr>
          <w:i/>
          <w:sz w:val="24"/>
        </w:rPr>
        <w:t>Citrus sinensis </w:t>
      </w:r>
      <w:r>
        <w:rPr>
          <w:sz w:val="24"/>
        </w:rPr>
        <w:t>(L.) Osbeck, </w:t>
      </w:r>
      <w:r>
        <w:rPr>
          <w:i/>
          <w:sz w:val="24"/>
        </w:rPr>
        <w:t>Cymbopogon citratus </w:t>
      </w:r>
      <w:r>
        <w:rPr>
          <w:sz w:val="24"/>
        </w:rPr>
        <w:t>(DC.), </w:t>
      </w:r>
      <w:r>
        <w:rPr>
          <w:i/>
          <w:sz w:val="24"/>
        </w:rPr>
        <w:t>Eriobotrya japonica </w:t>
      </w:r>
      <w:r>
        <w:rPr>
          <w:sz w:val="24"/>
        </w:rPr>
        <w:t>(Thunb. Lindl.), </w:t>
      </w:r>
      <w:r>
        <w:rPr>
          <w:i/>
          <w:sz w:val="24"/>
        </w:rPr>
        <w:t>Foeniculum vulgare </w:t>
      </w:r>
      <w:r>
        <w:rPr>
          <w:sz w:val="24"/>
        </w:rPr>
        <w:t>Mill., </w:t>
      </w:r>
      <w:r>
        <w:rPr>
          <w:i/>
          <w:sz w:val="24"/>
        </w:rPr>
        <w:t>Hibiscus sabdariffa </w:t>
      </w:r>
      <w:r>
        <w:rPr>
          <w:sz w:val="24"/>
        </w:rPr>
        <w:t>L., </w:t>
      </w:r>
      <w:r>
        <w:rPr>
          <w:i/>
          <w:sz w:val="24"/>
        </w:rPr>
        <w:t>Ocimum basilicum </w:t>
      </w:r>
      <w:r>
        <w:rPr>
          <w:sz w:val="24"/>
        </w:rPr>
        <w:t>L., </w:t>
      </w:r>
      <w:r>
        <w:rPr>
          <w:i/>
          <w:sz w:val="24"/>
        </w:rPr>
        <w:t>Mangifera indica </w:t>
      </w:r>
      <w:r>
        <w:rPr>
          <w:sz w:val="24"/>
        </w:rPr>
        <w:t>L., </w:t>
      </w:r>
      <w:r>
        <w:rPr>
          <w:i/>
          <w:sz w:val="24"/>
        </w:rPr>
        <w:t>Melissa Officinalis </w:t>
      </w:r>
      <w:r>
        <w:rPr>
          <w:sz w:val="24"/>
        </w:rPr>
        <w:t>L., </w:t>
      </w:r>
      <w:r>
        <w:rPr>
          <w:i/>
          <w:sz w:val="24"/>
        </w:rPr>
        <w:t>Mentha arvensis </w:t>
      </w:r>
      <w:r>
        <w:rPr>
          <w:sz w:val="24"/>
        </w:rPr>
        <w:t>L., </w:t>
      </w:r>
      <w:r>
        <w:rPr>
          <w:i/>
          <w:sz w:val="24"/>
        </w:rPr>
        <w:t>Morus nigra </w:t>
      </w:r>
      <w:r>
        <w:rPr>
          <w:sz w:val="24"/>
        </w:rPr>
        <w:t>L., </w:t>
      </w:r>
      <w:r>
        <w:rPr>
          <w:i/>
          <w:sz w:val="24"/>
        </w:rPr>
        <w:t>Kalanchoe pinnata </w:t>
      </w:r>
      <w:r>
        <w:rPr>
          <w:sz w:val="24"/>
        </w:rPr>
        <w:t>(Lam.) Pers, </w:t>
      </w:r>
      <w:r>
        <w:rPr>
          <w:i/>
          <w:sz w:val="24"/>
        </w:rPr>
        <w:t>Kalanchoe blossfeldiana </w:t>
      </w:r>
      <w:r>
        <w:rPr>
          <w:sz w:val="24"/>
        </w:rPr>
        <w:t>Poelln, </w:t>
      </w:r>
      <w:r>
        <w:rPr>
          <w:i/>
          <w:sz w:val="24"/>
        </w:rPr>
        <w:t>Macadamia sp., Mangifera indica L., Ricinus communis </w:t>
      </w:r>
      <w:r>
        <w:rPr>
          <w:sz w:val="24"/>
        </w:rPr>
        <w:t>L., </w:t>
      </w:r>
      <w:r>
        <w:rPr>
          <w:i/>
          <w:sz w:val="24"/>
        </w:rPr>
        <w:t>Rosmarinus officinalis    </w:t>
      </w:r>
      <w:r>
        <w:rPr>
          <w:sz w:val="24"/>
        </w:rPr>
        <w:t>L., </w:t>
      </w:r>
      <w:r>
        <w:rPr>
          <w:i/>
          <w:sz w:val="24"/>
        </w:rPr>
        <w:t>y</w:t>
      </w:r>
    </w:p>
    <w:p>
      <w:pPr>
        <w:spacing w:after="0" w:line="360" w:lineRule="auto"/>
        <w:jc w:val="both"/>
        <w:rPr>
          <w:sz w:val="24"/>
        </w:rPr>
        <w:sectPr>
          <w:pgSz w:w="12240" w:h="15840"/>
          <w:pgMar w:header="690" w:footer="1146" w:top="880" w:bottom="1340" w:left="1300" w:right="1300"/>
        </w:sectPr>
      </w:pPr>
    </w:p>
    <w:p>
      <w:pPr>
        <w:pStyle w:val="BodyText"/>
        <w:rPr>
          <w:i/>
          <w:sz w:val="20"/>
        </w:rPr>
      </w:pPr>
    </w:p>
    <w:p>
      <w:pPr>
        <w:pStyle w:val="BodyText"/>
        <w:spacing w:before="4"/>
        <w:rPr>
          <w:i/>
          <w:sz w:val="19"/>
        </w:rPr>
      </w:pPr>
    </w:p>
    <w:p>
      <w:pPr>
        <w:pStyle w:val="BodyText"/>
        <w:spacing w:line="362" w:lineRule="auto" w:before="70"/>
        <w:ind w:left="116" w:right="127"/>
        <w:jc w:val="both"/>
      </w:pPr>
      <w:r>
        <w:rPr>
          <w:i/>
        </w:rPr>
        <w:t>Ruta chalepensis </w:t>
      </w:r>
      <w:r>
        <w:rPr/>
        <w:t>L. Las plantas antes mencionadas se encuentran ampliamente domesticadas.</w:t>
      </w:r>
    </w:p>
    <w:p>
      <w:pPr>
        <w:pStyle w:val="BodyText"/>
        <w:spacing w:before="11"/>
        <w:rPr>
          <w:sz w:val="35"/>
        </w:rPr>
      </w:pPr>
    </w:p>
    <w:p>
      <w:pPr>
        <w:spacing w:before="0"/>
        <w:ind w:left="116" w:right="0" w:firstLine="0"/>
        <w:jc w:val="both"/>
        <w:rPr>
          <w:i/>
          <w:sz w:val="24"/>
        </w:rPr>
      </w:pPr>
      <w:r>
        <w:rPr>
          <w:sz w:val="24"/>
        </w:rPr>
        <w:t>Así  mismo,  se  reportan  dos  especies  endémicas  de  México:  </w:t>
      </w:r>
      <w:r>
        <w:rPr>
          <w:i/>
          <w:sz w:val="24"/>
        </w:rPr>
        <w:t>Dicliptera   inaequalis</w:t>
      </w:r>
    </w:p>
    <w:p>
      <w:pPr>
        <w:spacing w:before="137"/>
        <w:ind w:left="116" w:right="0" w:firstLine="0"/>
        <w:jc w:val="both"/>
        <w:rPr>
          <w:sz w:val="24"/>
        </w:rPr>
      </w:pPr>
      <w:r>
        <w:rPr>
          <w:sz w:val="24"/>
        </w:rPr>
        <w:t>Greenm. y </w:t>
      </w:r>
      <w:r>
        <w:rPr>
          <w:i/>
          <w:sz w:val="24"/>
        </w:rPr>
        <w:t>Quercus peduncularis </w:t>
      </w:r>
      <w:r>
        <w:rPr>
          <w:sz w:val="24"/>
        </w:rPr>
        <w:t>Née. (Cuadros 6, 7, 8, 9, 10, 11 y 12).</w:t>
      </w:r>
    </w:p>
    <w:p>
      <w:pPr>
        <w:pStyle w:val="BodyText"/>
      </w:pPr>
    </w:p>
    <w:p>
      <w:pPr>
        <w:pStyle w:val="BodyText"/>
        <w:spacing w:before="2"/>
      </w:pPr>
    </w:p>
    <w:p>
      <w:pPr>
        <w:spacing w:line="360" w:lineRule="auto" w:before="1"/>
        <w:ind w:left="116" w:right="111" w:firstLine="0"/>
        <w:jc w:val="both"/>
        <w:rPr>
          <w:i/>
          <w:sz w:val="24"/>
        </w:rPr>
      </w:pPr>
      <w:r>
        <w:rPr>
          <w:sz w:val="24"/>
        </w:rPr>
        <w:t>Los resultados de la revisión a la NOM-059-SEMARNAT-2010, nos indicó que únicamente la especie </w:t>
      </w:r>
      <w:r>
        <w:rPr>
          <w:i/>
          <w:sz w:val="24"/>
        </w:rPr>
        <w:t>Cupressus lusitanica </w:t>
      </w:r>
      <w:r>
        <w:rPr>
          <w:sz w:val="24"/>
        </w:rPr>
        <w:t>Mill. se encuentra en dicha lista, sujeta a protección especial. Esta designación tiene como definición, lo que a letra dice en el apartado 2.2.4 de la norma: </w:t>
      </w:r>
      <w:r>
        <w:rPr>
          <w:i/>
          <w:sz w:val="24"/>
        </w:rPr>
        <w:t>Aquellas que podrían llegar a encontrarse amenazadas por </w:t>
      </w:r>
      <w:r>
        <w:rPr>
          <w:i/>
          <w:sz w:val="24"/>
        </w:rPr>
        <w:t>factores que inciden negativamente en su viabilidad, por lo que se determina la necesidad de propiciar su recuperación y conservación o la recuperación y  conservación de poblaciones de especies</w:t>
      </w:r>
      <w:r>
        <w:rPr>
          <w:i/>
          <w:spacing w:val="-27"/>
          <w:sz w:val="24"/>
        </w:rPr>
        <w:t> </w:t>
      </w:r>
      <w:r>
        <w:rPr>
          <w:i/>
          <w:sz w:val="24"/>
        </w:rPr>
        <w:t>asociadas.</w:t>
      </w:r>
    </w:p>
    <w:p>
      <w:pPr>
        <w:pStyle w:val="BodyText"/>
        <w:rPr>
          <w:i/>
        </w:rPr>
      </w:pPr>
    </w:p>
    <w:p>
      <w:pPr>
        <w:pStyle w:val="BodyText"/>
        <w:spacing w:line="360" w:lineRule="auto" w:before="144"/>
        <w:ind w:left="116" w:right="114"/>
        <w:jc w:val="both"/>
      </w:pPr>
      <w:r>
        <w:rPr/>
        <w:t>Además se revisó la lista roja de especies amenazadas de la UICN (acrónimo de la Unión Internacional para la Conservación de la Naturaleza), ubicando cuatro especies en la categoría de preocupación menor (Least Concern), siendo las siguientes:</w:t>
      </w:r>
    </w:p>
    <w:p>
      <w:pPr>
        <w:pStyle w:val="BodyText"/>
      </w:pPr>
    </w:p>
    <w:p>
      <w:pPr>
        <w:pStyle w:val="ListParagraph"/>
        <w:numPr>
          <w:ilvl w:val="2"/>
          <w:numId w:val="15"/>
        </w:numPr>
        <w:tabs>
          <w:tab w:pos="837" w:val="left" w:leader="none"/>
        </w:tabs>
        <w:spacing w:line="240" w:lineRule="auto" w:before="144" w:after="0"/>
        <w:ind w:left="837" w:right="0" w:hanging="361"/>
        <w:jc w:val="left"/>
        <w:rPr>
          <w:sz w:val="24"/>
        </w:rPr>
      </w:pPr>
      <w:r>
        <w:rPr>
          <w:i/>
          <w:sz w:val="24"/>
        </w:rPr>
        <w:t>Cupressus lusitanica </w:t>
      </w:r>
      <w:r>
        <w:rPr>
          <w:sz w:val="24"/>
        </w:rPr>
        <w:t>Mill. (Farjon,</w:t>
      </w:r>
      <w:r>
        <w:rPr>
          <w:spacing w:val="-11"/>
          <w:sz w:val="24"/>
        </w:rPr>
        <w:t> </w:t>
      </w:r>
      <w:r>
        <w:rPr>
          <w:sz w:val="24"/>
        </w:rPr>
        <w:t>2013)</w:t>
      </w:r>
    </w:p>
    <w:p>
      <w:pPr>
        <w:pStyle w:val="ListParagraph"/>
        <w:numPr>
          <w:ilvl w:val="2"/>
          <w:numId w:val="15"/>
        </w:numPr>
        <w:tabs>
          <w:tab w:pos="837" w:val="left" w:leader="none"/>
        </w:tabs>
        <w:spacing w:line="240" w:lineRule="auto" w:before="137" w:after="0"/>
        <w:ind w:left="837" w:right="0" w:hanging="361"/>
        <w:jc w:val="left"/>
        <w:rPr>
          <w:sz w:val="24"/>
        </w:rPr>
      </w:pPr>
      <w:r>
        <w:rPr>
          <w:i/>
          <w:sz w:val="24"/>
        </w:rPr>
        <w:t>Juniperus flaccida </w:t>
      </w:r>
      <w:r>
        <w:rPr>
          <w:sz w:val="24"/>
        </w:rPr>
        <w:t>Schltdl (Farjon,</w:t>
      </w:r>
      <w:r>
        <w:rPr>
          <w:spacing w:val="-17"/>
          <w:sz w:val="24"/>
        </w:rPr>
        <w:t> </w:t>
      </w:r>
      <w:r>
        <w:rPr>
          <w:sz w:val="24"/>
        </w:rPr>
        <w:t>2013)</w:t>
      </w:r>
    </w:p>
    <w:p>
      <w:pPr>
        <w:pStyle w:val="ListParagraph"/>
        <w:numPr>
          <w:ilvl w:val="2"/>
          <w:numId w:val="15"/>
        </w:numPr>
        <w:tabs>
          <w:tab w:pos="837" w:val="left" w:leader="none"/>
        </w:tabs>
        <w:spacing w:line="240" w:lineRule="auto" w:before="137" w:after="0"/>
        <w:ind w:left="837" w:right="0" w:hanging="361"/>
        <w:jc w:val="left"/>
        <w:rPr>
          <w:sz w:val="24"/>
        </w:rPr>
      </w:pPr>
      <w:r>
        <w:rPr>
          <w:i/>
          <w:sz w:val="24"/>
        </w:rPr>
        <w:t>Lysiloma acapulcense </w:t>
      </w:r>
      <w:r>
        <w:rPr>
          <w:sz w:val="24"/>
        </w:rPr>
        <w:t>(Kunth) Benth. (Groom,</w:t>
      </w:r>
      <w:r>
        <w:rPr>
          <w:spacing w:val="-20"/>
          <w:sz w:val="24"/>
        </w:rPr>
        <w:t> </w:t>
      </w:r>
      <w:r>
        <w:rPr>
          <w:sz w:val="24"/>
        </w:rPr>
        <w:t>2012)</w:t>
      </w:r>
    </w:p>
    <w:p>
      <w:pPr>
        <w:pStyle w:val="ListParagraph"/>
        <w:numPr>
          <w:ilvl w:val="2"/>
          <w:numId w:val="15"/>
        </w:numPr>
        <w:tabs>
          <w:tab w:pos="837" w:val="left" w:leader="none"/>
        </w:tabs>
        <w:spacing w:line="240" w:lineRule="auto" w:before="141" w:after="0"/>
        <w:ind w:left="837" w:right="0" w:hanging="361"/>
        <w:jc w:val="left"/>
        <w:rPr>
          <w:sz w:val="24"/>
        </w:rPr>
      </w:pPr>
      <w:r>
        <w:rPr>
          <w:i/>
          <w:sz w:val="24"/>
        </w:rPr>
        <w:t>Mimosa albida </w:t>
      </w:r>
      <w:r>
        <w:rPr>
          <w:sz w:val="24"/>
        </w:rPr>
        <w:t>var. </w:t>
      </w:r>
      <w:r>
        <w:rPr>
          <w:i/>
          <w:sz w:val="24"/>
        </w:rPr>
        <w:t>albida </w:t>
      </w:r>
      <w:r>
        <w:rPr>
          <w:sz w:val="24"/>
        </w:rPr>
        <w:t>Humb &amp; Bonpl. ex Willd. (Groom,</w:t>
      </w:r>
      <w:r>
        <w:rPr>
          <w:spacing w:val="-20"/>
          <w:sz w:val="24"/>
        </w:rPr>
        <w:t> </w:t>
      </w:r>
      <w:r>
        <w:rPr>
          <w:sz w:val="24"/>
        </w:rPr>
        <w:t>2012)</w:t>
      </w:r>
    </w:p>
    <w:p>
      <w:pPr>
        <w:pStyle w:val="BodyText"/>
      </w:pPr>
    </w:p>
    <w:p>
      <w:pPr>
        <w:pStyle w:val="BodyText"/>
        <w:spacing w:before="9"/>
        <w:rPr>
          <w:sz w:val="23"/>
        </w:rPr>
      </w:pPr>
    </w:p>
    <w:p>
      <w:pPr>
        <w:spacing w:line="360" w:lineRule="auto" w:before="0"/>
        <w:ind w:left="116" w:right="114" w:firstLine="0"/>
        <w:jc w:val="both"/>
        <w:rPr>
          <w:sz w:val="24"/>
        </w:rPr>
      </w:pPr>
      <w:r>
        <w:rPr>
          <w:sz w:val="24"/>
        </w:rPr>
        <w:t>Un taxón se considera en la categoría de </w:t>
      </w:r>
      <w:r>
        <w:rPr>
          <w:i/>
          <w:sz w:val="24"/>
        </w:rPr>
        <w:t>preocupación menor </w:t>
      </w:r>
      <w:r>
        <w:rPr>
          <w:sz w:val="24"/>
        </w:rPr>
        <w:t>cuando, habiendo sido evaluado, no cumple ninguno de los criterios que definen las categorías de </w:t>
      </w:r>
      <w:r>
        <w:rPr>
          <w:i/>
          <w:sz w:val="24"/>
        </w:rPr>
        <w:t>En Peligro </w:t>
      </w:r>
      <w:r>
        <w:rPr>
          <w:i/>
          <w:sz w:val="24"/>
        </w:rPr>
        <w:t>Crítico, En Peligro, Vulnerable o Casi Amenazado</w:t>
      </w:r>
      <w:r>
        <w:rPr>
          <w:sz w:val="24"/>
        </w:rPr>
        <w:t>. Se incluyen en esta categoría taxones abundantes y de amplia distribución (UICN, 2012).</w:t>
      </w:r>
    </w:p>
    <w:p>
      <w:pPr>
        <w:pStyle w:val="BodyText"/>
      </w:pPr>
    </w:p>
    <w:p>
      <w:pPr>
        <w:pStyle w:val="BodyText"/>
        <w:spacing w:line="355" w:lineRule="auto" w:before="140"/>
        <w:ind w:left="116" w:right="111"/>
        <w:jc w:val="both"/>
      </w:pPr>
      <w:r>
        <w:rPr/>
        <w:t>En los cuadros del 6 al 12, se indica con número las especies que se distribuyen en otras Zonas de Manejo Ambiental: (</w:t>
      </w:r>
      <w:r>
        <w:rPr>
          <w:b/>
        </w:rPr>
        <w:t>1</w:t>
      </w:r>
      <w:r>
        <w:rPr/>
        <w:t>) Plantas Medicinales y Aromáticas; (</w:t>
      </w:r>
      <w:r>
        <w:rPr>
          <w:b/>
        </w:rPr>
        <w:t>2</w:t>
      </w:r>
      <w:r>
        <w:rPr/>
        <w:t>) Cafetal; (</w:t>
      </w:r>
      <w:r>
        <w:rPr>
          <w:b/>
        </w:rPr>
        <w:t>3</w:t>
      </w:r>
      <w:r>
        <w:rPr/>
        <w:t>)</w:t>
      </w:r>
    </w:p>
    <w:p>
      <w:pPr>
        <w:spacing w:after="0" w:line="355" w:lineRule="auto"/>
        <w:jc w:val="both"/>
        <w:sectPr>
          <w:pgSz w:w="12240" w:h="15840"/>
          <w:pgMar w:header="690" w:footer="1146" w:top="880" w:bottom="1340" w:left="1300" w:right="1300"/>
        </w:sectPr>
      </w:pPr>
    </w:p>
    <w:p>
      <w:pPr>
        <w:pStyle w:val="BodyText"/>
        <w:rPr>
          <w:sz w:val="20"/>
        </w:rPr>
      </w:pPr>
    </w:p>
    <w:p>
      <w:pPr>
        <w:pStyle w:val="BodyText"/>
        <w:spacing w:before="11"/>
        <w:rPr>
          <w:sz w:val="18"/>
        </w:rPr>
      </w:pPr>
    </w:p>
    <w:p>
      <w:pPr>
        <w:pStyle w:val="BodyText"/>
        <w:spacing w:line="362" w:lineRule="auto" w:before="69"/>
        <w:ind w:left="116" w:right="78"/>
      </w:pPr>
      <w:r>
        <w:rPr/>
        <w:t>Hortalizas; (</w:t>
      </w:r>
      <w:r>
        <w:rPr>
          <w:b/>
        </w:rPr>
        <w:t>4</w:t>
      </w:r>
      <w:r>
        <w:rPr/>
        <w:t>) Frutales; (</w:t>
      </w:r>
      <w:r>
        <w:rPr>
          <w:b/>
        </w:rPr>
        <w:t>5</w:t>
      </w:r>
      <w:r>
        <w:rPr/>
        <w:t>) Mariposario; (</w:t>
      </w:r>
      <w:r>
        <w:rPr>
          <w:b/>
        </w:rPr>
        <w:t>6</w:t>
      </w:r>
      <w:r>
        <w:rPr/>
        <w:t>) Orquídeario; (</w:t>
      </w:r>
      <w:r>
        <w:rPr>
          <w:b/>
        </w:rPr>
        <w:t>7</w:t>
      </w:r>
      <w:r>
        <w:rPr/>
        <w:t>) Área Natural. Las letras significan: (</w:t>
      </w:r>
      <w:r>
        <w:rPr>
          <w:b/>
        </w:rPr>
        <w:t>C</w:t>
      </w:r>
      <w:r>
        <w:rPr/>
        <w:t>) Cultivada y (</w:t>
      </w:r>
      <w:r>
        <w:rPr>
          <w:b/>
        </w:rPr>
        <w:t>S</w:t>
      </w:r>
      <w:r>
        <w:rPr/>
        <w:t>) Silvestre.</w:t>
      </w:r>
    </w:p>
    <w:p>
      <w:pPr>
        <w:spacing w:after="0" w:line="362" w:lineRule="auto"/>
        <w:sectPr>
          <w:pgSz w:w="12240" w:h="15840"/>
          <w:pgMar w:header="690" w:footer="1146" w:top="880" w:bottom="1340" w:left="1300" w:right="130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98"/>
        <w:gridCol w:w="1133"/>
        <w:gridCol w:w="5671"/>
        <w:gridCol w:w="4326"/>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1512"/>
              <w:rPr>
                <w:b/>
                <w:i/>
                <w:sz w:val="20"/>
              </w:rPr>
            </w:pPr>
            <w:r>
              <w:rPr>
                <w:b/>
                <w:i/>
                <w:sz w:val="20"/>
              </w:rPr>
              <w:t>Cuadro 6. Listado de especies de flora de la Zona de Manejo Ambiental: Plantas Medicinales y Aromáticas.</w:t>
            </w:r>
          </w:p>
        </w:tc>
      </w:tr>
      <w:tr>
        <w:trPr>
          <w:trHeight w:val="567" w:hRule="exact"/>
        </w:trPr>
        <w:tc>
          <w:tcPr>
            <w:tcW w:w="2098" w:type="dxa"/>
            <w:tcBorders>
              <w:bottom w:val="thinThickMediumGap" w:sz="12" w:space="0" w:color="000000"/>
              <w:right w:val="thinThickMediumGap" w:sz="12" w:space="0" w:color="000000"/>
            </w:tcBorders>
            <w:shd w:val="clear" w:color="auto" w:fill="D9D9D9"/>
          </w:tcPr>
          <w:p>
            <w:pPr>
              <w:pStyle w:val="TableParagraph"/>
              <w:spacing w:before="5"/>
              <w:ind w:left="537" w:right="76" w:hanging="404"/>
              <w:rPr>
                <w:b/>
                <w:sz w:val="22"/>
              </w:rPr>
            </w:pPr>
            <w:r>
              <w:rPr>
                <w:b/>
                <w:sz w:val="22"/>
              </w:rPr>
              <w:t>Familia / Nombre científico</w:t>
            </w:r>
          </w:p>
        </w:tc>
        <w:tc>
          <w:tcPr>
            <w:tcW w:w="1133" w:type="dxa"/>
            <w:tcBorders>
              <w:bottom w:val="thinThickMediumGap" w:sz="12" w:space="0" w:color="000000"/>
              <w:right w:val="thinThickMediumGap" w:sz="12" w:space="0" w:color="000000"/>
            </w:tcBorders>
            <w:shd w:val="clear" w:color="auto" w:fill="D9D9D9"/>
          </w:tcPr>
          <w:p>
            <w:pPr>
              <w:pStyle w:val="TableParagraph"/>
              <w:spacing w:before="5"/>
              <w:ind w:left="177" w:right="100" w:hanging="53"/>
              <w:rPr>
                <w:b/>
                <w:sz w:val="22"/>
              </w:rPr>
            </w:pPr>
            <w:r>
              <w:rPr>
                <w:b/>
                <w:sz w:val="22"/>
              </w:rPr>
              <w:t>Nombre común</w:t>
            </w:r>
          </w:p>
        </w:tc>
        <w:tc>
          <w:tcPr>
            <w:tcW w:w="5671" w:type="dxa"/>
            <w:tcBorders>
              <w:bottom w:val="thinThickMediumGap" w:sz="12" w:space="0" w:color="000000"/>
              <w:right w:val="thinThickMediumGap" w:sz="12" w:space="0" w:color="000000"/>
            </w:tcBorders>
            <w:shd w:val="clear" w:color="auto" w:fill="D9D9D9"/>
          </w:tcPr>
          <w:p>
            <w:pPr>
              <w:pStyle w:val="TableParagraph"/>
              <w:spacing w:before="135"/>
              <w:ind w:left="2519" w:right="2516"/>
              <w:jc w:val="center"/>
              <w:rPr>
                <w:b/>
                <w:sz w:val="22"/>
              </w:rPr>
            </w:pPr>
            <w:r>
              <w:rPr>
                <w:b/>
                <w:sz w:val="22"/>
              </w:rPr>
              <w:t>Usos</w:t>
            </w:r>
          </w:p>
        </w:tc>
        <w:tc>
          <w:tcPr>
            <w:tcW w:w="4326" w:type="dxa"/>
            <w:tcBorders>
              <w:bottom w:val="thinThickMediumGap" w:sz="12" w:space="0" w:color="000000"/>
              <w:right w:val="thinThickMediumGap" w:sz="12" w:space="0" w:color="000000"/>
            </w:tcBorders>
            <w:shd w:val="clear" w:color="auto" w:fill="D9D9D9"/>
          </w:tcPr>
          <w:p>
            <w:pPr>
              <w:pStyle w:val="TableParagraph"/>
              <w:spacing w:before="135"/>
              <w:ind w:left="1471" w:right="1474"/>
              <w:jc w:val="center"/>
              <w:rPr>
                <w:b/>
                <w:sz w:val="22"/>
              </w:rPr>
            </w:pPr>
            <w:r>
              <w:rPr>
                <w:b/>
                <w:sz w:val="22"/>
              </w:rPr>
              <w:t>Distribución</w:t>
            </w:r>
          </w:p>
        </w:tc>
      </w:tr>
      <w:tr>
        <w:trPr>
          <w:trHeight w:val="1071" w:hRule="exact"/>
        </w:trPr>
        <w:tc>
          <w:tcPr>
            <w:tcW w:w="2098" w:type="dxa"/>
            <w:tcBorders>
              <w:bottom w:val="thinThickMediumGap" w:sz="12" w:space="0" w:color="000000"/>
              <w:right w:val="thinThickMediumGap" w:sz="12" w:space="0" w:color="000000"/>
            </w:tcBorders>
          </w:tcPr>
          <w:p>
            <w:pPr>
              <w:pStyle w:val="TableParagraph"/>
              <w:spacing w:before="5"/>
              <w:ind w:left="81" w:right="76"/>
              <w:rPr>
                <w:b/>
                <w:sz w:val="22"/>
              </w:rPr>
            </w:pPr>
            <w:r>
              <w:rPr>
                <w:b/>
                <w:sz w:val="22"/>
              </w:rPr>
              <w:t>Apiaceae</w:t>
            </w:r>
          </w:p>
          <w:p>
            <w:pPr>
              <w:pStyle w:val="TableParagraph"/>
              <w:spacing w:before="9"/>
              <w:rPr>
                <w:rFonts w:ascii="Times New Roman"/>
                <w:sz w:val="22"/>
              </w:rPr>
            </w:pPr>
          </w:p>
          <w:p>
            <w:pPr>
              <w:pStyle w:val="TableParagraph"/>
              <w:spacing w:line="250" w:lineRule="exact"/>
              <w:ind w:left="81" w:right="399"/>
              <w:rPr>
                <w:sz w:val="22"/>
              </w:rPr>
            </w:pPr>
            <w:r>
              <w:rPr>
                <w:i/>
                <w:sz w:val="22"/>
              </w:rPr>
              <w:t>Foeniculum </w:t>
            </w:r>
            <w:r>
              <w:rPr>
                <w:i/>
                <w:sz w:val="22"/>
              </w:rPr>
              <w:t>vulgare </w:t>
            </w:r>
            <w:r>
              <w:rPr>
                <w:sz w:val="22"/>
              </w:rPr>
              <w:t>Mill.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57" w:right="56"/>
              <w:jc w:val="center"/>
              <w:rPr>
                <w:sz w:val="22"/>
              </w:rPr>
            </w:pPr>
            <w:r>
              <w:rPr>
                <w:sz w:val="22"/>
              </w:rPr>
              <w:t>Hinojo</w:t>
            </w:r>
          </w:p>
        </w:tc>
        <w:tc>
          <w:tcPr>
            <w:tcW w:w="5671" w:type="dxa"/>
            <w:tcBorders>
              <w:bottom w:val="thinThickMediumGap" w:sz="12" w:space="0" w:color="000000"/>
              <w:right w:val="thinThickMediumGap" w:sz="12" w:space="0" w:color="000000"/>
            </w:tcBorders>
          </w:tcPr>
          <w:p>
            <w:pPr>
              <w:pStyle w:val="TableParagraph"/>
              <w:spacing w:line="244" w:lineRule="auto" w:before="5"/>
              <w:ind w:left="81"/>
              <w:rPr>
                <w:sz w:val="22"/>
              </w:rPr>
            </w:pPr>
            <w:r>
              <w:rPr>
                <w:b/>
                <w:sz w:val="22"/>
              </w:rPr>
              <w:t>Medicinal. </w:t>
            </w:r>
            <w:r>
              <w:rPr>
                <w:sz w:val="22"/>
              </w:rPr>
              <w:t>Diarrea: se prepara un té con las hojas o en su caso, se emplea la flor o el tallo.</w:t>
            </w:r>
          </w:p>
        </w:tc>
        <w:tc>
          <w:tcPr>
            <w:tcW w:w="4326" w:type="dxa"/>
            <w:tcBorders>
              <w:bottom w:val="thinThickMediumGap" w:sz="12" w:space="0" w:color="000000"/>
              <w:right w:val="thinThickMediumGap" w:sz="12" w:space="0" w:color="000000"/>
            </w:tcBorders>
          </w:tcPr>
          <w:p>
            <w:pPr>
              <w:pStyle w:val="TableParagraph"/>
              <w:spacing w:before="9"/>
              <w:ind w:left="81" w:right="76"/>
              <w:jc w:val="both"/>
              <w:rPr>
                <w:sz w:val="22"/>
              </w:rPr>
            </w:pPr>
            <w:r>
              <w:rPr>
                <w:sz w:val="22"/>
              </w:rPr>
              <w:t>Origen. Europa. Se registra como maleza en B.C.N., Chis., Coah., Jal., Oax., Qro., Sin., Son. y Ver. (Villaseñor y Espinosa, 1998).</w:t>
            </w:r>
          </w:p>
        </w:tc>
      </w:tr>
      <w:tr>
        <w:trPr>
          <w:trHeight w:val="3601" w:hRule="exact"/>
        </w:trPr>
        <w:tc>
          <w:tcPr>
            <w:tcW w:w="209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6"/>
              <w:ind w:left="81" w:right="76"/>
              <w:rPr>
                <w:b/>
                <w:sz w:val="22"/>
              </w:rPr>
            </w:pPr>
            <w:r>
              <w:rPr>
                <w:b/>
                <w:sz w:val="22"/>
              </w:rPr>
              <w:t>Asclepiadaceae</w:t>
            </w:r>
          </w:p>
          <w:p>
            <w:pPr>
              <w:pStyle w:val="TableParagraph"/>
              <w:rPr>
                <w:rFonts w:ascii="Times New Roman"/>
                <w:sz w:val="22"/>
              </w:rPr>
            </w:pPr>
          </w:p>
          <w:p>
            <w:pPr>
              <w:pStyle w:val="TableParagraph"/>
              <w:spacing w:before="10"/>
              <w:rPr>
                <w:rFonts w:ascii="Times New Roman"/>
                <w:sz w:val="21"/>
              </w:rPr>
            </w:pPr>
          </w:p>
          <w:p>
            <w:pPr>
              <w:pStyle w:val="TableParagraph"/>
              <w:spacing w:before="1"/>
              <w:ind w:left="81" w:right="179"/>
              <w:rPr>
                <w:sz w:val="22"/>
              </w:rPr>
            </w:pPr>
            <w:r>
              <w:rPr>
                <w:i/>
                <w:sz w:val="22"/>
              </w:rPr>
              <w:t>Asclepias </w:t>
            </w:r>
            <w:r>
              <w:rPr>
                <w:i/>
                <w:sz w:val="22"/>
              </w:rPr>
              <w:t>curassavica </w:t>
            </w:r>
            <w:r>
              <w:rPr>
                <w:sz w:val="22"/>
              </w:rPr>
              <w:t>L. (S)</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
              <w:rPr>
                <w:rFonts w:ascii="Times New Roman"/>
                <w:sz w:val="23"/>
              </w:rPr>
            </w:pPr>
          </w:p>
          <w:p>
            <w:pPr>
              <w:pStyle w:val="TableParagraph"/>
              <w:ind w:left="61" w:right="53"/>
              <w:jc w:val="center"/>
              <w:rPr>
                <w:sz w:val="22"/>
              </w:rPr>
            </w:pPr>
            <w:r>
              <w:rPr>
                <w:sz w:val="22"/>
              </w:rPr>
              <w:t>Venenillo o     algodonc illo</w:t>
            </w:r>
          </w:p>
        </w:tc>
        <w:tc>
          <w:tcPr>
            <w:tcW w:w="5671" w:type="dxa"/>
            <w:tcBorders>
              <w:bottom w:val="thinThickMediumGap" w:sz="12" w:space="0" w:color="000000"/>
              <w:right w:val="thinThickMediumGap" w:sz="12" w:space="0" w:color="000000"/>
            </w:tcBorders>
          </w:tcPr>
          <w:p>
            <w:pPr>
              <w:pStyle w:val="TableParagraph"/>
              <w:spacing w:before="9"/>
              <w:ind w:left="81"/>
              <w:jc w:val="both"/>
              <w:rPr>
                <w:sz w:val="22"/>
              </w:rPr>
            </w:pPr>
            <w:r>
              <w:rPr>
                <w:b/>
                <w:sz w:val="22"/>
              </w:rPr>
              <w:t>Ornamental: </w:t>
            </w:r>
            <w:r>
              <w:rPr>
                <w:sz w:val="22"/>
              </w:rPr>
              <w:t>Jardinería (Palacios, 1996).</w:t>
            </w:r>
          </w:p>
          <w:p>
            <w:pPr>
              <w:pStyle w:val="TableParagraph"/>
              <w:spacing w:before="9"/>
              <w:rPr>
                <w:rFonts w:ascii="Times New Roman"/>
                <w:sz w:val="21"/>
              </w:rPr>
            </w:pPr>
          </w:p>
          <w:p>
            <w:pPr>
              <w:pStyle w:val="TableParagraph"/>
              <w:spacing w:line="242" w:lineRule="auto"/>
              <w:ind w:left="81" w:right="76"/>
              <w:jc w:val="both"/>
              <w:rPr>
                <w:sz w:val="22"/>
              </w:rPr>
            </w:pPr>
            <w:r>
              <w:rPr>
                <w:b/>
                <w:sz w:val="22"/>
              </w:rPr>
              <w:t>Uso otros sitios: Medicinal, </w:t>
            </w:r>
            <w:r>
              <w:rPr>
                <w:sz w:val="22"/>
              </w:rPr>
              <w:t>para curar el dolor de muelas, también para dolores estomacales y desparasitar. Se aplica un algodón empapado de su jugo sobre las muelas (López, 2012).</w:t>
            </w:r>
          </w:p>
          <w:p>
            <w:pPr>
              <w:pStyle w:val="TableParagraph"/>
              <w:spacing w:before="2"/>
              <w:rPr>
                <w:rFonts w:ascii="Times New Roman"/>
                <w:sz w:val="21"/>
              </w:rPr>
            </w:pPr>
          </w:p>
          <w:p>
            <w:pPr>
              <w:pStyle w:val="TableParagraph"/>
              <w:spacing w:line="242" w:lineRule="auto"/>
              <w:ind w:left="81" w:right="72"/>
              <w:jc w:val="both"/>
              <w:rPr>
                <w:sz w:val="22"/>
              </w:rPr>
            </w:pPr>
            <w:r>
              <w:rPr>
                <w:b/>
                <w:sz w:val="22"/>
              </w:rPr>
              <w:t>Efectos tóxicos: </w:t>
            </w:r>
            <w:r>
              <w:rPr>
                <w:sz w:val="22"/>
              </w:rPr>
              <w:t>Contiene compuestos cardenólidos (CCA, 2008) que provocan náuseas, vómito, excesiva salivación, parálisis muscular (inclusive puede sobrevenir el paro cardíaco) en vertebrados (Gil </w:t>
            </w:r>
            <w:r>
              <w:rPr>
                <w:i/>
                <w:sz w:val="22"/>
              </w:rPr>
              <w:t>et al., </w:t>
            </w:r>
            <w:r>
              <w:rPr>
                <w:sz w:val="22"/>
              </w:rPr>
              <w:t>2006).</w:t>
            </w:r>
          </w:p>
        </w:tc>
        <w:tc>
          <w:tcPr>
            <w:tcW w:w="4326" w:type="dxa"/>
            <w:tcBorders>
              <w:bottom w:val="thinThickMediumGap" w:sz="12" w:space="0" w:color="000000"/>
              <w:right w:val="thinThickMediumGap" w:sz="12" w:space="0" w:color="000000"/>
            </w:tcBorders>
          </w:tcPr>
          <w:p>
            <w:pPr>
              <w:pStyle w:val="TableParagraph"/>
              <w:spacing w:before="9"/>
              <w:ind w:left="81"/>
              <w:jc w:val="both"/>
              <w:rPr>
                <w:i/>
                <w:sz w:val="22"/>
              </w:rPr>
            </w:pPr>
            <w:r>
              <w:rPr>
                <w:sz w:val="22"/>
              </w:rPr>
              <w:t>Origen  Americano  (Kantún-Balam  </w:t>
            </w:r>
            <w:r>
              <w:rPr>
                <w:i/>
                <w:sz w:val="22"/>
              </w:rPr>
              <w:t>et al.,</w:t>
            </w:r>
          </w:p>
          <w:p>
            <w:pPr>
              <w:pStyle w:val="TableParagraph"/>
              <w:spacing w:before="1"/>
              <w:ind w:left="81"/>
              <w:jc w:val="both"/>
              <w:rPr>
                <w:sz w:val="22"/>
              </w:rPr>
            </w:pPr>
            <w:r>
              <w:rPr>
                <w:sz w:val="22"/>
              </w:rPr>
              <w:t>2013).</w:t>
            </w:r>
          </w:p>
          <w:p>
            <w:pPr>
              <w:pStyle w:val="TableParagraph"/>
              <w:spacing w:line="242" w:lineRule="auto" w:before="1"/>
              <w:ind w:left="81" w:right="76"/>
              <w:jc w:val="both"/>
              <w:rPr>
                <w:sz w:val="22"/>
              </w:rPr>
            </w:pPr>
            <w:r>
              <w:rPr>
                <w:sz w:val="22"/>
              </w:rPr>
              <w:t>Los registros indican que se localiza en Ags., B.C.N., B.C.S., Camp., Chis.,   Col.,</w:t>
            </w:r>
          </w:p>
          <w:p>
            <w:pPr>
              <w:pStyle w:val="TableParagraph"/>
              <w:spacing w:line="247" w:lineRule="exact"/>
              <w:ind w:left="81"/>
              <w:jc w:val="both"/>
              <w:rPr>
                <w:sz w:val="22"/>
              </w:rPr>
            </w:pPr>
            <w:r>
              <w:rPr>
                <w:sz w:val="22"/>
              </w:rPr>
              <w:t>Gro., Hgo., Jal., Mich., Mor., Nay.,   </w:t>
            </w:r>
            <w:r>
              <w:rPr>
                <w:spacing w:val="55"/>
                <w:sz w:val="22"/>
              </w:rPr>
              <w:t> </w:t>
            </w:r>
            <w:r>
              <w:rPr>
                <w:sz w:val="22"/>
              </w:rPr>
              <w:t>N.L.,</w:t>
            </w:r>
          </w:p>
          <w:p>
            <w:pPr>
              <w:pStyle w:val="TableParagraph"/>
              <w:spacing w:before="1"/>
              <w:ind w:left="81" w:right="78"/>
              <w:jc w:val="both"/>
              <w:rPr>
                <w:sz w:val="22"/>
              </w:rPr>
            </w:pPr>
            <w:r>
              <w:rPr>
                <w:sz w:val="22"/>
              </w:rPr>
              <w:t>Oax., Qro., Q.Roo, Sin., Tab., Tam., Ver. y Yuc. (Villaseñor y Espinosa,</w:t>
            </w:r>
            <w:r>
              <w:rPr>
                <w:spacing w:val="-13"/>
                <w:sz w:val="22"/>
              </w:rPr>
              <w:t> </w:t>
            </w:r>
            <w:r>
              <w:rPr>
                <w:sz w:val="22"/>
              </w:rPr>
              <w:t>1998).</w:t>
            </w:r>
          </w:p>
          <w:p>
            <w:pPr>
              <w:pStyle w:val="TableParagraph"/>
              <w:spacing w:before="9"/>
              <w:rPr>
                <w:rFonts w:ascii="Times New Roman"/>
                <w:sz w:val="21"/>
              </w:rPr>
            </w:pPr>
          </w:p>
          <w:p>
            <w:pPr>
              <w:pStyle w:val="TableParagraph"/>
              <w:spacing w:before="1"/>
              <w:ind w:left="81" w:right="76"/>
              <w:jc w:val="both"/>
              <w:rPr>
                <w:sz w:val="22"/>
              </w:rPr>
            </w:pPr>
            <w:r>
              <w:rPr>
                <w:sz w:val="22"/>
              </w:rPr>
              <w:t>Otros países: Argentina, Belice, Bolivia, Brasil, Chile, China, Colombia,  Costa Rica, Ecuador, El Salvador, Guatemala, Guyana, Honduras, Madagascar, Panamá, Paraguay, Perú, U.S.A. y Venezuela (Trópicos, 2014).</w:t>
            </w:r>
          </w:p>
        </w:tc>
      </w:tr>
      <w:tr>
        <w:trPr>
          <w:trHeight w:val="1580" w:hRule="exact"/>
        </w:trPr>
        <w:tc>
          <w:tcPr>
            <w:tcW w:w="2098" w:type="dxa"/>
            <w:tcBorders>
              <w:bottom w:val="thinThickMediumGap" w:sz="12" w:space="0" w:color="000000"/>
              <w:right w:val="thinThickMediumGap" w:sz="12" w:space="0" w:color="000000"/>
            </w:tcBorders>
          </w:tcPr>
          <w:p>
            <w:pPr>
              <w:pStyle w:val="TableParagraph"/>
              <w:spacing w:before="9"/>
              <w:ind w:left="81" w:right="76"/>
              <w:rPr>
                <w:b/>
                <w:sz w:val="22"/>
              </w:rPr>
            </w:pPr>
            <w:r>
              <w:rPr>
                <w:b/>
                <w:sz w:val="22"/>
              </w:rPr>
              <w:t>Asteraceae</w:t>
            </w:r>
          </w:p>
          <w:p>
            <w:pPr>
              <w:pStyle w:val="TableParagraph"/>
              <w:spacing w:before="9"/>
              <w:rPr>
                <w:rFonts w:ascii="Times New Roman"/>
                <w:sz w:val="21"/>
              </w:rPr>
            </w:pPr>
          </w:p>
          <w:p>
            <w:pPr>
              <w:pStyle w:val="TableParagraph"/>
              <w:ind w:left="81" w:right="141"/>
              <w:rPr>
                <w:sz w:val="22"/>
              </w:rPr>
            </w:pPr>
            <w:r>
              <w:rPr>
                <w:i/>
                <w:sz w:val="22"/>
              </w:rPr>
              <w:t>Ageratina </w:t>
            </w:r>
            <w:r>
              <w:rPr>
                <w:i/>
                <w:sz w:val="22"/>
              </w:rPr>
              <w:t>grandifolia </w:t>
            </w:r>
            <w:r>
              <w:rPr>
                <w:sz w:val="22"/>
              </w:rPr>
              <w:t>(Regel)</w:t>
            </w:r>
          </w:p>
          <w:p>
            <w:pPr>
              <w:pStyle w:val="TableParagraph"/>
              <w:spacing w:line="250" w:lineRule="exact" w:before="13"/>
              <w:ind w:left="81" w:right="423"/>
              <w:rPr>
                <w:sz w:val="22"/>
              </w:rPr>
            </w:pPr>
            <w:r>
              <w:rPr>
                <w:sz w:val="22"/>
              </w:rPr>
              <w:t>R. M. King &amp; H. Rob. </w:t>
            </w:r>
            <w:r>
              <w:rPr>
                <w:position w:val="10"/>
                <w:sz w:val="14"/>
              </w:rPr>
              <w:t>5 </w:t>
            </w:r>
            <w:r>
              <w:rPr>
                <w:sz w:val="22"/>
              </w:rPr>
              <w:t>(S)</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42"/>
              <w:ind w:left="56" w:right="56"/>
              <w:jc w:val="center"/>
              <w:rPr>
                <w:sz w:val="22"/>
              </w:rPr>
            </w:pPr>
            <w:r>
              <w:rPr>
                <w:sz w:val="22"/>
              </w:rPr>
              <w:t>--</w:t>
            </w:r>
          </w:p>
        </w:tc>
        <w:tc>
          <w:tcPr>
            <w:tcW w:w="5671" w:type="dxa"/>
            <w:tcBorders>
              <w:bottom w:val="thinThickMediumGap" w:sz="12" w:space="0" w:color="000000"/>
              <w:right w:val="thinThickMediumGap" w:sz="12" w:space="0" w:color="000000"/>
            </w:tcBorders>
          </w:tcPr>
          <w:p>
            <w:pPr>
              <w:pStyle w:val="TableParagraph"/>
              <w:spacing w:before="14"/>
              <w:ind w:left="81"/>
              <w:rPr>
                <w:sz w:val="22"/>
              </w:rPr>
            </w:pPr>
            <w:r>
              <w:rPr>
                <w:sz w:val="22"/>
              </w:rPr>
              <w:t>Ninguno</w:t>
            </w:r>
          </w:p>
        </w:tc>
        <w:tc>
          <w:tcPr>
            <w:tcW w:w="4326" w:type="dxa"/>
            <w:tcBorders>
              <w:bottom w:val="thinThickMediumGap" w:sz="12" w:space="0" w:color="000000"/>
              <w:right w:val="thinThickMediumGap" w:sz="12" w:space="0" w:color="000000"/>
            </w:tcBorders>
          </w:tcPr>
          <w:p>
            <w:pPr>
              <w:pStyle w:val="TableParagraph"/>
              <w:spacing w:before="14"/>
              <w:ind w:left="81" w:right="81"/>
              <w:jc w:val="both"/>
              <w:rPr>
                <w:sz w:val="22"/>
              </w:rPr>
            </w:pPr>
            <w:r>
              <w:rPr>
                <w:sz w:val="22"/>
              </w:rPr>
              <w:t>Distribución en todo México, introducido esporádicamente en los Estados  Unidos y Centroamérica hasta Panamá y en las Antillas.</w:t>
            </w:r>
          </w:p>
        </w:tc>
      </w:tr>
      <w:tr>
        <w:trPr>
          <w:trHeight w:val="2103" w:hRule="exact"/>
        </w:trPr>
        <w:tc>
          <w:tcPr>
            <w:tcW w:w="209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81" w:right="76"/>
              <w:rPr>
                <w:b/>
                <w:sz w:val="22"/>
              </w:rPr>
            </w:pPr>
            <w:r>
              <w:rPr>
                <w:b/>
                <w:sz w:val="22"/>
              </w:rPr>
              <w:t>Asteraceae</w:t>
            </w:r>
          </w:p>
          <w:p>
            <w:pPr>
              <w:pStyle w:val="TableParagraph"/>
              <w:rPr>
                <w:rFonts w:ascii="Times New Roman"/>
                <w:sz w:val="22"/>
              </w:rPr>
            </w:pPr>
          </w:p>
          <w:p>
            <w:pPr>
              <w:pStyle w:val="TableParagraph"/>
              <w:spacing w:before="11"/>
              <w:rPr>
                <w:rFonts w:ascii="Times New Roman"/>
                <w:sz w:val="21"/>
              </w:rPr>
            </w:pPr>
          </w:p>
          <w:p>
            <w:pPr>
              <w:pStyle w:val="TableParagraph"/>
              <w:ind w:left="81" w:right="264"/>
              <w:rPr>
                <w:sz w:val="22"/>
              </w:rPr>
            </w:pPr>
            <w:r>
              <w:rPr>
                <w:i/>
                <w:sz w:val="22"/>
              </w:rPr>
              <w:t>Artemisia </w:t>
            </w:r>
            <w:r>
              <w:rPr>
                <w:i/>
                <w:sz w:val="22"/>
              </w:rPr>
              <w:t>absinthium </w:t>
            </w:r>
            <w:r>
              <w:rPr>
                <w:sz w:val="22"/>
              </w:rPr>
              <w:t>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9"/>
              <w:ind w:left="61" w:right="55"/>
              <w:jc w:val="center"/>
              <w:rPr>
                <w:sz w:val="22"/>
              </w:rPr>
            </w:pPr>
            <w:r>
              <w:rPr>
                <w:sz w:val="22"/>
              </w:rPr>
              <w:t>Ajenjo</w:t>
            </w:r>
          </w:p>
        </w:tc>
        <w:tc>
          <w:tcPr>
            <w:tcW w:w="5671"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Medicinal</w:t>
            </w:r>
          </w:p>
          <w:p>
            <w:pPr>
              <w:pStyle w:val="TableParagraph"/>
              <w:spacing w:before="1"/>
              <w:ind w:left="81" w:right="77"/>
              <w:jc w:val="both"/>
              <w:rPr>
                <w:sz w:val="22"/>
              </w:rPr>
            </w:pPr>
            <w:r>
              <w:rPr>
                <w:sz w:val="22"/>
              </w:rPr>
              <w:t>Dolor de estómago, se ingiere en ayunas la cocción de ajenjo, salvia, albahaca y una pizca de sal.</w:t>
            </w:r>
          </w:p>
          <w:p>
            <w:pPr>
              <w:pStyle w:val="TableParagraph"/>
              <w:spacing w:line="242" w:lineRule="auto"/>
              <w:ind w:left="81" w:right="76"/>
              <w:jc w:val="both"/>
              <w:rPr>
                <w:sz w:val="22"/>
              </w:rPr>
            </w:pPr>
            <w:r>
              <w:rPr>
                <w:b/>
                <w:sz w:val="22"/>
              </w:rPr>
              <w:t>Efecto tóxico: </w:t>
            </w:r>
            <w:r>
              <w:rPr>
                <w:sz w:val="22"/>
              </w:rPr>
              <w:t>Las flores causan erupciones cutáneas en personas sensibles. El licor de ajenjo tomado en forma constante o a altas dosis causa convulsiones, insomnio, náuseas, pesadillas, temblores y vértigo (UNAM, 2009).</w:t>
            </w:r>
          </w:p>
        </w:tc>
        <w:tc>
          <w:tcPr>
            <w:tcW w:w="4326" w:type="dxa"/>
            <w:tcBorders>
              <w:bottom w:val="thinThickMediumGap" w:sz="12" w:space="0" w:color="000000"/>
              <w:right w:val="thinThickMediumGap" w:sz="12" w:space="0" w:color="000000"/>
            </w:tcBorders>
          </w:tcPr>
          <w:p>
            <w:pPr>
              <w:pStyle w:val="TableParagraph"/>
              <w:spacing w:line="242" w:lineRule="auto" w:before="9"/>
              <w:ind w:left="81" w:right="76"/>
              <w:jc w:val="both"/>
              <w:rPr>
                <w:sz w:val="22"/>
              </w:rPr>
            </w:pPr>
            <w:r>
              <w:rPr>
                <w:sz w:val="22"/>
              </w:rPr>
              <w:t>Originaria de Europa (Kantún-Balam </w:t>
            </w:r>
            <w:r>
              <w:rPr>
                <w:i/>
                <w:sz w:val="22"/>
              </w:rPr>
              <w:t>et </w:t>
            </w:r>
            <w:r>
              <w:rPr>
                <w:i/>
                <w:sz w:val="22"/>
              </w:rPr>
              <w:t>al., </w:t>
            </w:r>
            <w:r>
              <w:rPr>
                <w:sz w:val="22"/>
              </w:rPr>
              <w:t>2013). Distribución en México: Edo.  de Méx., Mich., N.L., Oax., S.L.P. y Ver. (Villaseñor y Espinosa,</w:t>
            </w:r>
            <w:r>
              <w:rPr>
                <w:spacing w:val="-14"/>
                <w:sz w:val="22"/>
              </w:rPr>
              <w:t> </w:t>
            </w:r>
            <w:r>
              <w:rPr>
                <w:sz w:val="22"/>
              </w:rPr>
              <w:t>1998).</w:t>
            </w:r>
          </w:p>
          <w:p>
            <w:pPr>
              <w:pStyle w:val="TableParagraph"/>
              <w:spacing w:before="7"/>
              <w:rPr>
                <w:rFonts w:ascii="Times New Roman"/>
                <w:sz w:val="21"/>
              </w:rPr>
            </w:pPr>
          </w:p>
          <w:p>
            <w:pPr>
              <w:pStyle w:val="TableParagraph"/>
              <w:ind w:left="81" w:right="81"/>
              <w:jc w:val="both"/>
              <w:rPr>
                <w:sz w:val="22"/>
              </w:rPr>
            </w:pPr>
            <w:r>
              <w:rPr>
                <w:sz w:val="22"/>
              </w:rPr>
              <w:t>Asia, América del Norte. Sudamérica. (Trópicos, 2014).</w:t>
            </w:r>
          </w:p>
        </w:tc>
      </w:tr>
    </w:tbl>
    <w:p>
      <w:pPr>
        <w:spacing w:after="0"/>
        <w:jc w:val="both"/>
        <w:rPr>
          <w:sz w:val="22"/>
        </w:rPr>
        <w:sectPr>
          <w:headerReference w:type="default" r:id="rId59"/>
          <w:footerReference w:type="default" r:id="rId60"/>
          <w:pgSz w:w="15840" w:h="12240" w:orient="landscape"/>
          <w:pgMar w:header="690" w:footer="1147" w:top="880" w:bottom="1340" w:left="1160" w:right="1140"/>
          <w:pgNumType w:start="68"/>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12"/>
        <w:gridCol w:w="1503"/>
        <w:gridCol w:w="4254"/>
        <w:gridCol w:w="5460"/>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955"/>
              <w:rPr>
                <w:b/>
                <w:i/>
                <w:sz w:val="20"/>
              </w:rPr>
            </w:pPr>
            <w:r>
              <w:rPr>
                <w:b/>
                <w:i/>
                <w:sz w:val="20"/>
              </w:rPr>
              <w:t>Cuadro 6. Listado de especies de flora de la Zona de Manejo Ambiental: Plantas Medicinales y Aromáticas. (Continúa).</w:t>
            </w:r>
          </w:p>
        </w:tc>
      </w:tr>
      <w:tr>
        <w:trPr>
          <w:trHeight w:val="567" w:hRule="exact"/>
        </w:trPr>
        <w:tc>
          <w:tcPr>
            <w:tcW w:w="2012" w:type="dxa"/>
            <w:tcBorders>
              <w:bottom w:val="thinThickMediumGap" w:sz="12" w:space="0" w:color="000000"/>
              <w:right w:val="thinThickMediumGap" w:sz="12" w:space="0" w:color="000000"/>
            </w:tcBorders>
            <w:shd w:val="clear" w:color="auto" w:fill="D9D9D9"/>
          </w:tcPr>
          <w:p>
            <w:pPr>
              <w:pStyle w:val="TableParagraph"/>
              <w:spacing w:before="5"/>
              <w:ind w:left="494" w:hanging="404"/>
              <w:rPr>
                <w:b/>
                <w:sz w:val="22"/>
              </w:rPr>
            </w:pPr>
            <w:r>
              <w:rPr>
                <w:b/>
                <w:sz w:val="22"/>
              </w:rPr>
              <w:t>Familia / Nombre científico</w:t>
            </w:r>
          </w:p>
        </w:tc>
        <w:tc>
          <w:tcPr>
            <w:tcW w:w="1503" w:type="dxa"/>
            <w:tcBorders>
              <w:bottom w:val="thinThickMediumGap" w:sz="12" w:space="0" w:color="000000"/>
              <w:right w:val="thinThickMediumGap" w:sz="12" w:space="0" w:color="000000"/>
            </w:tcBorders>
            <w:shd w:val="clear" w:color="auto" w:fill="D9D9D9"/>
          </w:tcPr>
          <w:p>
            <w:pPr>
              <w:pStyle w:val="TableParagraph"/>
              <w:spacing w:before="5"/>
              <w:ind w:left="364" w:right="287" w:hanging="58"/>
              <w:rPr>
                <w:b/>
                <w:sz w:val="22"/>
              </w:rPr>
            </w:pPr>
            <w:r>
              <w:rPr>
                <w:b/>
                <w:sz w:val="22"/>
              </w:rPr>
              <w:t>Nombre común</w:t>
            </w:r>
          </w:p>
        </w:tc>
        <w:tc>
          <w:tcPr>
            <w:tcW w:w="4254" w:type="dxa"/>
            <w:tcBorders>
              <w:bottom w:val="thinThickMediumGap" w:sz="12" w:space="0" w:color="000000"/>
              <w:right w:val="thinThickMediumGap" w:sz="12" w:space="0" w:color="000000"/>
            </w:tcBorders>
            <w:shd w:val="clear" w:color="auto" w:fill="D9D9D9"/>
          </w:tcPr>
          <w:p>
            <w:pPr>
              <w:pStyle w:val="TableParagraph"/>
              <w:spacing w:before="135"/>
              <w:ind w:left="1804" w:right="1813"/>
              <w:jc w:val="center"/>
              <w:rPr>
                <w:b/>
                <w:sz w:val="22"/>
              </w:rPr>
            </w:pPr>
            <w:r>
              <w:rPr>
                <w:b/>
                <w:sz w:val="22"/>
              </w:rPr>
              <w:t>Usos</w:t>
            </w:r>
          </w:p>
        </w:tc>
        <w:tc>
          <w:tcPr>
            <w:tcW w:w="5460" w:type="dxa"/>
            <w:tcBorders>
              <w:bottom w:val="thinThickMediumGap" w:sz="12" w:space="0" w:color="000000"/>
              <w:right w:val="thinThickMediumGap" w:sz="12" w:space="0" w:color="000000"/>
            </w:tcBorders>
            <w:shd w:val="clear" w:color="auto" w:fill="D9D9D9"/>
          </w:tcPr>
          <w:p>
            <w:pPr>
              <w:pStyle w:val="TableParagraph"/>
              <w:spacing w:before="135"/>
              <w:ind w:left="2037" w:right="2040"/>
              <w:jc w:val="center"/>
              <w:rPr>
                <w:b/>
                <w:sz w:val="22"/>
              </w:rPr>
            </w:pPr>
            <w:r>
              <w:rPr>
                <w:b/>
                <w:sz w:val="22"/>
              </w:rPr>
              <w:t>Distribución</w:t>
            </w:r>
          </w:p>
        </w:tc>
      </w:tr>
      <w:tr>
        <w:trPr>
          <w:trHeight w:val="1325" w:hRule="exact"/>
        </w:trPr>
        <w:tc>
          <w:tcPr>
            <w:tcW w:w="2012" w:type="dxa"/>
            <w:tcBorders>
              <w:bottom w:val="thinThickMediumGap" w:sz="12" w:space="0" w:color="000000"/>
              <w:right w:val="thinThickMediumGap" w:sz="12" w:space="0" w:color="000000"/>
            </w:tcBorders>
          </w:tcPr>
          <w:p>
            <w:pPr>
              <w:pStyle w:val="TableParagraph"/>
              <w:spacing w:before="134"/>
              <w:ind w:left="81"/>
              <w:rPr>
                <w:b/>
                <w:sz w:val="22"/>
              </w:rPr>
            </w:pPr>
            <w:r>
              <w:rPr>
                <w:b/>
                <w:sz w:val="22"/>
              </w:rPr>
              <w:t>Capparidaceae</w:t>
            </w:r>
          </w:p>
          <w:p>
            <w:pPr>
              <w:pStyle w:val="TableParagraph"/>
              <w:spacing w:before="9"/>
              <w:rPr>
                <w:rFonts w:ascii="Times New Roman"/>
                <w:sz w:val="21"/>
              </w:rPr>
            </w:pPr>
          </w:p>
          <w:p>
            <w:pPr>
              <w:pStyle w:val="TableParagraph"/>
              <w:spacing w:before="1"/>
              <w:ind w:left="81"/>
              <w:rPr>
                <w:i/>
                <w:sz w:val="22"/>
              </w:rPr>
            </w:pPr>
            <w:r>
              <w:rPr>
                <w:i/>
                <w:sz w:val="22"/>
              </w:rPr>
              <w:t>Cleome speciosa</w:t>
            </w:r>
          </w:p>
          <w:p>
            <w:pPr>
              <w:pStyle w:val="TableParagraph"/>
              <w:spacing w:before="6"/>
              <w:ind w:left="81"/>
              <w:rPr>
                <w:sz w:val="22"/>
              </w:rPr>
            </w:pPr>
            <w:r>
              <w:rPr>
                <w:sz w:val="22"/>
              </w:rPr>
              <w:t>Raf. (S)</w:t>
            </w:r>
          </w:p>
        </w:tc>
        <w:tc>
          <w:tcPr>
            <w:tcW w:w="150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499" w:right="259" w:hanging="226"/>
              <w:rPr>
                <w:sz w:val="22"/>
              </w:rPr>
            </w:pPr>
            <w:r>
              <w:rPr>
                <w:sz w:val="22"/>
              </w:rPr>
              <w:t>Barba de viejo</w:t>
            </w:r>
          </w:p>
        </w:tc>
        <w:tc>
          <w:tcPr>
            <w:tcW w:w="4254" w:type="dxa"/>
            <w:tcBorders>
              <w:bottom w:val="thinThickMediumGap" w:sz="12" w:space="0" w:color="000000"/>
              <w:right w:val="thinThickMediumGap" w:sz="12" w:space="0" w:color="000000"/>
            </w:tcBorders>
          </w:tcPr>
          <w:p>
            <w:pPr>
              <w:pStyle w:val="TableParagraph"/>
              <w:spacing w:before="9"/>
              <w:ind w:left="76"/>
              <w:jc w:val="both"/>
              <w:rPr>
                <w:sz w:val="22"/>
              </w:rPr>
            </w:pPr>
            <w:r>
              <w:rPr>
                <w:sz w:val="22"/>
              </w:rPr>
              <w:t>Ninguno uso</w:t>
            </w:r>
          </w:p>
          <w:p>
            <w:pPr>
              <w:pStyle w:val="TableParagraph"/>
              <w:spacing w:before="9"/>
              <w:rPr>
                <w:rFonts w:ascii="Times New Roman"/>
                <w:sz w:val="21"/>
              </w:rPr>
            </w:pPr>
          </w:p>
          <w:p>
            <w:pPr>
              <w:pStyle w:val="TableParagraph"/>
              <w:spacing w:line="242" w:lineRule="auto"/>
              <w:ind w:left="76" w:right="76"/>
              <w:jc w:val="both"/>
              <w:rPr>
                <w:sz w:val="22"/>
              </w:rPr>
            </w:pPr>
            <w:r>
              <w:rPr>
                <w:b/>
                <w:sz w:val="22"/>
              </w:rPr>
              <w:t>Potencial Ornamental </w:t>
            </w:r>
            <w:r>
              <w:rPr>
                <w:sz w:val="22"/>
              </w:rPr>
              <w:t>por sus  llamativas hojas y flores (Sierra </w:t>
            </w:r>
            <w:r>
              <w:rPr>
                <w:i/>
                <w:sz w:val="22"/>
              </w:rPr>
              <w:t>et al., </w:t>
            </w:r>
            <w:r>
              <w:rPr>
                <w:sz w:val="22"/>
              </w:rPr>
              <w:t>2005)</w:t>
            </w:r>
          </w:p>
        </w:tc>
        <w:tc>
          <w:tcPr>
            <w:tcW w:w="5460" w:type="dxa"/>
            <w:tcBorders>
              <w:bottom w:val="thinThickMediumGap" w:sz="12" w:space="0" w:color="000000"/>
              <w:right w:val="thinThickMediumGap" w:sz="12" w:space="0" w:color="000000"/>
            </w:tcBorders>
          </w:tcPr>
          <w:p>
            <w:pPr>
              <w:pStyle w:val="TableParagraph"/>
              <w:spacing w:before="9"/>
              <w:ind w:left="81" w:right="81"/>
              <w:jc w:val="both"/>
              <w:rPr>
                <w:sz w:val="22"/>
              </w:rPr>
            </w:pPr>
            <w:r>
              <w:rPr>
                <w:sz w:val="22"/>
              </w:rPr>
              <w:t>Se encuentra distribuida del sur de México al norte  de  Sudamérica.  Gto.,  Qro.,  Hgo.,  Nay.,  Jal., </w:t>
            </w:r>
            <w:r>
              <w:rPr>
                <w:spacing w:val="13"/>
                <w:sz w:val="22"/>
              </w:rPr>
              <w:t> </w:t>
            </w:r>
            <w:r>
              <w:rPr>
                <w:sz w:val="22"/>
              </w:rPr>
              <w:t>Col.,</w:t>
            </w:r>
          </w:p>
          <w:p>
            <w:pPr>
              <w:pStyle w:val="TableParagraph"/>
              <w:spacing w:before="1"/>
              <w:ind w:left="81" w:right="72"/>
              <w:jc w:val="both"/>
              <w:rPr>
                <w:sz w:val="22"/>
              </w:rPr>
            </w:pPr>
            <w:r>
              <w:rPr>
                <w:sz w:val="22"/>
              </w:rPr>
              <w:t>Mich., Méx., Ver., Gro., Oax., Chis., Yuc., Q. Roo.; Centroamérica; Sudamérica (Lorea-Hernández,  2004)</w:t>
            </w:r>
          </w:p>
        </w:tc>
      </w:tr>
      <w:tr>
        <w:trPr>
          <w:trHeight w:val="2588" w:hRule="exact"/>
        </w:trPr>
        <w:tc>
          <w:tcPr>
            <w:tcW w:w="2012"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Pr>
                <w:b/>
                <w:sz w:val="22"/>
              </w:rPr>
            </w:pPr>
            <w:r>
              <w:rPr>
                <w:b/>
                <w:sz w:val="22"/>
              </w:rPr>
              <w:t>Caprifoliaceae</w:t>
            </w:r>
          </w:p>
          <w:p>
            <w:pPr>
              <w:pStyle w:val="TableParagraph"/>
              <w:rPr>
                <w:rFonts w:ascii="Times New Roman"/>
                <w:sz w:val="22"/>
              </w:rPr>
            </w:pPr>
          </w:p>
          <w:p>
            <w:pPr>
              <w:pStyle w:val="TableParagraph"/>
              <w:rPr>
                <w:rFonts w:ascii="Times New Roman"/>
                <w:sz w:val="22"/>
              </w:rPr>
            </w:pPr>
          </w:p>
          <w:p>
            <w:pPr>
              <w:pStyle w:val="TableParagraph"/>
              <w:spacing w:before="1"/>
              <w:rPr>
                <w:rFonts w:ascii="Times New Roman"/>
                <w:sz w:val="22"/>
              </w:rPr>
            </w:pPr>
          </w:p>
          <w:p>
            <w:pPr>
              <w:pStyle w:val="TableParagraph"/>
              <w:ind w:left="81"/>
              <w:rPr>
                <w:i/>
                <w:sz w:val="22"/>
              </w:rPr>
            </w:pPr>
            <w:r>
              <w:rPr>
                <w:i/>
                <w:sz w:val="22"/>
              </w:rPr>
              <w:t>Sambucus nigra</w:t>
            </w:r>
          </w:p>
          <w:p>
            <w:pPr>
              <w:pStyle w:val="TableParagraph"/>
              <w:spacing w:line="230" w:lineRule="auto" w:before="9"/>
              <w:ind w:left="81" w:right="349"/>
              <w:rPr>
                <w:sz w:val="22"/>
              </w:rPr>
            </w:pPr>
            <w:r>
              <w:rPr>
                <w:sz w:val="22"/>
              </w:rPr>
              <w:t>L. subsp. </w:t>
            </w:r>
            <w:r>
              <w:rPr>
                <w:i/>
                <w:sz w:val="22"/>
              </w:rPr>
              <w:t>canadensis </w:t>
            </w:r>
            <w:r>
              <w:rPr>
                <w:sz w:val="22"/>
              </w:rPr>
              <w:t>(L.) Bolli </w:t>
            </w:r>
            <w:r>
              <w:rPr>
                <w:position w:val="10"/>
                <w:sz w:val="14"/>
              </w:rPr>
              <w:t>3 y 5 </w:t>
            </w:r>
            <w:r>
              <w:rPr>
                <w:sz w:val="22"/>
              </w:rPr>
              <w:t>(S)</w:t>
            </w:r>
          </w:p>
        </w:tc>
        <w:tc>
          <w:tcPr>
            <w:tcW w:w="150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6"/>
              <w:ind w:left="67" w:right="61"/>
              <w:jc w:val="center"/>
              <w:rPr>
                <w:sz w:val="22"/>
              </w:rPr>
            </w:pPr>
            <w:r>
              <w:rPr>
                <w:sz w:val="22"/>
              </w:rPr>
              <w:t>Sauco</w:t>
            </w:r>
          </w:p>
        </w:tc>
        <w:tc>
          <w:tcPr>
            <w:tcW w:w="4254" w:type="dxa"/>
            <w:tcBorders>
              <w:bottom w:val="thinThickMediumGap" w:sz="12" w:space="0" w:color="000000"/>
              <w:right w:val="thinThickMediumGap" w:sz="12" w:space="0" w:color="000000"/>
            </w:tcBorders>
          </w:tcPr>
          <w:p>
            <w:pPr>
              <w:pStyle w:val="TableParagraph"/>
              <w:spacing w:before="5"/>
              <w:ind w:left="76"/>
              <w:jc w:val="both"/>
              <w:rPr>
                <w:b/>
                <w:sz w:val="22"/>
              </w:rPr>
            </w:pPr>
            <w:r>
              <w:rPr>
                <w:b/>
                <w:sz w:val="22"/>
              </w:rPr>
              <w:t>Medicinal</w:t>
            </w:r>
          </w:p>
          <w:p>
            <w:pPr>
              <w:pStyle w:val="TableParagraph"/>
              <w:spacing w:before="6"/>
              <w:ind w:left="76" w:right="76"/>
              <w:jc w:val="both"/>
              <w:rPr>
                <w:sz w:val="22"/>
              </w:rPr>
            </w:pPr>
            <w:r>
              <w:rPr>
                <w:sz w:val="22"/>
              </w:rPr>
              <w:t>Mal de orín: </w:t>
            </w:r>
            <w:r>
              <w:rPr>
                <w:spacing w:val="-3"/>
                <w:sz w:val="22"/>
              </w:rPr>
              <w:t>se </w:t>
            </w:r>
            <w:r>
              <w:rPr>
                <w:sz w:val="22"/>
              </w:rPr>
              <w:t>hierve con sanguinaria y cola de caballo, un puño o cuatro ramas de cada una. Tos, las flores </w:t>
            </w:r>
            <w:r>
              <w:rPr>
                <w:spacing w:val="-3"/>
                <w:sz w:val="22"/>
              </w:rPr>
              <w:t>se </w:t>
            </w:r>
            <w:r>
              <w:rPr>
                <w:sz w:val="22"/>
              </w:rPr>
              <w:t>cosen  con leche y posteriormente se digiere. Problemas</w:t>
            </w:r>
            <w:r>
              <w:rPr>
                <w:spacing w:val="-9"/>
                <w:sz w:val="22"/>
              </w:rPr>
              <w:t> </w:t>
            </w:r>
            <w:r>
              <w:rPr>
                <w:sz w:val="22"/>
              </w:rPr>
              <w:t>respiratorios.</w:t>
            </w:r>
          </w:p>
          <w:p>
            <w:pPr>
              <w:pStyle w:val="TableParagraph"/>
              <w:spacing w:line="242" w:lineRule="auto"/>
              <w:ind w:left="76" w:right="75"/>
              <w:jc w:val="both"/>
              <w:rPr>
                <w:sz w:val="22"/>
              </w:rPr>
            </w:pPr>
            <w:r>
              <w:rPr>
                <w:b/>
                <w:sz w:val="22"/>
              </w:rPr>
              <w:t>Potencial Ornamental. </w:t>
            </w:r>
            <w:r>
              <w:rPr>
                <w:sz w:val="22"/>
              </w:rPr>
              <w:t>Inflorescencia, hojas (Guadarrama-Martínez </w:t>
            </w:r>
            <w:r>
              <w:rPr>
                <w:i/>
                <w:sz w:val="22"/>
              </w:rPr>
              <w:t>et  al., </w:t>
            </w:r>
            <w:r>
              <w:rPr>
                <w:sz w:val="22"/>
              </w:rPr>
              <w:t>2012) y toda la planta (Pérez-Nicolás y Fernández-Nava, 2007).</w:t>
            </w:r>
          </w:p>
        </w:tc>
        <w:tc>
          <w:tcPr>
            <w:tcW w:w="5460" w:type="dxa"/>
            <w:tcBorders>
              <w:bottom w:val="thinThickMediumGap" w:sz="12" w:space="0" w:color="000000"/>
              <w:right w:val="thinThickMediumGap" w:sz="12" w:space="0" w:color="000000"/>
            </w:tcBorders>
          </w:tcPr>
          <w:p>
            <w:pPr>
              <w:pStyle w:val="TableParagraph"/>
              <w:spacing w:before="9"/>
              <w:ind w:left="81" w:right="73"/>
              <w:jc w:val="both"/>
              <w:rPr>
                <w:sz w:val="22"/>
              </w:rPr>
            </w:pPr>
            <w:r>
              <w:rPr>
                <w:sz w:val="22"/>
              </w:rPr>
              <w:t>Canadá, E.U.A., México y Centroamérica, incluyendo las Antillas. En México: D.F. Chiapas, Chihuahua, Guanajuato, Guerrero, Hidalgo, México, Michoacán, Morelos, Nayarit, Oaxaca, Puebla, Quintana Roo,  San Luis Potosí, Tabasco, Tamaulipas, Tlaxcala, Veracruz y Yucatán (Villarreal,</w:t>
            </w:r>
            <w:r>
              <w:rPr>
                <w:spacing w:val="-14"/>
                <w:sz w:val="22"/>
              </w:rPr>
              <w:t> </w:t>
            </w:r>
            <w:r>
              <w:rPr>
                <w:sz w:val="22"/>
              </w:rPr>
              <w:t>2008).</w:t>
            </w:r>
          </w:p>
        </w:tc>
      </w:tr>
      <w:tr>
        <w:trPr>
          <w:trHeight w:val="1580" w:hRule="exact"/>
        </w:trPr>
        <w:tc>
          <w:tcPr>
            <w:tcW w:w="2012" w:type="dxa"/>
            <w:tcBorders>
              <w:bottom w:val="thinThickMediumGap" w:sz="12" w:space="0" w:color="000000"/>
              <w:right w:val="thinThickMediumGap" w:sz="12" w:space="0" w:color="000000"/>
            </w:tcBorders>
          </w:tcPr>
          <w:p>
            <w:pPr>
              <w:pStyle w:val="TableParagraph"/>
              <w:spacing w:before="134"/>
              <w:ind w:left="81"/>
              <w:rPr>
                <w:b/>
                <w:sz w:val="22"/>
              </w:rPr>
            </w:pPr>
            <w:r>
              <w:rPr>
                <w:b/>
                <w:sz w:val="22"/>
              </w:rPr>
              <w:t>Crassulaceae</w:t>
            </w:r>
          </w:p>
          <w:p>
            <w:pPr>
              <w:pStyle w:val="TableParagraph"/>
              <w:spacing w:before="3"/>
              <w:rPr>
                <w:rFonts w:ascii="Times New Roman"/>
                <w:sz w:val="22"/>
              </w:rPr>
            </w:pPr>
          </w:p>
          <w:p>
            <w:pPr>
              <w:pStyle w:val="TableParagraph"/>
              <w:spacing w:line="242" w:lineRule="auto"/>
              <w:ind w:left="81" w:right="568"/>
              <w:rPr>
                <w:sz w:val="22"/>
              </w:rPr>
            </w:pPr>
            <w:r>
              <w:rPr>
                <w:i/>
                <w:sz w:val="22"/>
              </w:rPr>
              <w:t>Kalanchoe </w:t>
            </w:r>
            <w:r>
              <w:rPr>
                <w:i/>
                <w:sz w:val="22"/>
              </w:rPr>
              <w:t>blossfeldiana </w:t>
            </w:r>
            <w:r>
              <w:rPr>
                <w:sz w:val="22"/>
              </w:rPr>
              <w:t>Poelln. (C)</w:t>
            </w:r>
          </w:p>
        </w:tc>
        <w:tc>
          <w:tcPr>
            <w:tcW w:w="150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283" w:firstLine="154"/>
              <w:rPr>
                <w:sz w:val="22"/>
              </w:rPr>
            </w:pPr>
            <w:r>
              <w:rPr>
                <w:sz w:val="22"/>
              </w:rPr>
              <w:t>Bruja, Maravilla</w:t>
            </w:r>
          </w:p>
        </w:tc>
        <w:tc>
          <w:tcPr>
            <w:tcW w:w="4254" w:type="dxa"/>
            <w:tcBorders>
              <w:bottom w:val="thinThickMediumGap" w:sz="12" w:space="0" w:color="000000"/>
              <w:right w:val="thinThickMediumGap" w:sz="12" w:space="0" w:color="000000"/>
            </w:tcBorders>
          </w:tcPr>
          <w:p>
            <w:pPr>
              <w:pStyle w:val="TableParagraph"/>
              <w:spacing w:before="9"/>
              <w:ind w:left="76"/>
              <w:rPr>
                <w:b/>
                <w:sz w:val="22"/>
              </w:rPr>
            </w:pPr>
            <w:r>
              <w:rPr>
                <w:b/>
                <w:sz w:val="22"/>
              </w:rPr>
              <w:t>Ornamental</w:t>
            </w:r>
          </w:p>
          <w:p>
            <w:pPr>
              <w:pStyle w:val="TableParagraph"/>
              <w:spacing w:before="1"/>
              <w:ind w:left="76"/>
              <w:rPr>
                <w:sz w:val="22"/>
              </w:rPr>
            </w:pPr>
            <w:r>
              <w:rPr>
                <w:sz w:val="22"/>
              </w:rPr>
              <w:t>Las flores y hojas son apreciadas como ornato.</w:t>
            </w:r>
          </w:p>
        </w:tc>
        <w:tc>
          <w:tcPr>
            <w:tcW w:w="5460" w:type="dxa"/>
            <w:tcBorders>
              <w:bottom w:val="thinThickMediumGap" w:sz="12" w:space="0" w:color="000000"/>
              <w:right w:val="thinThickMediumGap" w:sz="12" w:space="0" w:color="000000"/>
            </w:tcBorders>
          </w:tcPr>
          <w:p>
            <w:pPr>
              <w:pStyle w:val="TableParagraph"/>
              <w:spacing w:line="250" w:lineRule="exact" w:before="20"/>
              <w:ind w:left="81" w:right="79"/>
              <w:jc w:val="both"/>
              <w:rPr>
                <w:sz w:val="22"/>
              </w:rPr>
            </w:pPr>
            <w:r>
              <w:rPr>
                <w:sz w:val="22"/>
              </w:rPr>
              <w:t>Originaria de Madagascar. Registros en Belice, Colombia y Honduras (Trópicos, 2014).</w:t>
            </w:r>
          </w:p>
          <w:p>
            <w:pPr>
              <w:pStyle w:val="TableParagraph"/>
              <w:ind w:left="81" w:right="78"/>
              <w:jc w:val="both"/>
              <w:rPr>
                <w:sz w:val="22"/>
              </w:rPr>
            </w:pPr>
            <w:r>
              <w:rPr>
                <w:sz w:val="22"/>
              </w:rPr>
              <w:t>En el Herbario Nacional, MEXU, cuenta con 3 ejemplares de esta especie, colectados en la Delegación Xochimilco, Distrito Federal; Sierra Santa Marta, Veracruz y Sierra de Juárez, Oaxaca.</w:t>
            </w:r>
          </w:p>
        </w:tc>
      </w:tr>
      <w:tr>
        <w:trPr>
          <w:trHeight w:val="1849" w:hRule="exact"/>
        </w:trPr>
        <w:tc>
          <w:tcPr>
            <w:tcW w:w="2012" w:type="dxa"/>
            <w:tcBorders>
              <w:bottom w:val="thinThickMediumGap" w:sz="12" w:space="0" w:color="000000"/>
              <w:right w:val="thinThickMediumGap" w:sz="12" w:space="0" w:color="000000"/>
            </w:tcBorders>
          </w:tcPr>
          <w:p>
            <w:pPr>
              <w:pStyle w:val="TableParagraph"/>
              <w:spacing w:before="135"/>
              <w:ind w:left="81"/>
              <w:rPr>
                <w:b/>
                <w:sz w:val="22"/>
              </w:rPr>
            </w:pPr>
            <w:r>
              <w:rPr>
                <w:b/>
                <w:sz w:val="22"/>
              </w:rPr>
              <w:t>Crassulaceae</w:t>
            </w:r>
          </w:p>
          <w:p>
            <w:pPr>
              <w:pStyle w:val="TableParagraph"/>
              <w:rPr>
                <w:rFonts w:ascii="Times New Roman"/>
                <w:sz w:val="22"/>
              </w:rPr>
            </w:pPr>
          </w:p>
          <w:p>
            <w:pPr>
              <w:pStyle w:val="TableParagraph"/>
              <w:spacing w:before="10"/>
              <w:rPr>
                <w:rFonts w:ascii="Times New Roman"/>
                <w:sz w:val="21"/>
              </w:rPr>
            </w:pPr>
          </w:p>
          <w:p>
            <w:pPr>
              <w:pStyle w:val="TableParagraph"/>
              <w:tabs>
                <w:tab w:pos="1243" w:val="left" w:leader="none"/>
              </w:tabs>
              <w:spacing w:before="1"/>
              <w:ind w:left="81" w:right="73"/>
              <w:rPr>
                <w:sz w:val="22"/>
              </w:rPr>
            </w:pPr>
            <w:r>
              <w:rPr>
                <w:i/>
                <w:sz w:val="22"/>
              </w:rPr>
              <w:t>Kalanchoe </w:t>
            </w:r>
            <w:r>
              <w:rPr>
                <w:i/>
                <w:sz w:val="22"/>
              </w:rPr>
              <w:t>pinnata</w:t>
              <w:tab/>
            </w:r>
            <w:r>
              <w:rPr>
                <w:spacing w:val="-1"/>
                <w:sz w:val="22"/>
              </w:rPr>
              <w:t>(Lam.) </w:t>
            </w:r>
            <w:r>
              <w:rPr>
                <w:sz w:val="22"/>
              </w:rPr>
              <w:t>Pers. (C)</w:t>
            </w:r>
          </w:p>
        </w:tc>
        <w:tc>
          <w:tcPr>
            <w:tcW w:w="150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3"/>
              <w:rPr>
                <w:rFonts w:ascii="Times New Roman"/>
                <w:sz w:val="23"/>
              </w:rPr>
            </w:pPr>
          </w:p>
          <w:p>
            <w:pPr>
              <w:pStyle w:val="TableParagraph"/>
              <w:ind w:left="67" w:right="66"/>
              <w:jc w:val="center"/>
              <w:rPr>
                <w:sz w:val="22"/>
              </w:rPr>
            </w:pPr>
            <w:r>
              <w:rPr>
                <w:sz w:val="22"/>
              </w:rPr>
              <w:t>Siempre viva</w:t>
            </w:r>
          </w:p>
        </w:tc>
        <w:tc>
          <w:tcPr>
            <w:tcW w:w="4254" w:type="dxa"/>
            <w:tcBorders>
              <w:bottom w:val="thinThickMediumGap" w:sz="12" w:space="0" w:color="000000"/>
              <w:right w:val="thinThickMediumGap" w:sz="12" w:space="0" w:color="000000"/>
            </w:tcBorders>
          </w:tcPr>
          <w:p>
            <w:pPr>
              <w:pStyle w:val="TableParagraph"/>
              <w:spacing w:line="252" w:lineRule="exact" w:before="9"/>
              <w:ind w:left="76"/>
              <w:jc w:val="both"/>
              <w:rPr>
                <w:b/>
                <w:sz w:val="22"/>
              </w:rPr>
            </w:pPr>
            <w:r>
              <w:rPr>
                <w:b/>
                <w:sz w:val="22"/>
              </w:rPr>
              <w:t>Ornamental</w:t>
            </w:r>
          </w:p>
          <w:p>
            <w:pPr>
              <w:pStyle w:val="TableParagraph"/>
              <w:tabs>
                <w:tab w:pos="2671" w:val="left" w:leader="none"/>
              </w:tabs>
              <w:spacing w:line="244" w:lineRule="auto"/>
              <w:ind w:left="76" w:right="78"/>
              <w:jc w:val="both"/>
              <w:rPr>
                <w:sz w:val="22"/>
              </w:rPr>
            </w:pPr>
            <w:r>
              <w:rPr>
                <w:b/>
                <w:sz w:val="22"/>
              </w:rPr>
              <w:t>Potencial Medicinal. </w:t>
            </w:r>
            <w:r>
              <w:rPr>
                <w:sz w:val="22"/>
              </w:rPr>
              <w:t>En el estado de Veracruz, se utilizando las hojas, como antiinflamatorio,</w:t>
              <w:tab/>
            </w:r>
            <w:r>
              <w:rPr>
                <w:spacing w:val="-1"/>
                <w:sz w:val="22"/>
              </w:rPr>
              <w:t>dermatológico,</w:t>
            </w:r>
          </w:p>
          <w:p>
            <w:pPr>
              <w:pStyle w:val="TableParagraph"/>
              <w:tabs>
                <w:tab w:pos="2709" w:val="left" w:leader="none"/>
              </w:tabs>
              <w:spacing w:line="242" w:lineRule="auto"/>
              <w:ind w:left="76" w:right="80"/>
              <w:jc w:val="both"/>
              <w:rPr>
                <w:sz w:val="22"/>
              </w:rPr>
            </w:pPr>
            <w:r>
              <w:rPr>
                <w:sz w:val="22"/>
              </w:rPr>
              <w:t>gastrointestinal,</w:t>
              <w:tab/>
            </w:r>
            <w:r>
              <w:rPr>
                <w:spacing w:val="-1"/>
                <w:sz w:val="22"/>
              </w:rPr>
              <w:t>enfermedades </w:t>
            </w:r>
            <w:r>
              <w:rPr>
                <w:sz w:val="22"/>
              </w:rPr>
              <w:t>sistémicas o problemas bucales, entre otras (Sandoval y Martínez,</w:t>
            </w:r>
            <w:r>
              <w:rPr>
                <w:spacing w:val="-9"/>
                <w:sz w:val="22"/>
              </w:rPr>
              <w:t> </w:t>
            </w:r>
            <w:r>
              <w:rPr>
                <w:sz w:val="22"/>
              </w:rPr>
              <w:t>1994).</w:t>
            </w:r>
          </w:p>
        </w:tc>
        <w:tc>
          <w:tcPr>
            <w:tcW w:w="5460" w:type="dxa"/>
            <w:tcBorders>
              <w:bottom w:val="thinThickMediumGap" w:sz="12" w:space="0" w:color="000000"/>
              <w:right w:val="thinThickMediumGap" w:sz="12" w:space="0" w:color="000000"/>
            </w:tcBorders>
          </w:tcPr>
          <w:p>
            <w:pPr>
              <w:pStyle w:val="TableParagraph"/>
              <w:spacing w:before="15"/>
              <w:ind w:left="81" w:right="72"/>
              <w:jc w:val="both"/>
              <w:rPr>
                <w:sz w:val="22"/>
              </w:rPr>
            </w:pPr>
            <w:r>
              <w:rPr>
                <w:sz w:val="22"/>
              </w:rPr>
              <w:t>Endemismo propio de Madagascar que también cuenta con algunas especies diseminadas por el Sur y Sureste africano, Estados Unidos, India, China, Belice, Brasil, Colombia, Costa Rica, Ecuador, El Salvador, Honduras, México (Chis., Q. Roo, Ver. y Yuc.), Nicaragua, Panamá, Paraguay, Perú y Venezuela (Trópicos, 2014).</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98"/>
        <w:gridCol w:w="1700"/>
        <w:gridCol w:w="4960"/>
        <w:gridCol w:w="5037"/>
      </w:tblGrid>
      <w:tr>
        <w:trPr>
          <w:trHeight w:val="278" w:hRule="exact"/>
        </w:trPr>
        <w:tc>
          <w:tcPr>
            <w:tcW w:w="13795" w:type="dxa"/>
            <w:gridSpan w:val="4"/>
            <w:tcBorders>
              <w:bottom w:val="thinThickMediumGap" w:sz="12" w:space="0" w:color="000000"/>
              <w:right w:val="thinThickMediumGap" w:sz="12" w:space="0" w:color="000000"/>
            </w:tcBorders>
          </w:tcPr>
          <w:p>
            <w:pPr>
              <w:pStyle w:val="TableParagraph"/>
              <w:spacing w:line="225" w:lineRule="exact"/>
              <w:ind w:left="1243"/>
              <w:rPr>
                <w:b/>
                <w:i/>
                <w:sz w:val="20"/>
              </w:rPr>
            </w:pPr>
            <w:r>
              <w:rPr>
                <w:b/>
                <w:i/>
                <w:sz w:val="20"/>
              </w:rPr>
              <w:t>Cuadro 6. Listado de especies de flora de la Zona de Manejo Ambiental: Plantas Medicinales y Aromáticas. (Continúa).</w:t>
            </w:r>
          </w:p>
        </w:tc>
      </w:tr>
      <w:tr>
        <w:trPr>
          <w:trHeight w:val="567" w:hRule="exact"/>
        </w:trPr>
        <w:tc>
          <w:tcPr>
            <w:tcW w:w="2098" w:type="dxa"/>
            <w:tcBorders>
              <w:bottom w:val="thinThickMediumGap" w:sz="12" w:space="0" w:color="000000"/>
              <w:right w:val="thinThickMediumGap" w:sz="12" w:space="0" w:color="000000"/>
            </w:tcBorders>
            <w:shd w:val="clear" w:color="auto" w:fill="D9D9D9"/>
          </w:tcPr>
          <w:p>
            <w:pPr>
              <w:pStyle w:val="TableParagraph"/>
              <w:spacing w:before="5"/>
              <w:ind w:left="537" w:right="76" w:hanging="404"/>
              <w:rPr>
                <w:b/>
                <w:sz w:val="22"/>
              </w:rPr>
            </w:pPr>
            <w:r>
              <w:rPr>
                <w:b/>
                <w:sz w:val="22"/>
              </w:rPr>
              <w:t>Familia / Nombre científico</w:t>
            </w:r>
          </w:p>
        </w:tc>
        <w:tc>
          <w:tcPr>
            <w:tcW w:w="1700" w:type="dxa"/>
            <w:tcBorders>
              <w:bottom w:val="thinThickMediumGap" w:sz="12" w:space="0" w:color="000000"/>
              <w:right w:val="thinThickMediumGap" w:sz="12" w:space="0" w:color="000000"/>
            </w:tcBorders>
            <w:shd w:val="clear" w:color="auto" w:fill="D9D9D9"/>
          </w:tcPr>
          <w:p>
            <w:pPr>
              <w:pStyle w:val="TableParagraph"/>
              <w:spacing w:before="5"/>
              <w:ind w:left="456" w:right="183" w:hanging="53"/>
              <w:rPr>
                <w:b/>
                <w:sz w:val="22"/>
              </w:rPr>
            </w:pPr>
            <w:r>
              <w:rPr>
                <w:b/>
                <w:sz w:val="22"/>
              </w:rPr>
              <w:t>Nombre común</w:t>
            </w:r>
          </w:p>
        </w:tc>
        <w:tc>
          <w:tcPr>
            <w:tcW w:w="4960" w:type="dxa"/>
            <w:tcBorders>
              <w:bottom w:val="thinThickMediumGap" w:sz="12" w:space="0" w:color="000000"/>
              <w:right w:val="thinThickMediumGap" w:sz="12" w:space="0" w:color="000000"/>
            </w:tcBorders>
            <w:shd w:val="clear" w:color="auto" w:fill="D9D9D9"/>
          </w:tcPr>
          <w:p>
            <w:pPr>
              <w:pStyle w:val="TableParagraph"/>
              <w:spacing w:before="135"/>
              <w:ind w:left="2163" w:right="2160"/>
              <w:jc w:val="center"/>
              <w:rPr>
                <w:b/>
                <w:sz w:val="22"/>
              </w:rPr>
            </w:pPr>
            <w:r>
              <w:rPr>
                <w:b/>
                <w:sz w:val="22"/>
              </w:rPr>
              <w:t>Usos</w:t>
            </w:r>
          </w:p>
        </w:tc>
        <w:tc>
          <w:tcPr>
            <w:tcW w:w="5037" w:type="dxa"/>
            <w:tcBorders>
              <w:bottom w:val="thinThickMediumGap" w:sz="12" w:space="0" w:color="000000"/>
              <w:right w:val="thinThickMediumGap" w:sz="12" w:space="0" w:color="000000"/>
            </w:tcBorders>
            <w:shd w:val="clear" w:color="auto" w:fill="D9D9D9"/>
          </w:tcPr>
          <w:p>
            <w:pPr>
              <w:pStyle w:val="TableParagraph"/>
              <w:spacing w:before="135"/>
              <w:ind w:left="1826" w:right="1829"/>
              <w:jc w:val="center"/>
              <w:rPr>
                <w:b/>
                <w:sz w:val="22"/>
              </w:rPr>
            </w:pPr>
            <w:r>
              <w:rPr>
                <w:b/>
                <w:sz w:val="22"/>
              </w:rPr>
              <w:t>Distribución</w:t>
            </w:r>
          </w:p>
        </w:tc>
      </w:tr>
      <w:tr>
        <w:trPr>
          <w:trHeight w:val="2084" w:hRule="exact"/>
        </w:trPr>
        <w:tc>
          <w:tcPr>
            <w:tcW w:w="2098" w:type="dxa"/>
            <w:tcBorders>
              <w:bottom w:val="thinThickMediumGap" w:sz="12" w:space="0" w:color="000000"/>
              <w:right w:val="thinThickMediumGap" w:sz="12" w:space="0" w:color="000000"/>
            </w:tcBorders>
          </w:tcPr>
          <w:p>
            <w:pPr>
              <w:pStyle w:val="TableParagraph"/>
              <w:spacing w:before="5"/>
              <w:ind w:left="81" w:right="76"/>
              <w:rPr>
                <w:b/>
                <w:sz w:val="22"/>
              </w:rPr>
            </w:pPr>
            <w:r>
              <w:rPr>
                <w:b/>
                <w:sz w:val="22"/>
              </w:rPr>
              <w:t>Cupressaceae</w:t>
            </w:r>
          </w:p>
          <w:p>
            <w:pPr>
              <w:pStyle w:val="TableParagraph"/>
              <w:spacing w:before="9"/>
              <w:rPr>
                <w:rFonts w:ascii="Times New Roman"/>
                <w:sz w:val="22"/>
              </w:rPr>
            </w:pPr>
          </w:p>
          <w:p>
            <w:pPr>
              <w:pStyle w:val="TableParagraph"/>
              <w:spacing w:line="250" w:lineRule="exact"/>
              <w:ind w:left="81" w:right="76"/>
              <w:rPr>
                <w:i/>
                <w:sz w:val="14"/>
              </w:rPr>
            </w:pPr>
            <w:r>
              <w:rPr>
                <w:i/>
                <w:sz w:val="22"/>
              </w:rPr>
              <w:t>Taxodium </w:t>
            </w:r>
            <w:r>
              <w:rPr>
                <w:i/>
                <w:sz w:val="22"/>
              </w:rPr>
              <w:t>mucronatum </w:t>
            </w:r>
            <w:r>
              <w:rPr>
                <w:sz w:val="22"/>
              </w:rPr>
              <w:t>Ten. </w:t>
            </w:r>
            <w:r>
              <w:rPr>
                <w:i/>
                <w:position w:val="10"/>
                <w:sz w:val="14"/>
              </w:rPr>
              <w:t>3</w:t>
            </w:r>
          </w:p>
          <w:p>
            <w:pPr>
              <w:pStyle w:val="TableParagraph"/>
              <w:spacing w:line="256" w:lineRule="exact"/>
              <w:ind w:left="81" w:right="76"/>
              <w:rPr>
                <w:sz w:val="22"/>
              </w:rPr>
            </w:pPr>
            <w:r>
              <w:rPr>
                <w:position w:val="10"/>
                <w:sz w:val="14"/>
              </w:rPr>
              <w:t>y 5 </w:t>
            </w:r>
            <w:r>
              <w:rPr>
                <w:sz w:val="22"/>
              </w:rPr>
              <w:t>(C)</w:t>
            </w:r>
          </w:p>
        </w:tc>
        <w:tc>
          <w:tcPr>
            <w:tcW w:w="170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2"/>
              </w:rPr>
            </w:pPr>
          </w:p>
          <w:p>
            <w:pPr>
              <w:pStyle w:val="TableParagraph"/>
              <w:ind w:left="475" w:right="183" w:hanging="284"/>
              <w:rPr>
                <w:sz w:val="22"/>
              </w:rPr>
            </w:pPr>
            <w:r>
              <w:rPr>
                <w:sz w:val="22"/>
              </w:rPr>
              <w:t>Ahuehuete o Sabino</w:t>
            </w:r>
          </w:p>
        </w:tc>
        <w:tc>
          <w:tcPr>
            <w:tcW w:w="4960" w:type="dxa"/>
            <w:tcBorders>
              <w:bottom w:val="thinThickMediumGap" w:sz="12" w:space="0" w:color="000000"/>
              <w:right w:val="thinThickMediumGap" w:sz="12" w:space="0" w:color="000000"/>
            </w:tcBorders>
          </w:tcPr>
          <w:p>
            <w:pPr>
              <w:pStyle w:val="TableParagraph"/>
              <w:spacing w:line="244" w:lineRule="auto" w:before="5"/>
              <w:ind w:left="81" w:right="77"/>
              <w:jc w:val="both"/>
              <w:rPr>
                <w:sz w:val="22"/>
              </w:rPr>
            </w:pPr>
            <w:r>
              <w:rPr>
                <w:b/>
                <w:sz w:val="22"/>
              </w:rPr>
              <w:t>Medicinal. </w:t>
            </w:r>
            <w:r>
              <w:rPr>
                <w:sz w:val="22"/>
              </w:rPr>
              <w:t>Diarrea; se toma el cocimiento preparado con las hojas y el tallo.</w:t>
            </w:r>
          </w:p>
          <w:p>
            <w:pPr>
              <w:pStyle w:val="TableParagraph"/>
              <w:spacing w:before="5"/>
              <w:rPr>
                <w:rFonts w:ascii="Times New Roman"/>
                <w:sz w:val="21"/>
              </w:rPr>
            </w:pPr>
          </w:p>
          <w:p>
            <w:pPr>
              <w:pStyle w:val="TableParagraph"/>
              <w:ind w:left="81" w:right="76"/>
              <w:jc w:val="both"/>
              <w:rPr>
                <w:sz w:val="22"/>
              </w:rPr>
            </w:pPr>
            <w:r>
              <w:rPr>
                <w:sz w:val="22"/>
              </w:rPr>
              <w:t>Este árbol es conocido desde épocas prehispánicas como sagrado, por eso algunos instrumentos musicales como el huehuetl tienen la misma raíz gramatical pues tanto ahuehuete y huehuetl significa viejo (López, 2012).</w:t>
            </w:r>
          </w:p>
        </w:tc>
        <w:tc>
          <w:tcPr>
            <w:tcW w:w="5037" w:type="dxa"/>
            <w:tcBorders>
              <w:bottom w:val="thinThickMediumGap" w:sz="12" w:space="0" w:color="000000"/>
              <w:right w:val="thinThickMediumGap" w:sz="12" w:space="0" w:color="000000"/>
            </w:tcBorders>
          </w:tcPr>
          <w:p>
            <w:pPr>
              <w:pStyle w:val="TableParagraph"/>
              <w:spacing w:before="9"/>
              <w:ind w:left="81"/>
              <w:rPr>
                <w:sz w:val="22"/>
              </w:rPr>
            </w:pPr>
            <w:r>
              <w:rPr>
                <w:sz w:val="22"/>
              </w:rPr>
              <w:t>Amplia distribución en la República Mexicana: Coah., Chis., D.F., Dgo., Gro., Gto., Hgo.,     Jal.,</w:t>
            </w:r>
          </w:p>
          <w:p>
            <w:pPr>
              <w:pStyle w:val="TableParagraph"/>
              <w:spacing w:line="251" w:lineRule="exact" w:before="1"/>
              <w:ind w:left="81"/>
              <w:rPr>
                <w:sz w:val="22"/>
              </w:rPr>
            </w:pPr>
            <w:r>
              <w:rPr>
                <w:sz w:val="22"/>
              </w:rPr>
              <w:t>Méx., Mich., Mor., Nay., N. L., Oax., Pue.,  </w:t>
            </w:r>
            <w:r>
              <w:rPr>
                <w:spacing w:val="52"/>
                <w:sz w:val="22"/>
              </w:rPr>
              <w:t> </w:t>
            </w:r>
            <w:r>
              <w:rPr>
                <w:sz w:val="22"/>
              </w:rPr>
              <w:t>Qro.,</w:t>
            </w:r>
          </w:p>
          <w:p>
            <w:pPr>
              <w:pStyle w:val="TableParagraph"/>
              <w:ind w:left="81"/>
              <w:rPr>
                <w:sz w:val="22"/>
              </w:rPr>
            </w:pPr>
            <w:r>
              <w:rPr>
                <w:sz w:val="22"/>
              </w:rPr>
              <w:t>Sin., S.L.P., Son., Tab., Tamp., Tlax., Ver., Zac.; Texas y Guatemala (Carranza, 1992).</w:t>
            </w:r>
          </w:p>
        </w:tc>
      </w:tr>
      <w:tr>
        <w:trPr>
          <w:trHeight w:val="1580" w:hRule="exact"/>
        </w:trPr>
        <w:tc>
          <w:tcPr>
            <w:tcW w:w="2098" w:type="dxa"/>
            <w:tcBorders>
              <w:bottom w:val="thinThickMediumGap" w:sz="12" w:space="0" w:color="000000"/>
              <w:right w:val="thinThickMediumGap" w:sz="12" w:space="0" w:color="000000"/>
            </w:tcBorders>
          </w:tcPr>
          <w:p>
            <w:pPr>
              <w:pStyle w:val="TableParagraph"/>
              <w:spacing w:before="5"/>
              <w:ind w:left="81" w:right="76"/>
              <w:rPr>
                <w:b/>
                <w:sz w:val="22"/>
              </w:rPr>
            </w:pPr>
            <w:r>
              <w:rPr>
                <w:b/>
                <w:sz w:val="22"/>
              </w:rPr>
              <w:t>Euphorbiaceae</w:t>
            </w:r>
          </w:p>
          <w:p>
            <w:pPr>
              <w:pStyle w:val="TableParagraph"/>
              <w:spacing w:before="11"/>
              <w:rPr>
                <w:rFonts w:ascii="Times New Roman"/>
                <w:sz w:val="22"/>
              </w:rPr>
            </w:pPr>
          </w:p>
          <w:p>
            <w:pPr>
              <w:pStyle w:val="TableParagraph"/>
              <w:spacing w:line="230" w:lineRule="auto"/>
              <w:ind w:left="81" w:right="504"/>
              <w:rPr>
                <w:sz w:val="14"/>
              </w:rPr>
            </w:pPr>
            <w:r>
              <w:rPr>
                <w:i/>
                <w:sz w:val="22"/>
              </w:rPr>
              <w:t>Cnidoscolus </w:t>
            </w:r>
            <w:r>
              <w:rPr>
                <w:i/>
                <w:sz w:val="22"/>
              </w:rPr>
              <w:t>chayamansa </w:t>
            </w:r>
            <w:r>
              <w:rPr>
                <w:sz w:val="22"/>
              </w:rPr>
              <w:t>McVaugh (C) </w:t>
            </w:r>
            <w:r>
              <w:rPr>
                <w:position w:val="10"/>
                <w:sz w:val="14"/>
              </w:rPr>
              <w:t>4</w:t>
            </w:r>
          </w:p>
        </w:tc>
        <w:tc>
          <w:tcPr>
            <w:tcW w:w="170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7"/>
              <w:ind w:left="185" w:right="190"/>
              <w:jc w:val="center"/>
              <w:rPr>
                <w:sz w:val="22"/>
              </w:rPr>
            </w:pPr>
            <w:r>
              <w:rPr>
                <w:sz w:val="22"/>
              </w:rPr>
              <w:t>Chaya</w:t>
            </w:r>
          </w:p>
        </w:tc>
        <w:tc>
          <w:tcPr>
            <w:tcW w:w="4960"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Ornamental</w:t>
            </w:r>
          </w:p>
          <w:p>
            <w:pPr>
              <w:pStyle w:val="TableParagraph"/>
              <w:spacing w:line="242" w:lineRule="auto" w:before="1"/>
              <w:ind w:left="81" w:right="76"/>
              <w:jc w:val="both"/>
              <w:rPr>
                <w:sz w:val="22"/>
              </w:rPr>
            </w:pPr>
            <w:r>
              <w:rPr>
                <w:b/>
                <w:sz w:val="22"/>
              </w:rPr>
              <w:t>Potencial Medicinal</w:t>
            </w:r>
            <w:r>
              <w:rPr>
                <w:sz w:val="22"/>
              </w:rPr>
              <w:t>. Para aliviar el dolor de riñones. Se preparan las hojas en cocción y se administran en forma oral (Morelos y Tabasco).</w:t>
            </w:r>
          </w:p>
        </w:tc>
        <w:tc>
          <w:tcPr>
            <w:tcW w:w="5037" w:type="dxa"/>
            <w:tcBorders>
              <w:bottom w:val="thinThickMediumGap" w:sz="12" w:space="0" w:color="000000"/>
              <w:right w:val="thinThickMediumGap" w:sz="12" w:space="0" w:color="000000"/>
            </w:tcBorders>
          </w:tcPr>
          <w:p>
            <w:pPr>
              <w:pStyle w:val="TableParagraph"/>
              <w:spacing w:before="9"/>
              <w:ind w:left="81" w:right="80"/>
              <w:jc w:val="both"/>
              <w:rPr>
                <w:sz w:val="22"/>
              </w:rPr>
            </w:pPr>
            <w:r>
              <w:rPr>
                <w:sz w:val="22"/>
              </w:rPr>
              <w:t>Sureste mexicano, principalmente en Yucatán, Tabasco, sureste de Chiapas, centro y sur de Veracruz, parte de Campeche, sur de Quintana Roo y norte de Morelos. En el Estado de Nuevo León su distribución no es uniforme (Rocha, 1998).</w:t>
            </w:r>
          </w:p>
        </w:tc>
      </w:tr>
      <w:tr>
        <w:trPr>
          <w:trHeight w:val="1829" w:hRule="exact"/>
        </w:trPr>
        <w:tc>
          <w:tcPr>
            <w:tcW w:w="2098" w:type="dxa"/>
            <w:tcBorders>
              <w:bottom w:val="thinThickMediumGap" w:sz="12" w:space="0" w:color="000000"/>
              <w:right w:val="thinThickMediumGap" w:sz="12" w:space="0" w:color="000000"/>
            </w:tcBorders>
          </w:tcPr>
          <w:p>
            <w:pPr>
              <w:pStyle w:val="TableParagraph"/>
              <w:spacing w:before="5"/>
              <w:ind w:left="81" w:right="76"/>
              <w:rPr>
                <w:b/>
                <w:sz w:val="22"/>
              </w:rPr>
            </w:pPr>
            <w:r>
              <w:rPr>
                <w:b/>
                <w:sz w:val="22"/>
              </w:rPr>
              <w:t>Euphorbiaceae</w:t>
            </w:r>
          </w:p>
          <w:p>
            <w:pPr>
              <w:pStyle w:val="TableParagraph"/>
              <w:rPr>
                <w:rFonts w:ascii="Times New Roman"/>
                <w:sz w:val="22"/>
              </w:rPr>
            </w:pPr>
          </w:p>
          <w:p>
            <w:pPr>
              <w:pStyle w:val="TableParagraph"/>
              <w:spacing w:before="11"/>
              <w:rPr>
                <w:rFonts w:ascii="Times New Roman"/>
                <w:sz w:val="21"/>
              </w:rPr>
            </w:pPr>
          </w:p>
          <w:p>
            <w:pPr>
              <w:pStyle w:val="TableParagraph"/>
              <w:ind w:left="81" w:right="411"/>
              <w:rPr>
                <w:sz w:val="22"/>
              </w:rPr>
            </w:pPr>
            <w:r>
              <w:rPr>
                <w:i/>
                <w:sz w:val="22"/>
              </w:rPr>
              <w:t>Euphorbia </w:t>
            </w:r>
            <w:r>
              <w:rPr>
                <w:i/>
                <w:sz w:val="22"/>
              </w:rPr>
              <w:t>cotinifolia </w:t>
            </w:r>
            <w:r>
              <w:rPr>
                <w:sz w:val="22"/>
              </w:rPr>
              <w:t>L. (C)</w:t>
            </w:r>
          </w:p>
        </w:tc>
        <w:tc>
          <w:tcPr>
            <w:tcW w:w="170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2"/>
              </w:rPr>
            </w:pPr>
          </w:p>
          <w:p>
            <w:pPr>
              <w:pStyle w:val="TableParagraph"/>
              <w:ind w:left="188" w:right="190"/>
              <w:jc w:val="center"/>
              <w:rPr>
                <w:sz w:val="22"/>
              </w:rPr>
            </w:pPr>
            <w:r>
              <w:rPr>
                <w:sz w:val="22"/>
              </w:rPr>
              <w:t>Lechero rojo</w:t>
            </w:r>
          </w:p>
        </w:tc>
        <w:tc>
          <w:tcPr>
            <w:tcW w:w="4960" w:type="dxa"/>
            <w:tcBorders>
              <w:bottom w:val="thinThickMediumGap" w:sz="12" w:space="0" w:color="000000"/>
              <w:right w:val="thinThickMediumGap" w:sz="12" w:space="0" w:color="000000"/>
            </w:tcBorders>
          </w:tcPr>
          <w:p>
            <w:pPr>
              <w:pStyle w:val="TableParagraph"/>
              <w:spacing w:before="5"/>
              <w:ind w:left="81" w:right="119"/>
              <w:rPr>
                <w:sz w:val="22"/>
              </w:rPr>
            </w:pPr>
            <w:r>
              <w:rPr>
                <w:b/>
                <w:sz w:val="22"/>
              </w:rPr>
              <w:t>Ornamental y Medicinal: </w:t>
            </w:r>
            <w:r>
              <w:rPr>
                <w:sz w:val="22"/>
              </w:rPr>
              <w:t>Verrugas y callos. </w:t>
            </w:r>
            <w:r>
              <w:rPr>
                <w:b/>
                <w:sz w:val="22"/>
              </w:rPr>
              <w:t>Potencial. </w:t>
            </w:r>
            <w:r>
              <w:rPr>
                <w:sz w:val="22"/>
              </w:rPr>
              <w:t>Su savia caústica a menudo </w:t>
            </w:r>
            <w:r>
              <w:rPr>
                <w:spacing w:val="-3"/>
                <w:sz w:val="22"/>
              </w:rPr>
              <w:t>se </w:t>
            </w:r>
            <w:r>
              <w:rPr>
                <w:sz w:val="22"/>
              </w:rPr>
              <w:t>utiliza para envenenar peces en los ríos. También </w:t>
            </w:r>
            <w:r>
              <w:rPr>
                <w:spacing w:val="-3"/>
                <w:sz w:val="22"/>
              </w:rPr>
              <w:t>se </w:t>
            </w:r>
            <w:r>
              <w:rPr>
                <w:sz w:val="22"/>
              </w:rPr>
              <w:t>usa frecuentemente para cercas vivas (Costa</w:t>
            </w:r>
            <w:r>
              <w:rPr>
                <w:spacing w:val="-4"/>
                <w:sz w:val="22"/>
              </w:rPr>
              <w:t> </w:t>
            </w:r>
            <w:r>
              <w:rPr>
                <w:sz w:val="22"/>
              </w:rPr>
              <w:t>Rica).</w:t>
            </w:r>
          </w:p>
          <w:p>
            <w:pPr>
              <w:pStyle w:val="TableParagraph"/>
              <w:spacing w:line="250" w:lineRule="exact" w:before="3"/>
              <w:ind w:left="81" w:right="119"/>
              <w:rPr>
                <w:sz w:val="22"/>
              </w:rPr>
            </w:pPr>
            <w:r>
              <w:rPr>
                <w:b/>
                <w:sz w:val="22"/>
              </w:rPr>
              <w:t>Efectos tóxicos: </w:t>
            </w:r>
            <w:r>
              <w:rPr>
                <w:sz w:val="22"/>
              </w:rPr>
              <w:t>Irritación e inflamación de la piel y de las mucosas (Gil </w:t>
            </w:r>
            <w:r>
              <w:rPr>
                <w:i/>
                <w:sz w:val="22"/>
              </w:rPr>
              <w:t>et al., </w:t>
            </w:r>
            <w:r>
              <w:rPr>
                <w:sz w:val="22"/>
              </w:rPr>
              <w:t>2006).</w:t>
            </w:r>
          </w:p>
        </w:tc>
        <w:tc>
          <w:tcPr>
            <w:tcW w:w="5037" w:type="dxa"/>
            <w:tcBorders>
              <w:bottom w:val="thinThickMediumGap" w:sz="12" w:space="0" w:color="000000"/>
              <w:right w:val="thinThickMediumGap" w:sz="12" w:space="0" w:color="000000"/>
            </w:tcBorders>
          </w:tcPr>
          <w:p>
            <w:pPr>
              <w:pStyle w:val="TableParagraph"/>
              <w:spacing w:before="9"/>
              <w:ind w:left="81" w:right="80"/>
              <w:jc w:val="both"/>
              <w:rPr>
                <w:sz w:val="22"/>
              </w:rPr>
            </w:pPr>
            <w:r>
              <w:rPr>
                <w:sz w:val="22"/>
              </w:rPr>
              <w:t>Bolivia, Brasil, China, Colombia, Costa Rica, Ecuador, El Salvador, Guatemala, Guyana, Honduras, México (Chiapas, Oaxaca) Nicaragua, Panamá y Venezuela (Trópicos, 2014).</w:t>
            </w:r>
          </w:p>
        </w:tc>
      </w:tr>
      <w:tr>
        <w:trPr>
          <w:trHeight w:val="2607" w:hRule="exact"/>
        </w:trPr>
        <w:tc>
          <w:tcPr>
            <w:tcW w:w="2098" w:type="dxa"/>
            <w:tcBorders>
              <w:bottom w:val="thinThickMediumGap" w:sz="12" w:space="0" w:color="000000"/>
              <w:right w:val="thinThickMediumGap" w:sz="12" w:space="0" w:color="000000"/>
            </w:tcBorders>
          </w:tcPr>
          <w:p>
            <w:pPr>
              <w:pStyle w:val="TableParagraph"/>
              <w:spacing w:before="9"/>
              <w:ind w:left="81" w:right="76"/>
              <w:rPr>
                <w:b/>
                <w:sz w:val="22"/>
              </w:rPr>
            </w:pPr>
            <w:r>
              <w:rPr>
                <w:b/>
                <w:sz w:val="22"/>
              </w:rPr>
              <w:t>Euphorbiaceae</w:t>
            </w:r>
          </w:p>
          <w:p>
            <w:pPr>
              <w:pStyle w:val="TableParagraph"/>
              <w:spacing w:before="10"/>
              <w:rPr>
                <w:rFonts w:ascii="Times New Roman"/>
                <w:sz w:val="21"/>
              </w:rPr>
            </w:pPr>
          </w:p>
          <w:p>
            <w:pPr>
              <w:pStyle w:val="TableParagraph"/>
              <w:spacing w:line="244" w:lineRule="exact"/>
              <w:ind w:left="81" w:right="76"/>
              <w:rPr>
                <w:i/>
                <w:sz w:val="22"/>
              </w:rPr>
            </w:pPr>
            <w:r>
              <w:rPr>
                <w:i/>
                <w:sz w:val="22"/>
              </w:rPr>
              <w:t>Ricinus communis</w:t>
            </w:r>
          </w:p>
          <w:p>
            <w:pPr>
              <w:pStyle w:val="TableParagraph"/>
              <w:spacing w:line="269" w:lineRule="exact"/>
              <w:ind w:left="81" w:right="76"/>
              <w:rPr>
                <w:sz w:val="22"/>
              </w:rPr>
            </w:pPr>
            <w:r>
              <w:rPr>
                <w:sz w:val="22"/>
              </w:rPr>
              <w:t>L. </w:t>
            </w:r>
            <w:r>
              <w:rPr>
                <w:position w:val="10"/>
                <w:sz w:val="14"/>
              </w:rPr>
              <w:t>2 </w:t>
            </w:r>
            <w:r>
              <w:rPr>
                <w:sz w:val="22"/>
              </w:rPr>
              <w:t>(S)</w:t>
            </w:r>
          </w:p>
        </w:tc>
        <w:tc>
          <w:tcPr>
            <w:tcW w:w="170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40"/>
              <w:ind w:left="188" w:right="188"/>
              <w:jc w:val="center"/>
              <w:rPr>
                <w:sz w:val="22"/>
              </w:rPr>
            </w:pPr>
            <w:r>
              <w:rPr>
                <w:sz w:val="22"/>
              </w:rPr>
              <w:t>Higuerilla</w:t>
            </w:r>
          </w:p>
        </w:tc>
        <w:tc>
          <w:tcPr>
            <w:tcW w:w="4960" w:type="dxa"/>
            <w:tcBorders>
              <w:bottom w:val="thinThickMediumGap" w:sz="12" w:space="0" w:color="000000"/>
              <w:right w:val="thinThickMediumGap" w:sz="12" w:space="0" w:color="000000"/>
            </w:tcBorders>
          </w:tcPr>
          <w:p>
            <w:pPr>
              <w:pStyle w:val="TableParagraph"/>
              <w:spacing w:line="242" w:lineRule="auto" w:before="9"/>
              <w:ind w:left="81" w:right="78"/>
              <w:jc w:val="both"/>
              <w:rPr>
                <w:sz w:val="22"/>
              </w:rPr>
            </w:pPr>
            <w:r>
              <w:rPr>
                <w:b/>
                <w:sz w:val="22"/>
              </w:rPr>
              <w:t>Medicinal. </w:t>
            </w:r>
            <w:r>
              <w:rPr>
                <w:sz w:val="22"/>
              </w:rPr>
              <w:t>Ayuda a disminuir la temperatura corporal. Eficaz contra el empacho.</w:t>
            </w:r>
          </w:p>
          <w:p>
            <w:pPr>
              <w:pStyle w:val="TableParagraph"/>
              <w:spacing w:line="237" w:lineRule="auto" w:before="1"/>
              <w:ind w:left="81" w:right="77"/>
              <w:jc w:val="both"/>
              <w:rPr>
                <w:sz w:val="22"/>
              </w:rPr>
            </w:pPr>
            <w:r>
              <w:rPr>
                <w:sz w:val="22"/>
              </w:rPr>
              <w:t>En El Salvador, impulsan la producción de biodiesel a partir del aceite de la higuerilla (López </w:t>
            </w:r>
            <w:r>
              <w:rPr>
                <w:i/>
                <w:sz w:val="22"/>
              </w:rPr>
              <w:t>et al., </w:t>
            </w:r>
            <w:r>
              <w:rPr>
                <w:sz w:val="22"/>
              </w:rPr>
              <w:t>2009).</w:t>
            </w:r>
          </w:p>
          <w:p>
            <w:pPr>
              <w:pStyle w:val="TableParagraph"/>
              <w:spacing w:line="242" w:lineRule="auto" w:before="2"/>
              <w:ind w:left="81" w:right="72"/>
              <w:jc w:val="both"/>
              <w:rPr>
                <w:sz w:val="22"/>
              </w:rPr>
            </w:pPr>
            <w:r>
              <w:rPr>
                <w:b/>
                <w:sz w:val="22"/>
              </w:rPr>
              <w:t>Efecto tóxico: </w:t>
            </w:r>
            <w:r>
              <w:rPr>
                <w:sz w:val="22"/>
              </w:rPr>
              <w:t>Náuseas, vómitos, irritación del tracto gastrointestinal, cólicos, convulsiones, excesiva sudoración, aumento o disminución drástica de la temperatura corporal (Gil </w:t>
            </w:r>
            <w:r>
              <w:rPr>
                <w:i/>
                <w:sz w:val="22"/>
              </w:rPr>
              <w:t>et al., </w:t>
            </w:r>
            <w:r>
              <w:rPr>
                <w:sz w:val="22"/>
              </w:rPr>
              <w:t>2006).</w:t>
            </w:r>
          </w:p>
        </w:tc>
        <w:tc>
          <w:tcPr>
            <w:tcW w:w="5037" w:type="dxa"/>
            <w:tcBorders>
              <w:bottom w:val="thinThickMediumGap" w:sz="12" w:space="0" w:color="000000"/>
              <w:right w:val="thinThickMediumGap" w:sz="12" w:space="0" w:color="000000"/>
            </w:tcBorders>
          </w:tcPr>
          <w:p>
            <w:pPr>
              <w:pStyle w:val="TableParagraph"/>
              <w:spacing w:line="242" w:lineRule="auto" w:before="9"/>
              <w:ind w:left="81" w:right="76"/>
              <w:jc w:val="both"/>
              <w:rPr>
                <w:sz w:val="22"/>
              </w:rPr>
            </w:pPr>
            <w:r>
              <w:rPr>
                <w:sz w:val="22"/>
              </w:rPr>
              <w:t>Origen áfricano (Kantún-Balam </w:t>
            </w:r>
            <w:r>
              <w:rPr>
                <w:i/>
                <w:sz w:val="22"/>
              </w:rPr>
              <w:t>et al., </w:t>
            </w:r>
            <w:r>
              <w:rPr>
                <w:sz w:val="22"/>
              </w:rPr>
              <w:t>2013). En la Republica Mexicana </w:t>
            </w:r>
            <w:r>
              <w:rPr>
                <w:spacing w:val="-3"/>
                <w:sz w:val="22"/>
              </w:rPr>
              <w:t>se </w:t>
            </w:r>
            <w:r>
              <w:rPr>
                <w:sz w:val="22"/>
              </w:rPr>
              <w:t>registra de Chis., Chih., Coah., Colima, D. F.,  Edo de Méx.,  </w:t>
            </w:r>
            <w:r>
              <w:rPr>
                <w:spacing w:val="28"/>
                <w:sz w:val="22"/>
              </w:rPr>
              <w:t> </w:t>
            </w:r>
            <w:r>
              <w:rPr>
                <w:sz w:val="22"/>
              </w:rPr>
              <w:t>Gto.,</w:t>
            </w:r>
          </w:p>
          <w:p>
            <w:pPr>
              <w:pStyle w:val="TableParagraph"/>
              <w:ind w:left="81" w:right="77"/>
              <w:jc w:val="both"/>
              <w:rPr>
                <w:sz w:val="22"/>
              </w:rPr>
            </w:pPr>
            <w:r>
              <w:rPr>
                <w:sz w:val="22"/>
              </w:rPr>
              <w:t>Gro., Jal., Mich., Mor., Nay., Oax., Sin., Son., Tab., Tam., Tlax., Ver. y Yuc. (Villaseñor y Espinosa, 1998).</w:t>
            </w:r>
          </w:p>
        </w:tc>
      </w:tr>
    </w:tbl>
    <w:p>
      <w:pPr>
        <w:spacing w:after="0"/>
        <w:jc w:val="both"/>
        <w:rPr>
          <w:sz w:val="22"/>
        </w:rPr>
        <w:sectPr>
          <w:footerReference w:type="default" r:id="rId61"/>
          <w:pgSz w:w="15840" w:h="12240" w:orient="landscape"/>
          <w:pgMar w:footer="1147" w:header="690" w:top="880" w:bottom="1340" w:left="1160" w:right="58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527"/>
        <w:gridCol w:w="1560"/>
        <w:gridCol w:w="4398"/>
        <w:gridCol w:w="6309"/>
      </w:tblGrid>
      <w:tr>
        <w:trPr>
          <w:trHeight w:val="278" w:hRule="exact"/>
        </w:trPr>
        <w:tc>
          <w:tcPr>
            <w:tcW w:w="13795" w:type="dxa"/>
            <w:gridSpan w:val="4"/>
            <w:tcBorders>
              <w:bottom w:val="thinThickMediumGap" w:sz="12" w:space="0" w:color="000000"/>
              <w:right w:val="thinThickMediumGap" w:sz="12" w:space="0" w:color="000000"/>
            </w:tcBorders>
          </w:tcPr>
          <w:p>
            <w:pPr>
              <w:pStyle w:val="TableParagraph"/>
              <w:spacing w:line="225" w:lineRule="exact"/>
              <w:ind w:left="1267"/>
              <w:rPr>
                <w:b/>
                <w:i/>
                <w:sz w:val="20"/>
              </w:rPr>
            </w:pPr>
            <w:r>
              <w:rPr>
                <w:b/>
                <w:i/>
                <w:sz w:val="20"/>
              </w:rPr>
              <w:t>Cuadro 6. Listado de especies de flora de la Zona de Manejo Ambiental: Plantas Medicinales y Aromáticas. (Continúa)</w:t>
            </w:r>
          </w:p>
        </w:tc>
      </w:tr>
      <w:tr>
        <w:trPr>
          <w:trHeight w:val="817" w:hRule="exact"/>
        </w:trPr>
        <w:tc>
          <w:tcPr>
            <w:tcW w:w="1527" w:type="dxa"/>
            <w:tcBorders>
              <w:bottom w:val="thinThickMediumGap" w:sz="12" w:space="0" w:color="000000"/>
              <w:right w:val="thinThickMediumGap" w:sz="12" w:space="0" w:color="000000"/>
            </w:tcBorders>
            <w:shd w:val="clear" w:color="auto" w:fill="D9D9D9"/>
          </w:tcPr>
          <w:p>
            <w:pPr>
              <w:pStyle w:val="TableParagraph"/>
              <w:spacing w:before="5"/>
              <w:ind w:left="254" w:right="248" w:firstLine="43"/>
              <w:jc w:val="both"/>
              <w:rPr>
                <w:b/>
                <w:sz w:val="22"/>
              </w:rPr>
            </w:pPr>
            <w:r>
              <w:rPr>
                <w:b/>
                <w:sz w:val="22"/>
              </w:rPr>
              <w:t>Familia / Nombre científico</w:t>
            </w:r>
          </w:p>
        </w:tc>
        <w:tc>
          <w:tcPr>
            <w:tcW w:w="1560" w:type="dxa"/>
            <w:tcBorders>
              <w:bottom w:val="thinThickMediumGap" w:sz="12" w:space="0" w:color="000000"/>
              <w:right w:val="thinThickMediumGap" w:sz="12" w:space="0" w:color="000000"/>
            </w:tcBorders>
            <w:shd w:val="clear" w:color="auto" w:fill="D9D9D9"/>
          </w:tcPr>
          <w:p>
            <w:pPr>
              <w:pStyle w:val="TableParagraph"/>
              <w:spacing w:line="250" w:lineRule="exact" w:before="141"/>
              <w:ind w:left="393" w:right="316" w:hanging="58"/>
              <w:rPr>
                <w:b/>
                <w:sz w:val="22"/>
              </w:rPr>
            </w:pPr>
            <w:r>
              <w:rPr>
                <w:b/>
                <w:sz w:val="22"/>
              </w:rPr>
              <w:t>Nombre común</w:t>
            </w:r>
          </w:p>
        </w:tc>
        <w:tc>
          <w:tcPr>
            <w:tcW w:w="4398"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1880" w:right="1881"/>
              <w:jc w:val="center"/>
              <w:rPr>
                <w:b/>
                <w:sz w:val="22"/>
              </w:rPr>
            </w:pPr>
            <w:r>
              <w:rPr>
                <w:b/>
                <w:sz w:val="22"/>
              </w:rPr>
              <w:t>Usos</w:t>
            </w:r>
          </w:p>
        </w:tc>
        <w:tc>
          <w:tcPr>
            <w:tcW w:w="6309"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2464" w:right="2464"/>
              <w:jc w:val="center"/>
              <w:rPr>
                <w:b/>
                <w:sz w:val="22"/>
              </w:rPr>
            </w:pPr>
            <w:r>
              <w:rPr>
                <w:b/>
                <w:sz w:val="22"/>
              </w:rPr>
              <w:t>Distribución</w:t>
            </w:r>
          </w:p>
        </w:tc>
      </w:tr>
      <w:tr>
        <w:trPr>
          <w:trHeight w:val="1835" w:hRule="exact"/>
        </w:trPr>
        <w:tc>
          <w:tcPr>
            <w:tcW w:w="1527" w:type="dxa"/>
            <w:tcBorders>
              <w:bottom w:val="thinThickMediumGap" w:sz="12" w:space="0" w:color="000000"/>
              <w:right w:val="thinThickMediumGap" w:sz="12" w:space="0" w:color="000000"/>
            </w:tcBorders>
          </w:tcPr>
          <w:p>
            <w:pPr>
              <w:pStyle w:val="TableParagraph"/>
              <w:spacing w:before="9"/>
              <w:ind w:left="81" w:right="85"/>
              <w:rPr>
                <w:b/>
                <w:sz w:val="22"/>
              </w:rPr>
            </w:pPr>
            <w:r>
              <w:rPr>
                <w:b/>
                <w:sz w:val="22"/>
              </w:rPr>
              <w:t>Fabaceae</w:t>
            </w:r>
          </w:p>
          <w:p>
            <w:pPr>
              <w:pStyle w:val="TableParagraph"/>
              <w:spacing w:before="9"/>
              <w:rPr>
                <w:rFonts w:ascii="Times New Roman"/>
                <w:sz w:val="21"/>
              </w:rPr>
            </w:pPr>
          </w:p>
          <w:p>
            <w:pPr>
              <w:pStyle w:val="TableParagraph"/>
              <w:spacing w:line="244" w:lineRule="auto" w:before="1"/>
              <w:ind w:left="81" w:right="85"/>
              <w:rPr>
                <w:sz w:val="22"/>
              </w:rPr>
            </w:pPr>
            <w:r>
              <w:rPr>
                <w:i/>
                <w:sz w:val="22"/>
              </w:rPr>
              <w:t>Acacia </w:t>
            </w:r>
            <w:r>
              <w:rPr>
                <w:i/>
                <w:sz w:val="22"/>
              </w:rPr>
              <w:t>farnesiana </w:t>
            </w:r>
            <w:r>
              <w:rPr>
                <w:sz w:val="22"/>
              </w:rPr>
              <w:t>(L.) Willd. (S)</w:t>
            </w:r>
          </w:p>
        </w:tc>
        <w:tc>
          <w:tcPr>
            <w:tcW w:w="156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2"/>
              <w:rPr>
                <w:rFonts w:ascii="Times New Roman"/>
                <w:sz w:val="23"/>
              </w:rPr>
            </w:pPr>
          </w:p>
          <w:p>
            <w:pPr>
              <w:pStyle w:val="TableParagraph"/>
              <w:spacing w:before="1"/>
              <w:ind w:left="113" w:right="112"/>
              <w:jc w:val="center"/>
              <w:rPr>
                <w:sz w:val="22"/>
              </w:rPr>
            </w:pPr>
            <w:r>
              <w:rPr>
                <w:sz w:val="22"/>
              </w:rPr>
              <w:t>Huizache</w:t>
            </w:r>
          </w:p>
        </w:tc>
        <w:tc>
          <w:tcPr>
            <w:tcW w:w="4398" w:type="dxa"/>
            <w:tcBorders>
              <w:bottom w:val="thinThickMediumGap" w:sz="12" w:space="0" w:color="000000"/>
              <w:right w:val="thinThickMediumGap" w:sz="12" w:space="0" w:color="000000"/>
            </w:tcBorders>
          </w:tcPr>
          <w:p>
            <w:pPr>
              <w:pStyle w:val="TableParagraph"/>
              <w:spacing w:before="9"/>
              <w:ind w:left="81" w:right="76"/>
              <w:rPr>
                <w:b/>
                <w:sz w:val="22"/>
              </w:rPr>
            </w:pPr>
            <w:r>
              <w:rPr>
                <w:b/>
                <w:sz w:val="22"/>
              </w:rPr>
              <w:t>Medicinal</w:t>
            </w:r>
          </w:p>
          <w:p>
            <w:pPr>
              <w:pStyle w:val="TableParagraph"/>
              <w:spacing w:before="6"/>
              <w:ind w:left="81" w:right="76"/>
              <w:rPr>
                <w:sz w:val="22"/>
              </w:rPr>
            </w:pPr>
            <w:r>
              <w:rPr>
                <w:sz w:val="22"/>
              </w:rPr>
              <w:t>Ayuda a disolver cálculos renales</w:t>
            </w:r>
          </w:p>
        </w:tc>
        <w:tc>
          <w:tcPr>
            <w:tcW w:w="6309" w:type="dxa"/>
            <w:tcBorders>
              <w:bottom w:val="thinThickMediumGap" w:sz="12" w:space="0" w:color="000000"/>
              <w:right w:val="thinThickMediumGap" w:sz="12" w:space="0" w:color="000000"/>
            </w:tcBorders>
          </w:tcPr>
          <w:p>
            <w:pPr>
              <w:pStyle w:val="TableParagraph"/>
              <w:spacing w:before="14"/>
              <w:ind w:left="81" w:right="79"/>
              <w:jc w:val="both"/>
              <w:rPr>
                <w:sz w:val="22"/>
              </w:rPr>
            </w:pPr>
            <w:r>
              <w:rPr>
                <w:sz w:val="22"/>
              </w:rPr>
              <w:t>Probablemente nativa de América tropical, cultivada en todo  el  mundo.  En  México:  B.C.N,  B.C.S.,  Camp.,  Chis.,</w:t>
            </w:r>
            <w:r>
              <w:rPr>
                <w:spacing w:val="21"/>
                <w:sz w:val="22"/>
              </w:rPr>
              <w:t> </w:t>
            </w:r>
            <w:r>
              <w:rPr>
                <w:sz w:val="22"/>
              </w:rPr>
              <w:t>Chih.,</w:t>
            </w:r>
          </w:p>
          <w:p>
            <w:pPr>
              <w:pStyle w:val="TableParagraph"/>
              <w:spacing w:line="250" w:lineRule="exact"/>
              <w:ind w:left="81"/>
              <w:jc w:val="both"/>
              <w:rPr>
                <w:sz w:val="22"/>
              </w:rPr>
            </w:pPr>
            <w:r>
              <w:rPr>
                <w:sz w:val="22"/>
              </w:rPr>
              <w:t>Coah., Col., Dgo., Gto., Gro., Hgo., Jal., Edo. de Méx.,  Mich.,</w:t>
            </w:r>
          </w:p>
          <w:p>
            <w:pPr>
              <w:pStyle w:val="TableParagraph"/>
              <w:spacing w:before="1"/>
              <w:ind w:left="81"/>
              <w:jc w:val="both"/>
              <w:rPr>
                <w:sz w:val="22"/>
              </w:rPr>
            </w:pPr>
            <w:r>
              <w:rPr>
                <w:sz w:val="22"/>
              </w:rPr>
              <w:t>Mor., Nay., N.L., Oax., Pue., Qro., Q.Roo., S.L.P., Sin.,   Son.,</w:t>
            </w:r>
          </w:p>
          <w:p>
            <w:pPr>
              <w:pStyle w:val="TableParagraph"/>
              <w:spacing w:before="1"/>
              <w:ind w:left="81" w:right="81"/>
              <w:jc w:val="both"/>
              <w:rPr>
                <w:sz w:val="22"/>
              </w:rPr>
            </w:pPr>
            <w:r>
              <w:rPr>
                <w:sz w:val="22"/>
              </w:rPr>
              <w:t>Tab., Tamp., Ver., Yuc. y Zac (Villaseñor y Espinosa, 1998). Estado de México: Ixtapan de la Sal, Amatepec, Tlatlaya (Martínez y Matuda, 1979).</w:t>
            </w:r>
          </w:p>
        </w:tc>
      </w:tr>
      <w:tr>
        <w:trPr>
          <w:trHeight w:val="1070" w:hRule="exact"/>
        </w:trPr>
        <w:tc>
          <w:tcPr>
            <w:tcW w:w="1527" w:type="dxa"/>
            <w:tcBorders>
              <w:bottom w:val="thinThickMediumGap" w:sz="12" w:space="0" w:color="000000"/>
              <w:right w:val="thinThickMediumGap" w:sz="12" w:space="0" w:color="000000"/>
            </w:tcBorders>
          </w:tcPr>
          <w:p>
            <w:pPr>
              <w:pStyle w:val="TableParagraph"/>
              <w:spacing w:before="5"/>
              <w:ind w:left="81" w:right="365"/>
              <w:rPr>
                <w:sz w:val="22"/>
              </w:rPr>
            </w:pPr>
            <w:r>
              <w:rPr>
                <w:b/>
                <w:sz w:val="22"/>
              </w:rPr>
              <w:t>Fabaceae </w:t>
            </w:r>
            <w:r>
              <w:rPr>
                <w:i/>
                <w:sz w:val="22"/>
              </w:rPr>
              <w:t>Amicia </w:t>
            </w:r>
            <w:r>
              <w:rPr>
                <w:i/>
                <w:sz w:val="22"/>
              </w:rPr>
              <w:t>zygomeris </w:t>
            </w:r>
            <w:r>
              <w:rPr>
                <w:sz w:val="22"/>
              </w:rPr>
              <w:t>DC. (S)</w:t>
            </w:r>
          </w:p>
        </w:tc>
        <w:tc>
          <w:tcPr>
            <w:tcW w:w="156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14" w:right="112"/>
              <w:jc w:val="center"/>
              <w:rPr>
                <w:sz w:val="22"/>
              </w:rPr>
            </w:pPr>
            <w:r>
              <w:rPr>
                <w:sz w:val="22"/>
              </w:rPr>
              <w:t>Atrancabuey</w:t>
            </w:r>
          </w:p>
        </w:tc>
        <w:tc>
          <w:tcPr>
            <w:tcW w:w="4398" w:type="dxa"/>
            <w:tcBorders>
              <w:bottom w:val="thinThickMediumGap" w:sz="12" w:space="0" w:color="000000"/>
              <w:right w:val="thinThickMediumGap" w:sz="12" w:space="0" w:color="000000"/>
            </w:tcBorders>
          </w:tcPr>
          <w:p>
            <w:pPr>
              <w:pStyle w:val="TableParagraph"/>
              <w:spacing w:before="5"/>
              <w:ind w:left="81" w:right="76"/>
              <w:rPr>
                <w:sz w:val="22"/>
              </w:rPr>
            </w:pPr>
            <w:r>
              <w:rPr>
                <w:b/>
                <w:sz w:val="22"/>
              </w:rPr>
              <w:t>Alimenticio. </w:t>
            </w:r>
            <w:r>
              <w:rPr>
                <w:sz w:val="22"/>
              </w:rPr>
              <w:t>Por los animales.</w:t>
            </w:r>
          </w:p>
        </w:tc>
        <w:tc>
          <w:tcPr>
            <w:tcW w:w="6309" w:type="dxa"/>
            <w:tcBorders>
              <w:bottom w:val="thinThickMediumGap" w:sz="12" w:space="0" w:color="000000"/>
              <w:right w:val="thinThickMediumGap" w:sz="12" w:space="0" w:color="000000"/>
            </w:tcBorders>
          </w:tcPr>
          <w:p>
            <w:pPr>
              <w:pStyle w:val="TableParagraph"/>
              <w:spacing w:before="9"/>
              <w:ind w:left="81"/>
              <w:rPr>
                <w:sz w:val="22"/>
              </w:rPr>
            </w:pPr>
            <w:r>
              <w:rPr>
                <w:sz w:val="22"/>
              </w:rPr>
              <w:t>En México: Chis., Chih., Dgo., Edo. de Méx., Gro., Hgo., </w:t>
            </w:r>
            <w:r>
              <w:rPr>
                <w:spacing w:val="56"/>
                <w:sz w:val="22"/>
              </w:rPr>
              <w:t> </w:t>
            </w:r>
            <w:r>
              <w:rPr>
                <w:sz w:val="22"/>
              </w:rPr>
              <w:t>Jal.,</w:t>
            </w:r>
          </w:p>
          <w:p>
            <w:pPr>
              <w:pStyle w:val="TableParagraph"/>
              <w:spacing w:before="1"/>
              <w:ind w:left="81"/>
              <w:rPr>
                <w:sz w:val="22"/>
              </w:rPr>
            </w:pPr>
            <w:r>
              <w:rPr>
                <w:sz w:val="22"/>
              </w:rPr>
              <w:t>Mich., Nay., N. L., Oax., Pue., Sin. y Ver. (Trópicos, 2014).</w:t>
            </w:r>
          </w:p>
        </w:tc>
      </w:tr>
      <w:tr>
        <w:trPr>
          <w:trHeight w:val="3097" w:hRule="exact"/>
        </w:trPr>
        <w:tc>
          <w:tcPr>
            <w:tcW w:w="1527" w:type="dxa"/>
            <w:tcBorders>
              <w:bottom w:val="thinThickMediumGap" w:sz="12" w:space="0" w:color="000000"/>
              <w:right w:val="thinThickMediumGap" w:sz="12" w:space="0" w:color="000000"/>
            </w:tcBorders>
          </w:tcPr>
          <w:p>
            <w:pPr>
              <w:pStyle w:val="TableParagraph"/>
              <w:spacing w:before="10"/>
              <w:ind w:left="81" w:right="85"/>
              <w:rPr>
                <w:b/>
                <w:sz w:val="22"/>
              </w:rPr>
            </w:pPr>
            <w:r>
              <w:rPr>
                <w:b/>
                <w:sz w:val="22"/>
              </w:rPr>
              <w:t>Fabaceae</w:t>
            </w:r>
          </w:p>
          <w:p>
            <w:pPr>
              <w:pStyle w:val="TableParagraph"/>
              <w:spacing w:before="9"/>
              <w:rPr>
                <w:rFonts w:ascii="Times New Roman"/>
                <w:sz w:val="21"/>
              </w:rPr>
            </w:pPr>
          </w:p>
          <w:p>
            <w:pPr>
              <w:pStyle w:val="TableParagraph"/>
              <w:spacing w:line="242" w:lineRule="auto"/>
              <w:ind w:left="81" w:right="84"/>
              <w:rPr>
                <w:sz w:val="22"/>
              </w:rPr>
            </w:pPr>
            <w:r>
              <w:rPr>
                <w:i/>
                <w:sz w:val="22"/>
              </w:rPr>
              <w:t>Acaciella </w:t>
            </w:r>
            <w:r>
              <w:rPr>
                <w:i/>
                <w:sz w:val="22"/>
              </w:rPr>
              <w:t>angustissima var. angustissima </w:t>
            </w:r>
            <w:r>
              <w:rPr>
                <w:sz w:val="22"/>
              </w:rPr>
              <w:t>(Mill.) Britton &amp; Rose (S)</w:t>
            </w:r>
          </w:p>
        </w:tc>
        <w:tc>
          <w:tcPr>
            <w:tcW w:w="156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9"/>
              <w:ind w:left="114" w:right="110"/>
              <w:jc w:val="center"/>
              <w:rPr>
                <w:sz w:val="22"/>
              </w:rPr>
            </w:pPr>
            <w:r>
              <w:rPr>
                <w:sz w:val="22"/>
              </w:rPr>
              <w:t>Timbre, Timbe, Cantemo, Guajillo</w:t>
            </w:r>
          </w:p>
        </w:tc>
        <w:tc>
          <w:tcPr>
            <w:tcW w:w="4398" w:type="dxa"/>
            <w:tcBorders>
              <w:bottom w:val="thinThickMediumGap" w:sz="12" w:space="0" w:color="000000"/>
              <w:right w:val="thinThickMediumGap" w:sz="12" w:space="0" w:color="000000"/>
            </w:tcBorders>
          </w:tcPr>
          <w:p>
            <w:pPr>
              <w:pStyle w:val="TableParagraph"/>
              <w:spacing w:before="10"/>
              <w:ind w:left="81"/>
              <w:jc w:val="both"/>
              <w:rPr>
                <w:b/>
                <w:sz w:val="22"/>
              </w:rPr>
            </w:pPr>
            <w:r>
              <w:rPr>
                <w:b/>
                <w:sz w:val="22"/>
              </w:rPr>
              <w:t>Medicinal</w:t>
            </w:r>
          </w:p>
          <w:p>
            <w:pPr>
              <w:pStyle w:val="TableParagraph"/>
              <w:spacing w:before="1"/>
              <w:ind w:left="81"/>
              <w:jc w:val="both"/>
              <w:rPr>
                <w:sz w:val="22"/>
              </w:rPr>
            </w:pPr>
            <w:r>
              <w:rPr>
                <w:sz w:val="22"/>
              </w:rPr>
              <w:t>Amacizar dentadura</w:t>
            </w:r>
          </w:p>
          <w:p>
            <w:pPr>
              <w:pStyle w:val="TableParagraph"/>
              <w:spacing w:before="9"/>
              <w:rPr>
                <w:rFonts w:ascii="Times New Roman"/>
                <w:sz w:val="21"/>
              </w:rPr>
            </w:pPr>
          </w:p>
          <w:p>
            <w:pPr>
              <w:pStyle w:val="TableParagraph"/>
              <w:ind w:left="81" w:right="83"/>
              <w:jc w:val="both"/>
              <w:rPr>
                <w:sz w:val="22"/>
              </w:rPr>
            </w:pPr>
            <w:r>
              <w:rPr>
                <w:b/>
                <w:sz w:val="22"/>
              </w:rPr>
              <w:t>Leña. </w:t>
            </w:r>
            <w:r>
              <w:rPr>
                <w:sz w:val="22"/>
              </w:rPr>
              <w:t>Se utiliza como combustible para hacer fuego.</w:t>
            </w:r>
          </w:p>
          <w:p>
            <w:pPr>
              <w:pStyle w:val="TableParagraph"/>
              <w:spacing w:before="9"/>
              <w:rPr>
                <w:rFonts w:ascii="Times New Roman"/>
                <w:sz w:val="21"/>
              </w:rPr>
            </w:pPr>
          </w:p>
          <w:p>
            <w:pPr>
              <w:pStyle w:val="TableParagraph"/>
              <w:spacing w:line="242" w:lineRule="auto" w:before="1"/>
              <w:ind w:left="81" w:right="76"/>
              <w:jc w:val="both"/>
              <w:rPr>
                <w:sz w:val="22"/>
              </w:rPr>
            </w:pPr>
            <w:r>
              <w:rPr>
                <w:b/>
                <w:sz w:val="22"/>
              </w:rPr>
              <w:t>Potencial. </w:t>
            </w:r>
            <w:r>
              <w:rPr>
                <w:sz w:val="22"/>
              </w:rPr>
              <w:t>Curtido artesanal de pieles,  uso en Chiapas (Rincón-Rosales y Gutiérrez-Miceli, 2008), principalmente en la Depresión Central y en la Meseta Comiteca (Rzedowki,</w:t>
            </w:r>
            <w:r>
              <w:rPr>
                <w:spacing w:val="-8"/>
                <w:sz w:val="22"/>
              </w:rPr>
              <w:t> </w:t>
            </w:r>
            <w:r>
              <w:rPr>
                <w:sz w:val="22"/>
              </w:rPr>
              <w:t>1983).</w:t>
            </w:r>
          </w:p>
        </w:tc>
        <w:tc>
          <w:tcPr>
            <w:tcW w:w="6309" w:type="dxa"/>
            <w:tcBorders>
              <w:bottom w:val="thinThickMediumGap" w:sz="12" w:space="0" w:color="000000"/>
              <w:right w:val="thinThickMediumGap" w:sz="12" w:space="0" w:color="000000"/>
            </w:tcBorders>
          </w:tcPr>
          <w:p>
            <w:pPr>
              <w:pStyle w:val="TableParagraph"/>
              <w:spacing w:before="15"/>
              <w:ind w:left="81" w:right="73"/>
              <w:jc w:val="both"/>
              <w:rPr>
                <w:sz w:val="22"/>
              </w:rPr>
            </w:pPr>
            <w:r>
              <w:rPr>
                <w:sz w:val="22"/>
              </w:rPr>
              <w:t>Origen en Belice, América Central (Rico-Arce y Bachean, 2006), Estados Unidos de América, sur a través de México y Centroamérica a Venezuela, Colombia, Perú, Ecuador, Bolivia y Argentina. Se cultiva en Brasil y la Republica Dominicana. Introducido en Australia, Tailandia, Indonesia, Las Filipinas y Papua Nueva Guinea (Rico y Bachman, 2006). Estado de México: Temascaltepec, Ixtapan de la Sal, Tlatlaya y en otros lugares del sur (Martínez y Matuda, 1979).</w:t>
            </w:r>
          </w:p>
          <w:p>
            <w:pPr>
              <w:pStyle w:val="TableParagraph"/>
              <w:spacing w:line="242" w:lineRule="auto"/>
              <w:ind w:left="81" w:right="72"/>
              <w:jc w:val="both"/>
              <w:rPr>
                <w:sz w:val="22"/>
              </w:rPr>
            </w:pPr>
            <w:r>
              <w:rPr>
                <w:sz w:val="22"/>
              </w:rPr>
              <w:t>En la República Mexicana: Ags., Camp., Chis., Chih., Coah., Col., D.F., Dgo., Gro., Hgo., Jal., Edo. de Méx., Mich., Mor.,</w:t>
            </w:r>
          </w:p>
          <w:p>
            <w:pPr>
              <w:pStyle w:val="TableParagraph"/>
              <w:spacing w:line="251" w:lineRule="exact"/>
              <w:ind w:left="81"/>
              <w:jc w:val="both"/>
              <w:rPr>
                <w:sz w:val="22"/>
              </w:rPr>
            </w:pPr>
            <w:r>
              <w:rPr>
                <w:sz w:val="22"/>
              </w:rPr>
              <w:t>Nay., N.L., Oax., Pue., Qro., Q. Roo., S.L.P., Sin., Son.,  Tab.,</w:t>
            </w:r>
          </w:p>
          <w:p>
            <w:pPr>
              <w:pStyle w:val="TableParagraph"/>
              <w:spacing w:line="251" w:lineRule="exact"/>
              <w:ind w:left="81"/>
              <w:jc w:val="both"/>
              <w:rPr>
                <w:sz w:val="22"/>
              </w:rPr>
            </w:pPr>
            <w:r>
              <w:rPr>
                <w:sz w:val="22"/>
              </w:rPr>
              <w:t>Tamp., Tlax., Ver., Yuc. y Zac. (Villaseñor y Espinosa, 1998).</w:t>
            </w:r>
          </w:p>
        </w:tc>
      </w:tr>
      <w:tr>
        <w:trPr>
          <w:trHeight w:val="2103" w:hRule="exact"/>
        </w:trPr>
        <w:tc>
          <w:tcPr>
            <w:tcW w:w="1527" w:type="dxa"/>
            <w:tcBorders>
              <w:bottom w:val="thinThickMediumGap" w:sz="12" w:space="0" w:color="000000"/>
              <w:right w:val="thinThickMediumGap" w:sz="12" w:space="0" w:color="000000"/>
            </w:tcBorders>
          </w:tcPr>
          <w:p>
            <w:pPr>
              <w:pStyle w:val="TableParagraph"/>
              <w:spacing w:line="235" w:lineRule="auto" w:before="13"/>
              <w:ind w:left="81" w:right="132"/>
              <w:rPr>
                <w:sz w:val="22"/>
              </w:rPr>
            </w:pPr>
            <w:r>
              <w:rPr>
                <w:b/>
                <w:sz w:val="22"/>
              </w:rPr>
              <w:t>Fabaceae </w:t>
            </w:r>
            <w:r>
              <w:rPr>
                <w:i/>
                <w:sz w:val="22"/>
              </w:rPr>
              <w:t>Lysiloma </w:t>
            </w:r>
            <w:r>
              <w:rPr>
                <w:i/>
                <w:sz w:val="22"/>
              </w:rPr>
              <w:t>acapulcense </w:t>
            </w:r>
            <w:r>
              <w:rPr>
                <w:sz w:val="22"/>
              </w:rPr>
              <w:t>(Kunth) Benth. </w:t>
            </w:r>
            <w:r>
              <w:rPr>
                <w:position w:val="10"/>
                <w:sz w:val="14"/>
              </w:rPr>
              <w:t>6 </w:t>
            </w:r>
            <w:r>
              <w:rPr>
                <w:sz w:val="22"/>
              </w:rPr>
              <w:t>(S)</w:t>
            </w:r>
          </w:p>
        </w:tc>
        <w:tc>
          <w:tcPr>
            <w:tcW w:w="156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3"/>
              </w:rPr>
            </w:pPr>
          </w:p>
          <w:p>
            <w:pPr>
              <w:pStyle w:val="TableParagraph"/>
              <w:spacing w:line="250" w:lineRule="exact"/>
              <w:ind w:left="230" w:right="121" w:hanging="92"/>
              <w:rPr>
                <w:sz w:val="22"/>
              </w:rPr>
            </w:pPr>
            <w:r>
              <w:rPr>
                <w:sz w:val="22"/>
              </w:rPr>
              <w:t>Tepehuaje o Tepeguaje</w:t>
            </w:r>
          </w:p>
        </w:tc>
        <w:tc>
          <w:tcPr>
            <w:tcW w:w="4398" w:type="dxa"/>
            <w:tcBorders>
              <w:bottom w:val="thinThickMediumGap" w:sz="12" w:space="0" w:color="000000"/>
              <w:right w:val="thinThickMediumGap" w:sz="12" w:space="0" w:color="000000"/>
            </w:tcBorders>
          </w:tcPr>
          <w:p>
            <w:pPr>
              <w:pStyle w:val="TableParagraph"/>
              <w:spacing w:before="9"/>
              <w:ind w:left="81" w:right="76"/>
              <w:rPr>
                <w:sz w:val="22"/>
              </w:rPr>
            </w:pPr>
            <w:r>
              <w:rPr>
                <w:b/>
                <w:sz w:val="22"/>
              </w:rPr>
              <w:t>Medicinal. </w:t>
            </w:r>
            <w:r>
              <w:rPr>
                <w:sz w:val="22"/>
              </w:rPr>
              <w:t>Dolor de dientes y estómago (corteza y flores).</w:t>
            </w:r>
          </w:p>
          <w:p>
            <w:pPr>
              <w:pStyle w:val="TableParagraph"/>
              <w:spacing w:line="244" w:lineRule="auto"/>
              <w:ind w:left="81" w:right="76"/>
              <w:rPr>
                <w:sz w:val="22"/>
              </w:rPr>
            </w:pPr>
            <w:r>
              <w:rPr>
                <w:b/>
                <w:sz w:val="22"/>
              </w:rPr>
              <w:t>Leña. </w:t>
            </w:r>
            <w:r>
              <w:rPr>
                <w:sz w:val="22"/>
              </w:rPr>
              <w:t>Se utiliza como combustible para hacer fuego.</w:t>
            </w:r>
          </w:p>
          <w:p>
            <w:pPr>
              <w:pStyle w:val="TableParagraph"/>
              <w:tabs>
                <w:tab w:pos="1392" w:val="left" w:leader="none"/>
                <w:tab w:pos="3010" w:val="left" w:leader="none"/>
                <w:tab w:pos="3700" w:val="left" w:leader="none"/>
              </w:tabs>
              <w:spacing w:line="242" w:lineRule="auto"/>
              <w:ind w:left="81" w:right="76"/>
              <w:rPr>
                <w:sz w:val="22"/>
              </w:rPr>
            </w:pPr>
            <w:r>
              <w:rPr>
                <w:b/>
                <w:sz w:val="22"/>
              </w:rPr>
              <w:t>Potencial</w:t>
              <w:tab/>
              <w:t>Ornamental.</w:t>
              <w:tab/>
            </w:r>
            <w:r>
              <w:rPr>
                <w:sz w:val="22"/>
              </w:rPr>
              <w:t>Las</w:t>
              <w:tab/>
            </w:r>
            <w:r>
              <w:rPr>
                <w:spacing w:val="-1"/>
                <w:sz w:val="22"/>
              </w:rPr>
              <w:t>Hojas </w:t>
            </w:r>
            <w:r>
              <w:rPr>
                <w:sz w:val="22"/>
              </w:rPr>
              <w:t>(Guadarrama-Martínez </w:t>
            </w:r>
            <w:r>
              <w:rPr>
                <w:i/>
                <w:sz w:val="22"/>
              </w:rPr>
              <w:t>et al.,</w:t>
            </w:r>
            <w:r>
              <w:rPr>
                <w:i/>
                <w:spacing w:val="-13"/>
                <w:sz w:val="22"/>
              </w:rPr>
              <w:t> </w:t>
            </w:r>
            <w:r>
              <w:rPr>
                <w:sz w:val="22"/>
              </w:rPr>
              <w:t>2012).</w:t>
            </w:r>
          </w:p>
          <w:p>
            <w:pPr>
              <w:pStyle w:val="TableParagraph"/>
              <w:spacing w:before="4"/>
              <w:ind w:left="81" w:right="76"/>
              <w:rPr>
                <w:sz w:val="22"/>
              </w:rPr>
            </w:pPr>
            <w:r>
              <w:rPr>
                <w:sz w:val="22"/>
              </w:rPr>
              <w:t>La corteza posee taninos, que pueden usarse en el curtido de pieles.</w:t>
            </w:r>
          </w:p>
        </w:tc>
        <w:tc>
          <w:tcPr>
            <w:tcW w:w="6309" w:type="dxa"/>
            <w:tcBorders>
              <w:bottom w:val="thinThickMediumGap" w:sz="12" w:space="0" w:color="000000"/>
              <w:right w:val="thinThickMediumGap" w:sz="12" w:space="0" w:color="000000"/>
            </w:tcBorders>
          </w:tcPr>
          <w:p>
            <w:pPr>
              <w:pStyle w:val="TableParagraph"/>
              <w:spacing w:before="14"/>
              <w:ind w:left="81" w:right="72"/>
              <w:jc w:val="both"/>
              <w:rPr>
                <w:sz w:val="22"/>
              </w:rPr>
            </w:pPr>
            <w:r>
              <w:rPr>
                <w:sz w:val="22"/>
              </w:rPr>
              <w:t>En México: Ags, Chih., Dgo., D. F., Edo. de Méx. (De acuerdo a Martínez y Matuda, 1979, se observa en climas semicálidos y cálidos como Zacualpan, Tejupilco, entre otros), Gro., Hgo., Jal., Mich., Nay., Oax., Pue., Qro., Sin. y Ver. (McVaugh, 1992).</w:t>
            </w:r>
          </w:p>
          <w:p>
            <w:pPr>
              <w:pStyle w:val="TableParagraph"/>
              <w:spacing w:line="250" w:lineRule="exact" w:before="7"/>
              <w:ind w:left="81" w:right="73"/>
              <w:jc w:val="both"/>
              <w:rPr>
                <w:sz w:val="22"/>
              </w:rPr>
            </w:pPr>
            <w:r>
              <w:rPr>
                <w:sz w:val="22"/>
              </w:rPr>
              <w:t>Camp., Chis., Col., Gto., Mor., S.L.P., Tab., Yuc. y Zac. (</w:t>
            </w:r>
            <w:r>
              <w:rPr>
                <w:i/>
                <w:sz w:val="22"/>
              </w:rPr>
              <w:t>Dorado et al., </w:t>
            </w:r>
            <w:r>
              <w:rPr>
                <w:sz w:val="22"/>
              </w:rPr>
              <w:t>2012).</w:t>
            </w:r>
          </w:p>
        </w:tc>
      </w:tr>
    </w:tbl>
    <w:p>
      <w:pPr>
        <w:spacing w:after="0" w:line="250" w:lineRule="exact"/>
        <w:jc w:val="both"/>
        <w:rPr>
          <w:sz w:val="22"/>
        </w:rPr>
        <w:sectPr>
          <w:footerReference w:type="default" r:id="rId62"/>
          <w:pgSz w:w="15840" w:h="12240" w:orient="landscape"/>
          <w:pgMar w:footer="1147" w:header="690" w:top="880" w:bottom="1340" w:left="1160" w:right="580"/>
          <w:pgNumType w:start="71"/>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388"/>
        <w:gridCol w:w="1133"/>
        <w:gridCol w:w="5248"/>
        <w:gridCol w:w="6026"/>
      </w:tblGrid>
      <w:tr>
        <w:trPr>
          <w:trHeight w:val="278" w:hRule="exact"/>
        </w:trPr>
        <w:tc>
          <w:tcPr>
            <w:tcW w:w="13795" w:type="dxa"/>
            <w:gridSpan w:val="4"/>
            <w:tcBorders>
              <w:bottom w:val="thinThickMediumGap" w:sz="12" w:space="0" w:color="000000"/>
              <w:right w:val="thinThickMediumGap" w:sz="12" w:space="0" w:color="000000"/>
            </w:tcBorders>
          </w:tcPr>
          <w:p>
            <w:pPr>
              <w:pStyle w:val="TableParagraph"/>
              <w:spacing w:line="225" w:lineRule="exact"/>
              <w:ind w:left="1267"/>
              <w:rPr>
                <w:b/>
                <w:i/>
                <w:sz w:val="20"/>
              </w:rPr>
            </w:pPr>
            <w:r>
              <w:rPr>
                <w:b/>
                <w:i/>
                <w:sz w:val="20"/>
              </w:rPr>
              <w:t>Cuadro 6. Listado de especies de flora de la Zona de Manejo Ambiental: Plantas Medicinales y Aromáticas. (Continúa)</w:t>
            </w:r>
          </w:p>
        </w:tc>
      </w:tr>
      <w:tr>
        <w:trPr>
          <w:trHeight w:val="749" w:hRule="exact"/>
        </w:trPr>
        <w:tc>
          <w:tcPr>
            <w:tcW w:w="1388" w:type="dxa"/>
            <w:tcBorders>
              <w:bottom w:val="thinThickMediumGap" w:sz="12" w:space="0" w:color="000000"/>
              <w:right w:val="thinThickMediumGap" w:sz="12" w:space="0" w:color="000000"/>
            </w:tcBorders>
            <w:shd w:val="clear" w:color="auto" w:fill="D9D9D9"/>
          </w:tcPr>
          <w:p>
            <w:pPr>
              <w:pStyle w:val="TableParagraph"/>
              <w:spacing w:before="5"/>
              <w:ind w:left="225" w:right="221" w:firstLine="62"/>
              <w:jc w:val="both"/>
              <w:rPr>
                <w:b/>
                <w:sz w:val="20"/>
              </w:rPr>
            </w:pPr>
            <w:r>
              <w:rPr>
                <w:b/>
                <w:sz w:val="20"/>
              </w:rPr>
              <w:t>Familia/ Nombre científico</w:t>
            </w:r>
          </w:p>
        </w:tc>
        <w:tc>
          <w:tcPr>
            <w:tcW w:w="1133" w:type="dxa"/>
            <w:tcBorders>
              <w:bottom w:val="thinThickMediumGap" w:sz="12" w:space="0" w:color="000000"/>
              <w:right w:val="thinThickMediumGap" w:sz="12" w:space="0" w:color="000000"/>
            </w:tcBorders>
            <w:shd w:val="clear" w:color="auto" w:fill="D9D9D9"/>
          </w:tcPr>
          <w:p>
            <w:pPr>
              <w:pStyle w:val="TableParagraph"/>
              <w:spacing w:before="120"/>
              <w:ind w:left="211" w:right="141" w:hanging="53"/>
              <w:rPr>
                <w:b/>
                <w:sz w:val="20"/>
              </w:rPr>
            </w:pPr>
            <w:r>
              <w:rPr>
                <w:b/>
                <w:sz w:val="20"/>
              </w:rPr>
              <w:t>Nombre común</w:t>
            </w:r>
          </w:p>
        </w:tc>
        <w:tc>
          <w:tcPr>
            <w:tcW w:w="5248" w:type="dxa"/>
            <w:tcBorders>
              <w:bottom w:val="thinThickMediumGap" w:sz="12" w:space="0" w:color="000000"/>
              <w:right w:val="thinThickMediumGap" w:sz="12" w:space="0" w:color="000000"/>
            </w:tcBorders>
            <w:shd w:val="clear" w:color="auto" w:fill="D9D9D9"/>
          </w:tcPr>
          <w:p>
            <w:pPr>
              <w:pStyle w:val="TableParagraph"/>
              <w:spacing w:before="5"/>
              <w:rPr>
                <w:rFonts w:ascii="Times New Roman"/>
                <w:sz w:val="20"/>
              </w:rPr>
            </w:pPr>
          </w:p>
          <w:p>
            <w:pPr>
              <w:pStyle w:val="TableParagraph"/>
              <w:ind w:left="2333" w:right="2327"/>
              <w:jc w:val="center"/>
              <w:rPr>
                <w:b/>
                <w:sz w:val="20"/>
              </w:rPr>
            </w:pPr>
            <w:r>
              <w:rPr>
                <w:b/>
                <w:sz w:val="20"/>
              </w:rPr>
              <w:t>Usos</w:t>
            </w:r>
          </w:p>
        </w:tc>
        <w:tc>
          <w:tcPr>
            <w:tcW w:w="6026" w:type="dxa"/>
            <w:tcBorders>
              <w:bottom w:val="thinThickMediumGap" w:sz="12" w:space="0" w:color="000000"/>
              <w:right w:val="thinThickMediumGap" w:sz="12" w:space="0" w:color="000000"/>
            </w:tcBorders>
            <w:shd w:val="clear" w:color="auto" w:fill="D9D9D9"/>
          </w:tcPr>
          <w:p>
            <w:pPr>
              <w:pStyle w:val="TableParagraph"/>
              <w:spacing w:before="5"/>
              <w:rPr>
                <w:rFonts w:ascii="Times New Roman"/>
                <w:sz w:val="20"/>
              </w:rPr>
            </w:pPr>
          </w:p>
          <w:p>
            <w:pPr>
              <w:pStyle w:val="TableParagraph"/>
              <w:ind w:left="2381" w:right="2379"/>
              <w:jc w:val="center"/>
              <w:rPr>
                <w:b/>
                <w:sz w:val="20"/>
              </w:rPr>
            </w:pPr>
            <w:r>
              <w:rPr>
                <w:b/>
                <w:sz w:val="20"/>
              </w:rPr>
              <w:t>Distribución</w:t>
            </w:r>
          </w:p>
        </w:tc>
      </w:tr>
      <w:tr>
        <w:trPr>
          <w:trHeight w:val="2084" w:hRule="exact"/>
        </w:trPr>
        <w:tc>
          <w:tcPr>
            <w:tcW w:w="1388" w:type="dxa"/>
            <w:tcBorders>
              <w:bottom w:val="thinThickMediumGap" w:sz="12" w:space="0" w:color="000000"/>
              <w:right w:val="thinThickMediumGap" w:sz="12" w:space="0" w:color="000000"/>
            </w:tcBorders>
          </w:tcPr>
          <w:p>
            <w:pPr>
              <w:pStyle w:val="TableParagraph"/>
              <w:spacing w:before="9"/>
              <w:ind w:left="81" w:right="67"/>
              <w:rPr>
                <w:b/>
                <w:sz w:val="22"/>
              </w:rPr>
            </w:pPr>
            <w:r>
              <w:rPr>
                <w:b/>
                <w:sz w:val="22"/>
              </w:rPr>
              <w:t>Lamiaceae</w:t>
            </w:r>
          </w:p>
          <w:p>
            <w:pPr>
              <w:pStyle w:val="TableParagraph"/>
              <w:spacing w:before="9"/>
              <w:rPr>
                <w:rFonts w:ascii="Times New Roman"/>
                <w:sz w:val="21"/>
              </w:rPr>
            </w:pPr>
          </w:p>
          <w:p>
            <w:pPr>
              <w:pStyle w:val="TableParagraph"/>
              <w:spacing w:before="1"/>
              <w:ind w:left="81" w:right="189"/>
              <w:rPr>
                <w:sz w:val="22"/>
              </w:rPr>
            </w:pPr>
            <w:r>
              <w:rPr>
                <w:i/>
                <w:sz w:val="22"/>
              </w:rPr>
              <w:t>Agastache </w:t>
            </w:r>
            <w:r>
              <w:rPr>
                <w:i/>
                <w:sz w:val="22"/>
              </w:rPr>
              <w:t>mexicana </w:t>
            </w:r>
            <w:r>
              <w:rPr>
                <w:sz w:val="22"/>
              </w:rPr>
              <w:t>(Kunth.) Lint &amp; Epling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3"/>
              </w:rPr>
            </w:pPr>
          </w:p>
          <w:p>
            <w:pPr>
              <w:pStyle w:val="TableParagraph"/>
              <w:spacing w:line="250" w:lineRule="exact"/>
              <w:ind w:left="168" w:right="141" w:firstLine="9"/>
              <w:rPr>
                <w:sz w:val="22"/>
              </w:rPr>
            </w:pPr>
            <w:r>
              <w:rPr>
                <w:sz w:val="22"/>
              </w:rPr>
              <w:t>Toronjil morado</w:t>
            </w:r>
          </w:p>
        </w:tc>
        <w:tc>
          <w:tcPr>
            <w:tcW w:w="5248" w:type="dxa"/>
            <w:tcBorders>
              <w:bottom w:val="thinThickMediumGap" w:sz="12" w:space="0" w:color="000000"/>
              <w:right w:val="thinThickMediumGap" w:sz="12" w:space="0" w:color="000000"/>
            </w:tcBorders>
          </w:tcPr>
          <w:p>
            <w:pPr>
              <w:pStyle w:val="TableParagraph"/>
              <w:spacing w:before="9"/>
              <w:ind w:left="81" w:right="83"/>
              <w:jc w:val="both"/>
              <w:rPr>
                <w:sz w:val="22"/>
              </w:rPr>
            </w:pPr>
            <w:r>
              <w:rPr>
                <w:b/>
                <w:sz w:val="22"/>
              </w:rPr>
              <w:t>Medicinal. </w:t>
            </w:r>
            <w:r>
              <w:rPr>
                <w:sz w:val="22"/>
              </w:rPr>
              <w:t>La infusión de hojas y flores sirve para combatir el insomnio y el dolor de estómago. También para curar el espanto (baños).</w:t>
            </w:r>
          </w:p>
          <w:p>
            <w:pPr>
              <w:pStyle w:val="TableParagraph"/>
              <w:ind w:left="81" w:right="76"/>
              <w:jc w:val="both"/>
              <w:rPr>
                <w:sz w:val="22"/>
              </w:rPr>
            </w:pPr>
            <w:r>
              <w:rPr>
                <w:b/>
                <w:sz w:val="22"/>
              </w:rPr>
              <w:t>Potencial herbicida</w:t>
            </w:r>
            <w:r>
              <w:rPr>
                <w:sz w:val="22"/>
              </w:rPr>
              <w:t>: El extracto acetónico de las partes aéreas de esta especie, presentó una actividad inhibitoria significativa del crecimiento radical de </w:t>
            </w:r>
            <w:r>
              <w:rPr>
                <w:i/>
                <w:sz w:val="22"/>
              </w:rPr>
              <w:t>Amaranthus hypochodriancus </w:t>
            </w:r>
            <w:r>
              <w:rPr>
                <w:sz w:val="22"/>
              </w:rPr>
              <w:t>y efecto fititóxico en la germinación (Santiago, </w:t>
            </w:r>
            <w:r>
              <w:rPr>
                <w:i/>
                <w:sz w:val="22"/>
              </w:rPr>
              <w:t>et al., </w:t>
            </w:r>
            <w:r>
              <w:rPr>
                <w:sz w:val="22"/>
              </w:rPr>
              <w:t>2005).</w:t>
            </w:r>
          </w:p>
        </w:tc>
        <w:tc>
          <w:tcPr>
            <w:tcW w:w="6026" w:type="dxa"/>
            <w:tcBorders>
              <w:bottom w:val="thinThickMediumGap" w:sz="12" w:space="0" w:color="000000"/>
              <w:right w:val="thinThickMediumGap" w:sz="12" w:space="0" w:color="000000"/>
            </w:tcBorders>
          </w:tcPr>
          <w:p>
            <w:pPr>
              <w:pStyle w:val="TableParagraph"/>
              <w:spacing w:line="244" w:lineRule="exact" w:before="25"/>
              <w:ind w:left="81"/>
              <w:rPr>
                <w:sz w:val="22"/>
              </w:rPr>
            </w:pPr>
            <w:r>
              <w:rPr>
                <w:sz w:val="22"/>
              </w:rPr>
              <w:t>Distribuida en los estados de Chih., Dgo., Gro., Jal. y Mich. (Alonso </w:t>
            </w:r>
            <w:r>
              <w:rPr>
                <w:i/>
                <w:sz w:val="22"/>
              </w:rPr>
              <w:t>et al., </w:t>
            </w:r>
            <w:r>
              <w:rPr>
                <w:sz w:val="22"/>
              </w:rPr>
              <w:t>1999; Martínez, 1994)</w:t>
            </w:r>
          </w:p>
        </w:tc>
      </w:tr>
      <w:tr>
        <w:trPr>
          <w:trHeight w:val="1834" w:hRule="exact"/>
        </w:trPr>
        <w:tc>
          <w:tcPr>
            <w:tcW w:w="1388" w:type="dxa"/>
            <w:tcBorders>
              <w:bottom w:val="thinThickMediumGap" w:sz="12" w:space="0" w:color="000000"/>
              <w:right w:val="thinThickMediumGap" w:sz="12" w:space="0" w:color="000000"/>
            </w:tcBorders>
          </w:tcPr>
          <w:p>
            <w:pPr>
              <w:pStyle w:val="TableParagraph"/>
              <w:spacing w:before="9"/>
              <w:ind w:left="81" w:right="67"/>
              <w:rPr>
                <w:b/>
                <w:sz w:val="22"/>
              </w:rPr>
            </w:pPr>
            <w:r>
              <w:rPr>
                <w:b/>
                <w:sz w:val="22"/>
              </w:rPr>
              <w:t>Lamiaceae</w:t>
            </w:r>
          </w:p>
          <w:p>
            <w:pPr>
              <w:pStyle w:val="TableParagraph"/>
              <w:spacing w:before="9"/>
              <w:rPr>
                <w:rFonts w:ascii="Times New Roman"/>
                <w:sz w:val="21"/>
              </w:rPr>
            </w:pPr>
          </w:p>
          <w:p>
            <w:pPr>
              <w:pStyle w:val="TableParagraph"/>
              <w:spacing w:line="244" w:lineRule="auto"/>
              <w:ind w:left="81" w:right="165"/>
              <w:rPr>
                <w:sz w:val="22"/>
              </w:rPr>
            </w:pPr>
            <w:r>
              <w:rPr>
                <w:i/>
                <w:sz w:val="22"/>
              </w:rPr>
              <w:t>Mentha </w:t>
            </w:r>
            <w:r>
              <w:rPr>
                <w:i/>
                <w:sz w:val="22"/>
              </w:rPr>
              <w:t>arvensis </w:t>
            </w:r>
            <w:r>
              <w:rPr>
                <w:sz w:val="22"/>
              </w:rPr>
              <w:t>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0"/>
              <w:ind w:left="91" w:right="88" w:hanging="5"/>
              <w:jc w:val="center"/>
              <w:rPr>
                <w:sz w:val="22"/>
              </w:rPr>
            </w:pPr>
            <w:r>
              <w:rPr>
                <w:sz w:val="22"/>
              </w:rPr>
              <w:t>Hierba buena o Menta japonesa</w:t>
            </w:r>
          </w:p>
        </w:tc>
        <w:tc>
          <w:tcPr>
            <w:tcW w:w="5248" w:type="dxa"/>
            <w:tcBorders>
              <w:bottom w:val="thinThickMediumGap" w:sz="12" w:space="0" w:color="000000"/>
              <w:right w:val="thinThickMediumGap" w:sz="12" w:space="0" w:color="000000"/>
            </w:tcBorders>
          </w:tcPr>
          <w:p>
            <w:pPr>
              <w:pStyle w:val="TableParagraph"/>
              <w:spacing w:before="9"/>
              <w:ind w:left="81"/>
              <w:rPr>
                <w:b/>
                <w:sz w:val="22"/>
              </w:rPr>
            </w:pPr>
            <w:r>
              <w:rPr>
                <w:b/>
                <w:sz w:val="22"/>
              </w:rPr>
              <w:t>Medicinal</w:t>
            </w:r>
          </w:p>
          <w:p>
            <w:pPr>
              <w:pStyle w:val="TableParagraph"/>
              <w:spacing w:before="1"/>
              <w:ind w:left="81"/>
              <w:rPr>
                <w:sz w:val="22"/>
              </w:rPr>
            </w:pPr>
            <w:r>
              <w:rPr>
                <w:sz w:val="22"/>
              </w:rPr>
              <w:t>Hojas y flores secas, en infusión como té, combate la tos y disminuye el dolor de estómago.</w:t>
            </w:r>
          </w:p>
        </w:tc>
        <w:tc>
          <w:tcPr>
            <w:tcW w:w="6026" w:type="dxa"/>
            <w:tcBorders>
              <w:bottom w:val="thinThickMediumGap" w:sz="12" w:space="0" w:color="000000"/>
              <w:right w:val="thinThickMediumGap" w:sz="12" w:space="0" w:color="000000"/>
            </w:tcBorders>
          </w:tcPr>
          <w:p>
            <w:pPr>
              <w:pStyle w:val="TableParagraph"/>
              <w:spacing w:before="9"/>
              <w:ind w:left="81" w:right="72"/>
              <w:jc w:val="both"/>
              <w:rPr>
                <w:sz w:val="22"/>
              </w:rPr>
            </w:pPr>
            <w:r>
              <w:rPr>
                <w:sz w:val="22"/>
              </w:rPr>
              <w:t>Las especies de </w:t>
            </w:r>
            <w:r>
              <w:rPr>
                <w:i/>
                <w:sz w:val="22"/>
              </w:rPr>
              <w:t>Mentha </w:t>
            </w:r>
            <w:r>
              <w:rPr>
                <w:sz w:val="22"/>
              </w:rPr>
              <w:t>L. son originarias de Asia Central y el Medio Oriente (Harley, 1972, citado por Resquín </w:t>
            </w:r>
            <w:r>
              <w:rPr>
                <w:i/>
                <w:sz w:val="22"/>
              </w:rPr>
              <w:t>et al., </w:t>
            </w:r>
            <w:r>
              <w:rPr>
                <w:sz w:val="22"/>
              </w:rPr>
              <w:t>2011), las mismas fueron diseminadas por los árabes </w:t>
            </w:r>
            <w:r>
              <w:rPr>
                <w:spacing w:val="-3"/>
                <w:sz w:val="22"/>
              </w:rPr>
              <w:t>en </w:t>
            </w:r>
            <w:r>
              <w:rPr>
                <w:sz w:val="22"/>
              </w:rPr>
              <w:t>Europa y Norte de África, donde actualmente crecen en forma espontánea; posteriormente fueron introducidas en América y cultivadas en regiones subtropicales (Ribeiro y Diniz, 2008, citado por Resquín </w:t>
            </w:r>
            <w:r>
              <w:rPr>
                <w:i/>
                <w:sz w:val="22"/>
              </w:rPr>
              <w:t>et al.,</w:t>
            </w:r>
            <w:r>
              <w:rPr>
                <w:i/>
                <w:spacing w:val="-16"/>
                <w:sz w:val="22"/>
              </w:rPr>
              <w:t> </w:t>
            </w:r>
            <w:r>
              <w:rPr>
                <w:sz w:val="22"/>
              </w:rPr>
              <w:t>2011).</w:t>
            </w:r>
          </w:p>
        </w:tc>
      </w:tr>
      <w:tr>
        <w:trPr>
          <w:trHeight w:val="1325" w:hRule="exact"/>
        </w:trPr>
        <w:tc>
          <w:tcPr>
            <w:tcW w:w="1388" w:type="dxa"/>
            <w:tcBorders>
              <w:bottom w:val="thinThickMediumGap" w:sz="12" w:space="0" w:color="000000"/>
              <w:right w:val="thinThickMediumGap" w:sz="12" w:space="0" w:color="000000"/>
            </w:tcBorders>
          </w:tcPr>
          <w:p>
            <w:pPr>
              <w:pStyle w:val="TableParagraph"/>
              <w:spacing w:before="5"/>
              <w:ind w:left="81" w:right="67"/>
              <w:rPr>
                <w:b/>
                <w:sz w:val="22"/>
              </w:rPr>
            </w:pPr>
            <w:r>
              <w:rPr>
                <w:b/>
                <w:sz w:val="22"/>
              </w:rPr>
              <w:t>Lamiaceae</w:t>
            </w:r>
          </w:p>
          <w:p>
            <w:pPr>
              <w:pStyle w:val="TableParagraph"/>
              <w:spacing w:before="3"/>
              <w:rPr>
                <w:rFonts w:ascii="Times New Roman"/>
                <w:sz w:val="22"/>
              </w:rPr>
            </w:pPr>
          </w:p>
          <w:p>
            <w:pPr>
              <w:pStyle w:val="TableParagraph"/>
              <w:spacing w:line="242" w:lineRule="auto"/>
              <w:ind w:left="81" w:right="67"/>
              <w:rPr>
                <w:sz w:val="22"/>
              </w:rPr>
            </w:pPr>
            <w:r>
              <w:rPr>
                <w:i/>
                <w:sz w:val="22"/>
              </w:rPr>
              <w:t>Ocimum </w:t>
            </w:r>
            <w:r>
              <w:rPr>
                <w:i/>
                <w:sz w:val="22"/>
              </w:rPr>
              <w:t>basilicum </w:t>
            </w:r>
            <w:r>
              <w:rPr>
                <w:sz w:val="22"/>
              </w:rPr>
              <w:t>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61" w:right="56"/>
              <w:jc w:val="center"/>
              <w:rPr>
                <w:sz w:val="22"/>
              </w:rPr>
            </w:pPr>
            <w:r>
              <w:rPr>
                <w:sz w:val="22"/>
              </w:rPr>
              <w:t>Albahaca</w:t>
            </w:r>
          </w:p>
        </w:tc>
        <w:tc>
          <w:tcPr>
            <w:tcW w:w="5248" w:type="dxa"/>
            <w:tcBorders>
              <w:bottom w:val="thinThickMediumGap" w:sz="12" w:space="0" w:color="000000"/>
              <w:right w:val="thinThickMediumGap" w:sz="12" w:space="0" w:color="000000"/>
            </w:tcBorders>
          </w:tcPr>
          <w:p>
            <w:pPr>
              <w:pStyle w:val="TableParagraph"/>
              <w:spacing w:before="5"/>
              <w:ind w:left="81"/>
              <w:rPr>
                <w:b/>
                <w:sz w:val="22"/>
              </w:rPr>
            </w:pPr>
            <w:r>
              <w:rPr>
                <w:b/>
                <w:sz w:val="22"/>
              </w:rPr>
              <w:t>Medicinal</w:t>
            </w:r>
          </w:p>
          <w:p>
            <w:pPr>
              <w:pStyle w:val="TableParagraph"/>
              <w:spacing w:before="6"/>
              <w:ind w:left="81"/>
              <w:rPr>
                <w:sz w:val="22"/>
              </w:rPr>
            </w:pPr>
            <w:r>
              <w:rPr>
                <w:sz w:val="22"/>
              </w:rPr>
              <w:t>Las hojas en infusión para disminuir el dolor de estómago, oídos y sistema respiratorio.</w:t>
            </w:r>
          </w:p>
        </w:tc>
        <w:tc>
          <w:tcPr>
            <w:tcW w:w="6026" w:type="dxa"/>
            <w:tcBorders>
              <w:bottom w:val="thinThickMediumGap" w:sz="12" w:space="0" w:color="000000"/>
              <w:right w:val="thinThickMediumGap" w:sz="12" w:space="0" w:color="000000"/>
            </w:tcBorders>
          </w:tcPr>
          <w:p>
            <w:pPr>
              <w:pStyle w:val="TableParagraph"/>
              <w:spacing w:line="242" w:lineRule="auto" w:before="5"/>
              <w:ind w:left="81" w:right="71"/>
              <w:jc w:val="both"/>
              <w:rPr>
                <w:sz w:val="22"/>
              </w:rPr>
            </w:pPr>
            <w:r>
              <w:rPr>
                <w:sz w:val="22"/>
              </w:rPr>
              <w:t>Originaria de Asia (Kantún-Balam, </w:t>
            </w:r>
            <w:r>
              <w:rPr>
                <w:i/>
                <w:sz w:val="22"/>
              </w:rPr>
              <w:t>et al., </w:t>
            </w:r>
            <w:r>
              <w:rPr>
                <w:sz w:val="22"/>
              </w:rPr>
              <w:t>2013). Registrada en: Belice, China, Colombia, Ecuador, El Salvador, Guatemala, Honduras, India, Iran, Madagascar, Nicaragua, Pakistan Panama U.S.A, Venezuela y México: Camp., Oax., Tab. y Yuc. (Trópicos,</w:t>
            </w:r>
            <w:r>
              <w:rPr>
                <w:spacing w:val="-12"/>
                <w:sz w:val="22"/>
              </w:rPr>
              <w:t> </w:t>
            </w:r>
            <w:r>
              <w:rPr>
                <w:sz w:val="22"/>
              </w:rPr>
              <w:t>2014).</w:t>
            </w:r>
          </w:p>
        </w:tc>
      </w:tr>
      <w:tr>
        <w:trPr>
          <w:trHeight w:val="1071" w:hRule="exact"/>
        </w:trPr>
        <w:tc>
          <w:tcPr>
            <w:tcW w:w="1388" w:type="dxa"/>
            <w:tcBorders>
              <w:bottom w:val="thinThickMediumGap" w:sz="12" w:space="0" w:color="000000"/>
              <w:right w:val="thinThickMediumGap" w:sz="12" w:space="0" w:color="000000"/>
            </w:tcBorders>
          </w:tcPr>
          <w:p>
            <w:pPr>
              <w:pStyle w:val="TableParagraph"/>
              <w:spacing w:line="242" w:lineRule="auto" w:before="5"/>
              <w:ind w:left="81" w:right="67"/>
              <w:rPr>
                <w:sz w:val="22"/>
              </w:rPr>
            </w:pPr>
            <w:r>
              <w:rPr>
                <w:b/>
                <w:sz w:val="22"/>
              </w:rPr>
              <w:t>Lamiaceae </w:t>
            </w:r>
            <w:r>
              <w:rPr>
                <w:i/>
                <w:sz w:val="22"/>
              </w:rPr>
              <w:t>Origanum </w:t>
            </w:r>
            <w:r>
              <w:rPr>
                <w:i/>
                <w:sz w:val="22"/>
              </w:rPr>
              <w:t>majorana </w:t>
            </w:r>
            <w:r>
              <w:rPr>
                <w:sz w:val="22"/>
              </w:rPr>
              <w:t>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61" w:right="56"/>
              <w:jc w:val="center"/>
              <w:rPr>
                <w:sz w:val="22"/>
              </w:rPr>
            </w:pPr>
            <w:r>
              <w:rPr>
                <w:sz w:val="22"/>
              </w:rPr>
              <w:t>Mejorana</w:t>
            </w:r>
          </w:p>
        </w:tc>
        <w:tc>
          <w:tcPr>
            <w:tcW w:w="5248" w:type="dxa"/>
            <w:tcBorders>
              <w:bottom w:val="thinThickMediumGap" w:sz="12" w:space="0" w:color="000000"/>
              <w:right w:val="thinThickMediumGap" w:sz="12" w:space="0" w:color="000000"/>
            </w:tcBorders>
          </w:tcPr>
          <w:p>
            <w:pPr>
              <w:pStyle w:val="TableParagraph"/>
              <w:spacing w:before="5"/>
              <w:ind w:left="81"/>
              <w:rPr>
                <w:b/>
                <w:sz w:val="22"/>
              </w:rPr>
            </w:pPr>
            <w:r>
              <w:rPr>
                <w:b/>
                <w:sz w:val="22"/>
              </w:rPr>
              <w:t>Medicinal</w:t>
            </w:r>
          </w:p>
          <w:p>
            <w:pPr>
              <w:pStyle w:val="TableParagraph"/>
              <w:spacing w:before="7"/>
              <w:ind w:left="81"/>
              <w:rPr>
                <w:sz w:val="22"/>
              </w:rPr>
            </w:pPr>
            <w:r>
              <w:rPr>
                <w:sz w:val="22"/>
              </w:rPr>
              <w:t>Favorece la digestión, estimula las funciones del estómago, contra el vómito. Infusión con las hojas.</w:t>
            </w:r>
          </w:p>
        </w:tc>
        <w:tc>
          <w:tcPr>
            <w:tcW w:w="6026" w:type="dxa"/>
            <w:tcBorders>
              <w:bottom w:val="thinThickMediumGap" w:sz="12" w:space="0" w:color="000000"/>
              <w:right w:val="thinThickMediumGap" w:sz="12" w:space="0" w:color="000000"/>
            </w:tcBorders>
          </w:tcPr>
          <w:p>
            <w:pPr>
              <w:pStyle w:val="TableParagraph"/>
              <w:spacing w:line="242" w:lineRule="auto" w:before="9"/>
              <w:ind w:left="81"/>
              <w:rPr>
                <w:sz w:val="22"/>
              </w:rPr>
            </w:pPr>
            <w:r>
              <w:rPr>
                <w:sz w:val="22"/>
              </w:rPr>
              <w:t>Registros en Colombia, Estados Unidos, Pakistan y Venezuela (Trópicos, 2014).</w:t>
            </w:r>
          </w:p>
        </w:tc>
      </w:tr>
      <w:tr>
        <w:trPr>
          <w:trHeight w:val="1849" w:hRule="exact"/>
        </w:trPr>
        <w:tc>
          <w:tcPr>
            <w:tcW w:w="1388" w:type="dxa"/>
            <w:tcBorders>
              <w:bottom w:val="thinThickMediumGap" w:sz="12" w:space="0" w:color="000000"/>
              <w:right w:val="thinThickMediumGap" w:sz="12" w:space="0" w:color="000000"/>
            </w:tcBorders>
          </w:tcPr>
          <w:p>
            <w:pPr>
              <w:pStyle w:val="TableParagraph"/>
              <w:spacing w:before="5"/>
              <w:ind w:left="81" w:right="121"/>
              <w:jc w:val="both"/>
              <w:rPr>
                <w:i/>
                <w:sz w:val="22"/>
              </w:rPr>
            </w:pPr>
            <w:r>
              <w:rPr>
                <w:b/>
                <w:sz w:val="22"/>
              </w:rPr>
              <w:t>Lamiaceae </w:t>
            </w:r>
            <w:r>
              <w:rPr>
                <w:i/>
                <w:sz w:val="22"/>
              </w:rPr>
              <w:t>Rosmarinu </w:t>
            </w:r>
            <w:r>
              <w:rPr>
                <w:i/>
                <w:sz w:val="22"/>
              </w:rPr>
              <w:t>s officinalis</w:t>
            </w:r>
          </w:p>
          <w:p>
            <w:pPr>
              <w:pStyle w:val="TableParagraph"/>
              <w:spacing w:before="6"/>
              <w:ind w:left="81"/>
              <w:jc w:val="both"/>
              <w:rPr>
                <w:sz w:val="22"/>
              </w:rPr>
            </w:pPr>
            <w:r>
              <w:rPr>
                <w:sz w:val="22"/>
              </w:rPr>
              <w:t>L. (C)</w:t>
            </w:r>
          </w:p>
        </w:tc>
        <w:tc>
          <w:tcPr>
            <w:tcW w:w="113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2"/>
              <w:rPr>
                <w:rFonts w:ascii="Times New Roman"/>
                <w:sz w:val="23"/>
              </w:rPr>
            </w:pPr>
          </w:p>
          <w:p>
            <w:pPr>
              <w:pStyle w:val="TableParagraph"/>
              <w:spacing w:before="1"/>
              <w:ind w:left="61" w:right="55"/>
              <w:jc w:val="center"/>
              <w:rPr>
                <w:sz w:val="22"/>
              </w:rPr>
            </w:pPr>
            <w:r>
              <w:rPr>
                <w:sz w:val="22"/>
              </w:rPr>
              <w:t>Romero</w:t>
            </w:r>
          </w:p>
        </w:tc>
        <w:tc>
          <w:tcPr>
            <w:tcW w:w="5248" w:type="dxa"/>
            <w:tcBorders>
              <w:bottom w:val="thinThickMediumGap" w:sz="12" w:space="0" w:color="000000"/>
              <w:right w:val="thinThickMediumGap" w:sz="12" w:space="0" w:color="000000"/>
            </w:tcBorders>
          </w:tcPr>
          <w:p>
            <w:pPr>
              <w:pStyle w:val="TableParagraph"/>
              <w:spacing w:before="5"/>
              <w:ind w:left="81" w:right="76"/>
              <w:jc w:val="both"/>
              <w:rPr>
                <w:sz w:val="22"/>
              </w:rPr>
            </w:pPr>
            <w:r>
              <w:rPr>
                <w:b/>
                <w:sz w:val="22"/>
              </w:rPr>
              <w:t>Alimento y medicinal. </w:t>
            </w:r>
            <w:r>
              <w:rPr>
                <w:sz w:val="22"/>
              </w:rPr>
              <w:t>Las hojas cuando están secas se utilizan para condimentar algunos platillos; en infusión, una taza, 3 veces por día combate </w:t>
            </w:r>
            <w:r>
              <w:rPr>
                <w:spacing w:val="-3"/>
                <w:sz w:val="22"/>
              </w:rPr>
              <w:t>la </w:t>
            </w:r>
            <w:r>
              <w:rPr>
                <w:sz w:val="22"/>
              </w:rPr>
              <w:t>gripa, asma y bronquitis. </w:t>
            </w:r>
            <w:r>
              <w:rPr>
                <w:b/>
                <w:sz w:val="22"/>
              </w:rPr>
              <w:t>Efectos tóxicos: </w:t>
            </w:r>
            <w:r>
              <w:rPr>
                <w:sz w:val="22"/>
              </w:rPr>
              <w:t>Sus aceites pueden causar eritema, y dermatitis en las personas hipersensibles (Gil </w:t>
            </w:r>
            <w:r>
              <w:rPr>
                <w:i/>
                <w:sz w:val="22"/>
              </w:rPr>
              <w:t>et  </w:t>
            </w:r>
            <w:r>
              <w:rPr>
                <w:i/>
                <w:sz w:val="22"/>
              </w:rPr>
              <w:t>al.,</w:t>
            </w:r>
            <w:r>
              <w:rPr>
                <w:i/>
                <w:spacing w:val="-2"/>
                <w:sz w:val="22"/>
              </w:rPr>
              <w:t> </w:t>
            </w:r>
            <w:r>
              <w:rPr>
                <w:sz w:val="22"/>
              </w:rPr>
              <w:t>2006).</w:t>
            </w:r>
          </w:p>
        </w:tc>
        <w:tc>
          <w:tcPr>
            <w:tcW w:w="6026" w:type="dxa"/>
            <w:tcBorders>
              <w:bottom w:val="thinThickMediumGap" w:sz="12" w:space="0" w:color="000000"/>
              <w:right w:val="thinThickMediumGap" w:sz="12" w:space="0" w:color="000000"/>
            </w:tcBorders>
          </w:tcPr>
          <w:p>
            <w:pPr>
              <w:pStyle w:val="TableParagraph"/>
              <w:spacing w:before="9"/>
              <w:ind w:left="81" w:right="72"/>
              <w:jc w:val="both"/>
              <w:rPr>
                <w:sz w:val="22"/>
              </w:rPr>
            </w:pPr>
            <w:r>
              <w:rPr>
                <w:sz w:val="22"/>
              </w:rPr>
              <w:t>Origen en la región mediterránea del Sur de Europa. Actualmente cultivada en todo el mundo. Registrado en: Bolivia, China, Colombia, Ecuador, El Salvador, Guatemala Pakistan, Perú, U.S.A., Venezuela y Méx.: Chis. y Oax. (Trópicos, 2014).</w:t>
            </w:r>
          </w:p>
        </w:tc>
      </w:tr>
    </w:tbl>
    <w:p>
      <w:pPr>
        <w:spacing w:after="0"/>
        <w:jc w:val="both"/>
        <w:rPr>
          <w:sz w:val="22"/>
        </w:rPr>
        <w:sectPr>
          <w:pgSz w:w="15840" w:h="12240" w:orient="landscape"/>
          <w:pgMar w:header="690" w:footer="1147" w:top="880" w:bottom="1340" w:left="1160" w:right="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45"/>
        <w:gridCol w:w="1268"/>
        <w:gridCol w:w="4998"/>
        <w:gridCol w:w="4917"/>
      </w:tblGrid>
      <w:tr>
        <w:trPr>
          <w:trHeight w:val="279"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998"/>
              <w:rPr>
                <w:b/>
                <w:i/>
                <w:sz w:val="20"/>
              </w:rPr>
            </w:pPr>
            <w:r>
              <w:rPr>
                <w:b/>
                <w:i/>
                <w:sz w:val="20"/>
              </w:rPr>
              <w:t>Cuadro 6. Listado de especies de flora de la Zona de Manejo Ambiental: Plantas Medicinales y Aromáticas (continúa).</w:t>
            </w:r>
          </w:p>
        </w:tc>
      </w:tr>
      <w:tr>
        <w:trPr>
          <w:trHeight w:val="566" w:hRule="exact"/>
        </w:trPr>
        <w:tc>
          <w:tcPr>
            <w:tcW w:w="2045" w:type="dxa"/>
            <w:tcBorders>
              <w:bottom w:val="thinThickMediumGap" w:sz="12" w:space="0" w:color="000000"/>
              <w:right w:val="thinThickMediumGap" w:sz="12" w:space="0" w:color="000000"/>
            </w:tcBorders>
            <w:shd w:val="clear" w:color="auto" w:fill="D9D9D9"/>
          </w:tcPr>
          <w:p>
            <w:pPr>
              <w:pStyle w:val="TableParagraph"/>
              <w:spacing w:before="5"/>
              <w:ind w:left="513" w:hanging="404"/>
              <w:rPr>
                <w:b/>
                <w:sz w:val="22"/>
              </w:rPr>
            </w:pPr>
            <w:r>
              <w:rPr>
                <w:b/>
                <w:sz w:val="22"/>
              </w:rPr>
              <w:t>Familia / Nombre científico</w:t>
            </w:r>
          </w:p>
        </w:tc>
        <w:tc>
          <w:tcPr>
            <w:tcW w:w="1268" w:type="dxa"/>
            <w:tcBorders>
              <w:bottom w:val="thinThickMediumGap" w:sz="12" w:space="0" w:color="000000"/>
              <w:right w:val="thinThickMediumGap" w:sz="12" w:space="0" w:color="000000"/>
            </w:tcBorders>
            <w:shd w:val="clear" w:color="auto" w:fill="D9D9D9"/>
          </w:tcPr>
          <w:p>
            <w:pPr>
              <w:pStyle w:val="TableParagraph"/>
              <w:spacing w:before="5"/>
              <w:ind w:left="244" w:right="167" w:hanging="53"/>
              <w:rPr>
                <w:b/>
                <w:sz w:val="22"/>
              </w:rPr>
            </w:pPr>
            <w:r>
              <w:rPr>
                <w:b/>
                <w:sz w:val="22"/>
              </w:rPr>
              <w:t>Nombre común</w:t>
            </w:r>
          </w:p>
        </w:tc>
        <w:tc>
          <w:tcPr>
            <w:tcW w:w="4998" w:type="dxa"/>
            <w:tcBorders>
              <w:bottom w:val="thinThickMediumGap" w:sz="12" w:space="0" w:color="000000"/>
              <w:right w:val="thinThickMediumGap" w:sz="12" w:space="0" w:color="000000"/>
            </w:tcBorders>
            <w:shd w:val="clear" w:color="auto" w:fill="D9D9D9"/>
          </w:tcPr>
          <w:p>
            <w:pPr>
              <w:pStyle w:val="TableParagraph"/>
              <w:spacing w:before="129"/>
              <w:ind w:left="2182" w:right="2179"/>
              <w:jc w:val="center"/>
              <w:rPr>
                <w:b/>
                <w:sz w:val="22"/>
              </w:rPr>
            </w:pPr>
            <w:r>
              <w:rPr>
                <w:b/>
                <w:sz w:val="22"/>
              </w:rPr>
              <w:t>Usos</w:t>
            </w:r>
          </w:p>
        </w:tc>
        <w:tc>
          <w:tcPr>
            <w:tcW w:w="4917" w:type="dxa"/>
            <w:tcBorders>
              <w:bottom w:val="thinThickMediumGap" w:sz="12" w:space="0" w:color="000000"/>
              <w:right w:val="thinThickMediumGap" w:sz="12" w:space="0" w:color="000000"/>
            </w:tcBorders>
            <w:shd w:val="clear" w:color="auto" w:fill="D9D9D9"/>
          </w:tcPr>
          <w:p>
            <w:pPr>
              <w:pStyle w:val="TableParagraph"/>
              <w:spacing w:before="129"/>
              <w:ind w:left="1768" w:right="1768"/>
              <w:jc w:val="center"/>
              <w:rPr>
                <w:b/>
                <w:sz w:val="22"/>
              </w:rPr>
            </w:pPr>
            <w:r>
              <w:rPr>
                <w:b/>
                <w:sz w:val="22"/>
              </w:rPr>
              <w:t>Distribución</w:t>
            </w:r>
          </w:p>
        </w:tc>
      </w:tr>
      <w:tr>
        <w:trPr>
          <w:trHeight w:val="1325" w:hRule="exact"/>
        </w:trPr>
        <w:tc>
          <w:tcPr>
            <w:tcW w:w="2045" w:type="dxa"/>
            <w:tcBorders>
              <w:bottom w:val="thinThickMediumGap" w:sz="12" w:space="0" w:color="000000"/>
              <w:right w:val="thinThickMediumGap" w:sz="12" w:space="0" w:color="000000"/>
            </w:tcBorders>
          </w:tcPr>
          <w:p>
            <w:pPr>
              <w:pStyle w:val="TableParagraph"/>
              <w:spacing w:before="5"/>
              <w:ind w:left="81"/>
              <w:rPr>
                <w:b/>
                <w:sz w:val="22"/>
              </w:rPr>
            </w:pPr>
            <w:r>
              <w:rPr>
                <w:b/>
                <w:sz w:val="22"/>
              </w:rPr>
              <w:t>Lamiaceae</w:t>
            </w:r>
          </w:p>
          <w:p>
            <w:pPr>
              <w:pStyle w:val="TableParagraph"/>
              <w:spacing w:before="9"/>
              <w:rPr>
                <w:rFonts w:ascii="Times New Roman"/>
                <w:sz w:val="21"/>
              </w:rPr>
            </w:pPr>
          </w:p>
          <w:p>
            <w:pPr>
              <w:pStyle w:val="TableParagraph"/>
              <w:spacing w:before="1"/>
              <w:ind w:left="81"/>
              <w:rPr>
                <w:i/>
                <w:sz w:val="22"/>
              </w:rPr>
            </w:pPr>
            <w:r>
              <w:rPr>
                <w:i/>
                <w:sz w:val="22"/>
              </w:rPr>
              <w:t>Salvia elegans</w:t>
            </w:r>
          </w:p>
          <w:p>
            <w:pPr>
              <w:pStyle w:val="TableParagraph"/>
              <w:spacing w:before="6"/>
              <w:ind w:left="81"/>
              <w:rPr>
                <w:sz w:val="22"/>
              </w:rPr>
            </w:pPr>
            <w:r>
              <w:rPr>
                <w:sz w:val="22"/>
              </w:rPr>
              <w:t>Vahl (C)</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15" w:right="97" w:firstLine="187"/>
              <w:rPr>
                <w:sz w:val="22"/>
              </w:rPr>
            </w:pPr>
            <w:r>
              <w:rPr>
                <w:sz w:val="22"/>
              </w:rPr>
              <w:t>Salvia roja, Mirto</w:t>
            </w:r>
          </w:p>
        </w:tc>
        <w:tc>
          <w:tcPr>
            <w:tcW w:w="4998" w:type="dxa"/>
            <w:tcBorders>
              <w:bottom w:val="thinThickMediumGap" w:sz="12" w:space="0" w:color="000000"/>
              <w:right w:val="thinThickMediumGap" w:sz="12" w:space="0" w:color="000000"/>
            </w:tcBorders>
          </w:tcPr>
          <w:p>
            <w:pPr>
              <w:pStyle w:val="TableParagraph"/>
              <w:spacing w:before="5"/>
              <w:ind w:left="81"/>
              <w:jc w:val="both"/>
              <w:rPr>
                <w:b/>
                <w:sz w:val="22"/>
              </w:rPr>
            </w:pPr>
            <w:r>
              <w:rPr>
                <w:b/>
                <w:color w:val="211E1F"/>
                <w:sz w:val="22"/>
              </w:rPr>
              <w:t>Medicinal</w:t>
            </w:r>
          </w:p>
          <w:p>
            <w:pPr>
              <w:pStyle w:val="TableParagraph"/>
              <w:spacing w:before="6"/>
              <w:ind w:left="81" w:right="82"/>
              <w:jc w:val="both"/>
              <w:rPr>
                <w:sz w:val="22"/>
              </w:rPr>
            </w:pPr>
            <w:r>
              <w:rPr>
                <w:color w:val="211E1F"/>
                <w:sz w:val="22"/>
              </w:rPr>
              <w:t>La infusión de hojas y tallos secos, </w:t>
            </w:r>
            <w:r>
              <w:rPr>
                <w:color w:val="211E1F"/>
                <w:spacing w:val="-3"/>
                <w:sz w:val="22"/>
              </w:rPr>
              <w:t>se </w:t>
            </w:r>
            <w:r>
              <w:rPr>
                <w:color w:val="211E1F"/>
                <w:sz w:val="22"/>
              </w:rPr>
              <w:t>usa  contra los desórdenes nerviosos y digestivos (combate </w:t>
            </w:r>
            <w:r>
              <w:rPr>
                <w:color w:val="211E1F"/>
                <w:spacing w:val="-3"/>
                <w:sz w:val="22"/>
              </w:rPr>
              <w:t>la </w:t>
            </w:r>
            <w:r>
              <w:rPr>
                <w:color w:val="211E1F"/>
                <w:sz w:val="22"/>
              </w:rPr>
              <w:t>diarrea).</w:t>
            </w:r>
          </w:p>
        </w:tc>
        <w:tc>
          <w:tcPr>
            <w:tcW w:w="4917" w:type="dxa"/>
            <w:tcBorders>
              <w:bottom w:val="thinThickMediumGap" w:sz="12" w:space="0" w:color="000000"/>
              <w:right w:val="thinThickMediumGap" w:sz="12" w:space="0" w:color="000000"/>
            </w:tcBorders>
          </w:tcPr>
          <w:p>
            <w:pPr>
              <w:pStyle w:val="TableParagraph"/>
              <w:spacing w:before="9"/>
              <w:ind w:left="81" w:right="71"/>
              <w:jc w:val="both"/>
              <w:rPr>
                <w:sz w:val="22"/>
              </w:rPr>
            </w:pPr>
            <w:r>
              <w:rPr>
                <w:color w:val="211E1F"/>
                <w:sz w:val="22"/>
              </w:rPr>
              <w:t>Especie nativa de México y Centroamérica. En la República Mexicana se puede encontrar en los estados de Chih., Dgo., D.F., Edo. de Méx., Hgo., Mich., Mor., Oax., Son. y Ver. (Argueta </w:t>
            </w:r>
            <w:r>
              <w:rPr>
                <w:i/>
                <w:color w:val="211E1F"/>
                <w:sz w:val="22"/>
              </w:rPr>
              <w:t>et </w:t>
            </w:r>
            <w:r>
              <w:rPr>
                <w:i/>
                <w:color w:val="211E1F"/>
                <w:sz w:val="22"/>
              </w:rPr>
              <w:t>al., </w:t>
            </w:r>
            <w:r>
              <w:rPr>
                <w:color w:val="211E1F"/>
                <w:sz w:val="22"/>
              </w:rPr>
              <w:t>1994).</w:t>
            </w:r>
          </w:p>
        </w:tc>
      </w:tr>
      <w:tr>
        <w:trPr>
          <w:trHeight w:val="1071" w:hRule="exact"/>
        </w:trPr>
        <w:tc>
          <w:tcPr>
            <w:tcW w:w="2045" w:type="dxa"/>
            <w:tcBorders>
              <w:bottom w:val="thinThickMediumGap" w:sz="12" w:space="0" w:color="000000"/>
              <w:right w:val="thinThickMediumGap" w:sz="12" w:space="0" w:color="000000"/>
            </w:tcBorders>
          </w:tcPr>
          <w:p>
            <w:pPr>
              <w:pStyle w:val="TableParagraph"/>
              <w:spacing w:before="5"/>
              <w:ind w:left="81"/>
              <w:rPr>
                <w:b/>
                <w:sz w:val="22"/>
              </w:rPr>
            </w:pPr>
            <w:r>
              <w:rPr>
                <w:b/>
                <w:sz w:val="22"/>
              </w:rPr>
              <w:t>Lamiaceae</w:t>
            </w:r>
          </w:p>
          <w:p>
            <w:pPr>
              <w:pStyle w:val="TableParagraph"/>
              <w:spacing w:before="10"/>
              <w:rPr>
                <w:rFonts w:ascii="Times New Roman"/>
                <w:sz w:val="21"/>
              </w:rPr>
            </w:pPr>
          </w:p>
          <w:p>
            <w:pPr>
              <w:pStyle w:val="TableParagraph"/>
              <w:ind w:left="81"/>
              <w:rPr>
                <w:i/>
                <w:sz w:val="22"/>
              </w:rPr>
            </w:pPr>
            <w:r>
              <w:rPr>
                <w:i/>
                <w:sz w:val="22"/>
              </w:rPr>
              <w:t>Melissa Officinalis</w:t>
            </w:r>
          </w:p>
          <w:p>
            <w:pPr>
              <w:pStyle w:val="TableParagraph"/>
              <w:spacing w:before="6"/>
              <w:ind w:left="81"/>
              <w:rPr>
                <w:sz w:val="22"/>
              </w:rPr>
            </w:pPr>
            <w:r>
              <w:rPr>
                <w:sz w:val="22"/>
              </w:rPr>
              <w:t>L. (C)</w:t>
            </w:r>
          </w:p>
        </w:tc>
        <w:tc>
          <w:tcPr>
            <w:tcW w:w="1268" w:type="dxa"/>
            <w:tcBorders>
              <w:bottom w:val="thinThickMediumGap" w:sz="12" w:space="0" w:color="000000"/>
              <w:right w:val="thinThickMediumGap" w:sz="12" w:space="0" w:color="000000"/>
            </w:tcBorders>
          </w:tcPr>
          <w:p>
            <w:pPr>
              <w:pStyle w:val="TableParagraph"/>
              <w:spacing w:before="135"/>
              <w:ind w:left="168" w:right="159" w:firstLine="43"/>
              <w:jc w:val="both"/>
              <w:rPr>
                <w:sz w:val="22"/>
              </w:rPr>
            </w:pPr>
            <w:r>
              <w:rPr>
                <w:sz w:val="22"/>
              </w:rPr>
              <w:t>Toronjil, Melisa o citronella</w:t>
            </w:r>
          </w:p>
        </w:tc>
        <w:tc>
          <w:tcPr>
            <w:tcW w:w="4998" w:type="dxa"/>
            <w:tcBorders>
              <w:bottom w:val="thinThickMediumGap" w:sz="12" w:space="0" w:color="000000"/>
              <w:right w:val="thinThickMediumGap" w:sz="12" w:space="0" w:color="000000"/>
            </w:tcBorders>
          </w:tcPr>
          <w:p>
            <w:pPr>
              <w:pStyle w:val="TableParagraph"/>
              <w:spacing w:before="5"/>
              <w:ind w:left="81" w:right="102"/>
              <w:rPr>
                <w:b/>
                <w:sz w:val="22"/>
              </w:rPr>
            </w:pPr>
            <w:r>
              <w:rPr>
                <w:b/>
                <w:color w:val="211E1F"/>
                <w:sz w:val="22"/>
              </w:rPr>
              <w:t>Medicinal</w:t>
            </w:r>
          </w:p>
          <w:p>
            <w:pPr>
              <w:pStyle w:val="TableParagraph"/>
              <w:spacing w:line="250" w:lineRule="exact" w:before="13"/>
              <w:ind w:left="81" w:right="102"/>
              <w:rPr>
                <w:sz w:val="22"/>
              </w:rPr>
            </w:pPr>
            <w:r>
              <w:rPr>
                <w:color w:val="211E1F"/>
                <w:sz w:val="22"/>
              </w:rPr>
              <w:t>La infusión de las hojas útiles para gastritis, espasmos gastrointestinales y nauseas.</w:t>
            </w:r>
          </w:p>
        </w:tc>
        <w:tc>
          <w:tcPr>
            <w:tcW w:w="4917" w:type="dxa"/>
            <w:tcBorders>
              <w:bottom w:val="thinThickMediumGap" w:sz="12" w:space="0" w:color="000000"/>
              <w:right w:val="thinThickMediumGap" w:sz="12" w:space="0" w:color="000000"/>
            </w:tcBorders>
          </w:tcPr>
          <w:p>
            <w:pPr>
              <w:pStyle w:val="TableParagraph"/>
              <w:spacing w:before="9"/>
              <w:ind w:left="81" w:right="77"/>
              <w:jc w:val="both"/>
              <w:rPr>
                <w:sz w:val="22"/>
              </w:rPr>
            </w:pPr>
            <w:r>
              <w:rPr>
                <w:sz w:val="22"/>
              </w:rPr>
              <w:t>Nativa de Europa, esta naturalizada en gran parte de Norteamérica. Se cultiva a escala doméstica en diversas regiones (CONAFOR, 2010).</w:t>
            </w:r>
          </w:p>
        </w:tc>
      </w:tr>
      <w:tr>
        <w:trPr>
          <w:trHeight w:val="1071" w:hRule="exact"/>
        </w:trPr>
        <w:tc>
          <w:tcPr>
            <w:tcW w:w="2045" w:type="dxa"/>
            <w:tcBorders>
              <w:bottom w:val="thinThickMediumGap" w:sz="12" w:space="0" w:color="000000"/>
              <w:right w:val="thinThickMediumGap" w:sz="12" w:space="0" w:color="000000"/>
            </w:tcBorders>
          </w:tcPr>
          <w:p>
            <w:pPr>
              <w:pStyle w:val="TableParagraph"/>
              <w:spacing w:line="232" w:lineRule="auto" w:before="11"/>
              <w:ind w:left="81" w:right="339"/>
              <w:rPr>
                <w:sz w:val="22"/>
              </w:rPr>
            </w:pPr>
            <w:r>
              <w:rPr>
                <w:b/>
                <w:sz w:val="22"/>
              </w:rPr>
              <w:t>Liliaceae </w:t>
            </w:r>
            <w:r>
              <w:rPr>
                <w:i/>
                <w:sz w:val="22"/>
              </w:rPr>
              <w:t>Agapanthus </w:t>
            </w:r>
            <w:r>
              <w:rPr>
                <w:i/>
                <w:sz w:val="22"/>
              </w:rPr>
              <w:t>africanus </w:t>
            </w:r>
            <w:r>
              <w:rPr>
                <w:sz w:val="22"/>
              </w:rPr>
              <w:t>(L.) Hoffmanns.</w:t>
            </w:r>
            <w:r>
              <w:rPr>
                <w:position w:val="10"/>
                <w:sz w:val="14"/>
              </w:rPr>
              <w:t>5 </w:t>
            </w:r>
            <w:r>
              <w:rPr>
                <w:sz w:val="22"/>
              </w:rPr>
              <w:t>(C)</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34"/>
              <w:rPr>
                <w:sz w:val="22"/>
              </w:rPr>
            </w:pPr>
            <w:r>
              <w:rPr>
                <w:sz w:val="22"/>
              </w:rPr>
              <w:t>Agapanto</w:t>
            </w:r>
          </w:p>
        </w:tc>
        <w:tc>
          <w:tcPr>
            <w:tcW w:w="4998" w:type="dxa"/>
            <w:tcBorders>
              <w:bottom w:val="thinThickMediumGap" w:sz="12" w:space="0" w:color="000000"/>
              <w:right w:val="thinThickMediumGap" w:sz="12" w:space="0" w:color="000000"/>
            </w:tcBorders>
          </w:tcPr>
          <w:p>
            <w:pPr>
              <w:pStyle w:val="TableParagraph"/>
              <w:spacing w:before="5"/>
              <w:ind w:left="81" w:right="102"/>
              <w:rPr>
                <w:b/>
                <w:sz w:val="22"/>
              </w:rPr>
            </w:pPr>
            <w:r>
              <w:rPr>
                <w:b/>
                <w:sz w:val="22"/>
              </w:rPr>
              <w:t>Ornato</w:t>
            </w:r>
          </w:p>
          <w:p>
            <w:pPr>
              <w:pStyle w:val="TableParagraph"/>
              <w:spacing w:before="6"/>
              <w:ind w:left="81" w:right="102"/>
              <w:rPr>
                <w:sz w:val="22"/>
              </w:rPr>
            </w:pPr>
            <w:r>
              <w:rPr>
                <w:sz w:val="22"/>
              </w:rPr>
              <w:t>Las flores blancas o azules adornan los patios de las</w:t>
            </w:r>
            <w:r>
              <w:rPr>
                <w:spacing w:val="-5"/>
                <w:sz w:val="22"/>
              </w:rPr>
              <w:t> </w:t>
            </w:r>
            <w:r>
              <w:rPr>
                <w:sz w:val="22"/>
              </w:rPr>
              <w:t>casas.</w:t>
            </w:r>
          </w:p>
        </w:tc>
        <w:tc>
          <w:tcPr>
            <w:tcW w:w="4917" w:type="dxa"/>
            <w:tcBorders>
              <w:bottom w:val="thinThickMediumGap" w:sz="12" w:space="0" w:color="000000"/>
              <w:right w:val="thinThickMediumGap" w:sz="12" w:space="0" w:color="000000"/>
            </w:tcBorders>
          </w:tcPr>
          <w:p>
            <w:pPr>
              <w:pStyle w:val="TableParagraph"/>
              <w:spacing w:before="9"/>
              <w:ind w:left="81" w:right="76"/>
              <w:jc w:val="both"/>
              <w:rPr>
                <w:sz w:val="22"/>
              </w:rPr>
            </w:pPr>
            <w:r>
              <w:rPr>
                <w:sz w:val="22"/>
              </w:rPr>
              <w:t>Origen sudafricano. Guatemala, Honduras, Sur de África (Trópicos, 2014). Actualmente, cultivado como ornamental.</w:t>
            </w:r>
          </w:p>
        </w:tc>
      </w:tr>
      <w:tr>
        <w:trPr>
          <w:trHeight w:val="1071" w:hRule="exact"/>
        </w:trPr>
        <w:tc>
          <w:tcPr>
            <w:tcW w:w="2045" w:type="dxa"/>
            <w:tcBorders>
              <w:bottom w:val="thinThickMediumGap" w:sz="12" w:space="0" w:color="000000"/>
              <w:right w:val="thinThickMediumGap" w:sz="12" w:space="0" w:color="000000"/>
            </w:tcBorders>
          </w:tcPr>
          <w:p>
            <w:pPr>
              <w:pStyle w:val="TableParagraph"/>
              <w:spacing w:before="9"/>
              <w:ind w:left="81" w:right="309"/>
              <w:rPr>
                <w:sz w:val="22"/>
              </w:rPr>
            </w:pPr>
            <w:r>
              <w:rPr>
                <w:b/>
                <w:sz w:val="22"/>
              </w:rPr>
              <w:t>Malvaceae </w:t>
            </w:r>
            <w:r>
              <w:rPr>
                <w:i/>
                <w:sz w:val="22"/>
              </w:rPr>
              <w:t>Hibiscus </w:t>
            </w:r>
            <w:r>
              <w:rPr>
                <w:i/>
                <w:sz w:val="22"/>
              </w:rPr>
              <w:t>sabdariffa </w:t>
            </w:r>
            <w:r>
              <w:rPr>
                <w:sz w:val="22"/>
              </w:rPr>
              <w:t>L. (C)</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0"/>
              <w:ind w:left="196" w:right="97"/>
              <w:rPr>
                <w:sz w:val="22"/>
              </w:rPr>
            </w:pPr>
            <w:r>
              <w:rPr>
                <w:sz w:val="22"/>
              </w:rPr>
              <w:t>Jamaica</w:t>
            </w:r>
          </w:p>
        </w:tc>
        <w:tc>
          <w:tcPr>
            <w:tcW w:w="4998" w:type="dxa"/>
            <w:tcBorders>
              <w:bottom w:val="thinThickMediumGap" w:sz="12" w:space="0" w:color="000000"/>
              <w:right w:val="thinThickMediumGap" w:sz="12" w:space="0" w:color="000000"/>
            </w:tcBorders>
          </w:tcPr>
          <w:p>
            <w:pPr>
              <w:pStyle w:val="TableParagraph"/>
              <w:spacing w:before="9"/>
              <w:ind w:left="81" w:right="102"/>
              <w:rPr>
                <w:b/>
                <w:sz w:val="22"/>
              </w:rPr>
            </w:pPr>
            <w:r>
              <w:rPr>
                <w:b/>
                <w:sz w:val="22"/>
              </w:rPr>
              <w:t>Alimenticio</w:t>
            </w:r>
          </w:p>
          <w:p>
            <w:pPr>
              <w:pStyle w:val="TableParagraph"/>
              <w:spacing w:before="1"/>
              <w:ind w:left="81" w:right="102"/>
              <w:rPr>
                <w:sz w:val="22"/>
              </w:rPr>
            </w:pPr>
            <w:r>
              <w:rPr>
                <w:sz w:val="22"/>
              </w:rPr>
              <w:t>La infusión de los cálices florales, mezclado con agua, para elaborar una bebida refrescante.</w:t>
            </w:r>
          </w:p>
        </w:tc>
        <w:tc>
          <w:tcPr>
            <w:tcW w:w="4917" w:type="dxa"/>
            <w:tcBorders>
              <w:bottom w:val="thinThickMediumGap" w:sz="12" w:space="0" w:color="000000"/>
              <w:right w:val="thinThickMediumGap" w:sz="12" w:space="0" w:color="000000"/>
            </w:tcBorders>
          </w:tcPr>
          <w:p>
            <w:pPr>
              <w:pStyle w:val="TableParagraph"/>
              <w:spacing w:line="237" w:lineRule="auto" w:before="16"/>
              <w:ind w:left="81" w:right="69"/>
              <w:jc w:val="both"/>
              <w:rPr>
                <w:sz w:val="22"/>
              </w:rPr>
            </w:pPr>
            <w:r>
              <w:rPr>
                <w:sz w:val="22"/>
              </w:rPr>
              <w:t>Originaria de África tropical, su cultivo se extiende por México, América Central y del Sur y sudeste asiático (Morton, 1987; Kantún-Balam </w:t>
            </w:r>
            <w:r>
              <w:rPr>
                <w:i/>
                <w:sz w:val="22"/>
              </w:rPr>
              <w:t>et al.,</w:t>
            </w:r>
            <w:r>
              <w:rPr>
                <w:i/>
                <w:spacing w:val="-2"/>
                <w:sz w:val="22"/>
              </w:rPr>
              <w:t> </w:t>
            </w:r>
            <w:r>
              <w:rPr>
                <w:sz w:val="22"/>
              </w:rPr>
              <w:t>2013).</w:t>
            </w:r>
          </w:p>
        </w:tc>
      </w:tr>
      <w:tr>
        <w:trPr>
          <w:trHeight w:val="3371" w:hRule="exact"/>
        </w:trPr>
        <w:tc>
          <w:tcPr>
            <w:tcW w:w="2045" w:type="dxa"/>
            <w:tcBorders>
              <w:bottom w:val="thinThickMediumGap" w:sz="12" w:space="0" w:color="000000"/>
              <w:right w:val="thinThickMediumGap" w:sz="12" w:space="0" w:color="000000"/>
            </w:tcBorders>
          </w:tcPr>
          <w:p>
            <w:pPr>
              <w:pStyle w:val="TableParagraph"/>
              <w:spacing w:before="9"/>
              <w:ind w:left="81"/>
              <w:rPr>
                <w:b/>
                <w:sz w:val="22"/>
              </w:rPr>
            </w:pPr>
            <w:r>
              <w:rPr>
                <w:b/>
                <w:sz w:val="22"/>
              </w:rPr>
              <w:t>Myrtaceae</w:t>
            </w:r>
          </w:p>
          <w:p>
            <w:pPr>
              <w:pStyle w:val="TableParagraph"/>
              <w:spacing w:before="9"/>
              <w:rPr>
                <w:rFonts w:ascii="Times New Roman"/>
                <w:sz w:val="21"/>
              </w:rPr>
            </w:pPr>
          </w:p>
          <w:p>
            <w:pPr>
              <w:pStyle w:val="TableParagraph"/>
              <w:spacing w:line="242" w:lineRule="exact"/>
              <w:ind w:left="81"/>
              <w:rPr>
                <w:i/>
                <w:sz w:val="22"/>
              </w:rPr>
            </w:pPr>
            <w:r>
              <w:rPr>
                <w:i/>
                <w:sz w:val="22"/>
              </w:rPr>
              <w:t>Psidium guajava</w:t>
            </w:r>
          </w:p>
          <w:p>
            <w:pPr>
              <w:pStyle w:val="TableParagraph"/>
              <w:spacing w:line="266" w:lineRule="exact"/>
              <w:ind w:left="81"/>
              <w:rPr>
                <w:sz w:val="22"/>
              </w:rPr>
            </w:pPr>
            <w:r>
              <w:rPr>
                <w:sz w:val="22"/>
              </w:rPr>
              <w:t>L. </w:t>
            </w:r>
            <w:r>
              <w:rPr>
                <w:position w:val="10"/>
                <w:sz w:val="14"/>
              </w:rPr>
              <w:t>2 </w:t>
            </w:r>
            <w:r>
              <w:rPr>
                <w:i/>
                <w:position w:val="10"/>
                <w:sz w:val="14"/>
              </w:rPr>
              <w:t>y 6 </w:t>
            </w:r>
            <w:r>
              <w:rPr>
                <w:sz w:val="22"/>
              </w:rPr>
              <w:t>(S)</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2"/>
              <w:rPr>
                <w:rFonts w:ascii="Times New Roman"/>
                <w:sz w:val="23"/>
              </w:rPr>
            </w:pPr>
          </w:p>
          <w:p>
            <w:pPr>
              <w:pStyle w:val="TableParagraph"/>
              <w:ind w:left="158" w:right="97"/>
              <w:rPr>
                <w:sz w:val="22"/>
              </w:rPr>
            </w:pPr>
            <w:r>
              <w:rPr>
                <w:sz w:val="22"/>
              </w:rPr>
              <w:t>Guayabo</w:t>
            </w:r>
          </w:p>
        </w:tc>
        <w:tc>
          <w:tcPr>
            <w:tcW w:w="4998" w:type="dxa"/>
            <w:tcBorders>
              <w:bottom w:val="thinThickMediumGap" w:sz="12" w:space="0" w:color="000000"/>
              <w:right w:val="thinThickMediumGap" w:sz="12" w:space="0" w:color="000000"/>
            </w:tcBorders>
          </w:tcPr>
          <w:p>
            <w:pPr>
              <w:pStyle w:val="TableParagraph"/>
              <w:spacing w:before="9"/>
              <w:ind w:left="81"/>
              <w:jc w:val="both"/>
              <w:rPr>
                <w:b/>
                <w:sz w:val="22"/>
              </w:rPr>
            </w:pPr>
            <w:r>
              <w:rPr>
                <w:b/>
                <w:color w:val="211E1F"/>
                <w:sz w:val="22"/>
              </w:rPr>
              <w:t>Alimenticio</w:t>
            </w:r>
          </w:p>
          <w:p>
            <w:pPr>
              <w:pStyle w:val="TableParagraph"/>
              <w:spacing w:before="6"/>
              <w:ind w:left="81"/>
              <w:jc w:val="both"/>
              <w:rPr>
                <w:sz w:val="22"/>
              </w:rPr>
            </w:pPr>
            <w:r>
              <w:rPr>
                <w:sz w:val="22"/>
              </w:rPr>
              <w:t>El fruto cuando maduro, sirve de alimento.</w:t>
            </w:r>
          </w:p>
          <w:p>
            <w:pPr>
              <w:pStyle w:val="TableParagraph"/>
              <w:spacing w:before="5"/>
              <w:rPr>
                <w:rFonts w:ascii="Times New Roman"/>
                <w:sz w:val="21"/>
              </w:rPr>
            </w:pPr>
          </w:p>
          <w:p>
            <w:pPr>
              <w:pStyle w:val="TableParagraph"/>
              <w:ind w:left="81"/>
              <w:jc w:val="both"/>
              <w:rPr>
                <w:b/>
                <w:sz w:val="22"/>
              </w:rPr>
            </w:pPr>
            <w:r>
              <w:rPr>
                <w:b/>
                <w:color w:val="211E1F"/>
                <w:sz w:val="22"/>
              </w:rPr>
              <w:t>Medicinal</w:t>
            </w:r>
          </w:p>
          <w:p>
            <w:pPr>
              <w:pStyle w:val="TableParagraph"/>
              <w:spacing w:before="6"/>
              <w:ind w:left="81" w:right="102"/>
              <w:rPr>
                <w:sz w:val="22"/>
              </w:rPr>
            </w:pPr>
            <w:r>
              <w:rPr>
                <w:sz w:val="22"/>
              </w:rPr>
              <w:t>La infusión de las hojas se utiliza contra la diarrea.</w:t>
            </w:r>
          </w:p>
          <w:p>
            <w:pPr>
              <w:pStyle w:val="TableParagraph"/>
              <w:spacing w:before="4"/>
              <w:rPr>
                <w:rFonts w:ascii="Times New Roman"/>
                <w:sz w:val="21"/>
              </w:rPr>
            </w:pPr>
          </w:p>
          <w:p>
            <w:pPr>
              <w:pStyle w:val="TableParagraph"/>
              <w:ind w:left="81" w:right="76"/>
              <w:jc w:val="both"/>
              <w:rPr>
                <w:sz w:val="22"/>
              </w:rPr>
            </w:pPr>
            <w:r>
              <w:rPr>
                <w:b/>
                <w:sz w:val="22"/>
              </w:rPr>
              <w:t>Potencial Ornamental. </w:t>
            </w:r>
            <w:r>
              <w:rPr>
                <w:sz w:val="22"/>
              </w:rPr>
              <w:t>Las hojas,  inflorescencia y frutos (Guadarrama-Martínez </w:t>
            </w:r>
            <w:r>
              <w:rPr>
                <w:i/>
                <w:sz w:val="22"/>
              </w:rPr>
              <w:t>et </w:t>
            </w:r>
            <w:r>
              <w:rPr>
                <w:i/>
                <w:sz w:val="22"/>
              </w:rPr>
              <w:t>al.,</w:t>
            </w:r>
            <w:r>
              <w:rPr>
                <w:i/>
                <w:spacing w:val="-2"/>
                <w:sz w:val="22"/>
              </w:rPr>
              <w:t> </w:t>
            </w:r>
            <w:r>
              <w:rPr>
                <w:sz w:val="22"/>
              </w:rPr>
              <w:t>2012).</w:t>
            </w:r>
          </w:p>
        </w:tc>
        <w:tc>
          <w:tcPr>
            <w:tcW w:w="4917" w:type="dxa"/>
            <w:tcBorders>
              <w:bottom w:val="thinThickMediumGap" w:sz="12" w:space="0" w:color="000000"/>
              <w:right w:val="thinThickMediumGap" w:sz="12" w:space="0" w:color="000000"/>
            </w:tcBorders>
          </w:tcPr>
          <w:p>
            <w:pPr>
              <w:pStyle w:val="TableParagraph"/>
              <w:spacing w:before="14"/>
              <w:ind w:left="81" w:right="68"/>
              <w:jc w:val="both"/>
              <w:rPr>
                <w:sz w:val="22"/>
              </w:rPr>
            </w:pPr>
            <w:r>
              <w:rPr>
                <w:sz w:val="22"/>
              </w:rPr>
              <w:t>Originario del continente americano (Kantún- Balam </w:t>
            </w:r>
            <w:r>
              <w:rPr>
                <w:i/>
                <w:sz w:val="22"/>
              </w:rPr>
              <w:t>et al., </w:t>
            </w:r>
            <w:r>
              <w:rPr>
                <w:sz w:val="22"/>
              </w:rPr>
              <w:t>2013). Estados Unidos, México, Mesoamérica,  Colombia,  Venezuela, Guayanas, Ecuador, Perú, Bolivia, Brasil, Paraguay, Uruguay, Argentina, Chile, Antillas. Florida; a todo lo largo de México, Centroamérica; Las Antillas; zonas  tropicales de Sudamérica (Sánchez–Vindas, 1990). Se encuentra probablemente silvestre desde el sur de Tamps., este de S. L. P. y el norte de Pue. y Ver. hasta la península de Yuc. en la vertiente del Golfo, y de Son. hasta Chis. (Pennington y Sarukhán,</w:t>
            </w:r>
            <w:r>
              <w:rPr>
                <w:spacing w:val="-5"/>
                <w:sz w:val="22"/>
              </w:rPr>
              <w:t> </w:t>
            </w:r>
            <w:r>
              <w:rPr>
                <w:sz w:val="22"/>
              </w:rPr>
              <w:t>1998).</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1"/>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55"/>
        <w:gridCol w:w="1268"/>
        <w:gridCol w:w="4989"/>
        <w:gridCol w:w="4917"/>
      </w:tblGrid>
      <w:tr>
        <w:trPr>
          <w:trHeight w:val="413"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998"/>
              <w:rPr>
                <w:b/>
                <w:i/>
                <w:sz w:val="20"/>
              </w:rPr>
            </w:pPr>
            <w:r>
              <w:rPr>
                <w:b/>
                <w:i/>
                <w:sz w:val="20"/>
              </w:rPr>
              <w:t>Cuadro 6. Listado de especies de flora de la Zona de Manejo Ambiental: Plantas Medicinales y Aromáticas (continúa).</w:t>
            </w:r>
          </w:p>
        </w:tc>
      </w:tr>
      <w:tr>
        <w:trPr>
          <w:trHeight w:val="764" w:hRule="exact"/>
        </w:trPr>
        <w:tc>
          <w:tcPr>
            <w:tcW w:w="2055" w:type="dxa"/>
            <w:tcBorders>
              <w:bottom w:val="thinThickMediumGap" w:sz="12" w:space="0" w:color="000000"/>
              <w:right w:val="thinThickMediumGap" w:sz="12" w:space="0" w:color="000000"/>
            </w:tcBorders>
            <w:shd w:val="clear" w:color="auto" w:fill="D9D9D9"/>
          </w:tcPr>
          <w:p>
            <w:pPr>
              <w:pStyle w:val="TableParagraph"/>
              <w:spacing w:before="106"/>
              <w:ind w:left="518" w:hanging="404"/>
              <w:rPr>
                <w:b/>
                <w:sz w:val="22"/>
              </w:rPr>
            </w:pPr>
            <w:r>
              <w:rPr>
                <w:b/>
                <w:sz w:val="22"/>
              </w:rPr>
              <w:t>Familia / Nombre científico</w:t>
            </w:r>
          </w:p>
        </w:tc>
        <w:tc>
          <w:tcPr>
            <w:tcW w:w="1268" w:type="dxa"/>
            <w:tcBorders>
              <w:bottom w:val="thinThickMediumGap" w:sz="12" w:space="0" w:color="000000"/>
              <w:right w:val="thinThickMediumGap" w:sz="12" w:space="0" w:color="000000"/>
            </w:tcBorders>
            <w:shd w:val="clear" w:color="auto" w:fill="D9D9D9"/>
          </w:tcPr>
          <w:p>
            <w:pPr>
              <w:pStyle w:val="TableParagraph"/>
              <w:spacing w:before="106"/>
              <w:ind w:left="244" w:right="167" w:hanging="53"/>
              <w:rPr>
                <w:b/>
                <w:sz w:val="22"/>
              </w:rPr>
            </w:pPr>
            <w:r>
              <w:rPr>
                <w:b/>
                <w:sz w:val="22"/>
              </w:rPr>
              <w:t>Nombre común</w:t>
            </w:r>
          </w:p>
        </w:tc>
        <w:tc>
          <w:tcPr>
            <w:tcW w:w="4989" w:type="dxa"/>
            <w:tcBorders>
              <w:bottom w:val="thinThickMediumGap" w:sz="12" w:space="0" w:color="000000"/>
              <w:right w:val="thinThickMediumGap" w:sz="12" w:space="0" w:color="000000"/>
            </w:tcBorders>
            <w:shd w:val="clear" w:color="auto" w:fill="D9D9D9"/>
          </w:tcPr>
          <w:p>
            <w:pPr>
              <w:pStyle w:val="TableParagraph"/>
              <w:rPr>
                <w:rFonts w:ascii="Times New Roman"/>
                <w:sz w:val="20"/>
              </w:rPr>
            </w:pPr>
          </w:p>
          <w:p>
            <w:pPr>
              <w:pStyle w:val="TableParagraph"/>
              <w:spacing w:before="1"/>
              <w:ind w:left="2178" w:right="2175"/>
              <w:jc w:val="center"/>
              <w:rPr>
                <w:b/>
                <w:sz w:val="22"/>
              </w:rPr>
            </w:pPr>
            <w:r>
              <w:rPr>
                <w:b/>
                <w:sz w:val="22"/>
              </w:rPr>
              <w:t>Usos</w:t>
            </w:r>
          </w:p>
        </w:tc>
        <w:tc>
          <w:tcPr>
            <w:tcW w:w="4917" w:type="dxa"/>
            <w:tcBorders>
              <w:bottom w:val="thinThickMediumGap" w:sz="12" w:space="0" w:color="000000"/>
              <w:right w:val="thinThickMediumGap" w:sz="12" w:space="0" w:color="000000"/>
            </w:tcBorders>
            <w:shd w:val="clear" w:color="auto" w:fill="D9D9D9"/>
          </w:tcPr>
          <w:p>
            <w:pPr>
              <w:pStyle w:val="TableParagraph"/>
              <w:rPr>
                <w:rFonts w:ascii="Times New Roman"/>
                <w:sz w:val="20"/>
              </w:rPr>
            </w:pPr>
          </w:p>
          <w:p>
            <w:pPr>
              <w:pStyle w:val="TableParagraph"/>
              <w:spacing w:before="1"/>
              <w:ind w:left="1768" w:right="1768"/>
              <w:jc w:val="center"/>
              <w:rPr>
                <w:b/>
                <w:sz w:val="22"/>
              </w:rPr>
            </w:pPr>
            <w:r>
              <w:rPr>
                <w:b/>
                <w:sz w:val="22"/>
              </w:rPr>
              <w:t>Distribución</w:t>
            </w:r>
          </w:p>
        </w:tc>
      </w:tr>
      <w:tr>
        <w:trPr>
          <w:trHeight w:val="1325" w:hRule="exact"/>
        </w:trPr>
        <w:tc>
          <w:tcPr>
            <w:tcW w:w="2055" w:type="dxa"/>
            <w:tcBorders>
              <w:bottom w:val="thinThickMediumGap" w:sz="12" w:space="0" w:color="000000"/>
              <w:right w:val="thinThickMediumGap" w:sz="12" w:space="0" w:color="000000"/>
            </w:tcBorders>
          </w:tcPr>
          <w:p>
            <w:pPr>
              <w:pStyle w:val="TableParagraph"/>
              <w:spacing w:line="244" w:lineRule="auto" w:before="5"/>
              <w:ind w:left="81" w:right="245"/>
              <w:rPr>
                <w:sz w:val="22"/>
              </w:rPr>
            </w:pPr>
            <w:r>
              <w:rPr>
                <w:b/>
                <w:sz w:val="22"/>
              </w:rPr>
              <w:t>Oleaceae </w:t>
            </w:r>
            <w:r>
              <w:rPr>
                <w:i/>
                <w:sz w:val="22"/>
              </w:rPr>
              <w:t>Fraxinus uhdei </w:t>
            </w:r>
            <w:r>
              <w:rPr>
                <w:sz w:val="22"/>
              </w:rPr>
              <w:t>(Wenz.) Lingelsh</w:t>
            </w:r>
          </w:p>
          <w:p>
            <w:pPr>
              <w:pStyle w:val="TableParagraph"/>
              <w:spacing w:line="245" w:lineRule="exact"/>
              <w:ind w:left="81"/>
              <w:rPr>
                <w:sz w:val="14"/>
              </w:rPr>
            </w:pPr>
            <w:r>
              <w:rPr>
                <w:sz w:val="22"/>
              </w:rPr>
              <w:t>(S) </w:t>
            </w:r>
            <w:r>
              <w:rPr>
                <w:position w:val="10"/>
                <w:sz w:val="14"/>
              </w:rPr>
              <w:t>7</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143" w:right="137"/>
              <w:jc w:val="center"/>
              <w:rPr>
                <w:sz w:val="22"/>
              </w:rPr>
            </w:pPr>
            <w:r>
              <w:rPr>
                <w:sz w:val="22"/>
              </w:rPr>
              <w:t>Fresno</w:t>
            </w:r>
          </w:p>
        </w:tc>
        <w:tc>
          <w:tcPr>
            <w:tcW w:w="4989" w:type="dxa"/>
            <w:tcBorders>
              <w:bottom w:val="thinThickMediumGap" w:sz="12" w:space="0" w:color="000000"/>
              <w:right w:val="thinThickMediumGap" w:sz="12" w:space="0" w:color="000000"/>
            </w:tcBorders>
          </w:tcPr>
          <w:p>
            <w:pPr>
              <w:pStyle w:val="TableParagraph"/>
              <w:spacing w:before="5"/>
              <w:ind w:left="81" w:right="73"/>
              <w:rPr>
                <w:b/>
                <w:sz w:val="22"/>
              </w:rPr>
            </w:pPr>
            <w:r>
              <w:rPr>
                <w:b/>
                <w:sz w:val="22"/>
              </w:rPr>
              <w:t>Ornamental</w:t>
            </w:r>
          </w:p>
          <w:p>
            <w:pPr>
              <w:pStyle w:val="TableParagraph"/>
              <w:spacing w:line="252" w:lineRule="exact" w:before="6"/>
              <w:ind w:left="81" w:right="73"/>
              <w:rPr>
                <w:sz w:val="22"/>
              </w:rPr>
            </w:pPr>
            <w:r>
              <w:rPr>
                <w:sz w:val="22"/>
              </w:rPr>
              <w:t>Estos árboles se utilizan en parque y jardines.</w:t>
            </w:r>
          </w:p>
          <w:p>
            <w:pPr>
              <w:pStyle w:val="TableParagraph"/>
              <w:spacing w:line="252" w:lineRule="exact"/>
              <w:ind w:left="81" w:right="73"/>
              <w:rPr>
                <w:b/>
                <w:sz w:val="22"/>
              </w:rPr>
            </w:pPr>
            <w:r>
              <w:rPr>
                <w:b/>
                <w:sz w:val="22"/>
              </w:rPr>
              <w:t>Medicinal</w:t>
            </w:r>
          </w:p>
          <w:p>
            <w:pPr>
              <w:pStyle w:val="TableParagraph"/>
              <w:spacing w:before="1"/>
              <w:ind w:left="81" w:right="73"/>
              <w:rPr>
                <w:sz w:val="22"/>
              </w:rPr>
            </w:pPr>
            <w:r>
              <w:rPr>
                <w:sz w:val="22"/>
              </w:rPr>
              <w:t>Hemorragias nasales.</w:t>
            </w:r>
          </w:p>
        </w:tc>
        <w:tc>
          <w:tcPr>
            <w:tcW w:w="4917" w:type="dxa"/>
            <w:tcBorders>
              <w:bottom w:val="thinThickMediumGap" w:sz="12" w:space="0" w:color="000000"/>
              <w:right w:val="thinThickMediumGap" w:sz="12" w:space="0" w:color="000000"/>
            </w:tcBorders>
          </w:tcPr>
          <w:p>
            <w:pPr>
              <w:pStyle w:val="TableParagraph"/>
              <w:spacing w:before="9"/>
              <w:ind w:left="81" w:right="73"/>
              <w:jc w:val="both"/>
              <w:rPr>
                <w:sz w:val="22"/>
              </w:rPr>
            </w:pPr>
            <w:r>
              <w:rPr>
                <w:sz w:val="22"/>
              </w:rPr>
              <w:t>Originaria de México, distribución en: Col.,  Chis., Dgo., Gro., Hgo., Jal., Méx., Mich., </w:t>
            </w:r>
            <w:r>
              <w:rPr>
                <w:spacing w:val="54"/>
                <w:sz w:val="22"/>
              </w:rPr>
              <w:t> </w:t>
            </w:r>
            <w:r>
              <w:rPr>
                <w:sz w:val="22"/>
              </w:rPr>
              <w:t>Mor.,</w:t>
            </w:r>
          </w:p>
          <w:p>
            <w:pPr>
              <w:pStyle w:val="TableParagraph"/>
              <w:spacing w:line="250" w:lineRule="exact" w:before="8"/>
              <w:ind w:left="81" w:right="71"/>
              <w:jc w:val="both"/>
              <w:rPr>
                <w:sz w:val="22"/>
              </w:rPr>
            </w:pPr>
            <w:r>
              <w:rPr>
                <w:sz w:val="22"/>
              </w:rPr>
              <w:t>Nay., N.L., Oax., Pue., S.L.P. Sin. y Ver. (CONABIO, 2014). Distribuida en todo el país hasta Guatemala (</w:t>
            </w:r>
            <w:r>
              <w:rPr>
                <w:i/>
                <w:sz w:val="22"/>
              </w:rPr>
              <w:t>Dorado et al., </w:t>
            </w:r>
            <w:r>
              <w:rPr>
                <w:sz w:val="22"/>
              </w:rPr>
              <w:t>2012).</w:t>
            </w:r>
          </w:p>
        </w:tc>
      </w:tr>
      <w:tr>
        <w:trPr>
          <w:trHeight w:val="1071" w:hRule="exact"/>
        </w:trPr>
        <w:tc>
          <w:tcPr>
            <w:tcW w:w="2055" w:type="dxa"/>
            <w:tcBorders>
              <w:bottom w:val="thinThickMediumGap" w:sz="12" w:space="0" w:color="000000"/>
              <w:right w:val="thinThickMediumGap" w:sz="12" w:space="0" w:color="000000"/>
            </w:tcBorders>
          </w:tcPr>
          <w:p>
            <w:pPr>
              <w:pStyle w:val="TableParagraph"/>
              <w:spacing w:line="242" w:lineRule="auto" w:before="5"/>
              <w:ind w:left="81" w:right="587"/>
              <w:rPr>
                <w:sz w:val="22"/>
              </w:rPr>
            </w:pPr>
            <w:r>
              <w:rPr>
                <w:b/>
                <w:sz w:val="22"/>
              </w:rPr>
              <w:t>Poaceae </w:t>
            </w:r>
            <w:r>
              <w:rPr>
                <w:i/>
                <w:sz w:val="22"/>
              </w:rPr>
              <w:t>Cymbopogon </w:t>
            </w:r>
            <w:r>
              <w:rPr>
                <w:i/>
                <w:sz w:val="22"/>
              </w:rPr>
              <w:t>citratus </w:t>
            </w:r>
            <w:r>
              <w:rPr>
                <w:sz w:val="22"/>
              </w:rPr>
              <w:t>(DC.) Staff. (C)</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43" w:right="142"/>
              <w:jc w:val="center"/>
              <w:rPr>
                <w:sz w:val="22"/>
              </w:rPr>
            </w:pPr>
            <w:r>
              <w:rPr>
                <w:sz w:val="22"/>
              </w:rPr>
              <w:t>Té limón</w:t>
            </w:r>
          </w:p>
        </w:tc>
        <w:tc>
          <w:tcPr>
            <w:tcW w:w="4989" w:type="dxa"/>
            <w:tcBorders>
              <w:bottom w:val="thinThickMediumGap" w:sz="12" w:space="0" w:color="000000"/>
              <w:right w:val="thinThickMediumGap" w:sz="12" w:space="0" w:color="000000"/>
            </w:tcBorders>
          </w:tcPr>
          <w:p>
            <w:pPr>
              <w:pStyle w:val="TableParagraph"/>
              <w:spacing w:before="5"/>
              <w:ind w:left="81" w:right="73"/>
              <w:rPr>
                <w:b/>
                <w:sz w:val="22"/>
              </w:rPr>
            </w:pPr>
            <w:r>
              <w:rPr>
                <w:b/>
                <w:sz w:val="22"/>
              </w:rPr>
              <w:t>Medicinal</w:t>
            </w:r>
          </w:p>
          <w:p>
            <w:pPr>
              <w:pStyle w:val="TableParagraph"/>
              <w:spacing w:before="6"/>
              <w:ind w:left="81" w:right="73"/>
              <w:rPr>
                <w:sz w:val="22"/>
              </w:rPr>
            </w:pPr>
            <w:r>
              <w:rPr>
                <w:sz w:val="22"/>
              </w:rPr>
              <w:t>La infusión sirve para problemas respiratorios (tos, gripe) y digestivo (diarrea, vomito).</w:t>
            </w:r>
          </w:p>
        </w:tc>
        <w:tc>
          <w:tcPr>
            <w:tcW w:w="4917" w:type="dxa"/>
            <w:tcBorders>
              <w:bottom w:val="thinThickMediumGap" w:sz="12" w:space="0" w:color="000000"/>
              <w:right w:val="thinThickMediumGap" w:sz="12" w:space="0" w:color="000000"/>
            </w:tcBorders>
          </w:tcPr>
          <w:p>
            <w:pPr>
              <w:pStyle w:val="TableParagraph"/>
              <w:spacing w:before="9"/>
              <w:ind w:left="81" w:right="81"/>
              <w:jc w:val="both"/>
              <w:rPr>
                <w:sz w:val="22"/>
              </w:rPr>
            </w:pPr>
            <w:r>
              <w:rPr>
                <w:sz w:val="22"/>
              </w:rPr>
              <w:t>Originaria de Asia (India, Bengal y Mysore), donde fue introducida y distribuida ampliamente en América (Ocampo y Valverde, 2000).</w:t>
            </w:r>
          </w:p>
        </w:tc>
      </w:tr>
      <w:tr>
        <w:trPr>
          <w:trHeight w:val="1076" w:hRule="exact"/>
        </w:trPr>
        <w:tc>
          <w:tcPr>
            <w:tcW w:w="2055" w:type="dxa"/>
            <w:tcBorders>
              <w:bottom w:val="thinThickMediumGap" w:sz="12" w:space="0" w:color="000000"/>
              <w:right w:val="thinThickMediumGap" w:sz="12" w:space="0" w:color="000000"/>
            </w:tcBorders>
          </w:tcPr>
          <w:p>
            <w:pPr>
              <w:pStyle w:val="TableParagraph"/>
              <w:spacing w:line="242" w:lineRule="auto" w:before="9"/>
              <w:ind w:left="81" w:right="159"/>
              <w:rPr>
                <w:sz w:val="22"/>
              </w:rPr>
            </w:pPr>
            <w:r>
              <w:rPr>
                <w:b/>
                <w:sz w:val="22"/>
              </w:rPr>
              <w:t>Rubiaceae </w:t>
            </w:r>
            <w:r>
              <w:rPr>
                <w:i/>
                <w:sz w:val="22"/>
              </w:rPr>
              <w:t>Randia monantha </w:t>
            </w:r>
            <w:r>
              <w:rPr>
                <w:sz w:val="22"/>
              </w:rPr>
              <w:t>Benth (S)</w:t>
            </w:r>
          </w:p>
        </w:tc>
        <w:tc>
          <w:tcPr>
            <w:tcW w:w="1268" w:type="dxa"/>
            <w:tcBorders>
              <w:bottom w:val="thinThickMediumGap" w:sz="12" w:space="0" w:color="000000"/>
              <w:right w:val="thinThickMediumGap" w:sz="12" w:space="0" w:color="000000"/>
            </w:tcBorders>
          </w:tcPr>
          <w:p>
            <w:pPr>
              <w:pStyle w:val="TableParagraph"/>
              <w:spacing w:before="14"/>
              <w:ind w:left="143" w:right="145"/>
              <w:jc w:val="center"/>
              <w:rPr>
                <w:sz w:val="22"/>
              </w:rPr>
            </w:pPr>
            <w:r>
              <w:rPr>
                <w:sz w:val="22"/>
              </w:rPr>
              <w:t>Crucetillo o     Papache peludo</w:t>
            </w:r>
          </w:p>
        </w:tc>
        <w:tc>
          <w:tcPr>
            <w:tcW w:w="4989"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Medicinal</w:t>
            </w:r>
          </w:p>
          <w:p>
            <w:pPr>
              <w:pStyle w:val="TableParagraph"/>
              <w:spacing w:before="1"/>
              <w:ind w:left="81" w:right="77"/>
              <w:jc w:val="both"/>
              <w:rPr>
                <w:sz w:val="22"/>
              </w:rPr>
            </w:pPr>
            <w:r>
              <w:rPr>
                <w:sz w:val="22"/>
              </w:rPr>
              <w:t>Bebida, las hojas con agua ardiente como antídoto contra la mordedura de animales venenosos.</w:t>
            </w:r>
          </w:p>
        </w:tc>
        <w:tc>
          <w:tcPr>
            <w:tcW w:w="4917" w:type="dxa"/>
            <w:tcBorders>
              <w:bottom w:val="thinThickMediumGap" w:sz="12" w:space="0" w:color="000000"/>
              <w:right w:val="thinThickMediumGap" w:sz="12" w:space="0" w:color="000000"/>
            </w:tcBorders>
          </w:tcPr>
          <w:p>
            <w:pPr>
              <w:pStyle w:val="TableParagraph"/>
              <w:spacing w:line="250" w:lineRule="exact" w:before="20"/>
              <w:ind w:left="81"/>
              <w:rPr>
                <w:sz w:val="22"/>
              </w:rPr>
            </w:pPr>
            <w:r>
              <w:rPr>
                <w:sz w:val="22"/>
              </w:rPr>
              <w:t>En México: Estado de México, Oaxaca y Veracruz); Guatemala (Borhidi, 2006).</w:t>
            </w:r>
          </w:p>
        </w:tc>
      </w:tr>
      <w:tr>
        <w:trPr>
          <w:trHeight w:val="1594" w:hRule="exact"/>
        </w:trPr>
        <w:tc>
          <w:tcPr>
            <w:tcW w:w="2055" w:type="dxa"/>
            <w:tcBorders>
              <w:bottom w:val="thinThickMediumGap" w:sz="12" w:space="0" w:color="000000"/>
              <w:right w:val="thinThickMediumGap" w:sz="12" w:space="0" w:color="000000"/>
            </w:tcBorders>
          </w:tcPr>
          <w:p>
            <w:pPr>
              <w:pStyle w:val="TableParagraph"/>
              <w:spacing w:before="5"/>
              <w:ind w:left="81"/>
              <w:rPr>
                <w:b/>
                <w:sz w:val="22"/>
              </w:rPr>
            </w:pPr>
            <w:r>
              <w:rPr>
                <w:b/>
                <w:sz w:val="22"/>
              </w:rPr>
              <w:t>Rutaceae</w:t>
            </w:r>
          </w:p>
          <w:p>
            <w:pPr>
              <w:pStyle w:val="TableParagraph"/>
              <w:spacing w:before="1"/>
              <w:ind w:left="81"/>
              <w:rPr>
                <w:i/>
                <w:sz w:val="22"/>
              </w:rPr>
            </w:pPr>
            <w:r>
              <w:rPr>
                <w:i/>
                <w:sz w:val="22"/>
              </w:rPr>
              <w:t>Ruta chalepensis</w:t>
            </w:r>
          </w:p>
          <w:p>
            <w:pPr>
              <w:pStyle w:val="TableParagraph"/>
              <w:spacing w:before="1"/>
              <w:ind w:left="81"/>
              <w:rPr>
                <w:sz w:val="22"/>
              </w:rPr>
            </w:pPr>
            <w:r>
              <w:rPr>
                <w:sz w:val="22"/>
              </w:rPr>
              <w:t>L. (C)</w:t>
            </w:r>
          </w:p>
        </w:tc>
        <w:tc>
          <w:tcPr>
            <w:tcW w:w="126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7"/>
              <w:ind w:left="143" w:right="142"/>
              <w:jc w:val="center"/>
              <w:rPr>
                <w:sz w:val="22"/>
              </w:rPr>
            </w:pPr>
            <w:r>
              <w:rPr>
                <w:sz w:val="22"/>
              </w:rPr>
              <w:t>Ruda</w:t>
            </w:r>
          </w:p>
        </w:tc>
        <w:tc>
          <w:tcPr>
            <w:tcW w:w="4989" w:type="dxa"/>
            <w:tcBorders>
              <w:bottom w:val="thinThickMediumGap" w:sz="12" w:space="0" w:color="000000"/>
              <w:right w:val="thinThickMediumGap" w:sz="12" w:space="0" w:color="000000"/>
            </w:tcBorders>
          </w:tcPr>
          <w:p>
            <w:pPr>
              <w:pStyle w:val="TableParagraph"/>
              <w:spacing w:before="5"/>
              <w:ind w:left="81" w:right="73"/>
              <w:rPr>
                <w:b/>
                <w:sz w:val="22"/>
              </w:rPr>
            </w:pPr>
            <w:r>
              <w:rPr>
                <w:b/>
                <w:sz w:val="22"/>
              </w:rPr>
              <w:t>Medicinal</w:t>
            </w:r>
          </w:p>
          <w:p>
            <w:pPr>
              <w:pStyle w:val="TableParagraph"/>
              <w:spacing w:before="6"/>
              <w:ind w:left="81" w:right="73"/>
              <w:rPr>
                <w:sz w:val="22"/>
              </w:rPr>
            </w:pPr>
            <w:r>
              <w:rPr>
                <w:sz w:val="22"/>
              </w:rPr>
              <w:t>La infusión de hojas, tallos y flores  se  utiliza para provocar la menstruación. Limpias de aire. </w:t>
            </w:r>
            <w:r>
              <w:rPr>
                <w:b/>
                <w:sz w:val="22"/>
              </w:rPr>
              <w:t>Efectos tóxicos</w:t>
            </w:r>
            <w:r>
              <w:rPr>
                <w:sz w:val="22"/>
              </w:rPr>
              <w:t>: Náuseas, vómitos. La raíz es abortiva por aumentar las contracciones uterinas y producir hemorragia (Gil </w:t>
            </w:r>
            <w:r>
              <w:rPr>
                <w:i/>
                <w:sz w:val="22"/>
              </w:rPr>
              <w:t>et al., </w:t>
            </w:r>
            <w:r>
              <w:rPr>
                <w:sz w:val="22"/>
              </w:rPr>
              <w:t>2006).</w:t>
            </w:r>
          </w:p>
        </w:tc>
        <w:tc>
          <w:tcPr>
            <w:tcW w:w="4917" w:type="dxa"/>
            <w:tcBorders>
              <w:bottom w:val="thinThickMediumGap" w:sz="12" w:space="0" w:color="000000"/>
              <w:right w:val="thinThickMediumGap" w:sz="12" w:space="0" w:color="000000"/>
            </w:tcBorders>
          </w:tcPr>
          <w:p>
            <w:pPr>
              <w:pStyle w:val="TableParagraph"/>
              <w:spacing w:before="134"/>
              <w:ind w:left="81" w:right="68"/>
              <w:jc w:val="both"/>
              <w:rPr>
                <w:sz w:val="22"/>
              </w:rPr>
            </w:pPr>
            <w:r>
              <w:rPr>
                <w:sz w:val="22"/>
              </w:rPr>
              <w:t>Originario del continente europeo (Kantún- Balam </w:t>
            </w:r>
            <w:r>
              <w:rPr>
                <w:i/>
                <w:sz w:val="22"/>
              </w:rPr>
              <w:t>et al., </w:t>
            </w:r>
            <w:r>
              <w:rPr>
                <w:sz w:val="22"/>
              </w:rPr>
              <w:t>2013). Registrado en: Belice,  Chile, Colombia, Ecuador, Guatemala, Honduras, Perú U.S.A. y México: Camp. Chis., y Oax. (Trópicos,</w:t>
            </w:r>
            <w:r>
              <w:rPr>
                <w:spacing w:val="-7"/>
                <w:sz w:val="22"/>
              </w:rPr>
              <w:t> </w:t>
            </w:r>
            <w:r>
              <w:rPr>
                <w:sz w:val="22"/>
              </w:rPr>
              <w:t>2014).</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10"/>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3236"/>
        <w:gridCol w:w="2036"/>
        <w:gridCol w:w="4081"/>
        <w:gridCol w:w="3875"/>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784"/>
              <w:rPr>
                <w:b/>
                <w:i/>
                <w:sz w:val="20"/>
              </w:rPr>
            </w:pPr>
            <w:r>
              <w:rPr>
                <w:b/>
                <w:i/>
                <w:sz w:val="20"/>
              </w:rPr>
              <w:t>Cuadro 7. Listado de especies de flora de la Zona de Manejo Ambiental: Cafetal.</w:t>
            </w:r>
          </w:p>
        </w:tc>
      </w:tr>
      <w:tr>
        <w:trPr>
          <w:trHeight w:val="312" w:hRule="exact"/>
        </w:trPr>
        <w:tc>
          <w:tcPr>
            <w:tcW w:w="3236" w:type="dxa"/>
            <w:tcBorders>
              <w:bottom w:val="thinThickMediumGap" w:sz="12" w:space="0" w:color="000000"/>
              <w:right w:val="thinThickMediumGap" w:sz="12" w:space="0" w:color="000000"/>
            </w:tcBorders>
            <w:shd w:val="clear" w:color="auto" w:fill="D9D9D9"/>
          </w:tcPr>
          <w:p>
            <w:pPr>
              <w:pStyle w:val="TableParagraph"/>
              <w:spacing w:before="5"/>
              <w:ind w:left="187"/>
              <w:rPr>
                <w:b/>
                <w:sz w:val="22"/>
              </w:rPr>
            </w:pPr>
            <w:r>
              <w:rPr>
                <w:b/>
                <w:sz w:val="22"/>
              </w:rPr>
              <w:t>Familia / Nombre científico</w:t>
            </w:r>
          </w:p>
        </w:tc>
        <w:tc>
          <w:tcPr>
            <w:tcW w:w="2036" w:type="dxa"/>
            <w:tcBorders>
              <w:bottom w:val="thinThickMediumGap" w:sz="12" w:space="0" w:color="000000"/>
              <w:right w:val="thinThickMediumGap" w:sz="12" w:space="0" w:color="000000"/>
            </w:tcBorders>
            <w:shd w:val="clear" w:color="auto" w:fill="D9D9D9"/>
          </w:tcPr>
          <w:p>
            <w:pPr>
              <w:pStyle w:val="TableParagraph"/>
              <w:spacing w:before="5"/>
              <w:ind w:left="166" w:right="157"/>
              <w:jc w:val="center"/>
              <w:rPr>
                <w:b/>
                <w:sz w:val="22"/>
              </w:rPr>
            </w:pPr>
            <w:r>
              <w:rPr>
                <w:b/>
                <w:sz w:val="22"/>
              </w:rPr>
              <w:t>Nombre común</w:t>
            </w:r>
          </w:p>
        </w:tc>
        <w:tc>
          <w:tcPr>
            <w:tcW w:w="4081" w:type="dxa"/>
            <w:tcBorders>
              <w:bottom w:val="thinThickMediumGap" w:sz="12" w:space="0" w:color="000000"/>
              <w:right w:val="thinThickMediumGap" w:sz="12" w:space="0" w:color="000000"/>
            </w:tcBorders>
            <w:shd w:val="clear" w:color="auto" w:fill="D9D9D9"/>
          </w:tcPr>
          <w:p>
            <w:pPr>
              <w:pStyle w:val="TableParagraph"/>
              <w:spacing w:before="5"/>
              <w:ind w:left="1722" w:right="1723"/>
              <w:jc w:val="center"/>
              <w:rPr>
                <w:b/>
                <w:sz w:val="22"/>
              </w:rPr>
            </w:pPr>
            <w:r>
              <w:rPr>
                <w:b/>
                <w:sz w:val="22"/>
              </w:rPr>
              <w:t>Usos</w:t>
            </w:r>
          </w:p>
        </w:tc>
        <w:tc>
          <w:tcPr>
            <w:tcW w:w="3875" w:type="dxa"/>
            <w:tcBorders>
              <w:bottom w:val="thinThickMediumGap" w:sz="12" w:space="0" w:color="000000"/>
              <w:right w:val="thinThickMediumGap" w:sz="12" w:space="0" w:color="000000"/>
            </w:tcBorders>
            <w:shd w:val="clear" w:color="auto" w:fill="D9D9D9"/>
          </w:tcPr>
          <w:p>
            <w:pPr>
              <w:pStyle w:val="TableParagraph"/>
              <w:spacing w:before="5"/>
              <w:ind w:left="1267"/>
              <w:rPr>
                <w:b/>
                <w:sz w:val="22"/>
              </w:rPr>
            </w:pPr>
            <w:r>
              <w:rPr>
                <w:b/>
                <w:sz w:val="22"/>
              </w:rPr>
              <w:t>Distribución</w:t>
            </w:r>
          </w:p>
        </w:tc>
      </w:tr>
      <w:tr>
        <w:trPr>
          <w:trHeight w:val="1071" w:hRule="exact"/>
        </w:trPr>
        <w:tc>
          <w:tcPr>
            <w:tcW w:w="3236" w:type="dxa"/>
            <w:tcBorders>
              <w:bottom w:val="thinThickMediumGap" w:sz="12" w:space="0" w:color="000000"/>
              <w:right w:val="thinThickMediumGap" w:sz="12" w:space="0" w:color="000000"/>
            </w:tcBorders>
          </w:tcPr>
          <w:p>
            <w:pPr>
              <w:pStyle w:val="TableParagraph"/>
              <w:spacing w:before="134"/>
              <w:ind w:left="81"/>
              <w:rPr>
                <w:b/>
                <w:sz w:val="22"/>
              </w:rPr>
            </w:pPr>
            <w:r>
              <w:rPr>
                <w:b/>
                <w:sz w:val="22"/>
              </w:rPr>
              <w:t>Moraceae</w:t>
            </w:r>
          </w:p>
          <w:p>
            <w:pPr>
              <w:pStyle w:val="TableParagraph"/>
              <w:spacing w:before="9"/>
              <w:rPr>
                <w:rFonts w:ascii="Times New Roman"/>
                <w:sz w:val="21"/>
              </w:rPr>
            </w:pPr>
          </w:p>
          <w:p>
            <w:pPr>
              <w:pStyle w:val="TableParagraph"/>
              <w:spacing w:before="1"/>
              <w:ind w:left="81"/>
              <w:rPr>
                <w:sz w:val="22"/>
              </w:rPr>
            </w:pPr>
            <w:r>
              <w:rPr>
                <w:i/>
                <w:sz w:val="22"/>
              </w:rPr>
              <w:t>Morus nigra </w:t>
            </w:r>
            <w:r>
              <w:rPr>
                <w:sz w:val="22"/>
              </w:rPr>
              <w:t>L. (C)</w:t>
            </w:r>
          </w:p>
        </w:tc>
        <w:tc>
          <w:tcPr>
            <w:tcW w:w="203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64" w:right="157"/>
              <w:jc w:val="center"/>
              <w:rPr>
                <w:sz w:val="22"/>
              </w:rPr>
            </w:pPr>
            <w:r>
              <w:rPr>
                <w:sz w:val="22"/>
              </w:rPr>
              <w:t>Mora</w:t>
            </w:r>
          </w:p>
        </w:tc>
        <w:tc>
          <w:tcPr>
            <w:tcW w:w="4081" w:type="dxa"/>
            <w:tcBorders>
              <w:bottom w:val="thinThickMediumGap" w:sz="12" w:space="0" w:color="000000"/>
              <w:right w:val="thinThickMediumGap" w:sz="12" w:space="0" w:color="000000"/>
            </w:tcBorders>
          </w:tcPr>
          <w:p>
            <w:pPr>
              <w:pStyle w:val="TableParagraph"/>
              <w:tabs>
                <w:tab w:pos="763" w:val="left" w:leader="none"/>
                <w:tab w:pos="3231" w:val="left" w:leader="none"/>
                <w:tab w:pos="3652" w:val="left" w:leader="none"/>
              </w:tabs>
              <w:spacing w:before="5"/>
              <w:ind w:left="81" w:right="76"/>
              <w:rPr>
                <w:sz w:val="22"/>
              </w:rPr>
            </w:pPr>
            <w:r>
              <w:rPr>
                <w:b/>
                <w:sz w:val="22"/>
              </w:rPr>
              <w:t>Alimenticio. </w:t>
            </w:r>
            <w:r>
              <w:rPr>
                <w:sz w:val="22"/>
              </w:rPr>
              <w:t>El fruto fresco </w:t>
            </w:r>
            <w:r>
              <w:rPr>
                <w:spacing w:val="-3"/>
                <w:sz w:val="22"/>
              </w:rPr>
              <w:t>se </w:t>
            </w:r>
            <w:r>
              <w:rPr>
                <w:sz w:val="22"/>
              </w:rPr>
              <w:t>come. </w:t>
            </w:r>
            <w:r>
              <w:rPr>
                <w:b/>
                <w:sz w:val="22"/>
              </w:rPr>
              <w:t>Potencial Ornamental. </w:t>
            </w:r>
            <w:r>
              <w:rPr>
                <w:sz w:val="22"/>
              </w:rPr>
              <w:t>Las hojas y fruto</w:t>
              <w:tab/>
            </w:r>
            <w:r>
              <w:rPr>
                <w:b/>
                <w:sz w:val="22"/>
              </w:rPr>
              <w:t>(</w:t>
            </w:r>
            <w:r>
              <w:rPr>
                <w:sz w:val="22"/>
              </w:rPr>
              <w:t>Guadarrama-Martínez</w:t>
              <w:tab/>
            </w:r>
            <w:r>
              <w:rPr>
                <w:i/>
                <w:sz w:val="22"/>
              </w:rPr>
              <w:t>et</w:t>
              <w:tab/>
            </w:r>
            <w:r>
              <w:rPr>
                <w:i/>
                <w:spacing w:val="-1"/>
                <w:sz w:val="22"/>
              </w:rPr>
              <w:t>al., </w:t>
            </w:r>
            <w:r>
              <w:rPr>
                <w:sz w:val="22"/>
              </w:rPr>
              <w:t>2012).</w:t>
            </w:r>
          </w:p>
        </w:tc>
        <w:tc>
          <w:tcPr>
            <w:tcW w:w="3875" w:type="dxa"/>
            <w:tcBorders>
              <w:bottom w:val="thinThickMediumGap" w:sz="12" w:space="0" w:color="000000"/>
              <w:right w:val="thinThickMediumGap" w:sz="12" w:space="0" w:color="000000"/>
            </w:tcBorders>
          </w:tcPr>
          <w:p>
            <w:pPr>
              <w:pStyle w:val="TableParagraph"/>
              <w:spacing w:before="9"/>
              <w:ind w:left="81" w:right="72"/>
              <w:jc w:val="both"/>
              <w:rPr>
                <w:sz w:val="22"/>
              </w:rPr>
            </w:pPr>
            <w:r>
              <w:rPr>
                <w:sz w:val="22"/>
              </w:rPr>
              <w:t>Especie cosmopolita, el Himalaya (Asia) es considerado como el lugar probable de origen (Benavides, 2000).</w:t>
            </w:r>
          </w:p>
        </w:tc>
      </w:tr>
      <w:tr>
        <w:trPr>
          <w:trHeight w:val="2353" w:hRule="exact"/>
        </w:trPr>
        <w:tc>
          <w:tcPr>
            <w:tcW w:w="323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3"/>
              <w:ind w:left="81"/>
              <w:rPr>
                <w:b/>
                <w:sz w:val="22"/>
              </w:rPr>
            </w:pPr>
            <w:r>
              <w:rPr>
                <w:b/>
                <w:sz w:val="22"/>
              </w:rPr>
              <w:t>Rubiaceae</w:t>
            </w:r>
          </w:p>
          <w:p>
            <w:pPr>
              <w:pStyle w:val="TableParagraph"/>
              <w:rPr>
                <w:rFonts w:ascii="Times New Roman"/>
                <w:sz w:val="22"/>
              </w:rPr>
            </w:pPr>
          </w:p>
          <w:p>
            <w:pPr>
              <w:pStyle w:val="TableParagraph"/>
              <w:spacing w:before="2"/>
              <w:rPr>
                <w:rFonts w:ascii="Times New Roman"/>
                <w:sz w:val="20"/>
              </w:rPr>
            </w:pPr>
          </w:p>
          <w:p>
            <w:pPr>
              <w:pStyle w:val="TableParagraph"/>
              <w:ind w:left="81"/>
              <w:rPr>
                <w:sz w:val="22"/>
              </w:rPr>
            </w:pPr>
            <w:r>
              <w:rPr>
                <w:i/>
                <w:sz w:val="22"/>
              </w:rPr>
              <w:t>Coffea arabica </w:t>
            </w:r>
            <w:r>
              <w:rPr>
                <w:sz w:val="22"/>
              </w:rPr>
              <w:t>L. </w:t>
            </w:r>
            <w:r>
              <w:rPr>
                <w:position w:val="10"/>
                <w:sz w:val="14"/>
              </w:rPr>
              <w:t>3 y 6 </w:t>
            </w:r>
            <w:r>
              <w:rPr>
                <w:sz w:val="22"/>
              </w:rPr>
              <w:t>(C)</w:t>
            </w:r>
          </w:p>
        </w:tc>
        <w:tc>
          <w:tcPr>
            <w:tcW w:w="203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1"/>
              <w:rPr>
                <w:rFonts w:ascii="Times New Roman"/>
                <w:sz w:val="22"/>
              </w:rPr>
            </w:pPr>
          </w:p>
          <w:p>
            <w:pPr>
              <w:pStyle w:val="TableParagraph"/>
              <w:ind w:left="164" w:right="157"/>
              <w:jc w:val="center"/>
              <w:rPr>
                <w:sz w:val="22"/>
              </w:rPr>
            </w:pPr>
            <w:r>
              <w:rPr>
                <w:sz w:val="22"/>
              </w:rPr>
              <w:t>Café</w:t>
            </w:r>
          </w:p>
        </w:tc>
        <w:tc>
          <w:tcPr>
            <w:tcW w:w="4081"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Medicinal.</w:t>
            </w:r>
          </w:p>
          <w:p>
            <w:pPr>
              <w:pStyle w:val="TableParagraph"/>
              <w:spacing w:before="1"/>
              <w:ind w:left="81"/>
              <w:jc w:val="both"/>
              <w:rPr>
                <w:sz w:val="22"/>
              </w:rPr>
            </w:pPr>
            <w:r>
              <w:rPr>
                <w:sz w:val="22"/>
              </w:rPr>
              <w:t>Estimulante y digestivo.</w:t>
            </w:r>
          </w:p>
          <w:p>
            <w:pPr>
              <w:pStyle w:val="TableParagraph"/>
              <w:spacing w:before="2"/>
              <w:ind w:left="81" w:right="83"/>
              <w:jc w:val="both"/>
              <w:rPr>
                <w:sz w:val="22"/>
              </w:rPr>
            </w:pPr>
            <w:r>
              <w:rPr>
                <w:sz w:val="22"/>
              </w:rPr>
              <w:t>Estimula el sistema nervioso, aumenta la secreción de jugos gástricos.</w:t>
            </w:r>
          </w:p>
          <w:p>
            <w:pPr>
              <w:pStyle w:val="TableParagraph"/>
              <w:spacing w:line="244" w:lineRule="auto"/>
              <w:ind w:left="81" w:right="76"/>
              <w:jc w:val="both"/>
              <w:rPr>
                <w:sz w:val="22"/>
              </w:rPr>
            </w:pPr>
            <w:r>
              <w:rPr>
                <w:b/>
                <w:sz w:val="22"/>
              </w:rPr>
              <w:t>Potencial Ornamental. </w:t>
            </w:r>
            <w:r>
              <w:rPr>
                <w:sz w:val="22"/>
              </w:rPr>
              <w:t>Las hojas y frutos (Guadarrama-Martínez </w:t>
            </w:r>
            <w:r>
              <w:rPr>
                <w:i/>
                <w:sz w:val="22"/>
              </w:rPr>
              <w:t>et al., </w:t>
            </w:r>
            <w:r>
              <w:rPr>
                <w:sz w:val="22"/>
              </w:rPr>
              <w:t>2012).</w:t>
            </w:r>
          </w:p>
        </w:tc>
        <w:tc>
          <w:tcPr>
            <w:tcW w:w="3875" w:type="dxa"/>
            <w:tcBorders>
              <w:bottom w:val="thinThickMediumGap" w:sz="12" w:space="0" w:color="000000"/>
              <w:right w:val="thinThickMediumGap" w:sz="12" w:space="0" w:color="000000"/>
            </w:tcBorders>
          </w:tcPr>
          <w:p>
            <w:pPr>
              <w:pStyle w:val="TableParagraph"/>
              <w:spacing w:before="14"/>
              <w:ind w:left="81" w:right="71"/>
              <w:jc w:val="both"/>
              <w:rPr>
                <w:sz w:val="22"/>
              </w:rPr>
            </w:pPr>
            <w:r>
              <w:rPr>
                <w:sz w:val="22"/>
              </w:rPr>
              <w:t>Originario del continente Áfricano (Kantún-Balam </w:t>
            </w:r>
            <w:r>
              <w:rPr>
                <w:i/>
                <w:sz w:val="22"/>
              </w:rPr>
              <w:t>et al., </w:t>
            </w:r>
            <w:r>
              <w:rPr>
                <w:sz w:val="22"/>
              </w:rPr>
              <w:t>2013). Distribución en: Belice, Bolivia,  Brasil, China, Colombia, Ecuador, El Salvador, Etiopía, Guatemala, Honduras, Kenya, Madagascar, México (Camp., Chis., Oax., Tab. y Yuc.) Nicaragua, Panamá, Perú y Venezuela (Trópicos,</w:t>
            </w:r>
            <w:r>
              <w:rPr>
                <w:spacing w:val="-6"/>
                <w:sz w:val="22"/>
              </w:rPr>
              <w:t> </w:t>
            </w:r>
            <w:r>
              <w:rPr>
                <w:sz w:val="22"/>
              </w:rPr>
              <w:t>2014).</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31"/>
        <w:gridCol w:w="1762"/>
        <w:gridCol w:w="3611"/>
        <w:gridCol w:w="5824"/>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640"/>
              <w:rPr>
                <w:b/>
                <w:i/>
                <w:sz w:val="20"/>
              </w:rPr>
            </w:pPr>
            <w:r>
              <w:rPr>
                <w:b/>
                <w:i/>
                <w:sz w:val="20"/>
              </w:rPr>
              <w:t>Cuadro 8. Listado de especies de flora de la Zona de Manejo Ambiental: Hortalizas.</w:t>
            </w:r>
          </w:p>
        </w:tc>
      </w:tr>
      <w:tr>
        <w:trPr>
          <w:trHeight w:val="567" w:hRule="exact"/>
        </w:trPr>
        <w:tc>
          <w:tcPr>
            <w:tcW w:w="2031" w:type="dxa"/>
            <w:tcBorders>
              <w:bottom w:val="thinThickMediumGap" w:sz="12" w:space="0" w:color="000000"/>
              <w:right w:val="thinThickMediumGap" w:sz="12" w:space="0" w:color="000000"/>
            </w:tcBorders>
            <w:shd w:val="clear" w:color="auto" w:fill="D9D9D9"/>
          </w:tcPr>
          <w:p>
            <w:pPr>
              <w:pStyle w:val="TableParagraph"/>
              <w:spacing w:before="5"/>
              <w:ind w:left="504" w:hanging="404"/>
              <w:rPr>
                <w:b/>
                <w:sz w:val="22"/>
              </w:rPr>
            </w:pPr>
            <w:r>
              <w:rPr>
                <w:b/>
                <w:sz w:val="22"/>
              </w:rPr>
              <w:t>Familia / Nombre científico</w:t>
            </w:r>
          </w:p>
        </w:tc>
        <w:tc>
          <w:tcPr>
            <w:tcW w:w="1762" w:type="dxa"/>
            <w:tcBorders>
              <w:bottom w:val="thinThickMediumGap" w:sz="12" w:space="0" w:color="000000"/>
              <w:right w:val="thinThickMediumGap" w:sz="12" w:space="0" w:color="000000"/>
            </w:tcBorders>
            <w:shd w:val="clear" w:color="auto" w:fill="D9D9D9"/>
          </w:tcPr>
          <w:p>
            <w:pPr>
              <w:pStyle w:val="TableParagraph"/>
              <w:spacing w:before="5"/>
              <w:ind w:left="494" w:right="417" w:hanging="58"/>
              <w:rPr>
                <w:b/>
                <w:sz w:val="22"/>
              </w:rPr>
            </w:pPr>
            <w:r>
              <w:rPr>
                <w:b/>
                <w:sz w:val="22"/>
              </w:rPr>
              <w:t>Nombre común</w:t>
            </w:r>
          </w:p>
        </w:tc>
        <w:tc>
          <w:tcPr>
            <w:tcW w:w="3611" w:type="dxa"/>
            <w:tcBorders>
              <w:bottom w:val="thinThickMediumGap" w:sz="12" w:space="0" w:color="000000"/>
              <w:right w:val="thinThickMediumGap" w:sz="12" w:space="0" w:color="000000"/>
            </w:tcBorders>
            <w:shd w:val="clear" w:color="auto" w:fill="D9D9D9"/>
          </w:tcPr>
          <w:p>
            <w:pPr>
              <w:pStyle w:val="TableParagraph"/>
              <w:spacing w:before="135"/>
              <w:ind w:left="1487" w:right="1488"/>
              <w:jc w:val="center"/>
              <w:rPr>
                <w:b/>
                <w:sz w:val="22"/>
              </w:rPr>
            </w:pPr>
            <w:r>
              <w:rPr>
                <w:b/>
                <w:sz w:val="22"/>
              </w:rPr>
              <w:t>Usos</w:t>
            </w:r>
          </w:p>
        </w:tc>
        <w:tc>
          <w:tcPr>
            <w:tcW w:w="5824" w:type="dxa"/>
            <w:tcBorders>
              <w:bottom w:val="thinThickMediumGap" w:sz="12" w:space="0" w:color="000000"/>
              <w:right w:val="thinThickMediumGap" w:sz="12" w:space="0" w:color="000000"/>
            </w:tcBorders>
            <w:shd w:val="clear" w:color="auto" w:fill="D9D9D9"/>
          </w:tcPr>
          <w:p>
            <w:pPr>
              <w:pStyle w:val="TableParagraph"/>
              <w:spacing w:before="135"/>
              <w:ind w:left="2220" w:right="2223"/>
              <w:jc w:val="center"/>
              <w:rPr>
                <w:b/>
                <w:sz w:val="22"/>
              </w:rPr>
            </w:pPr>
            <w:r>
              <w:rPr>
                <w:b/>
                <w:sz w:val="22"/>
              </w:rPr>
              <w:t>Distribución</w:t>
            </w:r>
          </w:p>
        </w:tc>
      </w:tr>
      <w:tr>
        <w:trPr>
          <w:trHeight w:val="2084" w:hRule="exact"/>
        </w:trPr>
        <w:tc>
          <w:tcPr>
            <w:tcW w:w="2031"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7"/>
              <w:rPr>
                <w:rFonts w:ascii="Times New Roman"/>
                <w:sz w:val="22"/>
              </w:rPr>
            </w:pPr>
          </w:p>
          <w:p>
            <w:pPr>
              <w:pStyle w:val="TableParagraph"/>
              <w:ind w:left="81"/>
              <w:rPr>
                <w:b/>
                <w:sz w:val="22"/>
              </w:rPr>
            </w:pPr>
            <w:r>
              <w:rPr>
                <w:b/>
                <w:sz w:val="22"/>
              </w:rPr>
              <w:t>Caricaceae</w:t>
            </w:r>
          </w:p>
          <w:p>
            <w:pPr>
              <w:pStyle w:val="TableParagraph"/>
              <w:spacing w:before="9"/>
              <w:rPr>
                <w:rFonts w:ascii="Times New Roman"/>
                <w:sz w:val="21"/>
              </w:rPr>
            </w:pPr>
          </w:p>
          <w:p>
            <w:pPr>
              <w:pStyle w:val="TableParagraph"/>
              <w:spacing w:line="244" w:lineRule="auto" w:before="1"/>
              <w:ind w:left="81" w:right="209"/>
              <w:rPr>
                <w:sz w:val="22"/>
              </w:rPr>
            </w:pPr>
            <w:r>
              <w:rPr>
                <w:i/>
                <w:sz w:val="22"/>
              </w:rPr>
              <w:t>Carica papaya </w:t>
            </w:r>
            <w:r>
              <w:rPr>
                <w:sz w:val="22"/>
              </w:rPr>
              <w:t>L. (C)</w:t>
            </w:r>
          </w:p>
        </w:tc>
        <w:tc>
          <w:tcPr>
            <w:tcW w:w="176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9"/>
              <w:ind w:left="97" w:right="95"/>
              <w:jc w:val="center"/>
              <w:rPr>
                <w:sz w:val="22"/>
              </w:rPr>
            </w:pPr>
            <w:r>
              <w:rPr>
                <w:sz w:val="22"/>
              </w:rPr>
              <w:t>Papaya</w:t>
            </w:r>
          </w:p>
        </w:tc>
        <w:tc>
          <w:tcPr>
            <w:tcW w:w="3611" w:type="dxa"/>
            <w:tcBorders>
              <w:bottom w:val="thinThickMediumGap" w:sz="12" w:space="0" w:color="000000"/>
              <w:right w:val="thinThickMediumGap" w:sz="12" w:space="0" w:color="000000"/>
            </w:tcBorders>
          </w:tcPr>
          <w:p>
            <w:pPr>
              <w:pStyle w:val="TableParagraph"/>
              <w:spacing w:before="5"/>
              <w:ind w:left="81"/>
              <w:rPr>
                <w:b/>
                <w:sz w:val="22"/>
              </w:rPr>
            </w:pPr>
            <w:r>
              <w:rPr>
                <w:b/>
                <w:sz w:val="22"/>
              </w:rPr>
              <w:t>Alimenticio</w:t>
            </w:r>
          </w:p>
          <w:p>
            <w:pPr>
              <w:pStyle w:val="TableParagraph"/>
              <w:spacing w:line="251" w:lineRule="exact" w:before="6"/>
              <w:ind w:left="81"/>
              <w:rPr>
                <w:sz w:val="22"/>
              </w:rPr>
            </w:pPr>
            <w:r>
              <w:rPr>
                <w:sz w:val="22"/>
              </w:rPr>
              <w:t>El fruto sirve de alimento.</w:t>
            </w:r>
          </w:p>
          <w:p>
            <w:pPr>
              <w:pStyle w:val="TableParagraph"/>
              <w:spacing w:line="251" w:lineRule="exact"/>
              <w:ind w:left="81"/>
              <w:rPr>
                <w:b/>
                <w:sz w:val="22"/>
              </w:rPr>
            </w:pPr>
            <w:r>
              <w:rPr>
                <w:b/>
                <w:sz w:val="22"/>
              </w:rPr>
              <w:t>Medicinal</w:t>
            </w:r>
          </w:p>
          <w:p>
            <w:pPr>
              <w:pStyle w:val="TableParagraph"/>
              <w:tabs>
                <w:tab w:pos="1774" w:val="left" w:leader="none"/>
                <w:tab w:pos="2445" w:val="left" w:leader="none"/>
              </w:tabs>
              <w:spacing w:before="2"/>
              <w:ind w:left="81" w:right="76"/>
              <w:rPr>
                <w:sz w:val="22"/>
              </w:rPr>
            </w:pPr>
            <w:r>
              <w:rPr>
                <w:sz w:val="22"/>
              </w:rPr>
              <w:t>Contrarrestar</w:t>
              <w:tab/>
              <w:t>los</w:t>
              <w:tab/>
            </w:r>
            <w:r>
              <w:rPr>
                <w:spacing w:val="-1"/>
                <w:sz w:val="22"/>
              </w:rPr>
              <w:t>problemas </w:t>
            </w:r>
            <w:r>
              <w:rPr>
                <w:sz w:val="22"/>
              </w:rPr>
              <w:t>digestivos.</w:t>
            </w:r>
          </w:p>
        </w:tc>
        <w:tc>
          <w:tcPr>
            <w:tcW w:w="5824" w:type="dxa"/>
            <w:tcBorders>
              <w:bottom w:val="thinThickMediumGap" w:sz="12" w:space="0" w:color="000000"/>
              <w:right w:val="thinThickMediumGap" w:sz="12" w:space="0" w:color="000000"/>
            </w:tcBorders>
          </w:tcPr>
          <w:p>
            <w:pPr>
              <w:pStyle w:val="TableParagraph"/>
              <w:spacing w:before="5"/>
              <w:ind w:left="81" w:right="121"/>
              <w:rPr>
                <w:sz w:val="22"/>
              </w:rPr>
            </w:pPr>
            <w:r>
              <w:rPr>
                <w:sz w:val="22"/>
              </w:rPr>
              <w:t>Origen en América (Kantún-Balam </w:t>
            </w:r>
            <w:r>
              <w:rPr>
                <w:i/>
                <w:sz w:val="22"/>
              </w:rPr>
              <w:t>et al., </w:t>
            </w:r>
            <w:r>
              <w:rPr>
                <w:sz w:val="22"/>
              </w:rPr>
              <w:t>2013). Cultivada en regiones tropicales de América, desde México a Argentina y Brasil; en los trópicos de viejo mundo, así como en África y Asia. En México se distribuye en la vertiente del Golfo desde Tamaulipas hasta </w:t>
            </w:r>
            <w:r>
              <w:rPr>
                <w:spacing w:val="-3"/>
                <w:sz w:val="22"/>
              </w:rPr>
              <w:t>la </w:t>
            </w:r>
            <w:r>
              <w:rPr>
                <w:sz w:val="22"/>
              </w:rPr>
              <w:t>Península de Yucatán, en </w:t>
            </w:r>
            <w:r>
              <w:rPr>
                <w:spacing w:val="-3"/>
                <w:sz w:val="22"/>
              </w:rPr>
              <w:t>la </w:t>
            </w:r>
            <w:r>
              <w:rPr>
                <w:sz w:val="22"/>
              </w:rPr>
              <w:t>vertiente  del Pacífico desde Baja California a Chiapas (</w:t>
            </w:r>
            <w:r>
              <w:rPr>
                <w:i/>
                <w:sz w:val="22"/>
              </w:rPr>
              <w:t>Dorado et al., </w:t>
            </w:r>
            <w:r>
              <w:rPr>
                <w:sz w:val="22"/>
              </w:rPr>
              <w:t>2012).</w:t>
            </w:r>
          </w:p>
        </w:tc>
      </w:tr>
      <w:tr>
        <w:trPr>
          <w:trHeight w:val="1829" w:hRule="exact"/>
        </w:trPr>
        <w:tc>
          <w:tcPr>
            <w:tcW w:w="2031"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Pr>
                <w:b/>
                <w:sz w:val="22"/>
              </w:rPr>
            </w:pPr>
            <w:r>
              <w:rPr>
                <w:b/>
                <w:sz w:val="22"/>
              </w:rPr>
              <w:t>Fabaceae</w:t>
            </w:r>
          </w:p>
          <w:p>
            <w:pPr>
              <w:pStyle w:val="TableParagraph"/>
              <w:spacing w:before="4"/>
              <w:rPr>
                <w:rFonts w:ascii="Times New Roman"/>
                <w:sz w:val="22"/>
              </w:rPr>
            </w:pPr>
          </w:p>
          <w:p>
            <w:pPr>
              <w:pStyle w:val="TableParagraph"/>
              <w:spacing w:line="232" w:lineRule="auto"/>
              <w:ind w:left="81" w:right="276"/>
              <w:rPr>
                <w:sz w:val="22"/>
              </w:rPr>
            </w:pPr>
            <w:r>
              <w:rPr>
                <w:i/>
                <w:sz w:val="22"/>
              </w:rPr>
              <w:t>Calliandra </w:t>
            </w:r>
            <w:r>
              <w:rPr>
                <w:i/>
                <w:sz w:val="22"/>
              </w:rPr>
              <w:t>grandiflora </w:t>
            </w:r>
            <w:r>
              <w:rPr>
                <w:sz w:val="22"/>
              </w:rPr>
              <w:t>(L’ Hér.) Benth </w:t>
            </w:r>
            <w:r>
              <w:rPr>
                <w:position w:val="10"/>
                <w:sz w:val="14"/>
              </w:rPr>
              <w:t>7 </w:t>
            </w:r>
            <w:r>
              <w:rPr>
                <w:sz w:val="22"/>
              </w:rPr>
              <w:t>(S)</w:t>
            </w:r>
          </w:p>
        </w:tc>
        <w:tc>
          <w:tcPr>
            <w:tcW w:w="176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7"/>
              <w:ind w:left="571" w:right="307" w:hanging="246"/>
              <w:rPr>
                <w:sz w:val="22"/>
              </w:rPr>
            </w:pPr>
            <w:r>
              <w:rPr>
                <w:sz w:val="22"/>
              </w:rPr>
              <w:t>Cabello de Ángel</w:t>
            </w:r>
          </w:p>
        </w:tc>
        <w:tc>
          <w:tcPr>
            <w:tcW w:w="3611"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Medicinal</w:t>
            </w:r>
          </w:p>
          <w:p>
            <w:pPr>
              <w:pStyle w:val="TableParagraph"/>
              <w:spacing w:before="6"/>
              <w:ind w:left="81" w:right="76"/>
              <w:jc w:val="both"/>
              <w:rPr>
                <w:sz w:val="22"/>
              </w:rPr>
            </w:pPr>
            <w:r>
              <w:rPr>
                <w:sz w:val="22"/>
              </w:rPr>
              <w:t>Las hojas en infusión para contrarrestar la diarrea y disminuir la fiebre.</w:t>
            </w:r>
          </w:p>
          <w:p>
            <w:pPr>
              <w:pStyle w:val="TableParagraph"/>
              <w:tabs>
                <w:tab w:pos="2193" w:val="left" w:leader="none"/>
              </w:tabs>
              <w:spacing w:line="244" w:lineRule="auto"/>
              <w:ind w:left="81" w:right="71"/>
              <w:jc w:val="both"/>
              <w:rPr>
                <w:sz w:val="22"/>
              </w:rPr>
            </w:pPr>
            <w:r>
              <w:rPr>
                <w:b/>
                <w:sz w:val="22"/>
              </w:rPr>
              <w:t>Potencial</w:t>
              <w:tab/>
            </w:r>
            <w:r>
              <w:rPr>
                <w:b/>
                <w:spacing w:val="-1"/>
                <w:sz w:val="22"/>
              </w:rPr>
              <w:t>Ornamental. </w:t>
            </w:r>
            <w:r>
              <w:rPr>
                <w:sz w:val="22"/>
              </w:rPr>
              <w:t>Inflorescencia (Pérez-Nicolás y Fernández-Nava,</w:t>
            </w:r>
            <w:r>
              <w:rPr>
                <w:spacing w:val="-7"/>
                <w:sz w:val="22"/>
              </w:rPr>
              <w:t> </w:t>
            </w:r>
            <w:r>
              <w:rPr>
                <w:sz w:val="22"/>
              </w:rPr>
              <w:t>2007).</w:t>
            </w:r>
          </w:p>
        </w:tc>
        <w:tc>
          <w:tcPr>
            <w:tcW w:w="5824" w:type="dxa"/>
            <w:tcBorders>
              <w:bottom w:val="thinThickMediumGap" w:sz="12" w:space="0" w:color="000000"/>
              <w:right w:val="thinThickMediumGap" w:sz="12" w:space="0" w:color="000000"/>
            </w:tcBorders>
          </w:tcPr>
          <w:p>
            <w:pPr>
              <w:pStyle w:val="TableParagraph"/>
              <w:spacing w:before="9"/>
              <w:ind w:left="81" w:right="84"/>
              <w:jc w:val="both"/>
              <w:rPr>
                <w:sz w:val="22"/>
              </w:rPr>
            </w:pPr>
            <w:r>
              <w:rPr>
                <w:sz w:val="22"/>
              </w:rPr>
              <w:t>Es originaria del Sur de México y Guatemala. Áreas de distribución: Col., Dgo., Sin., Chis., D.F., Edo. de Méx., Gto., Gro., Hgo., Jal., Mich., Mor., Nay., Oax. y Ver. (Trópicos, 2014).</w:t>
            </w:r>
          </w:p>
        </w:tc>
      </w:tr>
      <w:tr>
        <w:trPr>
          <w:trHeight w:val="1580" w:hRule="exact"/>
        </w:trPr>
        <w:tc>
          <w:tcPr>
            <w:tcW w:w="2031"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Pr>
                <w:b/>
                <w:sz w:val="22"/>
              </w:rPr>
            </w:pPr>
            <w:r>
              <w:rPr>
                <w:b/>
                <w:sz w:val="22"/>
              </w:rPr>
              <w:t>Papaveraceae</w:t>
            </w:r>
          </w:p>
          <w:p>
            <w:pPr>
              <w:pStyle w:val="TableParagraph"/>
              <w:spacing w:before="3"/>
              <w:rPr>
                <w:rFonts w:ascii="Times New Roman"/>
                <w:sz w:val="22"/>
              </w:rPr>
            </w:pPr>
          </w:p>
          <w:p>
            <w:pPr>
              <w:pStyle w:val="TableParagraph"/>
              <w:spacing w:line="244" w:lineRule="exact"/>
              <w:ind w:left="81"/>
              <w:rPr>
                <w:i/>
                <w:sz w:val="22"/>
              </w:rPr>
            </w:pPr>
            <w:r>
              <w:rPr>
                <w:i/>
                <w:sz w:val="22"/>
              </w:rPr>
              <w:t>Bocconia arborea</w:t>
            </w:r>
          </w:p>
          <w:p>
            <w:pPr>
              <w:pStyle w:val="TableParagraph"/>
              <w:spacing w:line="269" w:lineRule="exact"/>
              <w:ind w:left="81"/>
              <w:rPr>
                <w:sz w:val="22"/>
              </w:rPr>
            </w:pPr>
            <w:r>
              <w:rPr>
                <w:sz w:val="22"/>
              </w:rPr>
              <w:t>S. Watson </w:t>
            </w:r>
            <w:r>
              <w:rPr>
                <w:position w:val="10"/>
                <w:sz w:val="14"/>
              </w:rPr>
              <w:t>2 y 7 </w:t>
            </w:r>
            <w:r>
              <w:rPr>
                <w:sz w:val="22"/>
              </w:rPr>
              <w:t>(S)</w:t>
            </w:r>
          </w:p>
        </w:tc>
        <w:tc>
          <w:tcPr>
            <w:tcW w:w="176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187" w:right="179" w:hanging="4"/>
              <w:jc w:val="center"/>
              <w:rPr>
                <w:sz w:val="22"/>
              </w:rPr>
            </w:pPr>
            <w:r>
              <w:rPr>
                <w:sz w:val="22"/>
              </w:rPr>
              <w:t>Llorasangre, Chincualule o Encuande</w:t>
            </w:r>
          </w:p>
        </w:tc>
        <w:tc>
          <w:tcPr>
            <w:tcW w:w="3611"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Medicinal</w:t>
            </w:r>
          </w:p>
          <w:p>
            <w:pPr>
              <w:pStyle w:val="TableParagraph"/>
              <w:spacing w:before="1"/>
              <w:ind w:left="81" w:right="74"/>
              <w:jc w:val="both"/>
              <w:rPr>
                <w:sz w:val="22"/>
              </w:rPr>
            </w:pPr>
            <w:r>
              <w:rPr>
                <w:sz w:val="22"/>
              </w:rPr>
              <w:t>Se utiliza la parte interna de la corteza, en una infusión, recomendado para enfermos del hígado o para aquellos  con dolores gastrointestinales.</w:t>
            </w:r>
          </w:p>
        </w:tc>
        <w:tc>
          <w:tcPr>
            <w:tcW w:w="5824" w:type="dxa"/>
            <w:tcBorders>
              <w:bottom w:val="thinThickMediumGap" w:sz="12" w:space="0" w:color="000000"/>
              <w:right w:val="thinThickMediumGap" w:sz="12" w:space="0" w:color="000000"/>
            </w:tcBorders>
          </w:tcPr>
          <w:p>
            <w:pPr>
              <w:pStyle w:val="TableParagraph"/>
              <w:spacing w:line="250" w:lineRule="exact" w:before="20"/>
              <w:ind w:left="81" w:right="77"/>
              <w:jc w:val="both"/>
              <w:rPr>
                <w:sz w:val="22"/>
              </w:rPr>
            </w:pPr>
            <w:r>
              <w:rPr>
                <w:sz w:val="22"/>
              </w:rPr>
              <w:t>Árbol nativo de México, se distribuye en los estados de Dgo., Gro., Jal., Mich., Nay., Oax., S.L.P. Sin., y Ver.; hasta Panamá y las Antillas (</w:t>
            </w:r>
            <w:r>
              <w:rPr>
                <w:i/>
                <w:sz w:val="22"/>
              </w:rPr>
              <w:t>Dorado et al., </w:t>
            </w:r>
            <w:r>
              <w:rPr>
                <w:sz w:val="22"/>
              </w:rPr>
              <w:t>2012).</w:t>
            </w:r>
          </w:p>
        </w:tc>
      </w:tr>
      <w:tr>
        <w:trPr>
          <w:trHeight w:val="1325" w:hRule="exact"/>
        </w:trPr>
        <w:tc>
          <w:tcPr>
            <w:tcW w:w="2031" w:type="dxa"/>
            <w:tcBorders>
              <w:bottom w:val="thinThickMediumGap" w:sz="12" w:space="0" w:color="000000"/>
              <w:right w:val="thinThickMediumGap" w:sz="12" w:space="0" w:color="000000"/>
            </w:tcBorders>
          </w:tcPr>
          <w:p>
            <w:pPr>
              <w:pStyle w:val="TableParagraph"/>
              <w:spacing w:before="9"/>
              <w:ind w:left="81"/>
              <w:rPr>
                <w:b/>
                <w:sz w:val="22"/>
              </w:rPr>
            </w:pPr>
            <w:r>
              <w:rPr>
                <w:b/>
                <w:sz w:val="22"/>
              </w:rPr>
              <w:t>Solanaceae</w:t>
            </w:r>
          </w:p>
          <w:p>
            <w:pPr>
              <w:pStyle w:val="TableParagraph"/>
              <w:spacing w:before="10"/>
              <w:rPr>
                <w:rFonts w:ascii="Times New Roman"/>
                <w:sz w:val="21"/>
              </w:rPr>
            </w:pPr>
          </w:p>
          <w:p>
            <w:pPr>
              <w:pStyle w:val="TableParagraph"/>
              <w:ind w:left="81" w:right="99"/>
              <w:rPr>
                <w:sz w:val="22"/>
              </w:rPr>
            </w:pPr>
            <w:r>
              <w:rPr>
                <w:i/>
                <w:sz w:val="22"/>
              </w:rPr>
              <w:t>Capsicum </w:t>
            </w:r>
            <w:r>
              <w:rPr>
                <w:i/>
                <w:sz w:val="22"/>
              </w:rPr>
              <w:t>pubescens </w:t>
            </w:r>
            <w:r>
              <w:rPr>
                <w:sz w:val="22"/>
              </w:rPr>
              <w:t>Ruiz &amp; Pav. (C)</w:t>
            </w:r>
          </w:p>
        </w:tc>
        <w:tc>
          <w:tcPr>
            <w:tcW w:w="176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100" w:right="95"/>
              <w:jc w:val="center"/>
              <w:rPr>
                <w:sz w:val="22"/>
              </w:rPr>
            </w:pPr>
            <w:r>
              <w:rPr>
                <w:sz w:val="22"/>
              </w:rPr>
              <w:t>Chile manzano</w:t>
            </w:r>
          </w:p>
        </w:tc>
        <w:tc>
          <w:tcPr>
            <w:tcW w:w="3611" w:type="dxa"/>
            <w:tcBorders>
              <w:bottom w:val="thinThickMediumGap" w:sz="12" w:space="0" w:color="000000"/>
              <w:right w:val="thinThickMediumGap" w:sz="12" w:space="0" w:color="000000"/>
            </w:tcBorders>
          </w:tcPr>
          <w:p>
            <w:pPr>
              <w:pStyle w:val="TableParagraph"/>
              <w:spacing w:before="9"/>
              <w:ind w:left="81"/>
              <w:rPr>
                <w:b/>
                <w:sz w:val="22"/>
              </w:rPr>
            </w:pPr>
            <w:r>
              <w:rPr>
                <w:b/>
                <w:sz w:val="22"/>
              </w:rPr>
              <w:t>Alimenticio</w:t>
            </w:r>
          </w:p>
          <w:p>
            <w:pPr>
              <w:pStyle w:val="TableParagraph"/>
              <w:spacing w:before="2"/>
              <w:ind w:left="81"/>
              <w:rPr>
                <w:sz w:val="22"/>
              </w:rPr>
            </w:pPr>
            <w:r>
              <w:rPr>
                <w:sz w:val="22"/>
              </w:rPr>
              <w:t>El fruto sirve de alimento.</w:t>
            </w:r>
          </w:p>
        </w:tc>
        <w:tc>
          <w:tcPr>
            <w:tcW w:w="5824" w:type="dxa"/>
            <w:tcBorders>
              <w:bottom w:val="thinThickMediumGap" w:sz="12" w:space="0" w:color="000000"/>
              <w:right w:val="thinThickMediumGap" w:sz="12" w:space="0" w:color="000000"/>
            </w:tcBorders>
          </w:tcPr>
          <w:p>
            <w:pPr>
              <w:pStyle w:val="TableParagraph"/>
              <w:spacing w:line="237" w:lineRule="auto" w:before="17"/>
              <w:ind w:left="81" w:right="76"/>
              <w:jc w:val="both"/>
              <w:rPr>
                <w:i/>
                <w:sz w:val="22"/>
              </w:rPr>
            </w:pPr>
            <w:r>
              <w:rPr>
                <w:sz w:val="22"/>
              </w:rPr>
              <w:t>Nativa de los Andes de Sudamérica y probablemente derivada de </w:t>
            </w:r>
            <w:r>
              <w:rPr>
                <w:i/>
                <w:sz w:val="22"/>
              </w:rPr>
              <w:t>Capsicum Cardenassi </w:t>
            </w:r>
            <w:r>
              <w:rPr>
                <w:sz w:val="22"/>
              </w:rPr>
              <w:t>y </w:t>
            </w:r>
            <w:r>
              <w:rPr>
                <w:i/>
                <w:sz w:val="22"/>
              </w:rPr>
              <w:t>C. eximium </w:t>
            </w:r>
            <w:r>
              <w:rPr>
                <w:sz w:val="22"/>
              </w:rPr>
              <w:t>(Nee, 1986)</w:t>
            </w:r>
            <w:r>
              <w:rPr>
                <w:i/>
                <w:sz w:val="22"/>
              </w:rPr>
              <w:t>.</w:t>
            </w:r>
          </w:p>
        </w:tc>
      </w:tr>
      <w:tr>
        <w:trPr>
          <w:trHeight w:val="1344" w:hRule="exact"/>
        </w:trPr>
        <w:tc>
          <w:tcPr>
            <w:tcW w:w="2031" w:type="dxa"/>
            <w:tcBorders>
              <w:bottom w:val="thinThickMediumGap" w:sz="12" w:space="0" w:color="000000"/>
              <w:right w:val="thinThickMediumGap" w:sz="12" w:space="0" w:color="000000"/>
            </w:tcBorders>
          </w:tcPr>
          <w:p>
            <w:pPr>
              <w:pStyle w:val="TableParagraph"/>
              <w:spacing w:before="10"/>
              <w:ind w:left="81"/>
              <w:rPr>
                <w:b/>
                <w:sz w:val="22"/>
              </w:rPr>
            </w:pPr>
            <w:r>
              <w:rPr>
                <w:b/>
                <w:sz w:val="22"/>
              </w:rPr>
              <w:t>Solanaceae</w:t>
            </w:r>
          </w:p>
          <w:p>
            <w:pPr>
              <w:pStyle w:val="TableParagraph"/>
              <w:spacing w:before="1"/>
              <w:rPr>
                <w:rFonts w:ascii="Times New Roman"/>
                <w:sz w:val="22"/>
              </w:rPr>
            </w:pPr>
          </w:p>
          <w:p>
            <w:pPr>
              <w:pStyle w:val="TableParagraph"/>
              <w:spacing w:line="254" w:lineRule="exact"/>
              <w:ind w:left="81" w:right="563"/>
              <w:rPr>
                <w:sz w:val="14"/>
              </w:rPr>
            </w:pPr>
            <w:r>
              <w:rPr>
                <w:i/>
                <w:sz w:val="22"/>
              </w:rPr>
              <w:t>Physalis </w:t>
            </w:r>
            <w:r>
              <w:rPr>
                <w:i/>
                <w:sz w:val="22"/>
              </w:rPr>
              <w:t>Philadelphica </w:t>
            </w:r>
            <w:r>
              <w:rPr>
                <w:sz w:val="22"/>
              </w:rPr>
              <w:t>Lam. (C) </w:t>
            </w:r>
            <w:r>
              <w:rPr>
                <w:position w:val="10"/>
                <w:sz w:val="14"/>
              </w:rPr>
              <w:t>1</w:t>
            </w:r>
          </w:p>
        </w:tc>
        <w:tc>
          <w:tcPr>
            <w:tcW w:w="176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97" w:right="95"/>
              <w:jc w:val="center"/>
              <w:rPr>
                <w:sz w:val="22"/>
              </w:rPr>
            </w:pPr>
            <w:r>
              <w:rPr>
                <w:sz w:val="22"/>
              </w:rPr>
              <w:t>Tomate</w:t>
            </w:r>
          </w:p>
        </w:tc>
        <w:tc>
          <w:tcPr>
            <w:tcW w:w="3611" w:type="dxa"/>
            <w:tcBorders>
              <w:bottom w:val="thinThickMediumGap" w:sz="12" w:space="0" w:color="000000"/>
              <w:right w:val="thinThickMediumGap" w:sz="12" w:space="0" w:color="000000"/>
            </w:tcBorders>
          </w:tcPr>
          <w:p>
            <w:pPr>
              <w:pStyle w:val="TableParagraph"/>
              <w:spacing w:before="10"/>
              <w:ind w:left="81" w:right="73"/>
              <w:jc w:val="both"/>
              <w:rPr>
                <w:sz w:val="22"/>
              </w:rPr>
            </w:pPr>
            <w:r>
              <w:rPr>
                <w:b/>
                <w:sz w:val="22"/>
              </w:rPr>
              <w:t>Medicinal. </w:t>
            </w:r>
            <w:r>
              <w:rPr>
                <w:sz w:val="22"/>
              </w:rPr>
              <w:t>Uno o dos tomates tostados en un sartén, aplicar sobre el cuello y cubrir con un trapo seco.</w:t>
            </w:r>
          </w:p>
          <w:p>
            <w:pPr>
              <w:pStyle w:val="TableParagraph"/>
              <w:spacing w:line="245" w:lineRule="exact"/>
              <w:ind w:left="81"/>
              <w:jc w:val="both"/>
              <w:rPr>
                <w:b/>
                <w:sz w:val="22"/>
              </w:rPr>
            </w:pPr>
            <w:r>
              <w:rPr>
                <w:b/>
                <w:sz w:val="22"/>
              </w:rPr>
              <w:t>Alimenticio</w:t>
            </w:r>
          </w:p>
        </w:tc>
        <w:tc>
          <w:tcPr>
            <w:tcW w:w="5824" w:type="dxa"/>
            <w:tcBorders>
              <w:bottom w:val="thinThickMediumGap" w:sz="12" w:space="0" w:color="000000"/>
              <w:right w:val="thinThickMediumGap" w:sz="12" w:space="0" w:color="000000"/>
            </w:tcBorders>
          </w:tcPr>
          <w:p>
            <w:pPr>
              <w:pStyle w:val="TableParagraph"/>
              <w:spacing w:before="15"/>
              <w:ind w:left="81" w:right="78"/>
              <w:jc w:val="both"/>
              <w:rPr>
                <w:sz w:val="22"/>
              </w:rPr>
            </w:pPr>
            <w:r>
              <w:rPr>
                <w:sz w:val="22"/>
              </w:rPr>
              <w:t>Distribución en todo México, introducido esporádicamente en los Estados Unidos  y Centroamérica hasta Panamá y en las</w:t>
            </w:r>
            <w:r>
              <w:rPr>
                <w:spacing w:val="-22"/>
                <w:sz w:val="22"/>
              </w:rPr>
              <w:t> </w:t>
            </w:r>
            <w:r>
              <w:rPr>
                <w:sz w:val="22"/>
              </w:rPr>
              <w:t>Antillas.</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801"/>
        <w:gridCol w:w="1056"/>
        <w:gridCol w:w="5478"/>
        <w:gridCol w:w="4893"/>
      </w:tblGrid>
      <w:tr>
        <w:trPr>
          <w:trHeight w:val="389" w:hRule="exact"/>
        </w:trPr>
        <w:tc>
          <w:tcPr>
            <w:tcW w:w="13228" w:type="dxa"/>
            <w:gridSpan w:val="4"/>
            <w:tcBorders>
              <w:bottom w:val="thinThickMediumGap" w:sz="12" w:space="0" w:color="000000"/>
              <w:right w:val="thinThickMediumGap" w:sz="12" w:space="0" w:color="000000"/>
            </w:tcBorders>
          </w:tcPr>
          <w:p>
            <w:pPr>
              <w:pStyle w:val="TableParagraph"/>
              <w:spacing w:before="52"/>
              <w:ind w:left="2727"/>
              <w:rPr>
                <w:b/>
                <w:i/>
                <w:sz w:val="20"/>
              </w:rPr>
            </w:pPr>
            <w:r>
              <w:rPr>
                <w:b/>
                <w:i/>
                <w:sz w:val="20"/>
              </w:rPr>
              <w:t>Cuadro 9. Listado de especies de flora de la Zona de Manejo Ambiental: Frutales.</w:t>
            </w:r>
          </w:p>
        </w:tc>
      </w:tr>
      <w:tr>
        <w:trPr>
          <w:trHeight w:val="821" w:hRule="exact"/>
        </w:trPr>
        <w:tc>
          <w:tcPr>
            <w:tcW w:w="1801" w:type="dxa"/>
            <w:tcBorders>
              <w:bottom w:val="thinThickMediumGap" w:sz="12" w:space="0" w:color="000000"/>
              <w:right w:val="thinThickMediumGap" w:sz="12" w:space="0" w:color="000000"/>
            </w:tcBorders>
            <w:shd w:val="clear" w:color="auto" w:fill="D9D9D9"/>
          </w:tcPr>
          <w:p>
            <w:pPr>
              <w:pStyle w:val="TableParagraph"/>
              <w:spacing w:before="9"/>
              <w:ind w:left="388" w:right="387" w:firstLine="43"/>
              <w:jc w:val="both"/>
              <w:rPr>
                <w:b/>
                <w:sz w:val="22"/>
              </w:rPr>
            </w:pPr>
            <w:r>
              <w:rPr>
                <w:b/>
                <w:sz w:val="22"/>
              </w:rPr>
              <w:t>Familia / Nombre científico</w:t>
            </w:r>
          </w:p>
        </w:tc>
        <w:tc>
          <w:tcPr>
            <w:tcW w:w="1056" w:type="dxa"/>
            <w:tcBorders>
              <w:bottom w:val="thinThickMediumGap" w:sz="12" w:space="0" w:color="000000"/>
              <w:right w:val="thinThickMediumGap" w:sz="12" w:space="0" w:color="000000"/>
            </w:tcBorders>
            <w:shd w:val="clear" w:color="auto" w:fill="D9D9D9"/>
          </w:tcPr>
          <w:p>
            <w:pPr>
              <w:pStyle w:val="TableParagraph"/>
              <w:spacing w:before="134"/>
              <w:ind w:left="139" w:hanging="53"/>
              <w:rPr>
                <w:b/>
                <w:sz w:val="22"/>
              </w:rPr>
            </w:pPr>
            <w:r>
              <w:rPr>
                <w:b/>
                <w:sz w:val="22"/>
              </w:rPr>
              <w:t>Nombre común</w:t>
            </w:r>
          </w:p>
        </w:tc>
        <w:tc>
          <w:tcPr>
            <w:tcW w:w="5478" w:type="dxa"/>
            <w:tcBorders>
              <w:bottom w:val="thinThickMediumGap" w:sz="12" w:space="0" w:color="000000"/>
              <w:right w:val="thinThickMediumGap" w:sz="12" w:space="0" w:color="000000"/>
            </w:tcBorders>
            <w:shd w:val="clear" w:color="auto" w:fill="D9D9D9"/>
          </w:tcPr>
          <w:p>
            <w:pPr>
              <w:pStyle w:val="TableParagraph"/>
              <w:spacing w:before="11"/>
              <w:rPr>
                <w:rFonts w:ascii="Times New Roman"/>
                <w:sz w:val="22"/>
              </w:rPr>
            </w:pPr>
          </w:p>
          <w:p>
            <w:pPr>
              <w:pStyle w:val="TableParagraph"/>
              <w:ind w:left="2422" w:right="2420"/>
              <w:jc w:val="center"/>
              <w:rPr>
                <w:b/>
                <w:sz w:val="22"/>
              </w:rPr>
            </w:pPr>
            <w:r>
              <w:rPr>
                <w:b/>
                <w:sz w:val="22"/>
              </w:rPr>
              <w:t>Usos</w:t>
            </w:r>
          </w:p>
        </w:tc>
        <w:tc>
          <w:tcPr>
            <w:tcW w:w="4893" w:type="dxa"/>
            <w:tcBorders>
              <w:bottom w:val="thinThickMediumGap" w:sz="12" w:space="0" w:color="000000"/>
              <w:right w:val="thinThickMediumGap" w:sz="12" w:space="0" w:color="000000"/>
            </w:tcBorders>
            <w:shd w:val="clear" w:color="auto" w:fill="D9D9D9"/>
          </w:tcPr>
          <w:p>
            <w:pPr>
              <w:pStyle w:val="TableParagraph"/>
              <w:spacing w:before="11"/>
              <w:rPr>
                <w:rFonts w:ascii="Times New Roman"/>
                <w:sz w:val="22"/>
              </w:rPr>
            </w:pPr>
          </w:p>
          <w:p>
            <w:pPr>
              <w:pStyle w:val="TableParagraph"/>
              <w:ind w:left="1755" w:right="1757"/>
              <w:jc w:val="center"/>
              <w:rPr>
                <w:b/>
                <w:sz w:val="22"/>
              </w:rPr>
            </w:pPr>
            <w:r>
              <w:rPr>
                <w:b/>
                <w:sz w:val="22"/>
              </w:rPr>
              <w:t>Distribución</w:t>
            </w:r>
          </w:p>
        </w:tc>
      </w:tr>
      <w:tr>
        <w:trPr>
          <w:trHeight w:val="1325" w:hRule="exact"/>
        </w:trPr>
        <w:tc>
          <w:tcPr>
            <w:tcW w:w="1801" w:type="dxa"/>
            <w:tcBorders>
              <w:bottom w:val="thinThickMediumGap" w:sz="12" w:space="0" w:color="000000"/>
              <w:right w:val="thinThickMediumGap" w:sz="12" w:space="0" w:color="000000"/>
            </w:tcBorders>
          </w:tcPr>
          <w:p>
            <w:pPr>
              <w:pStyle w:val="TableParagraph"/>
              <w:spacing w:before="9"/>
              <w:ind w:left="81" w:right="162"/>
              <w:rPr>
                <w:b/>
                <w:sz w:val="22"/>
              </w:rPr>
            </w:pPr>
            <w:r>
              <w:rPr>
                <w:b/>
                <w:sz w:val="22"/>
              </w:rPr>
              <w:t>Asteraceae</w:t>
            </w:r>
          </w:p>
          <w:p>
            <w:pPr>
              <w:pStyle w:val="TableParagraph"/>
              <w:spacing w:before="9"/>
              <w:rPr>
                <w:rFonts w:ascii="Times New Roman"/>
                <w:sz w:val="21"/>
              </w:rPr>
            </w:pPr>
          </w:p>
          <w:p>
            <w:pPr>
              <w:pStyle w:val="TableParagraph"/>
              <w:spacing w:line="242" w:lineRule="auto"/>
              <w:ind w:left="81" w:right="162"/>
              <w:rPr>
                <w:sz w:val="22"/>
              </w:rPr>
            </w:pPr>
            <w:r>
              <w:rPr>
                <w:i/>
                <w:sz w:val="22"/>
              </w:rPr>
              <w:t>Critoniopsis </w:t>
            </w:r>
            <w:r>
              <w:rPr>
                <w:i/>
                <w:sz w:val="22"/>
              </w:rPr>
              <w:t>salicifolia </w:t>
            </w:r>
            <w:r>
              <w:rPr>
                <w:sz w:val="22"/>
              </w:rPr>
              <w:t>(DC.)</w:t>
            </w:r>
          </w:p>
          <w:p>
            <w:pPr>
              <w:pStyle w:val="TableParagraph"/>
              <w:spacing w:line="252" w:lineRule="exact"/>
              <w:ind w:left="81" w:right="162"/>
              <w:rPr>
                <w:sz w:val="22"/>
              </w:rPr>
            </w:pPr>
            <w:r>
              <w:rPr>
                <w:sz w:val="22"/>
              </w:rPr>
              <w:t>H. Rob. (S)</w:t>
            </w:r>
          </w:p>
        </w:tc>
        <w:tc>
          <w:tcPr>
            <w:tcW w:w="10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right="116"/>
              <w:jc w:val="right"/>
              <w:rPr>
                <w:sz w:val="22"/>
              </w:rPr>
            </w:pPr>
            <w:r>
              <w:rPr>
                <w:sz w:val="22"/>
              </w:rPr>
              <w:t>Ahuitule</w:t>
            </w:r>
          </w:p>
        </w:tc>
        <w:tc>
          <w:tcPr>
            <w:tcW w:w="5478" w:type="dxa"/>
            <w:tcBorders>
              <w:bottom w:val="thinThickMediumGap" w:sz="12" w:space="0" w:color="000000"/>
              <w:right w:val="thinThickMediumGap" w:sz="12" w:space="0" w:color="000000"/>
            </w:tcBorders>
          </w:tcPr>
          <w:p>
            <w:pPr>
              <w:pStyle w:val="TableParagraph"/>
              <w:spacing w:before="14"/>
              <w:ind w:left="81" w:right="130"/>
              <w:rPr>
                <w:sz w:val="22"/>
              </w:rPr>
            </w:pPr>
            <w:r>
              <w:rPr>
                <w:sz w:val="22"/>
              </w:rPr>
              <w:t>Ningún uso</w:t>
            </w:r>
          </w:p>
        </w:tc>
        <w:tc>
          <w:tcPr>
            <w:tcW w:w="4893" w:type="dxa"/>
            <w:tcBorders>
              <w:bottom w:val="thinThickMediumGap" w:sz="12" w:space="0" w:color="000000"/>
              <w:right w:val="thinThickMediumGap" w:sz="12" w:space="0" w:color="000000"/>
            </w:tcBorders>
          </w:tcPr>
          <w:p>
            <w:pPr>
              <w:pStyle w:val="TableParagraph"/>
              <w:spacing w:before="14"/>
              <w:ind w:left="81" w:right="71"/>
              <w:jc w:val="both"/>
              <w:rPr>
                <w:sz w:val="22"/>
              </w:rPr>
            </w:pPr>
            <w:r>
              <w:rPr>
                <w:sz w:val="22"/>
              </w:rPr>
              <w:t>En México: Chis., Gro., Hgo., Jal., Mich., Edo. de Méx., Nay., Oax. y Ver.); Guatemala hasta Panamá; Sudamérica (Rzedowski, 2001). Además en el Col., D.F., Mor. y Pue. (Redonda-Martínez y Villaseñor-Ríos, 2009).</w:t>
            </w:r>
          </w:p>
        </w:tc>
      </w:tr>
      <w:tr>
        <w:trPr>
          <w:trHeight w:val="2593" w:hRule="exact"/>
        </w:trPr>
        <w:tc>
          <w:tcPr>
            <w:tcW w:w="1801"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3"/>
              <w:ind w:left="81"/>
              <w:rPr>
                <w:b/>
                <w:sz w:val="22"/>
              </w:rPr>
            </w:pPr>
            <w:r>
              <w:rPr>
                <w:b/>
                <w:sz w:val="22"/>
              </w:rPr>
              <w:t>Anacardiaceae</w:t>
            </w:r>
          </w:p>
          <w:p>
            <w:pPr>
              <w:pStyle w:val="TableParagraph"/>
              <w:rPr>
                <w:rFonts w:ascii="Times New Roman"/>
                <w:sz w:val="22"/>
              </w:rPr>
            </w:pPr>
          </w:p>
          <w:p>
            <w:pPr>
              <w:pStyle w:val="TableParagraph"/>
              <w:spacing w:before="10"/>
              <w:rPr>
                <w:rFonts w:ascii="Times New Roman"/>
                <w:sz w:val="21"/>
              </w:rPr>
            </w:pPr>
          </w:p>
          <w:p>
            <w:pPr>
              <w:pStyle w:val="TableParagraph"/>
              <w:spacing w:before="1"/>
              <w:ind w:left="81" w:right="456"/>
              <w:rPr>
                <w:sz w:val="22"/>
              </w:rPr>
            </w:pPr>
            <w:r>
              <w:rPr>
                <w:i/>
                <w:sz w:val="22"/>
              </w:rPr>
              <w:t>Mangifera </w:t>
            </w:r>
            <w:r>
              <w:rPr>
                <w:i/>
                <w:sz w:val="22"/>
              </w:rPr>
              <w:t>indica </w:t>
            </w:r>
            <w:r>
              <w:rPr>
                <w:sz w:val="22"/>
              </w:rPr>
              <w:t>L. (C)</w:t>
            </w:r>
          </w:p>
        </w:tc>
        <w:tc>
          <w:tcPr>
            <w:tcW w:w="10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2"/>
              </w:rPr>
            </w:pPr>
          </w:p>
          <w:p>
            <w:pPr>
              <w:pStyle w:val="TableParagraph"/>
              <w:spacing w:before="1"/>
              <w:ind w:left="211" w:right="143" w:hanging="48"/>
              <w:rPr>
                <w:sz w:val="22"/>
              </w:rPr>
            </w:pPr>
            <w:r>
              <w:rPr>
                <w:sz w:val="22"/>
              </w:rPr>
              <w:t>Mango criollo</w:t>
            </w:r>
          </w:p>
        </w:tc>
        <w:tc>
          <w:tcPr>
            <w:tcW w:w="5478" w:type="dxa"/>
            <w:tcBorders>
              <w:bottom w:val="thinThickMediumGap" w:sz="12" w:space="0" w:color="000000"/>
              <w:right w:val="thinThickMediumGap" w:sz="12" w:space="0" w:color="000000"/>
            </w:tcBorders>
          </w:tcPr>
          <w:p>
            <w:pPr>
              <w:pStyle w:val="TableParagraph"/>
              <w:spacing w:before="9"/>
              <w:ind w:left="81" w:right="78"/>
              <w:jc w:val="both"/>
              <w:rPr>
                <w:sz w:val="22"/>
              </w:rPr>
            </w:pPr>
            <w:r>
              <w:rPr>
                <w:b/>
                <w:sz w:val="22"/>
              </w:rPr>
              <w:t>Medicinal. </w:t>
            </w:r>
            <w:r>
              <w:rPr>
                <w:sz w:val="22"/>
              </w:rPr>
              <w:t>Uso de hojas y frutos maduros como antiinflamatorio, fiebre, dolor de muelas y digestivo.</w:t>
            </w:r>
          </w:p>
          <w:p>
            <w:pPr>
              <w:pStyle w:val="TableParagraph"/>
              <w:spacing w:line="250" w:lineRule="exact"/>
              <w:ind w:left="81"/>
              <w:jc w:val="both"/>
              <w:rPr>
                <w:b/>
                <w:sz w:val="22"/>
              </w:rPr>
            </w:pPr>
            <w:r>
              <w:rPr>
                <w:b/>
                <w:sz w:val="22"/>
              </w:rPr>
              <w:t>Alimenticio</w:t>
            </w:r>
          </w:p>
          <w:p>
            <w:pPr>
              <w:pStyle w:val="TableParagraph"/>
              <w:spacing w:before="2"/>
              <w:ind w:left="81" w:right="75"/>
              <w:jc w:val="both"/>
              <w:rPr>
                <w:sz w:val="22"/>
              </w:rPr>
            </w:pPr>
            <w:r>
              <w:rPr>
                <w:b/>
                <w:sz w:val="22"/>
              </w:rPr>
              <w:t>Potencial Ornamental: </w:t>
            </w:r>
            <w:r>
              <w:rPr>
                <w:sz w:val="22"/>
              </w:rPr>
              <w:t>Arquitectura: forma y/o estructura de la planta, se refiere a la simetría que pudiera tener la planta, además de la disposición o ubicación de los elementos morfológicos (Guadarrama-Martínez </w:t>
            </w:r>
            <w:r>
              <w:rPr>
                <w:i/>
                <w:sz w:val="22"/>
              </w:rPr>
              <w:t>et al., </w:t>
            </w:r>
            <w:r>
              <w:rPr>
                <w:sz w:val="22"/>
              </w:rPr>
              <w:t>2012).</w:t>
            </w:r>
          </w:p>
          <w:p>
            <w:pPr>
              <w:pStyle w:val="TableParagraph"/>
              <w:spacing w:line="250" w:lineRule="exact"/>
              <w:ind w:left="81"/>
              <w:jc w:val="both"/>
              <w:rPr>
                <w:b/>
                <w:sz w:val="22"/>
              </w:rPr>
            </w:pPr>
            <w:r>
              <w:rPr>
                <w:b/>
                <w:sz w:val="22"/>
              </w:rPr>
              <w:t>Efectos tóxicos:</w:t>
            </w:r>
          </w:p>
          <w:p>
            <w:pPr>
              <w:pStyle w:val="TableParagraph"/>
              <w:spacing w:before="1"/>
              <w:ind w:left="81"/>
              <w:jc w:val="both"/>
              <w:rPr>
                <w:sz w:val="22"/>
              </w:rPr>
            </w:pPr>
            <w:r>
              <w:rPr>
                <w:sz w:val="22"/>
              </w:rPr>
              <w:t>Irritación de la piel y las mucosas (Gil </w:t>
            </w:r>
            <w:r>
              <w:rPr>
                <w:i/>
                <w:sz w:val="22"/>
              </w:rPr>
              <w:t>et al., </w:t>
            </w:r>
            <w:r>
              <w:rPr>
                <w:sz w:val="22"/>
              </w:rPr>
              <w:t>2006).</w:t>
            </w:r>
          </w:p>
        </w:tc>
        <w:tc>
          <w:tcPr>
            <w:tcW w:w="4893"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1" w:right="68"/>
              <w:jc w:val="both"/>
              <w:rPr>
                <w:sz w:val="22"/>
              </w:rPr>
            </w:pPr>
            <w:r>
              <w:rPr>
                <w:sz w:val="22"/>
              </w:rPr>
              <w:t>Nativa de Asia tropical y cultivada en los trópicos y subtrópicos del mundo (Medina- Lemos y Fonseca, 2009).</w:t>
            </w:r>
          </w:p>
          <w:p>
            <w:pPr>
              <w:pStyle w:val="TableParagraph"/>
              <w:spacing w:line="244" w:lineRule="auto"/>
              <w:ind w:left="81" w:right="72"/>
              <w:jc w:val="both"/>
              <w:rPr>
                <w:sz w:val="22"/>
              </w:rPr>
            </w:pPr>
            <w:r>
              <w:rPr>
                <w:sz w:val="22"/>
              </w:rPr>
              <w:t>Árbol asiático (Kantún-Balam </w:t>
            </w:r>
            <w:r>
              <w:rPr>
                <w:i/>
                <w:sz w:val="22"/>
              </w:rPr>
              <w:t>et al., </w:t>
            </w:r>
            <w:r>
              <w:rPr>
                <w:sz w:val="22"/>
              </w:rPr>
              <w:t>2013), aclimatado en México en el primer tercio del siglo XVIII (Martínez y Matuda, 1979).</w:t>
            </w:r>
          </w:p>
          <w:p>
            <w:pPr>
              <w:pStyle w:val="TableParagraph"/>
              <w:spacing w:line="246" w:lineRule="exact" w:before="6"/>
              <w:ind w:left="81" w:right="78"/>
              <w:jc w:val="both"/>
              <w:rPr>
                <w:sz w:val="22"/>
              </w:rPr>
            </w:pPr>
            <w:r>
              <w:rPr>
                <w:sz w:val="22"/>
              </w:rPr>
              <w:t>Ampliamente cultivado en todas las regiones tropicales de México (</w:t>
            </w:r>
            <w:r>
              <w:rPr>
                <w:i/>
                <w:sz w:val="22"/>
              </w:rPr>
              <w:t>Dorado et al., </w:t>
            </w:r>
            <w:r>
              <w:rPr>
                <w:sz w:val="22"/>
              </w:rPr>
              <w:t>2012).</w:t>
            </w:r>
          </w:p>
        </w:tc>
      </w:tr>
      <w:tr>
        <w:trPr>
          <w:trHeight w:val="1575" w:hRule="exact"/>
        </w:trPr>
        <w:tc>
          <w:tcPr>
            <w:tcW w:w="1801"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Pr>
                <w:b/>
                <w:sz w:val="22"/>
              </w:rPr>
            </w:pPr>
            <w:r>
              <w:rPr>
                <w:b/>
                <w:sz w:val="22"/>
              </w:rPr>
              <w:t>Anacardiaceae</w:t>
            </w:r>
          </w:p>
          <w:p>
            <w:pPr>
              <w:pStyle w:val="TableParagraph"/>
              <w:spacing w:before="10"/>
              <w:rPr>
                <w:rFonts w:ascii="Times New Roman"/>
                <w:sz w:val="21"/>
              </w:rPr>
            </w:pPr>
          </w:p>
          <w:p>
            <w:pPr>
              <w:pStyle w:val="TableParagraph"/>
              <w:ind w:left="81" w:right="248"/>
              <w:rPr>
                <w:sz w:val="22"/>
              </w:rPr>
            </w:pPr>
            <w:r>
              <w:rPr>
                <w:i/>
                <w:sz w:val="22"/>
              </w:rPr>
              <w:t>Spondias </w:t>
            </w:r>
            <w:r>
              <w:rPr>
                <w:i/>
                <w:sz w:val="22"/>
              </w:rPr>
              <w:t>mombin </w:t>
            </w:r>
            <w:r>
              <w:rPr>
                <w:sz w:val="22"/>
              </w:rPr>
              <w:t>L. (C)</w:t>
            </w:r>
          </w:p>
        </w:tc>
        <w:tc>
          <w:tcPr>
            <w:tcW w:w="10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8"/>
              <w:ind w:right="145"/>
              <w:jc w:val="right"/>
              <w:rPr>
                <w:sz w:val="22"/>
              </w:rPr>
            </w:pPr>
            <w:r>
              <w:rPr>
                <w:sz w:val="22"/>
              </w:rPr>
              <w:t>Ciruela</w:t>
            </w:r>
          </w:p>
        </w:tc>
        <w:tc>
          <w:tcPr>
            <w:tcW w:w="5478" w:type="dxa"/>
            <w:tcBorders>
              <w:bottom w:val="thinThickMediumGap" w:sz="12" w:space="0" w:color="000000"/>
              <w:right w:val="thinThickMediumGap" w:sz="12" w:space="0" w:color="000000"/>
            </w:tcBorders>
          </w:tcPr>
          <w:p>
            <w:pPr>
              <w:pStyle w:val="TableParagraph"/>
              <w:spacing w:before="5"/>
              <w:ind w:left="81" w:right="130"/>
              <w:rPr>
                <w:b/>
                <w:sz w:val="22"/>
              </w:rPr>
            </w:pPr>
            <w:r>
              <w:rPr>
                <w:b/>
                <w:sz w:val="22"/>
              </w:rPr>
              <w:t>Alimenticio</w:t>
            </w:r>
          </w:p>
          <w:p>
            <w:pPr>
              <w:pStyle w:val="TableParagraph"/>
              <w:spacing w:line="252" w:lineRule="exact" w:before="6"/>
              <w:ind w:left="81" w:right="130"/>
              <w:rPr>
                <w:sz w:val="22"/>
              </w:rPr>
            </w:pPr>
            <w:r>
              <w:rPr>
                <w:sz w:val="22"/>
              </w:rPr>
              <w:t>Los frutos maduros se comen.</w:t>
            </w:r>
          </w:p>
          <w:p>
            <w:pPr>
              <w:pStyle w:val="TableParagraph"/>
              <w:spacing w:line="252" w:lineRule="exact"/>
              <w:ind w:left="81" w:right="130"/>
              <w:rPr>
                <w:b/>
                <w:sz w:val="22"/>
              </w:rPr>
            </w:pPr>
            <w:r>
              <w:rPr>
                <w:b/>
                <w:sz w:val="22"/>
              </w:rPr>
              <w:t>Medicinal</w:t>
            </w:r>
          </w:p>
          <w:p>
            <w:pPr>
              <w:pStyle w:val="TableParagraph"/>
              <w:spacing w:line="242" w:lineRule="auto" w:before="1"/>
              <w:ind w:left="81" w:right="130"/>
              <w:rPr>
                <w:sz w:val="22"/>
              </w:rPr>
            </w:pPr>
            <w:r>
              <w:rPr>
                <w:sz w:val="22"/>
              </w:rPr>
              <w:t>Té elaborado con las hojas para contrarrestar la tos. </w:t>
            </w:r>
            <w:r>
              <w:rPr>
                <w:b/>
                <w:sz w:val="22"/>
              </w:rPr>
              <w:t>Potencial Ornamental. </w:t>
            </w:r>
            <w:r>
              <w:rPr>
                <w:sz w:val="22"/>
              </w:rPr>
              <w:t>El follaje y frutos (Pérez- Nicolás y Fernández-Nava, 2007).</w:t>
            </w:r>
          </w:p>
        </w:tc>
        <w:tc>
          <w:tcPr>
            <w:tcW w:w="4893" w:type="dxa"/>
            <w:tcBorders>
              <w:bottom w:val="thinThickMediumGap" w:sz="12" w:space="0" w:color="000000"/>
              <w:right w:val="thinThickMediumGap" w:sz="12" w:space="0" w:color="000000"/>
            </w:tcBorders>
          </w:tcPr>
          <w:p>
            <w:pPr>
              <w:pStyle w:val="TableParagraph"/>
              <w:spacing w:before="134"/>
              <w:ind w:left="81" w:right="75"/>
              <w:jc w:val="both"/>
              <w:rPr>
                <w:sz w:val="22"/>
              </w:rPr>
            </w:pPr>
            <w:r>
              <w:rPr>
                <w:sz w:val="22"/>
              </w:rPr>
              <w:t>Nativa de América Central y el norte de  América del Sur (Kantún-Balam </w:t>
            </w:r>
            <w:r>
              <w:rPr>
                <w:i/>
                <w:sz w:val="22"/>
              </w:rPr>
              <w:t>et al., </w:t>
            </w:r>
            <w:r>
              <w:rPr>
                <w:sz w:val="22"/>
              </w:rPr>
              <w:t>2013), y puede encontrarse cultivada originada de regeneración natural en </w:t>
            </w:r>
            <w:r>
              <w:rPr>
                <w:spacing w:val="-3"/>
                <w:sz w:val="22"/>
              </w:rPr>
              <w:t>la </w:t>
            </w:r>
            <w:r>
              <w:rPr>
                <w:sz w:val="22"/>
              </w:rPr>
              <w:t>mayoría de áreas bajas de la América Central</w:t>
            </w:r>
            <w:r>
              <w:rPr>
                <w:spacing w:val="-17"/>
                <w:sz w:val="22"/>
              </w:rPr>
              <w:t> </w:t>
            </w:r>
            <w:r>
              <w:rPr>
                <w:sz w:val="22"/>
              </w:rPr>
              <w:t>tropical.</w:t>
            </w:r>
          </w:p>
        </w:tc>
      </w:tr>
      <w:tr>
        <w:trPr>
          <w:trHeight w:val="1599" w:hRule="exact"/>
        </w:trPr>
        <w:tc>
          <w:tcPr>
            <w:tcW w:w="1801" w:type="dxa"/>
            <w:tcBorders>
              <w:bottom w:val="thinThickMediumGap" w:sz="12" w:space="0" w:color="000000"/>
              <w:right w:val="thinThickMediumGap" w:sz="12" w:space="0" w:color="000000"/>
            </w:tcBorders>
          </w:tcPr>
          <w:p>
            <w:pPr>
              <w:pStyle w:val="TableParagraph"/>
              <w:spacing w:before="9"/>
              <w:ind w:left="81" w:right="162"/>
              <w:rPr>
                <w:b/>
                <w:sz w:val="22"/>
              </w:rPr>
            </w:pPr>
            <w:r>
              <w:rPr>
                <w:b/>
                <w:sz w:val="22"/>
              </w:rPr>
              <w:t>Betulaceae</w:t>
            </w:r>
          </w:p>
          <w:p>
            <w:pPr>
              <w:pStyle w:val="TableParagraph"/>
              <w:spacing w:before="9"/>
              <w:rPr>
                <w:rFonts w:ascii="Times New Roman"/>
                <w:sz w:val="21"/>
              </w:rPr>
            </w:pPr>
          </w:p>
          <w:p>
            <w:pPr>
              <w:pStyle w:val="TableParagraph"/>
              <w:spacing w:before="1"/>
              <w:ind w:left="81" w:right="663"/>
              <w:rPr>
                <w:i/>
                <w:sz w:val="22"/>
              </w:rPr>
            </w:pPr>
            <w:r>
              <w:rPr>
                <w:i/>
                <w:sz w:val="22"/>
              </w:rPr>
              <w:t>Alnus </w:t>
            </w:r>
            <w:r>
              <w:rPr>
                <w:i/>
                <w:sz w:val="22"/>
              </w:rPr>
              <w:t>jorullensis</w:t>
            </w:r>
          </w:p>
          <w:p>
            <w:pPr>
              <w:pStyle w:val="TableParagraph"/>
              <w:spacing w:line="249" w:lineRule="exact" w:before="6"/>
              <w:ind w:left="81" w:right="162"/>
              <w:rPr>
                <w:sz w:val="22"/>
              </w:rPr>
            </w:pPr>
            <w:r>
              <w:rPr>
                <w:sz w:val="22"/>
              </w:rPr>
              <w:t>H.B.K. ssp</w:t>
            </w:r>
          </w:p>
          <w:p>
            <w:pPr>
              <w:pStyle w:val="TableParagraph"/>
              <w:spacing w:line="249" w:lineRule="exact"/>
              <w:ind w:left="81" w:right="162"/>
              <w:rPr>
                <w:sz w:val="22"/>
              </w:rPr>
            </w:pPr>
            <w:r>
              <w:rPr>
                <w:i/>
                <w:sz w:val="22"/>
              </w:rPr>
              <w:t>jorullensis </w:t>
            </w:r>
            <w:r>
              <w:rPr>
                <w:sz w:val="22"/>
              </w:rPr>
              <w:t>(S)</w:t>
            </w:r>
          </w:p>
        </w:tc>
        <w:tc>
          <w:tcPr>
            <w:tcW w:w="10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42"/>
              <w:ind w:left="316"/>
              <w:rPr>
                <w:sz w:val="22"/>
              </w:rPr>
            </w:pPr>
            <w:r>
              <w:rPr>
                <w:sz w:val="22"/>
              </w:rPr>
              <w:t>Aile</w:t>
            </w:r>
          </w:p>
        </w:tc>
        <w:tc>
          <w:tcPr>
            <w:tcW w:w="5478" w:type="dxa"/>
            <w:tcBorders>
              <w:bottom w:val="thinThickMediumGap" w:sz="12" w:space="0" w:color="000000"/>
              <w:right w:val="thinThickMediumGap" w:sz="12" w:space="0" w:color="000000"/>
            </w:tcBorders>
          </w:tcPr>
          <w:p>
            <w:pPr>
              <w:pStyle w:val="TableParagraph"/>
              <w:spacing w:before="9"/>
              <w:ind w:left="81" w:right="130"/>
              <w:rPr>
                <w:b/>
                <w:sz w:val="22"/>
              </w:rPr>
            </w:pPr>
            <w:r>
              <w:rPr>
                <w:b/>
                <w:sz w:val="22"/>
              </w:rPr>
              <w:t>Medicinal</w:t>
            </w:r>
          </w:p>
          <w:p>
            <w:pPr>
              <w:pStyle w:val="TableParagraph"/>
              <w:spacing w:line="250" w:lineRule="exact" w:before="13"/>
              <w:ind w:left="81" w:right="130"/>
              <w:rPr>
                <w:sz w:val="22"/>
              </w:rPr>
            </w:pPr>
            <w:r>
              <w:rPr>
                <w:sz w:val="22"/>
              </w:rPr>
              <w:t>Infusión con las hojas para disminuir la inflamación  de </w:t>
            </w:r>
            <w:r>
              <w:rPr>
                <w:spacing w:val="-3"/>
                <w:sz w:val="22"/>
              </w:rPr>
              <w:t>la </w:t>
            </w:r>
            <w:r>
              <w:rPr>
                <w:sz w:val="22"/>
              </w:rPr>
              <w:t>garganta y dolor de</w:t>
            </w:r>
            <w:r>
              <w:rPr>
                <w:spacing w:val="-7"/>
                <w:sz w:val="22"/>
              </w:rPr>
              <w:t> </w:t>
            </w:r>
            <w:r>
              <w:rPr>
                <w:sz w:val="22"/>
              </w:rPr>
              <w:t>estómago.</w:t>
            </w:r>
          </w:p>
          <w:p>
            <w:pPr>
              <w:pStyle w:val="TableParagraph"/>
              <w:spacing w:line="246" w:lineRule="exact"/>
              <w:ind w:left="81" w:right="130"/>
              <w:rPr>
                <w:b/>
                <w:sz w:val="22"/>
              </w:rPr>
            </w:pPr>
            <w:r>
              <w:rPr>
                <w:b/>
                <w:sz w:val="22"/>
              </w:rPr>
              <w:t>Leña</w:t>
            </w:r>
          </w:p>
          <w:p>
            <w:pPr>
              <w:pStyle w:val="TableParagraph"/>
              <w:spacing w:before="6"/>
              <w:ind w:left="81" w:right="130"/>
              <w:rPr>
                <w:sz w:val="22"/>
              </w:rPr>
            </w:pPr>
            <w:r>
              <w:rPr>
                <w:sz w:val="22"/>
              </w:rPr>
              <w:t>Se utiliza como combustible para hacer fuego.</w:t>
            </w:r>
          </w:p>
        </w:tc>
        <w:tc>
          <w:tcPr>
            <w:tcW w:w="4893"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81" w:right="77"/>
              <w:jc w:val="both"/>
              <w:rPr>
                <w:sz w:val="22"/>
              </w:rPr>
            </w:pPr>
            <w:r>
              <w:rPr>
                <w:sz w:val="22"/>
              </w:rPr>
              <w:t>Distribuida en el occidente y centro de México: Ags., Chis., Col., Gro., Jal., Mich., Mex., Mor., Nay., Pue., Oax., Tlax. y Ver. (Martínez, 1994).</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714"/>
        <w:gridCol w:w="1359"/>
        <w:gridCol w:w="6477"/>
        <w:gridCol w:w="3678"/>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198"/>
              <w:rPr>
                <w:b/>
                <w:i/>
                <w:sz w:val="20"/>
              </w:rPr>
            </w:pPr>
            <w:r>
              <w:rPr>
                <w:b/>
                <w:i/>
                <w:sz w:val="20"/>
              </w:rPr>
              <w:t>Cuadro 9. Listado de especies de flora de la Zona de Manejo Ambiental: Frutales (Continúa).</w:t>
            </w:r>
          </w:p>
        </w:tc>
      </w:tr>
      <w:tr>
        <w:trPr>
          <w:trHeight w:val="817" w:hRule="exact"/>
        </w:trPr>
        <w:tc>
          <w:tcPr>
            <w:tcW w:w="1714" w:type="dxa"/>
            <w:tcBorders>
              <w:bottom w:val="thinThickMediumGap" w:sz="12" w:space="0" w:color="000000"/>
              <w:right w:val="thinThickMediumGap" w:sz="12" w:space="0" w:color="000000"/>
            </w:tcBorders>
            <w:shd w:val="clear" w:color="auto" w:fill="D9D9D9"/>
          </w:tcPr>
          <w:p>
            <w:pPr>
              <w:pStyle w:val="TableParagraph"/>
              <w:spacing w:before="5"/>
              <w:ind w:left="345" w:right="344" w:firstLine="43"/>
              <w:jc w:val="both"/>
              <w:rPr>
                <w:b/>
                <w:sz w:val="22"/>
              </w:rPr>
            </w:pPr>
            <w:r>
              <w:rPr>
                <w:b/>
                <w:sz w:val="22"/>
              </w:rPr>
              <w:t>Familia / Nombre científico</w:t>
            </w:r>
          </w:p>
        </w:tc>
        <w:tc>
          <w:tcPr>
            <w:tcW w:w="1359" w:type="dxa"/>
            <w:tcBorders>
              <w:bottom w:val="thinThickMediumGap" w:sz="12" w:space="0" w:color="000000"/>
              <w:right w:val="thinThickMediumGap" w:sz="12" w:space="0" w:color="000000"/>
            </w:tcBorders>
            <w:shd w:val="clear" w:color="auto" w:fill="D9D9D9"/>
          </w:tcPr>
          <w:p>
            <w:pPr>
              <w:pStyle w:val="TableParagraph"/>
              <w:spacing w:line="250" w:lineRule="exact" w:before="141"/>
              <w:ind w:left="288" w:right="162" w:hanging="53"/>
              <w:rPr>
                <w:b/>
                <w:sz w:val="22"/>
              </w:rPr>
            </w:pPr>
            <w:r>
              <w:rPr>
                <w:b/>
                <w:sz w:val="22"/>
              </w:rPr>
              <w:t>Nombre común</w:t>
            </w:r>
          </w:p>
        </w:tc>
        <w:tc>
          <w:tcPr>
            <w:tcW w:w="6477"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2918" w:right="2922"/>
              <w:jc w:val="center"/>
              <w:rPr>
                <w:b/>
                <w:sz w:val="22"/>
              </w:rPr>
            </w:pPr>
            <w:r>
              <w:rPr>
                <w:b/>
                <w:sz w:val="22"/>
              </w:rPr>
              <w:t>Usos</w:t>
            </w:r>
          </w:p>
        </w:tc>
        <w:tc>
          <w:tcPr>
            <w:tcW w:w="3678"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1171"/>
              <w:rPr>
                <w:b/>
                <w:sz w:val="22"/>
              </w:rPr>
            </w:pPr>
            <w:r>
              <w:rPr>
                <w:b/>
                <w:sz w:val="22"/>
              </w:rPr>
              <w:t>Distribución</w:t>
            </w:r>
          </w:p>
        </w:tc>
      </w:tr>
      <w:tr>
        <w:trPr>
          <w:trHeight w:val="1835" w:hRule="exact"/>
        </w:trPr>
        <w:tc>
          <w:tcPr>
            <w:tcW w:w="1714"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1" w:right="42"/>
              <w:rPr>
                <w:b/>
                <w:sz w:val="22"/>
              </w:rPr>
            </w:pPr>
            <w:r>
              <w:rPr>
                <w:b/>
                <w:sz w:val="22"/>
              </w:rPr>
              <w:t>Cupressaceae</w:t>
            </w:r>
          </w:p>
          <w:p>
            <w:pPr>
              <w:pStyle w:val="TableParagraph"/>
              <w:spacing w:before="9"/>
              <w:rPr>
                <w:rFonts w:ascii="Times New Roman"/>
                <w:sz w:val="21"/>
              </w:rPr>
            </w:pPr>
          </w:p>
          <w:p>
            <w:pPr>
              <w:pStyle w:val="TableParagraph"/>
              <w:spacing w:before="1"/>
              <w:ind w:left="81" w:right="186"/>
              <w:rPr>
                <w:sz w:val="22"/>
              </w:rPr>
            </w:pPr>
            <w:r>
              <w:rPr>
                <w:i/>
                <w:sz w:val="22"/>
              </w:rPr>
              <w:t>Cupressus </w:t>
            </w:r>
            <w:r>
              <w:rPr>
                <w:i/>
                <w:sz w:val="22"/>
              </w:rPr>
              <w:t>lusitanica </w:t>
            </w:r>
            <w:r>
              <w:rPr>
                <w:sz w:val="22"/>
              </w:rPr>
              <w:t>Mill. (C)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line="250" w:lineRule="exact" w:before="149"/>
              <w:ind w:left="177" w:right="162" w:firstLine="153"/>
              <w:rPr>
                <w:sz w:val="22"/>
              </w:rPr>
            </w:pPr>
            <w:r>
              <w:rPr>
                <w:sz w:val="22"/>
              </w:rPr>
              <w:t>Ciprés mexicano</w:t>
            </w:r>
          </w:p>
        </w:tc>
        <w:tc>
          <w:tcPr>
            <w:tcW w:w="6477" w:type="dxa"/>
            <w:tcBorders>
              <w:bottom w:val="thinThickMediumGap" w:sz="12" w:space="0" w:color="000000"/>
              <w:right w:val="thinThickMediumGap" w:sz="12" w:space="0" w:color="000000"/>
            </w:tcBorders>
          </w:tcPr>
          <w:p>
            <w:pPr>
              <w:pStyle w:val="TableParagraph"/>
              <w:spacing w:before="9"/>
              <w:ind w:left="81" w:right="148"/>
              <w:rPr>
                <w:b/>
                <w:sz w:val="22"/>
              </w:rPr>
            </w:pPr>
            <w:r>
              <w:rPr>
                <w:b/>
                <w:sz w:val="22"/>
              </w:rPr>
              <w:t>Leña</w:t>
            </w:r>
          </w:p>
          <w:p>
            <w:pPr>
              <w:pStyle w:val="TableParagraph"/>
              <w:spacing w:before="6"/>
              <w:ind w:left="81" w:right="148"/>
              <w:rPr>
                <w:sz w:val="22"/>
              </w:rPr>
            </w:pPr>
            <w:r>
              <w:rPr>
                <w:sz w:val="22"/>
              </w:rPr>
              <w:t>Se utiliza como combustible para hacer fuego.</w:t>
            </w:r>
          </w:p>
          <w:p>
            <w:pPr>
              <w:pStyle w:val="TableParagraph"/>
              <w:spacing w:before="5"/>
              <w:rPr>
                <w:rFonts w:ascii="Times New Roman"/>
                <w:sz w:val="21"/>
              </w:rPr>
            </w:pPr>
          </w:p>
          <w:p>
            <w:pPr>
              <w:pStyle w:val="TableParagraph"/>
              <w:spacing w:line="244" w:lineRule="auto"/>
              <w:ind w:left="81" w:right="148"/>
              <w:rPr>
                <w:sz w:val="22"/>
              </w:rPr>
            </w:pPr>
            <w:r>
              <w:rPr>
                <w:b/>
                <w:sz w:val="22"/>
              </w:rPr>
              <w:t>Potencial Ornamental. </w:t>
            </w:r>
            <w:r>
              <w:rPr>
                <w:sz w:val="22"/>
              </w:rPr>
              <w:t>Toda </w:t>
            </w:r>
            <w:r>
              <w:rPr>
                <w:spacing w:val="-3"/>
                <w:sz w:val="22"/>
              </w:rPr>
              <w:t>la </w:t>
            </w:r>
            <w:r>
              <w:rPr>
                <w:sz w:val="22"/>
              </w:rPr>
              <w:t>planta y follaje (Pérez-Nicolás  y Fernández-Nava,</w:t>
            </w:r>
            <w:r>
              <w:rPr>
                <w:spacing w:val="-9"/>
                <w:sz w:val="22"/>
              </w:rPr>
              <w:t> </w:t>
            </w:r>
            <w:r>
              <w:rPr>
                <w:sz w:val="22"/>
              </w:rPr>
              <w:t>2007).</w:t>
            </w:r>
          </w:p>
        </w:tc>
        <w:tc>
          <w:tcPr>
            <w:tcW w:w="3678" w:type="dxa"/>
            <w:tcBorders>
              <w:bottom w:val="thinThickMediumGap" w:sz="12" w:space="0" w:color="000000"/>
              <w:right w:val="thinThickMediumGap" w:sz="12" w:space="0" w:color="000000"/>
            </w:tcBorders>
          </w:tcPr>
          <w:p>
            <w:pPr>
              <w:pStyle w:val="TableParagraph"/>
              <w:spacing w:before="14"/>
              <w:ind w:left="81" w:right="75"/>
              <w:jc w:val="both"/>
              <w:rPr>
                <w:sz w:val="22"/>
              </w:rPr>
            </w:pPr>
            <w:r>
              <w:rPr>
                <w:sz w:val="22"/>
              </w:rPr>
              <w:t>Se le encuentra principalmente en la Sierra Volcánica Transversal. Los estados donde </w:t>
            </w:r>
            <w:r>
              <w:rPr>
                <w:spacing w:val="-3"/>
                <w:sz w:val="22"/>
              </w:rPr>
              <w:t>se </w:t>
            </w:r>
            <w:r>
              <w:rPr>
                <w:sz w:val="22"/>
              </w:rPr>
              <w:t>distribuye son: Ags., Chih., Dgo., D.F.,   </w:t>
            </w:r>
            <w:r>
              <w:rPr>
                <w:spacing w:val="10"/>
                <w:sz w:val="22"/>
              </w:rPr>
              <w:t> </w:t>
            </w:r>
            <w:r>
              <w:rPr>
                <w:sz w:val="22"/>
              </w:rPr>
              <w:t>Edo.</w:t>
            </w:r>
          </w:p>
          <w:p>
            <w:pPr>
              <w:pStyle w:val="TableParagraph"/>
              <w:spacing w:line="251" w:lineRule="exact" w:before="1"/>
              <w:ind w:left="81"/>
              <w:jc w:val="both"/>
              <w:rPr>
                <w:sz w:val="22"/>
              </w:rPr>
            </w:pPr>
            <w:r>
              <w:rPr>
                <w:sz w:val="22"/>
              </w:rPr>
              <w:t>de  Méx.,  Gro.,  Hgo.,  Jal.,  Mich.,</w:t>
            </w:r>
          </w:p>
          <w:p>
            <w:pPr>
              <w:pStyle w:val="TableParagraph"/>
              <w:ind w:left="81" w:right="77"/>
              <w:jc w:val="both"/>
              <w:rPr>
                <w:sz w:val="22"/>
              </w:rPr>
            </w:pPr>
            <w:r>
              <w:rPr>
                <w:sz w:val="22"/>
              </w:rPr>
              <w:t>Nay., Oax., Pue., Qro., Sin. y Ver. (McVaugh, 1992).</w:t>
            </w:r>
          </w:p>
        </w:tc>
      </w:tr>
      <w:tr>
        <w:trPr>
          <w:trHeight w:val="1070" w:hRule="exact"/>
        </w:trPr>
        <w:tc>
          <w:tcPr>
            <w:tcW w:w="1714"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Fabaceae</w:t>
            </w:r>
          </w:p>
          <w:p>
            <w:pPr>
              <w:pStyle w:val="TableParagraph"/>
              <w:spacing w:line="230" w:lineRule="auto" w:before="9"/>
              <w:ind w:left="81" w:right="76"/>
              <w:jc w:val="both"/>
              <w:rPr>
                <w:sz w:val="22"/>
              </w:rPr>
            </w:pPr>
            <w:r>
              <w:rPr>
                <w:i/>
                <w:sz w:val="22"/>
              </w:rPr>
              <w:t>Inga hintonii </w:t>
            </w:r>
            <w:r>
              <w:rPr>
                <w:sz w:val="22"/>
              </w:rPr>
              <w:t>Sandwith </w:t>
            </w:r>
            <w:r>
              <w:rPr>
                <w:position w:val="10"/>
                <w:sz w:val="14"/>
              </w:rPr>
              <w:t>5 y 6 </w:t>
            </w:r>
            <w:r>
              <w:rPr>
                <w:sz w:val="22"/>
              </w:rPr>
              <w:t>(S)</w:t>
            </w:r>
          </w:p>
        </w:tc>
        <w:tc>
          <w:tcPr>
            <w:tcW w:w="1359"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211" w:right="189" w:firstLine="14"/>
              <w:rPr>
                <w:sz w:val="22"/>
              </w:rPr>
            </w:pPr>
            <w:r>
              <w:rPr>
                <w:sz w:val="22"/>
              </w:rPr>
              <w:t>Jinicuil o Cajinicuil</w:t>
            </w:r>
          </w:p>
        </w:tc>
        <w:tc>
          <w:tcPr>
            <w:tcW w:w="6477" w:type="dxa"/>
            <w:tcBorders>
              <w:bottom w:val="thinThickMediumGap" w:sz="12" w:space="0" w:color="000000"/>
              <w:right w:val="thinThickMediumGap" w:sz="12" w:space="0" w:color="000000"/>
            </w:tcBorders>
          </w:tcPr>
          <w:p>
            <w:pPr>
              <w:pStyle w:val="TableParagraph"/>
              <w:spacing w:before="5"/>
              <w:ind w:left="81" w:right="148"/>
              <w:rPr>
                <w:sz w:val="22"/>
              </w:rPr>
            </w:pPr>
            <w:r>
              <w:rPr>
                <w:b/>
                <w:sz w:val="22"/>
              </w:rPr>
              <w:t>Alimenticio. </w:t>
            </w:r>
            <w:r>
              <w:rPr>
                <w:sz w:val="22"/>
              </w:rPr>
              <w:t>El fruto es utilizado como alimento</w:t>
            </w:r>
          </w:p>
          <w:p>
            <w:pPr>
              <w:pStyle w:val="TableParagraph"/>
              <w:spacing w:before="2"/>
              <w:rPr>
                <w:rFonts w:ascii="Times New Roman"/>
                <w:sz w:val="22"/>
              </w:rPr>
            </w:pPr>
          </w:p>
          <w:p>
            <w:pPr>
              <w:pStyle w:val="TableParagraph"/>
              <w:spacing w:before="1"/>
              <w:ind w:left="81" w:right="148"/>
              <w:rPr>
                <w:sz w:val="22"/>
              </w:rPr>
            </w:pPr>
            <w:r>
              <w:rPr>
                <w:b/>
                <w:sz w:val="22"/>
              </w:rPr>
              <w:t>Leña. </w:t>
            </w:r>
            <w:r>
              <w:rPr>
                <w:sz w:val="22"/>
              </w:rPr>
              <w:t>Se utiliza como combustible para hacer fuego.</w:t>
            </w:r>
          </w:p>
        </w:tc>
        <w:tc>
          <w:tcPr>
            <w:tcW w:w="3678" w:type="dxa"/>
            <w:tcBorders>
              <w:bottom w:val="thinThickMediumGap" w:sz="12" w:space="0" w:color="000000"/>
              <w:right w:val="thinThickMediumGap" w:sz="12" w:space="0" w:color="000000"/>
            </w:tcBorders>
          </w:tcPr>
          <w:p>
            <w:pPr>
              <w:pStyle w:val="TableParagraph"/>
              <w:spacing w:line="251" w:lineRule="exact" w:before="139"/>
              <w:ind w:left="81"/>
              <w:rPr>
                <w:sz w:val="22"/>
              </w:rPr>
            </w:pPr>
            <w:r>
              <w:rPr>
                <w:sz w:val="22"/>
              </w:rPr>
              <w:t>México   (Chis.,   Gro.,   Hgo.,  Jal.,</w:t>
            </w:r>
          </w:p>
          <w:p>
            <w:pPr>
              <w:pStyle w:val="TableParagraph"/>
              <w:ind w:left="81"/>
              <w:rPr>
                <w:sz w:val="22"/>
              </w:rPr>
            </w:pPr>
            <w:r>
              <w:rPr>
                <w:sz w:val="22"/>
              </w:rPr>
              <w:t>Mich., Méx., Nay., Oax. y Ver.) (Trópicos, 2014)</w:t>
            </w:r>
          </w:p>
        </w:tc>
      </w:tr>
      <w:tr>
        <w:trPr>
          <w:trHeight w:val="1071" w:hRule="exact"/>
        </w:trPr>
        <w:tc>
          <w:tcPr>
            <w:tcW w:w="1714" w:type="dxa"/>
            <w:tcBorders>
              <w:bottom w:val="thinThickMediumGap" w:sz="12" w:space="0" w:color="000000"/>
              <w:right w:val="thinThickMediumGap" w:sz="12" w:space="0" w:color="000000"/>
            </w:tcBorders>
          </w:tcPr>
          <w:p>
            <w:pPr>
              <w:pStyle w:val="TableParagraph"/>
              <w:spacing w:line="242" w:lineRule="auto" w:before="10"/>
              <w:ind w:left="81" w:right="76"/>
              <w:rPr>
                <w:sz w:val="22"/>
              </w:rPr>
            </w:pPr>
            <w:r>
              <w:rPr>
                <w:b/>
                <w:sz w:val="22"/>
              </w:rPr>
              <w:t>Lauraceae </w:t>
            </w:r>
            <w:r>
              <w:rPr>
                <w:i/>
                <w:sz w:val="22"/>
              </w:rPr>
              <w:t>Persea </w:t>
            </w:r>
            <w:r>
              <w:rPr>
                <w:i/>
                <w:sz w:val="22"/>
              </w:rPr>
              <w:t>americana </w:t>
            </w:r>
            <w:r>
              <w:rPr>
                <w:sz w:val="22"/>
              </w:rPr>
              <w:t>Mill. (C)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182"/>
              <w:rPr>
                <w:sz w:val="22"/>
              </w:rPr>
            </w:pPr>
            <w:r>
              <w:rPr>
                <w:sz w:val="22"/>
              </w:rPr>
              <w:t>Aguacate</w:t>
            </w:r>
          </w:p>
        </w:tc>
        <w:tc>
          <w:tcPr>
            <w:tcW w:w="6477" w:type="dxa"/>
            <w:tcBorders>
              <w:bottom w:val="thinThickMediumGap" w:sz="12" w:space="0" w:color="000000"/>
              <w:right w:val="thinThickMediumGap" w:sz="12" w:space="0" w:color="000000"/>
            </w:tcBorders>
          </w:tcPr>
          <w:p>
            <w:pPr>
              <w:pStyle w:val="TableParagraph"/>
              <w:spacing w:before="10"/>
              <w:ind w:left="81" w:right="148"/>
              <w:rPr>
                <w:sz w:val="22"/>
              </w:rPr>
            </w:pPr>
            <w:r>
              <w:rPr>
                <w:b/>
                <w:sz w:val="22"/>
              </w:rPr>
              <w:t>Alimenticio. </w:t>
            </w:r>
            <w:r>
              <w:rPr>
                <w:sz w:val="22"/>
              </w:rPr>
              <w:t>El fruto se consume con tortillas y guisados. Las hojas se utilizan como condimento para los tamales.</w:t>
            </w:r>
          </w:p>
          <w:p>
            <w:pPr>
              <w:pStyle w:val="TableParagraph"/>
              <w:spacing w:line="244" w:lineRule="auto"/>
              <w:ind w:left="81" w:right="148"/>
              <w:rPr>
                <w:sz w:val="22"/>
              </w:rPr>
            </w:pPr>
            <w:r>
              <w:rPr>
                <w:b/>
                <w:sz w:val="22"/>
              </w:rPr>
              <w:t>Medicinal. </w:t>
            </w:r>
            <w:r>
              <w:rPr>
                <w:sz w:val="22"/>
              </w:rPr>
              <w:t>La infusión de las hojas, disminuye la tos y el dolor de estómago.</w:t>
            </w:r>
          </w:p>
        </w:tc>
        <w:tc>
          <w:tcPr>
            <w:tcW w:w="3678" w:type="dxa"/>
            <w:tcBorders>
              <w:bottom w:val="thinThickMediumGap" w:sz="12" w:space="0" w:color="000000"/>
              <w:right w:val="thinThickMediumGap" w:sz="12" w:space="0" w:color="000000"/>
            </w:tcBorders>
          </w:tcPr>
          <w:p>
            <w:pPr>
              <w:pStyle w:val="TableParagraph"/>
              <w:spacing w:before="15"/>
              <w:ind w:left="81" w:right="75"/>
              <w:jc w:val="both"/>
              <w:rPr>
                <w:sz w:val="22"/>
              </w:rPr>
            </w:pPr>
            <w:r>
              <w:rPr>
                <w:sz w:val="22"/>
              </w:rPr>
              <w:t>México (Chis., Edo. de Méx., Gro., Hgo., Jal., Mich., Nay., Oax. y Ver.); Guatemala hasta Panamá; Sudamérica (Rzedowski,</w:t>
            </w:r>
            <w:r>
              <w:rPr>
                <w:spacing w:val="-15"/>
                <w:sz w:val="22"/>
              </w:rPr>
              <w:t> </w:t>
            </w:r>
            <w:r>
              <w:rPr>
                <w:sz w:val="22"/>
              </w:rPr>
              <w:t>2001).</w:t>
            </w:r>
          </w:p>
        </w:tc>
      </w:tr>
      <w:tr>
        <w:trPr>
          <w:trHeight w:val="1849" w:hRule="exact"/>
        </w:trPr>
        <w:tc>
          <w:tcPr>
            <w:tcW w:w="171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8"/>
              <w:rPr>
                <w:rFonts w:ascii="Times New Roman"/>
                <w:sz w:val="22"/>
              </w:rPr>
            </w:pPr>
          </w:p>
          <w:p>
            <w:pPr>
              <w:pStyle w:val="TableParagraph"/>
              <w:spacing w:line="244" w:lineRule="auto"/>
              <w:ind w:left="81" w:right="63"/>
              <w:rPr>
                <w:sz w:val="22"/>
              </w:rPr>
            </w:pPr>
            <w:r>
              <w:rPr>
                <w:b/>
                <w:sz w:val="22"/>
              </w:rPr>
              <w:t>Proteaceae </w:t>
            </w:r>
            <w:r>
              <w:rPr>
                <w:i/>
                <w:sz w:val="22"/>
              </w:rPr>
              <w:t>Macadamia sp. </w:t>
            </w:r>
            <w:r>
              <w:rPr>
                <w:sz w:val="22"/>
              </w:rPr>
              <w:t>(C)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76" w:right="83" w:firstLine="11"/>
              <w:jc w:val="center"/>
              <w:rPr>
                <w:sz w:val="22"/>
              </w:rPr>
            </w:pPr>
            <w:r>
              <w:rPr>
                <w:sz w:val="22"/>
              </w:rPr>
              <w:t>Nuez de Macadamia o Macadán</w:t>
            </w:r>
          </w:p>
        </w:tc>
        <w:tc>
          <w:tcPr>
            <w:tcW w:w="647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8"/>
              <w:rPr>
                <w:rFonts w:ascii="Times New Roman"/>
                <w:sz w:val="22"/>
              </w:rPr>
            </w:pPr>
          </w:p>
          <w:p>
            <w:pPr>
              <w:pStyle w:val="TableParagraph"/>
              <w:ind w:left="81" w:right="148"/>
              <w:rPr>
                <w:sz w:val="22"/>
              </w:rPr>
            </w:pPr>
            <w:r>
              <w:rPr>
                <w:b/>
                <w:sz w:val="22"/>
              </w:rPr>
              <w:t>Alimenticio. </w:t>
            </w:r>
            <w:r>
              <w:rPr>
                <w:sz w:val="22"/>
              </w:rPr>
              <w:t>El fruto se consume.</w:t>
            </w:r>
          </w:p>
          <w:p>
            <w:pPr>
              <w:pStyle w:val="TableParagraph"/>
              <w:spacing w:before="1"/>
              <w:ind w:left="81" w:right="80"/>
              <w:rPr>
                <w:sz w:val="22"/>
              </w:rPr>
            </w:pPr>
            <w:r>
              <w:rPr>
                <w:b/>
                <w:sz w:val="22"/>
              </w:rPr>
              <w:t>Potencial Ornamental. </w:t>
            </w:r>
            <w:r>
              <w:rPr>
                <w:sz w:val="22"/>
              </w:rPr>
              <w:t>Las hojas, inflorescencia y frutos (Guadarrama-Martínez </w:t>
            </w:r>
            <w:r>
              <w:rPr>
                <w:i/>
                <w:sz w:val="22"/>
              </w:rPr>
              <w:t>et al., </w:t>
            </w:r>
            <w:r>
              <w:rPr>
                <w:sz w:val="22"/>
              </w:rPr>
              <w:t>2012).</w:t>
            </w:r>
          </w:p>
        </w:tc>
        <w:tc>
          <w:tcPr>
            <w:tcW w:w="3678" w:type="dxa"/>
            <w:tcBorders>
              <w:bottom w:val="thinThickMediumGap" w:sz="12" w:space="0" w:color="000000"/>
              <w:right w:val="thinThickMediumGap" w:sz="12" w:space="0" w:color="000000"/>
            </w:tcBorders>
          </w:tcPr>
          <w:p>
            <w:pPr>
              <w:pStyle w:val="TableParagraph"/>
              <w:spacing w:before="14"/>
              <w:ind w:left="81" w:right="75"/>
              <w:jc w:val="both"/>
              <w:rPr>
                <w:sz w:val="22"/>
              </w:rPr>
            </w:pPr>
            <w:r>
              <w:rPr>
                <w:sz w:val="22"/>
              </w:rPr>
              <w:t>Originaria de la zona subtropical de Australia en la región costera,  al sur de Queensland y al norte de Nueva Gales del Sur, Australia (Reyna, 2004). Existen huertas principalmente en Col., Gro., Jal. Méx., Mich. y Ver.</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714"/>
        <w:gridCol w:w="1359"/>
        <w:gridCol w:w="6477"/>
        <w:gridCol w:w="3678"/>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198"/>
              <w:rPr>
                <w:b/>
                <w:i/>
                <w:sz w:val="20"/>
              </w:rPr>
            </w:pPr>
            <w:r>
              <w:rPr>
                <w:b/>
                <w:i/>
                <w:sz w:val="20"/>
              </w:rPr>
              <w:t>Cuadro 9. Listado de especies de flora de la Zona de Manejo Ambiental: Frutales (Continúa).</w:t>
            </w:r>
          </w:p>
        </w:tc>
      </w:tr>
      <w:tr>
        <w:trPr>
          <w:trHeight w:val="817" w:hRule="exact"/>
        </w:trPr>
        <w:tc>
          <w:tcPr>
            <w:tcW w:w="1714" w:type="dxa"/>
            <w:tcBorders>
              <w:bottom w:val="thinThickMediumGap" w:sz="12" w:space="0" w:color="000000"/>
              <w:right w:val="thinThickMediumGap" w:sz="12" w:space="0" w:color="000000"/>
            </w:tcBorders>
            <w:shd w:val="clear" w:color="auto" w:fill="D9D9D9"/>
          </w:tcPr>
          <w:p>
            <w:pPr>
              <w:pStyle w:val="TableParagraph"/>
              <w:spacing w:before="5"/>
              <w:ind w:left="345" w:right="344" w:firstLine="43"/>
              <w:jc w:val="both"/>
              <w:rPr>
                <w:b/>
                <w:sz w:val="22"/>
              </w:rPr>
            </w:pPr>
            <w:r>
              <w:rPr>
                <w:b/>
                <w:sz w:val="22"/>
              </w:rPr>
              <w:t>Familia / Nombre científico</w:t>
            </w:r>
          </w:p>
        </w:tc>
        <w:tc>
          <w:tcPr>
            <w:tcW w:w="1359" w:type="dxa"/>
            <w:tcBorders>
              <w:bottom w:val="thinThickMediumGap" w:sz="12" w:space="0" w:color="000000"/>
              <w:right w:val="thinThickMediumGap" w:sz="12" w:space="0" w:color="000000"/>
            </w:tcBorders>
            <w:shd w:val="clear" w:color="auto" w:fill="D9D9D9"/>
          </w:tcPr>
          <w:p>
            <w:pPr>
              <w:pStyle w:val="TableParagraph"/>
              <w:spacing w:line="250" w:lineRule="exact" w:before="141"/>
              <w:ind w:left="288" w:right="162" w:hanging="53"/>
              <w:rPr>
                <w:b/>
                <w:sz w:val="22"/>
              </w:rPr>
            </w:pPr>
            <w:r>
              <w:rPr>
                <w:b/>
                <w:sz w:val="22"/>
              </w:rPr>
              <w:t>Nombre común</w:t>
            </w:r>
          </w:p>
        </w:tc>
        <w:tc>
          <w:tcPr>
            <w:tcW w:w="6477"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2918" w:right="2922"/>
              <w:jc w:val="center"/>
              <w:rPr>
                <w:b/>
                <w:sz w:val="22"/>
              </w:rPr>
            </w:pPr>
            <w:r>
              <w:rPr>
                <w:b/>
                <w:sz w:val="22"/>
              </w:rPr>
              <w:t>Usos</w:t>
            </w:r>
          </w:p>
        </w:tc>
        <w:tc>
          <w:tcPr>
            <w:tcW w:w="3678"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1171"/>
              <w:rPr>
                <w:b/>
                <w:sz w:val="22"/>
              </w:rPr>
            </w:pPr>
            <w:r>
              <w:rPr>
                <w:b/>
                <w:sz w:val="22"/>
              </w:rPr>
              <w:t>Distribución</w:t>
            </w:r>
          </w:p>
        </w:tc>
      </w:tr>
      <w:tr>
        <w:trPr>
          <w:trHeight w:val="1580" w:hRule="exact"/>
        </w:trPr>
        <w:tc>
          <w:tcPr>
            <w:tcW w:w="1714" w:type="dxa"/>
            <w:tcBorders>
              <w:bottom w:val="thinThickMediumGap" w:sz="12" w:space="0" w:color="000000"/>
              <w:right w:val="thinThickMediumGap" w:sz="12" w:space="0" w:color="000000"/>
            </w:tcBorders>
          </w:tcPr>
          <w:p>
            <w:pPr>
              <w:pStyle w:val="TableParagraph"/>
              <w:spacing w:before="134"/>
              <w:ind w:left="81" w:right="42"/>
              <w:rPr>
                <w:sz w:val="22"/>
              </w:rPr>
            </w:pPr>
            <w:r>
              <w:rPr>
                <w:b/>
                <w:sz w:val="22"/>
              </w:rPr>
              <w:t>Rosaceae </w:t>
            </w:r>
            <w:r>
              <w:rPr>
                <w:i/>
                <w:sz w:val="22"/>
              </w:rPr>
              <w:t>Eriobotrya </w:t>
            </w:r>
            <w:r>
              <w:rPr>
                <w:i/>
                <w:sz w:val="22"/>
              </w:rPr>
              <w:t>japonica </w:t>
            </w:r>
            <w:r>
              <w:rPr>
                <w:sz w:val="22"/>
              </w:rPr>
              <w:t>(Thunb. Lindl.) (C)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42"/>
              <w:ind w:left="242" w:right="243"/>
              <w:jc w:val="center"/>
              <w:rPr>
                <w:sz w:val="22"/>
              </w:rPr>
            </w:pPr>
            <w:r>
              <w:rPr>
                <w:sz w:val="22"/>
              </w:rPr>
              <w:t>Níspero</w:t>
            </w:r>
          </w:p>
        </w:tc>
        <w:tc>
          <w:tcPr>
            <w:tcW w:w="6477" w:type="dxa"/>
            <w:tcBorders>
              <w:bottom w:val="thinThickMediumGap" w:sz="12" w:space="0" w:color="000000"/>
              <w:right w:val="thinThickMediumGap" w:sz="12" w:space="0" w:color="000000"/>
            </w:tcBorders>
          </w:tcPr>
          <w:p>
            <w:pPr>
              <w:pStyle w:val="TableParagraph"/>
              <w:spacing w:line="242" w:lineRule="auto" w:before="9"/>
              <w:ind w:left="81" w:right="81"/>
              <w:jc w:val="both"/>
              <w:rPr>
                <w:sz w:val="22"/>
              </w:rPr>
            </w:pPr>
            <w:r>
              <w:rPr>
                <w:b/>
                <w:sz w:val="22"/>
              </w:rPr>
              <w:t>Medicinal. </w:t>
            </w:r>
            <w:r>
              <w:rPr>
                <w:sz w:val="22"/>
              </w:rPr>
              <w:t>Dolor en los riñones y diabetes, se toma el cocimiento de dos hojas en un litro de agua y se toma como agua de tiempo.</w:t>
            </w:r>
          </w:p>
          <w:p>
            <w:pPr>
              <w:pStyle w:val="TableParagraph"/>
              <w:spacing w:line="242" w:lineRule="auto"/>
              <w:ind w:left="81" w:right="73"/>
              <w:jc w:val="both"/>
              <w:rPr>
                <w:sz w:val="22"/>
              </w:rPr>
            </w:pPr>
            <w:r>
              <w:rPr>
                <w:b/>
                <w:sz w:val="22"/>
              </w:rPr>
              <w:t>Potencial Ornamental. </w:t>
            </w:r>
            <w:r>
              <w:rPr>
                <w:sz w:val="22"/>
              </w:rPr>
              <w:t>Las hojas y frutos (Guadarrama- Martínez </w:t>
            </w:r>
            <w:r>
              <w:rPr>
                <w:i/>
                <w:sz w:val="22"/>
              </w:rPr>
              <w:t>et al., </w:t>
            </w:r>
            <w:r>
              <w:rPr>
                <w:sz w:val="22"/>
              </w:rPr>
              <w:t>2012).</w:t>
            </w:r>
          </w:p>
        </w:tc>
        <w:tc>
          <w:tcPr>
            <w:tcW w:w="3678" w:type="dxa"/>
            <w:tcBorders>
              <w:bottom w:val="thinThickMediumGap" w:sz="12" w:space="0" w:color="000000"/>
              <w:right w:val="thinThickMediumGap" w:sz="12" w:space="0" w:color="000000"/>
            </w:tcBorders>
          </w:tcPr>
          <w:p>
            <w:pPr>
              <w:pStyle w:val="TableParagraph"/>
              <w:spacing w:line="237" w:lineRule="auto" w:before="16"/>
              <w:ind w:left="81" w:right="75"/>
              <w:jc w:val="both"/>
              <w:rPr>
                <w:sz w:val="22"/>
              </w:rPr>
            </w:pPr>
            <w:r>
              <w:rPr>
                <w:sz w:val="22"/>
              </w:rPr>
              <w:t>Nativa del centro de China, naturalizada en Japón, la cuenca Mediterránea y la India; esta planta es cultivada en las partes subtropicales y templadas de México (Dorado, </w:t>
            </w:r>
            <w:r>
              <w:rPr>
                <w:i/>
                <w:sz w:val="22"/>
              </w:rPr>
              <w:t>et al., </w:t>
            </w:r>
            <w:r>
              <w:rPr>
                <w:sz w:val="22"/>
              </w:rPr>
              <w:t>2012).</w:t>
            </w:r>
          </w:p>
        </w:tc>
      </w:tr>
      <w:tr>
        <w:trPr>
          <w:trHeight w:val="3097" w:hRule="exact"/>
        </w:trPr>
        <w:tc>
          <w:tcPr>
            <w:tcW w:w="171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6"/>
              <w:rPr>
                <w:rFonts w:ascii="Times New Roman"/>
                <w:sz w:val="22"/>
              </w:rPr>
            </w:pPr>
          </w:p>
          <w:p>
            <w:pPr>
              <w:pStyle w:val="TableParagraph"/>
              <w:tabs>
                <w:tab w:pos="829" w:val="left" w:leader="none"/>
              </w:tabs>
              <w:spacing w:line="242" w:lineRule="auto"/>
              <w:ind w:left="81" w:right="76"/>
              <w:rPr>
                <w:sz w:val="22"/>
              </w:rPr>
            </w:pPr>
            <w:r>
              <w:rPr>
                <w:b/>
                <w:sz w:val="22"/>
              </w:rPr>
              <w:t>Rutaceae </w:t>
            </w:r>
            <w:r>
              <w:rPr>
                <w:i/>
                <w:sz w:val="22"/>
              </w:rPr>
              <w:t>Citrus sinensis </w:t>
            </w:r>
            <w:r>
              <w:rPr>
                <w:sz w:val="22"/>
              </w:rPr>
              <w:t>(L.)</w:t>
              <w:tab/>
              <w:t>Osbeck (C)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42"/>
              <w:ind w:left="240" w:right="245"/>
              <w:jc w:val="center"/>
              <w:rPr>
                <w:sz w:val="22"/>
              </w:rPr>
            </w:pPr>
            <w:r>
              <w:rPr>
                <w:sz w:val="22"/>
              </w:rPr>
              <w:t>Naranja</w:t>
            </w:r>
          </w:p>
        </w:tc>
        <w:tc>
          <w:tcPr>
            <w:tcW w:w="6477" w:type="dxa"/>
            <w:tcBorders>
              <w:bottom w:val="thinThickMediumGap" w:sz="12" w:space="0" w:color="000000"/>
              <w:right w:val="thinThickMediumGap" w:sz="12" w:space="0" w:color="000000"/>
            </w:tcBorders>
          </w:tcPr>
          <w:p>
            <w:pPr>
              <w:pStyle w:val="TableParagraph"/>
              <w:spacing w:line="242" w:lineRule="auto" w:before="10"/>
              <w:ind w:left="81" w:right="80"/>
              <w:rPr>
                <w:sz w:val="22"/>
              </w:rPr>
            </w:pPr>
            <w:r>
              <w:rPr>
                <w:b/>
                <w:sz w:val="22"/>
              </w:rPr>
              <w:t>Alimenticio. </w:t>
            </w:r>
            <w:r>
              <w:rPr>
                <w:sz w:val="22"/>
              </w:rPr>
              <w:t>La infusión de las hojas sirve para cortar la gripa. </w:t>
            </w:r>
            <w:r>
              <w:rPr>
                <w:b/>
                <w:sz w:val="22"/>
              </w:rPr>
              <w:t>Medicinal </w:t>
            </w:r>
            <w:r>
              <w:rPr>
                <w:sz w:val="22"/>
              </w:rPr>
              <w:t>El fruto es tomado en zumo, estimula la digestión, funciones estomacales, además de ser una bebida refrescante.</w:t>
            </w:r>
          </w:p>
        </w:tc>
        <w:tc>
          <w:tcPr>
            <w:tcW w:w="3678" w:type="dxa"/>
            <w:tcBorders>
              <w:bottom w:val="thinThickMediumGap" w:sz="12" w:space="0" w:color="000000"/>
              <w:right w:val="thinThickMediumGap" w:sz="12" w:space="0" w:color="000000"/>
            </w:tcBorders>
          </w:tcPr>
          <w:p>
            <w:pPr>
              <w:pStyle w:val="TableParagraph"/>
              <w:spacing w:before="15"/>
              <w:ind w:left="81" w:right="72"/>
              <w:jc w:val="both"/>
              <w:rPr>
                <w:sz w:val="22"/>
              </w:rPr>
            </w:pPr>
            <w:r>
              <w:rPr>
                <w:sz w:val="22"/>
              </w:rPr>
              <w:t>Planta nativa de Vietnam, China, India, Nepal y Pakistán; cultivada en regiones cálidas y subcálidas del País como en el Edo. de Méx., Hgo., Jal., Oax., Pue., Son., Ver., y Yuc. En el mundo </w:t>
            </w:r>
            <w:r>
              <w:rPr>
                <w:spacing w:val="-3"/>
                <w:sz w:val="22"/>
              </w:rPr>
              <w:t>se </w:t>
            </w:r>
            <w:r>
              <w:rPr>
                <w:sz w:val="22"/>
              </w:rPr>
              <w:t>cultiva en U.S.A., Brasil, Egipto, Marruecos, Costa Rica, Belice, Cuba, Israel, Irán (Dorado, </w:t>
            </w:r>
            <w:r>
              <w:rPr>
                <w:i/>
                <w:sz w:val="22"/>
              </w:rPr>
              <w:t>et al., </w:t>
            </w:r>
            <w:r>
              <w:rPr>
                <w:sz w:val="22"/>
              </w:rPr>
              <w:t>2012). Bolivia, El Salvador, Guatemala, Honduras y Venezuela. México: Camp., Oax., Tab. (Trópicos,</w:t>
            </w:r>
            <w:r>
              <w:rPr>
                <w:spacing w:val="-7"/>
                <w:sz w:val="22"/>
              </w:rPr>
              <w:t> </w:t>
            </w:r>
            <w:r>
              <w:rPr>
                <w:sz w:val="22"/>
              </w:rPr>
              <w:t>2014).</w:t>
            </w:r>
          </w:p>
        </w:tc>
      </w:tr>
      <w:tr>
        <w:trPr>
          <w:trHeight w:val="2103" w:hRule="exact"/>
        </w:trPr>
        <w:tc>
          <w:tcPr>
            <w:tcW w:w="171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2"/>
              <w:rPr>
                <w:rFonts w:ascii="Times New Roman"/>
                <w:sz w:val="23"/>
              </w:rPr>
            </w:pPr>
          </w:p>
          <w:p>
            <w:pPr>
              <w:pStyle w:val="TableParagraph"/>
              <w:spacing w:line="232" w:lineRule="auto"/>
              <w:ind w:left="81" w:right="42"/>
              <w:rPr>
                <w:sz w:val="22"/>
              </w:rPr>
            </w:pPr>
            <w:r>
              <w:rPr>
                <w:b/>
                <w:sz w:val="22"/>
              </w:rPr>
              <w:t>Rutaceae </w:t>
            </w:r>
            <w:r>
              <w:rPr>
                <w:i/>
                <w:sz w:val="22"/>
              </w:rPr>
              <w:t>Citrus </w:t>
            </w:r>
            <w:r>
              <w:rPr>
                <w:i/>
                <w:sz w:val="22"/>
              </w:rPr>
              <w:t>aurantium </w:t>
            </w:r>
            <w:r>
              <w:rPr>
                <w:sz w:val="22"/>
              </w:rPr>
              <w:t>L. </w:t>
            </w:r>
            <w:r>
              <w:rPr>
                <w:position w:val="10"/>
                <w:sz w:val="14"/>
              </w:rPr>
              <w:t>2 </w:t>
            </w:r>
            <w:r>
              <w:rPr>
                <w:sz w:val="22"/>
              </w:rPr>
              <w:t>(C)</w:t>
            </w:r>
          </w:p>
        </w:tc>
        <w:tc>
          <w:tcPr>
            <w:tcW w:w="1359"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9"/>
              <w:ind w:left="242" w:right="241"/>
              <w:jc w:val="center"/>
              <w:rPr>
                <w:sz w:val="22"/>
              </w:rPr>
            </w:pPr>
            <w:r>
              <w:rPr>
                <w:sz w:val="22"/>
              </w:rPr>
              <w:t>Limón</w:t>
            </w:r>
          </w:p>
        </w:tc>
        <w:tc>
          <w:tcPr>
            <w:tcW w:w="6477"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Alimenticio y Medicinal</w:t>
            </w:r>
          </w:p>
          <w:p>
            <w:pPr>
              <w:pStyle w:val="TableParagraph"/>
              <w:spacing w:line="242" w:lineRule="auto" w:before="1"/>
              <w:ind w:left="81" w:right="78"/>
              <w:jc w:val="both"/>
              <w:rPr>
                <w:sz w:val="22"/>
              </w:rPr>
            </w:pPr>
            <w:r>
              <w:rPr>
                <w:sz w:val="22"/>
              </w:rPr>
              <w:t>Bebida refrescante, combate las afecciones de la garganta, laringe y boca. El zumo de un limón en un cuarto de litro de agua, también se utiliza para hacer gargarismos y enjuagues.</w:t>
            </w:r>
          </w:p>
          <w:p>
            <w:pPr>
              <w:pStyle w:val="TableParagraph"/>
              <w:spacing w:line="242" w:lineRule="auto"/>
              <w:ind w:left="81" w:right="80"/>
              <w:jc w:val="both"/>
              <w:rPr>
                <w:sz w:val="22"/>
              </w:rPr>
            </w:pPr>
            <w:r>
              <w:rPr>
                <w:b/>
                <w:sz w:val="22"/>
              </w:rPr>
              <w:t>Potencial Ornamental. </w:t>
            </w:r>
            <w:r>
              <w:rPr>
                <w:sz w:val="22"/>
              </w:rPr>
              <w:t>La inflorescencia, hojas y frutos (Guadarrama-Martínez </w:t>
            </w:r>
            <w:r>
              <w:rPr>
                <w:i/>
                <w:sz w:val="22"/>
              </w:rPr>
              <w:t>et al., </w:t>
            </w:r>
            <w:r>
              <w:rPr>
                <w:sz w:val="22"/>
              </w:rPr>
              <w:t>2012).</w:t>
            </w:r>
          </w:p>
        </w:tc>
        <w:tc>
          <w:tcPr>
            <w:tcW w:w="3678" w:type="dxa"/>
            <w:tcBorders>
              <w:bottom w:val="thinThickMediumGap" w:sz="12" w:space="0" w:color="000000"/>
              <w:right w:val="thinThickMediumGap" w:sz="12" w:space="0" w:color="000000"/>
            </w:tcBorders>
          </w:tcPr>
          <w:p>
            <w:pPr>
              <w:pStyle w:val="TableParagraph"/>
              <w:spacing w:before="14"/>
              <w:ind w:left="81" w:right="71"/>
              <w:jc w:val="both"/>
              <w:rPr>
                <w:sz w:val="22"/>
              </w:rPr>
            </w:pPr>
            <w:r>
              <w:rPr>
                <w:sz w:val="22"/>
              </w:rPr>
              <w:t>Originaria del oriente de la India y en las zonas adyacentes de Birmania y China, cultivado en las zonas cáidas y subcálidas del mundo, incluyendo México. Países productores: España, Italiza, Paraguay y Argentina (Dorado </w:t>
            </w:r>
            <w:r>
              <w:rPr>
                <w:i/>
                <w:sz w:val="22"/>
              </w:rPr>
              <w:t>et </w:t>
            </w:r>
            <w:r>
              <w:rPr>
                <w:i/>
                <w:sz w:val="22"/>
              </w:rPr>
              <w:t>al., </w:t>
            </w:r>
            <w:r>
              <w:rPr>
                <w:sz w:val="22"/>
              </w:rPr>
              <w:t>2012).</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940"/>
        <w:gridCol w:w="1527"/>
        <w:gridCol w:w="4653"/>
        <w:gridCol w:w="5109"/>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492"/>
              <w:rPr>
                <w:b/>
                <w:i/>
                <w:sz w:val="20"/>
              </w:rPr>
            </w:pPr>
            <w:r>
              <w:rPr>
                <w:b/>
                <w:i/>
                <w:sz w:val="20"/>
              </w:rPr>
              <w:t>Cuadro 10. Listado de especies de flora de la Zona de Manejo Ambiental: Mariposario.</w:t>
            </w:r>
          </w:p>
        </w:tc>
      </w:tr>
      <w:tr>
        <w:trPr>
          <w:trHeight w:val="817" w:hRule="exact"/>
        </w:trPr>
        <w:tc>
          <w:tcPr>
            <w:tcW w:w="1940" w:type="dxa"/>
            <w:tcBorders>
              <w:bottom w:val="thinThickMediumGap" w:sz="12" w:space="0" w:color="000000"/>
              <w:right w:val="thinThickMediumGap" w:sz="12" w:space="0" w:color="000000"/>
            </w:tcBorders>
            <w:shd w:val="clear" w:color="auto" w:fill="D9D9D9"/>
          </w:tcPr>
          <w:p>
            <w:pPr>
              <w:pStyle w:val="TableParagraph"/>
              <w:spacing w:before="5"/>
              <w:ind w:left="460" w:right="453" w:firstLine="43"/>
              <w:jc w:val="both"/>
              <w:rPr>
                <w:b/>
                <w:sz w:val="22"/>
              </w:rPr>
            </w:pPr>
            <w:r>
              <w:rPr>
                <w:b/>
                <w:sz w:val="22"/>
              </w:rPr>
              <w:t>Familia / Nombre científico</w:t>
            </w:r>
          </w:p>
        </w:tc>
        <w:tc>
          <w:tcPr>
            <w:tcW w:w="1527" w:type="dxa"/>
            <w:tcBorders>
              <w:bottom w:val="thinThickMediumGap" w:sz="12" w:space="0" w:color="000000"/>
              <w:right w:val="thinThickMediumGap" w:sz="12" w:space="0" w:color="000000"/>
            </w:tcBorders>
            <w:shd w:val="clear" w:color="auto" w:fill="D9D9D9"/>
          </w:tcPr>
          <w:p>
            <w:pPr>
              <w:pStyle w:val="TableParagraph"/>
              <w:spacing w:line="250" w:lineRule="exact" w:before="141"/>
              <w:ind w:left="374" w:right="276" w:hanging="53"/>
              <w:rPr>
                <w:b/>
                <w:sz w:val="22"/>
              </w:rPr>
            </w:pPr>
            <w:r>
              <w:rPr>
                <w:b/>
                <w:sz w:val="22"/>
              </w:rPr>
              <w:t>Nombre común</w:t>
            </w:r>
          </w:p>
        </w:tc>
        <w:tc>
          <w:tcPr>
            <w:tcW w:w="4653"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2010" w:right="2007"/>
              <w:jc w:val="center"/>
              <w:rPr>
                <w:b/>
                <w:sz w:val="22"/>
              </w:rPr>
            </w:pPr>
            <w:r>
              <w:rPr>
                <w:b/>
                <w:sz w:val="22"/>
              </w:rPr>
              <w:t>Usos</w:t>
            </w:r>
          </w:p>
        </w:tc>
        <w:tc>
          <w:tcPr>
            <w:tcW w:w="5109"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1860" w:right="1868"/>
              <w:jc w:val="center"/>
              <w:rPr>
                <w:b/>
                <w:sz w:val="22"/>
              </w:rPr>
            </w:pPr>
            <w:r>
              <w:rPr>
                <w:b/>
                <w:sz w:val="22"/>
              </w:rPr>
              <w:t>Distribución</w:t>
            </w:r>
          </w:p>
        </w:tc>
      </w:tr>
      <w:tr>
        <w:trPr>
          <w:trHeight w:val="1325" w:hRule="exact"/>
        </w:trPr>
        <w:tc>
          <w:tcPr>
            <w:tcW w:w="1940" w:type="dxa"/>
            <w:tcBorders>
              <w:bottom w:val="thinThickMediumGap" w:sz="12" w:space="0" w:color="000000"/>
              <w:right w:val="thinThickMediumGap" w:sz="12" w:space="0" w:color="000000"/>
            </w:tcBorders>
          </w:tcPr>
          <w:p>
            <w:pPr>
              <w:pStyle w:val="TableParagraph"/>
              <w:spacing w:before="9"/>
              <w:ind w:left="81"/>
              <w:rPr>
                <w:b/>
                <w:sz w:val="22"/>
              </w:rPr>
            </w:pPr>
            <w:r>
              <w:rPr>
                <w:b/>
                <w:sz w:val="22"/>
              </w:rPr>
              <w:t>Acanthaceae</w:t>
            </w:r>
          </w:p>
          <w:p>
            <w:pPr>
              <w:pStyle w:val="TableParagraph"/>
              <w:spacing w:before="4"/>
              <w:rPr>
                <w:rFonts w:ascii="Times New Roman"/>
                <w:sz w:val="22"/>
              </w:rPr>
            </w:pPr>
          </w:p>
          <w:p>
            <w:pPr>
              <w:pStyle w:val="TableParagraph"/>
              <w:spacing w:line="232" w:lineRule="auto"/>
              <w:ind w:left="81" w:right="515"/>
              <w:rPr>
                <w:sz w:val="22"/>
              </w:rPr>
            </w:pPr>
            <w:r>
              <w:rPr>
                <w:i/>
                <w:sz w:val="22"/>
              </w:rPr>
              <w:t>Dicliptera </w:t>
            </w:r>
            <w:r>
              <w:rPr>
                <w:i/>
                <w:sz w:val="22"/>
              </w:rPr>
              <w:t>inaequalis </w:t>
            </w:r>
            <w:r>
              <w:rPr>
                <w:sz w:val="22"/>
              </w:rPr>
              <w:t>Greenm.</w:t>
            </w:r>
            <w:r>
              <w:rPr>
                <w:position w:val="10"/>
                <w:sz w:val="14"/>
              </w:rPr>
              <w:t>6 </w:t>
            </w:r>
            <w:r>
              <w:rPr>
                <w:sz w:val="22"/>
              </w:rPr>
              <w:t>(S)</w:t>
            </w:r>
          </w:p>
        </w:tc>
        <w:tc>
          <w:tcPr>
            <w:tcW w:w="152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6"/>
              <w:jc w:val="center"/>
              <w:rPr>
                <w:sz w:val="22"/>
              </w:rPr>
            </w:pPr>
            <w:r>
              <w:rPr>
                <w:w w:val="100"/>
                <w:sz w:val="22"/>
              </w:rPr>
              <w:t>-</w:t>
            </w:r>
          </w:p>
        </w:tc>
        <w:tc>
          <w:tcPr>
            <w:tcW w:w="4653" w:type="dxa"/>
            <w:tcBorders>
              <w:bottom w:val="thinThickMediumGap" w:sz="12" w:space="0" w:color="000000"/>
              <w:right w:val="thinThickMediumGap" w:sz="12" w:space="0" w:color="000000"/>
            </w:tcBorders>
          </w:tcPr>
          <w:p>
            <w:pPr>
              <w:pStyle w:val="TableParagraph"/>
              <w:spacing w:before="14"/>
              <w:ind w:left="81"/>
              <w:rPr>
                <w:sz w:val="22"/>
              </w:rPr>
            </w:pPr>
            <w:r>
              <w:rPr>
                <w:sz w:val="22"/>
              </w:rPr>
              <w:t>Sin uso</w:t>
            </w:r>
          </w:p>
        </w:tc>
        <w:tc>
          <w:tcPr>
            <w:tcW w:w="5109" w:type="dxa"/>
            <w:tcBorders>
              <w:bottom w:val="thinThickMediumGap" w:sz="12" w:space="0" w:color="000000"/>
              <w:right w:val="thinThickMediumGap" w:sz="12" w:space="0" w:color="000000"/>
            </w:tcBorders>
          </w:tcPr>
          <w:p>
            <w:pPr>
              <w:pStyle w:val="TableParagraph"/>
              <w:spacing w:before="14"/>
              <w:ind w:left="81" w:right="76"/>
              <w:jc w:val="both"/>
              <w:rPr>
                <w:sz w:val="22"/>
              </w:rPr>
            </w:pPr>
            <w:r>
              <w:rPr>
                <w:sz w:val="22"/>
              </w:rPr>
              <w:t>Especie endémica de México. Observada </w:t>
            </w:r>
            <w:r>
              <w:rPr>
                <w:spacing w:val="2"/>
                <w:sz w:val="22"/>
              </w:rPr>
              <w:t>en: </w:t>
            </w:r>
            <w:r>
              <w:rPr>
                <w:sz w:val="22"/>
              </w:rPr>
              <w:t>Col., Edo. de Méx., Gto., Gro., Jal., Mich., Mor., Nay., Qro. y Zac.(Daniel,</w:t>
            </w:r>
            <w:r>
              <w:rPr>
                <w:spacing w:val="-12"/>
                <w:sz w:val="22"/>
              </w:rPr>
              <w:t> </w:t>
            </w:r>
            <w:r>
              <w:rPr>
                <w:sz w:val="22"/>
              </w:rPr>
              <w:t>2009).</w:t>
            </w:r>
          </w:p>
        </w:tc>
      </w:tr>
      <w:tr>
        <w:trPr>
          <w:trHeight w:val="1580" w:hRule="exact"/>
        </w:trPr>
        <w:tc>
          <w:tcPr>
            <w:tcW w:w="1940" w:type="dxa"/>
            <w:tcBorders>
              <w:bottom w:val="thinThickMediumGap" w:sz="12" w:space="0" w:color="000000"/>
              <w:right w:val="thinThickMediumGap" w:sz="12" w:space="0" w:color="000000"/>
            </w:tcBorders>
          </w:tcPr>
          <w:p>
            <w:pPr>
              <w:pStyle w:val="TableParagraph"/>
              <w:rPr>
                <w:rFonts w:ascii="Times New Roman"/>
                <w:sz w:val="23"/>
              </w:rPr>
            </w:pPr>
          </w:p>
          <w:p>
            <w:pPr>
              <w:pStyle w:val="TableParagraph"/>
              <w:ind w:left="81"/>
              <w:rPr>
                <w:b/>
                <w:sz w:val="22"/>
              </w:rPr>
            </w:pPr>
            <w:r>
              <w:rPr>
                <w:b/>
                <w:sz w:val="22"/>
              </w:rPr>
              <w:t>Asteraceae</w:t>
            </w:r>
          </w:p>
          <w:p>
            <w:pPr>
              <w:pStyle w:val="TableParagraph"/>
              <w:spacing w:before="9"/>
              <w:rPr>
                <w:rFonts w:ascii="Times New Roman"/>
                <w:sz w:val="21"/>
              </w:rPr>
            </w:pPr>
          </w:p>
          <w:p>
            <w:pPr>
              <w:pStyle w:val="TableParagraph"/>
              <w:spacing w:line="244" w:lineRule="exact"/>
              <w:ind w:left="81"/>
              <w:rPr>
                <w:i/>
                <w:sz w:val="22"/>
              </w:rPr>
            </w:pPr>
            <w:r>
              <w:rPr>
                <w:i/>
                <w:sz w:val="22"/>
              </w:rPr>
              <w:t>Tagetes lunulata</w:t>
            </w:r>
          </w:p>
          <w:p>
            <w:pPr>
              <w:pStyle w:val="TableParagraph"/>
              <w:spacing w:line="269" w:lineRule="exact"/>
              <w:ind w:left="81"/>
              <w:rPr>
                <w:sz w:val="22"/>
              </w:rPr>
            </w:pPr>
            <w:r>
              <w:rPr>
                <w:sz w:val="22"/>
              </w:rPr>
              <w:t>Ortega </w:t>
            </w:r>
            <w:r>
              <w:rPr>
                <w:position w:val="10"/>
                <w:sz w:val="14"/>
              </w:rPr>
              <w:t>6 </w:t>
            </w:r>
            <w:r>
              <w:rPr>
                <w:sz w:val="22"/>
              </w:rPr>
              <w:t>(S)</w:t>
            </w:r>
          </w:p>
        </w:tc>
        <w:tc>
          <w:tcPr>
            <w:tcW w:w="152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350" w:right="276" w:hanging="58"/>
              <w:rPr>
                <w:sz w:val="22"/>
              </w:rPr>
            </w:pPr>
            <w:r>
              <w:rPr>
                <w:sz w:val="22"/>
              </w:rPr>
              <w:t>Anisillo o acahual</w:t>
            </w:r>
          </w:p>
        </w:tc>
        <w:tc>
          <w:tcPr>
            <w:tcW w:w="4653" w:type="dxa"/>
            <w:tcBorders>
              <w:bottom w:val="thinThickMediumGap" w:sz="12" w:space="0" w:color="000000"/>
              <w:right w:val="thinThickMediumGap" w:sz="12" w:space="0" w:color="000000"/>
            </w:tcBorders>
          </w:tcPr>
          <w:p>
            <w:pPr>
              <w:pStyle w:val="TableParagraph"/>
              <w:spacing w:line="242" w:lineRule="auto" w:before="9"/>
              <w:ind w:left="81" w:right="78"/>
              <w:jc w:val="both"/>
              <w:rPr>
                <w:sz w:val="22"/>
              </w:rPr>
            </w:pPr>
            <w:r>
              <w:rPr>
                <w:b/>
                <w:sz w:val="22"/>
              </w:rPr>
              <w:t>Medicinal. </w:t>
            </w:r>
            <w:r>
              <w:rPr>
                <w:sz w:val="22"/>
              </w:rPr>
              <w:t>Infusión de hojas y flor para aliviar el dolor de estómago, gripa y dolores menstruales.</w:t>
            </w:r>
          </w:p>
          <w:p>
            <w:pPr>
              <w:pStyle w:val="TableParagraph"/>
              <w:spacing w:line="242" w:lineRule="auto"/>
              <w:ind w:left="81" w:right="72"/>
              <w:jc w:val="both"/>
              <w:rPr>
                <w:sz w:val="22"/>
              </w:rPr>
            </w:pPr>
            <w:r>
              <w:rPr>
                <w:b/>
                <w:sz w:val="22"/>
              </w:rPr>
              <w:t>Potencial Ornamental. </w:t>
            </w:r>
            <w:r>
              <w:rPr>
                <w:sz w:val="22"/>
              </w:rPr>
              <w:t>Inflorescencia (Pérez-Nicolás y Fernández-Nava, 2007). En jardinería (Palacios, 1996).</w:t>
            </w:r>
          </w:p>
        </w:tc>
        <w:tc>
          <w:tcPr>
            <w:tcW w:w="5109" w:type="dxa"/>
            <w:tcBorders>
              <w:bottom w:val="thinThickMediumGap" w:sz="12" w:space="0" w:color="000000"/>
              <w:right w:val="thinThickMediumGap" w:sz="12" w:space="0" w:color="000000"/>
            </w:tcBorders>
          </w:tcPr>
          <w:p>
            <w:pPr>
              <w:pStyle w:val="TableParagraph"/>
              <w:spacing w:before="14"/>
              <w:ind w:left="81" w:right="76"/>
              <w:jc w:val="both"/>
              <w:rPr>
                <w:sz w:val="22"/>
              </w:rPr>
            </w:pPr>
            <w:r>
              <w:rPr>
                <w:sz w:val="22"/>
              </w:rPr>
              <w:t>Considerada especie arvense en cultivos de maíz de temporal en el Valle de Morelia, Michoacán y México (Chávez y Guevara-Féfer, 2003). Distribución en México: Ags., B.C.N., Dgo., Edo. de Méx., Gto., Hgo., Jal., Mich. y Qro. (Tuner, 1996; Villarreal, 2003).</w:t>
            </w:r>
          </w:p>
        </w:tc>
      </w:tr>
      <w:tr>
        <w:trPr>
          <w:trHeight w:val="1071" w:hRule="exact"/>
        </w:trPr>
        <w:tc>
          <w:tcPr>
            <w:tcW w:w="1940" w:type="dxa"/>
            <w:tcBorders>
              <w:bottom w:val="thinThickMediumGap" w:sz="12" w:space="0" w:color="000000"/>
              <w:right w:val="thinThickMediumGap" w:sz="12" w:space="0" w:color="000000"/>
            </w:tcBorders>
          </w:tcPr>
          <w:p>
            <w:pPr>
              <w:pStyle w:val="TableParagraph"/>
              <w:spacing w:line="242" w:lineRule="auto" w:before="10"/>
              <w:ind w:left="81" w:right="486"/>
              <w:jc w:val="both"/>
              <w:rPr>
                <w:sz w:val="22"/>
              </w:rPr>
            </w:pPr>
            <w:r>
              <w:rPr>
                <w:b/>
                <w:sz w:val="22"/>
              </w:rPr>
              <w:t>Asteraceae </w:t>
            </w:r>
            <w:r>
              <w:rPr>
                <w:i/>
                <w:sz w:val="22"/>
              </w:rPr>
              <w:t>Lasianthaea </w:t>
            </w:r>
            <w:r>
              <w:rPr>
                <w:i/>
                <w:sz w:val="22"/>
              </w:rPr>
              <w:t>ceanothifolia </w:t>
            </w:r>
            <w:r>
              <w:rPr>
                <w:sz w:val="22"/>
              </w:rPr>
              <w:t>(Willd.) K. (S)</w:t>
            </w:r>
          </w:p>
        </w:tc>
        <w:tc>
          <w:tcPr>
            <w:tcW w:w="152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61" w:right="57"/>
              <w:jc w:val="center"/>
              <w:rPr>
                <w:sz w:val="22"/>
              </w:rPr>
            </w:pPr>
            <w:r>
              <w:rPr>
                <w:sz w:val="22"/>
              </w:rPr>
              <w:t>Tenechtlácotl</w:t>
            </w:r>
          </w:p>
        </w:tc>
        <w:tc>
          <w:tcPr>
            <w:tcW w:w="4653" w:type="dxa"/>
            <w:tcBorders>
              <w:bottom w:val="thinThickMediumGap" w:sz="12" w:space="0" w:color="000000"/>
              <w:right w:val="thinThickMediumGap" w:sz="12" w:space="0" w:color="000000"/>
            </w:tcBorders>
          </w:tcPr>
          <w:p>
            <w:pPr>
              <w:pStyle w:val="TableParagraph"/>
              <w:spacing w:before="15"/>
              <w:ind w:left="81"/>
              <w:rPr>
                <w:sz w:val="22"/>
              </w:rPr>
            </w:pPr>
            <w:r>
              <w:rPr>
                <w:sz w:val="22"/>
              </w:rPr>
              <w:t>Sin uso</w:t>
            </w:r>
          </w:p>
        </w:tc>
        <w:tc>
          <w:tcPr>
            <w:tcW w:w="5109" w:type="dxa"/>
            <w:tcBorders>
              <w:bottom w:val="thinThickMediumGap" w:sz="12" w:space="0" w:color="000000"/>
              <w:right w:val="thinThickMediumGap" w:sz="12" w:space="0" w:color="000000"/>
            </w:tcBorders>
          </w:tcPr>
          <w:p>
            <w:pPr>
              <w:pStyle w:val="TableParagraph"/>
              <w:spacing w:line="237" w:lineRule="auto" w:before="17"/>
              <w:ind w:left="81" w:right="76"/>
              <w:jc w:val="both"/>
              <w:rPr>
                <w:sz w:val="22"/>
              </w:rPr>
            </w:pPr>
            <w:r>
              <w:rPr>
                <w:sz w:val="22"/>
              </w:rPr>
              <w:t>Especie polimorfa. Distribuida de Sonora y Chihuahua a Veracruz y Chiapas (Rzedowski </w:t>
            </w:r>
            <w:r>
              <w:rPr>
                <w:i/>
                <w:sz w:val="22"/>
              </w:rPr>
              <w:t>et </w:t>
            </w:r>
            <w:r>
              <w:rPr>
                <w:i/>
                <w:sz w:val="22"/>
              </w:rPr>
              <w:t>al., </w:t>
            </w:r>
            <w:r>
              <w:rPr>
                <w:sz w:val="22"/>
              </w:rPr>
              <w:t>2011).</w:t>
            </w:r>
          </w:p>
        </w:tc>
      </w:tr>
      <w:tr>
        <w:trPr>
          <w:trHeight w:val="1330" w:hRule="exact"/>
        </w:trPr>
        <w:tc>
          <w:tcPr>
            <w:tcW w:w="1940"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1"/>
              <w:rPr>
                <w:b/>
                <w:sz w:val="22"/>
              </w:rPr>
            </w:pPr>
            <w:r>
              <w:rPr>
                <w:b/>
                <w:sz w:val="22"/>
              </w:rPr>
              <w:t>Begoniaceae</w:t>
            </w:r>
          </w:p>
          <w:p>
            <w:pPr>
              <w:pStyle w:val="TableParagraph"/>
              <w:spacing w:before="9"/>
              <w:rPr>
                <w:rFonts w:ascii="Times New Roman"/>
                <w:sz w:val="21"/>
              </w:rPr>
            </w:pPr>
          </w:p>
          <w:p>
            <w:pPr>
              <w:pStyle w:val="TableParagraph"/>
              <w:ind w:left="81"/>
              <w:rPr>
                <w:sz w:val="22"/>
              </w:rPr>
            </w:pPr>
            <w:r>
              <w:rPr>
                <w:i/>
                <w:sz w:val="22"/>
              </w:rPr>
              <w:t>Begonia sp. </w:t>
            </w:r>
            <w:r>
              <w:rPr>
                <w:sz w:val="22"/>
              </w:rPr>
              <w:t>(S)</w:t>
            </w:r>
          </w:p>
        </w:tc>
        <w:tc>
          <w:tcPr>
            <w:tcW w:w="152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6"/>
              <w:jc w:val="center"/>
              <w:rPr>
                <w:sz w:val="22"/>
              </w:rPr>
            </w:pPr>
            <w:r>
              <w:rPr>
                <w:w w:val="100"/>
                <w:sz w:val="22"/>
              </w:rPr>
              <w:t>-</w:t>
            </w:r>
          </w:p>
        </w:tc>
        <w:tc>
          <w:tcPr>
            <w:tcW w:w="4653" w:type="dxa"/>
            <w:tcBorders>
              <w:bottom w:val="thinThickMediumGap" w:sz="12" w:space="0" w:color="000000"/>
              <w:right w:val="thinThickMediumGap" w:sz="12" w:space="0" w:color="000000"/>
            </w:tcBorders>
          </w:tcPr>
          <w:p>
            <w:pPr>
              <w:pStyle w:val="TableParagraph"/>
              <w:spacing w:before="14"/>
              <w:ind w:left="81"/>
              <w:rPr>
                <w:sz w:val="22"/>
              </w:rPr>
            </w:pPr>
            <w:r>
              <w:rPr>
                <w:sz w:val="22"/>
              </w:rPr>
              <w:t>Sin uso</w:t>
            </w:r>
          </w:p>
        </w:tc>
        <w:tc>
          <w:tcPr>
            <w:tcW w:w="5109" w:type="dxa"/>
            <w:tcBorders>
              <w:bottom w:val="thinThickMediumGap" w:sz="12" w:space="0" w:color="000000"/>
              <w:right w:val="thinThickMediumGap" w:sz="12" w:space="0" w:color="000000"/>
            </w:tcBorders>
          </w:tcPr>
          <w:p>
            <w:pPr>
              <w:pStyle w:val="TableParagraph"/>
              <w:spacing w:before="14"/>
              <w:ind w:left="81" w:right="83"/>
              <w:jc w:val="both"/>
              <w:rPr>
                <w:sz w:val="22"/>
              </w:rPr>
            </w:pPr>
            <w:r>
              <w:rPr>
                <w:sz w:val="22"/>
              </w:rPr>
              <w:t>Se calculan unas 800 especies de distribución pantropical, incluyendo un buen número de plantas cultivadas, sobre todo por su bonito follaje y sus flores. Se dice que algunas tienen principios medicinales (Rzedowski, 2001).</w:t>
            </w:r>
          </w:p>
        </w:tc>
      </w:tr>
      <w:tr>
        <w:trPr>
          <w:trHeight w:val="2607" w:hRule="exact"/>
        </w:trPr>
        <w:tc>
          <w:tcPr>
            <w:tcW w:w="194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3"/>
              <w:rPr>
                <w:rFonts w:ascii="Times New Roman"/>
                <w:sz w:val="22"/>
              </w:rPr>
            </w:pPr>
          </w:p>
          <w:p>
            <w:pPr>
              <w:pStyle w:val="TableParagraph"/>
              <w:ind w:left="81"/>
              <w:rPr>
                <w:b/>
                <w:sz w:val="22"/>
              </w:rPr>
            </w:pPr>
            <w:r>
              <w:rPr>
                <w:b/>
                <w:sz w:val="22"/>
              </w:rPr>
              <w:t>Euphorbiaceae</w:t>
            </w:r>
          </w:p>
          <w:p>
            <w:pPr>
              <w:pStyle w:val="TableParagraph"/>
              <w:spacing w:before="2"/>
              <w:rPr>
                <w:rFonts w:ascii="Times New Roman"/>
                <w:sz w:val="22"/>
              </w:rPr>
            </w:pPr>
          </w:p>
          <w:p>
            <w:pPr>
              <w:pStyle w:val="TableParagraph"/>
              <w:spacing w:before="1"/>
              <w:ind w:left="81" w:right="583"/>
              <w:rPr>
                <w:sz w:val="22"/>
              </w:rPr>
            </w:pPr>
            <w:r>
              <w:rPr>
                <w:i/>
                <w:sz w:val="22"/>
              </w:rPr>
              <w:t>Euphorbia </w:t>
            </w:r>
            <w:r>
              <w:rPr>
                <w:i/>
                <w:sz w:val="22"/>
              </w:rPr>
              <w:t>pulcherrima </w:t>
            </w:r>
            <w:r>
              <w:rPr>
                <w:sz w:val="22"/>
              </w:rPr>
              <w:t>Willd. ex Klotzsch (C)</w:t>
            </w:r>
          </w:p>
        </w:tc>
        <w:tc>
          <w:tcPr>
            <w:tcW w:w="1527"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36"/>
              <w:ind w:left="62" w:right="57"/>
              <w:jc w:val="center"/>
              <w:rPr>
                <w:sz w:val="22"/>
              </w:rPr>
            </w:pPr>
            <w:r>
              <w:rPr>
                <w:sz w:val="22"/>
              </w:rPr>
              <w:t>Noche buena</w:t>
            </w:r>
          </w:p>
        </w:tc>
        <w:tc>
          <w:tcPr>
            <w:tcW w:w="4653" w:type="dxa"/>
            <w:tcBorders>
              <w:bottom w:val="thinThickMediumGap" w:sz="12" w:space="0" w:color="000000"/>
              <w:right w:val="thinThickMediumGap" w:sz="12" w:space="0" w:color="000000"/>
            </w:tcBorders>
          </w:tcPr>
          <w:p>
            <w:pPr>
              <w:pStyle w:val="TableParagraph"/>
              <w:spacing w:line="244" w:lineRule="auto" w:before="5"/>
              <w:ind w:left="81" w:right="76"/>
              <w:jc w:val="both"/>
              <w:rPr>
                <w:sz w:val="22"/>
              </w:rPr>
            </w:pPr>
            <w:r>
              <w:rPr>
                <w:b/>
                <w:sz w:val="22"/>
              </w:rPr>
              <w:t>Medicinal. </w:t>
            </w:r>
            <w:r>
              <w:rPr>
                <w:sz w:val="22"/>
              </w:rPr>
              <w:t>Aumenta la producción de leche en mujeres.</w:t>
            </w:r>
          </w:p>
          <w:p>
            <w:pPr>
              <w:pStyle w:val="TableParagraph"/>
              <w:spacing w:line="242" w:lineRule="auto"/>
              <w:ind w:left="81" w:right="71"/>
              <w:jc w:val="both"/>
              <w:rPr>
                <w:sz w:val="22"/>
              </w:rPr>
            </w:pPr>
            <w:r>
              <w:rPr>
                <w:b/>
                <w:sz w:val="22"/>
              </w:rPr>
              <w:t>Ornamental. </w:t>
            </w:r>
            <w:r>
              <w:rPr>
                <w:sz w:val="22"/>
              </w:rPr>
              <w:t>Utilizada en jardines como ornato. Guadarrama-Martínez </w:t>
            </w:r>
            <w:r>
              <w:rPr>
                <w:i/>
                <w:sz w:val="22"/>
              </w:rPr>
              <w:t>et al., </w:t>
            </w:r>
            <w:r>
              <w:rPr>
                <w:sz w:val="22"/>
              </w:rPr>
              <w:t>(2012), establece como potencial ornamental la arquitectura de la planta.</w:t>
            </w:r>
          </w:p>
          <w:p>
            <w:pPr>
              <w:pStyle w:val="TableParagraph"/>
              <w:spacing w:line="242" w:lineRule="auto"/>
              <w:ind w:left="81" w:right="73"/>
              <w:jc w:val="both"/>
              <w:rPr>
                <w:sz w:val="22"/>
              </w:rPr>
            </w:pPr>
            <w:r>
              <w:rPr>
                <w:b/>
                <w:sz w:val="22"/>
              </w:rPr>
              <w:t>Efectos tóxicos: </w:t>
            </w:r>
            <w:r>
              <w:rPr>
                <w:sz w:val="22"/>
              </w:rPr>
              <w:t>El látex es muy irritante a  la piel y puede causar inflamación en los ojos. Inflamación del tracto gastrointestinal, vómito y</w:t>
            </w:r>
            <w:r>
              <w:rPr>
                <w:spacing w:val="-6"/>
                <w:sz w:val="22"/>
              </w:rPr>
              <w:t> </w:t>
            </w:r>
            <w:r>
              <w:rPr>
                <w:sz w:val="22"/>
              </w:rPr>
              <w:t>diarrea.</w:t>
            </w:r>
          </w:p>
        </w:tc>
        <w:tc>
          <w:tcPr>
            <w:tcW w:w="5109" w:type="dxa"/>
            <w:tcBorders>
              <w:bottom w:val="thinThickMediumGap" w:sz="12" w:space="0" w:color="000000"/>
              <w:right w:val="thinThickMediumGap" w:sz="12" w:space="0" w:color="000000"/>
            </w:tcBorders>
          </w:tcPr>
          <w:p>
            <w:pPr>
              <w:pStyle w:val="TableParagraph"/>
              <w:spacing w:line="242" w:lineRule="auto" w:before="5"/>
              <w:ind w:left="81" w:right="74"/>
              <w:jc w:val="both"/>
              <w:rPr>
                <w:sz w:val="22"/>
              </w:rPr>
            </w:pPr>
            <w:r>
              <w:rPr>
                <w:sz w:val="22"/>
              </w:rPr>
              <w:t>Origen americano (Kantún-Balam </w:t>
            </w:r>
            <w:r>
              <w:rPr>
                <w:i/>
                <w:sz w:val="22"/>
              </w:rPr>
              <w:t>et al., </w:t>
            </w:r>
            <w:r>
              <w:rPr>
                <w:sz w:val="22"/>
              </w:rPr>
              <w:t>2013) Distribución en México y Centroamérica (CONAFOR, 2010).</w:t>
            </w:r>
          </w:p>
        </w:tc>
      </w:tr>
    </w:tbl>
    <w:p>
      <w:pPr>
        <w:spacing w:after="0" w:line="242" w:lineRule="auto"/>
        <w:jc w:val="both"/>
        <w:rPr>
          <w:sz w:val="22"/>
        </w:rPr>
        <w:sectPr>
          <w:footerReference w:type="default" r:id="rId63"/>
          <w:pgSz w:w="15840" w:h="12240" w:orient="landscape"/>
          <w:pgMar w:footer="1147" w:header="690" w:top="880" w:bottom="1340" w:left="1160" w:right="1140"/>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844"/>
        <w:gridCol w:w="1474"/>
        <w:gridCol w:w="3222"/>
        <w:gridCol w:w="6689"/>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1963"/>
              <w:rPr>
                <w:b/>
                <w:i/>
                <w:sz w:val="20"/>
              </w:rPr>
            </w:pPr>
            <w:r>
              <w:rPr>
                <w:b/>
                <w:i/>
                <w:sz w:val="20"/>
              </w:rPr>
              <w:t>Cuadro 10. Listado de especies de flora de la Zona de Manejo Ambiental: Mariposario (Continúa).</w:t>
            </w:r>
          </w:p>
        </w:tc>
      </w:tr>
      <w:tr>
        <w:trPr>
          <w:trHeight w:val="817" w:hRule="exact"/>
        </w:trPr>
        <w:tc>
          <w:tcPr>
            <w:tcW w:w="1844" w:type="dxa"/>
            <w:tcBorders>
              <w:bottom w:val="thinThickMediumGap" w:sz="12" w:space="0" w:color="000000"/>
              <w:right w:val="thinThickMediumGap" w:sz="12" w:space="0" w:color="000000"/>
            </w:tcBorders>
            <w:shd w:val="clear" w:color="auto" w:fill="D9D9D9"/>
          </w:tcPr>
          <w:p>
            <w:pPr>
              <w:pStyle w:val="TableParagraph"/>
              <w:spacing w:before="5"/>
              <w:ind w:left="408" w:right="411" w:firstLine="43"/>
              <w:jc w:val="both"/>
              <w:rPr>
                <w:b/>
                <w:sz w:val="22"/>
              </w:rPr>
            </w:pPr>
            <w:r>
              <w:rPr>
                <w:b/>
                <w:sz w:val="22"/>
              </w:rPr>
              <w:t>Familia / Nombre científico</w:t>
            </w:r>
          </w:p>
        </w:tc>
        <w:tc>
          <w:tcPr>
            <w:tcW w:w="1474" w:type="dxa"/>
            <w:tcBorders>
              <w:bottom w:val="thinThickMediumGap" w:sz="12" w:space="0" w:color="000000"/>
              <w:right w:val="thinThickMediumGap" w:sz="12" w:space="0" w:color="000000"/>
            </w:tcBorders>
            <w:shd w:val="clear" w:color="auto" w:fill="D9D9D9"/>
          </w:tcPr>
          <w:p>
            <w:pPr>
              <w:pStyle w:val="TableParagraph"/>
              <w:spacing w:line="250" w:lineRule="exact" w:before="141"/>
              <w:ind w:left="350" w:right="273" w:hanging="58"/>
              <w:rPr>
                <w:b/>
                <w:sz w:val="22"/>
              </w:rPr>
            </w:pPr>
            <w:r>
              <w:rPr>
                <w:b/>
                <w:sz w:val="22"/>
              </w:rPr>
              <w:t>Nombre común</w:t>
            </w:r>
          </w:p>
        </w:tc>
        <w:tc>
          <w:tcPr>
            <w:tcW w:w="3222"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1291" w:right="1295"/>
              <w:jc w:val="center"/>
              <w:rPr>
                <w:b/>
                <w:sz w:val="22"/>
              </w:rPr>
            </w:pPr>
            <w:r>
              <w:rPr>
                <w:b/>
                <w:sz w:val="22"/>
              </w:rPr>
              <w:t>Usos</w:t>
            </w:r>
          </w:p>
        </w:tc>
        <w:tc>
          <w:tcPr>
            <w:tcW w:w="6689" w:type="dxa"/>
            <w:tcBorders>
              <w:bottom w:val="thinThickMediumGap" w:sz="12" w:space="0" w:color="000000"/>
              <w:right w:val="thinThickMediumGap" w:sz="12" w:space="0" w:color="000000"/>
            </w:tcBorders>
            <w:shd w:val="clear" w:color="auto" w:fill="D9D9D9"/>
          </w:tcPr>
          <w:p>
            <w:pPr>
              <w:pStyle w:val="TableParagraph"/>
              <w:spacing w:before="6"/>
              <w:rPr>
                <w:rFonts w:ascii="Times New Roman"/>
                <w:sz w:val="22"/>
              </w:rPr>
            </w:pPr>
          </w:p>
          <w:p>
            <w:pPr>
              <w:pStyle w:val="TableParagraph"/>
              <w:spacing w:before="1"/>
              <w:ind w:left="2652" w:right="2654"/>
              <w:jc w:val="center"/>
              <w:rPr>
                <w:b/>
                <w:sz w:val="22"/>
              </w:rPr>
            </w:pPr>
            <w:r>
              <w:rPr>
                <w:b/>
                <w:sz w:val="22"/>
              </w:rPr>
              <w:t>Distribución</w:t>
            </w:r>
          </w:p>
        </w:tc>
      </w:tr>
      <w:tr>
        <w:trPr>
          <w:trHeight w:val="2339" w:hRule="exact"/>
        </w:trPr>
        <w:tc>
          <w:tcPr>
            <w:tcW w:w="184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7"/>
              <w:ind w:left="81"/>
              <w:rPr>
                <w:b/>
                <w:sz w:val="22"/>
              </w:rPr>
            </w:pPr>
            <w:r>
              <w:rPr>
                <w:b/>
                <w:sz w:val="22"/>
              </w:rPr>
              <w:t>Iridaceae</w:t>
            </w:r>
          </w:p>
          <w:p>
            <w:pPr>
              <w:pStyle w:val="TableParagraph"/>
              <w:spacing w:before="9"/>
              <w:rPr>
                <w:rFonts w:ascii="Times New Roman"/>
                <w:sz w:val="21"/>
              </w:rPr>
            </w:pPr>
          </w:p>
          <w:p>
            <w:pPr>
              <w:pStyle w:val="TableParagraph"/>
              <w:spacing w:line="244" w:lineRule="exact"/>
              <w:ind w:left="81"/>
              <w:rPr>
                <w:i/>
                <w:sz w:val="22"/>
              </w:rPr>
            </w:pPr>
            <w:r>
              <w:rPr>
                <w:i/>
                <w:sz w:val="22"/>
              </w:rPr>
              <w:t>Tigridia pavonia</w:t>
            </w:r>
          </w:p>
          <w:p>
            <w:pPr>
              <w:pStyle w:val="TableParagraph"/>
              <w:spacing w:line="269" w:lineRule="exact"/>
              <w:ind w:left="81"/>
              <w:rPr>
                <w:sz w:val="22"/>
              </w:rPr>
            </w:pPr>
            <w:r>
              <w:rPr>
                <w:sz w:val="22"/>
              </w:rPr>
              <w:t>(L. f.) DC. </w:t>
            </w:r>
            <w:r>
              <w:rPr>
                <w:position w:val="10"/>
                <w:sz w:val="14"/>
              </w:rPr>
              <w:t>1 </w:t>
            </w:r>
            <w:r>
              <w:rPr>
                <w:sz w:val="22"/>
              </w:rPr>
              <w:t>(S)</w:t>
            </w:r>
          </w:p>
        </w:tc>
        <w:tc>
          <w:tcPr>
            <w:tcW w:w="147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42"/>
              <w:ind w:left="124" w:right="126" w:firstLine="8"/>
              <w:jc w:val="center"/>
              <w:rPr>
                <w:sz w:val="22"/>
              </w:rPr>
            </w:pPr>
            <w:r>
              <w:rPr>
                <w:sz w:val="22"/>
              </w:rPr>
              <w:t>Flor del tigre, flor de un día o cacomite</w:t>
            </w:r>
          </w:p>
        </w:tc>
        <w:tc>
          <w:tcPr>
            <w:tcW w:w="3222" w:type="dxa"/>
            <w:tcBorders>
              <w:bottom w:val="thinThickMediumGap" w:sz="12" w:space="0" w:color="000000"/>
              <w:right w:val="thinThickMediumGap" w:sz="12" w:space="0" w:color="000000"/>
            </w:tcBorders>
          </w:tcPr>
          <w:p>
            <w:pPr>
              <w:pStyle w:val="TableParagraph"/>
              <w:spacing w:line="242" w:lineRule="auto" w:before="9"/>
              <w:ind w:left="76" w:right="73"/>
              <w:jc w:val="both"/>
              <w:rPr>
                <w:sz w:val="22"/>
              </w:rPr>
            </w:pPr>
            <w:r>
              <w:rPr>
                <w:b/>
                <w:sz w:val="22"/>
              </w:rPr>
              <w:t>Medicinal. </w:t>
            </w:r>
            <w:r>
              <w:rPr>
                <w:sz w:val="22"/>
              </w:rPr>
              <w:t>Contra la esterilidad femenina. Útil para bajar la fiebre.</w:t>
            </w:r>
          </w:p>
          <w:p>
            <w:pPr>
              <w:pStyle w:val="TableParagraph"/>
              <w:spacing w:before="7"/>
              <w:rPr>
                <w:rFonts w:ascii="Times New Roman"/>
                <w:sz w:val="21"/>
              </w:rPr>
            </w:pPr>
          </w:p>
          <w:p>
            <w:pPr>
              <w:pStyle w:val="TableParagraph"/>
              <w:ind w:left="76" w:right="72"/>
              <w:jc w:val="both"/>
              <w:rPr>
                <w:sz w:val="22"/>
              </w:rPr>
            </w:pPr>
            <w:r>
              <w:rPr>
                <w:b/>
                <w:sz w:val="22"/>
              </w:rPr>
              <w:t>Potencial Ornamental: </w:t>
            </w:r>
            <w:r>
              <w:rPr>
                <w:sz w:val="22"/>
              </w:rPr>
              <w:t>en jardinería (Palacios, 1996).</w:t>
            </w:r>
          </w:p>
        </w:tc>
        <w:tc>
          <w:tcPr>
            <w:tcW w:w="6689" w:type="dxa"/>
            <w:tcBorders>
              <w:bottom w:val="thinThickMediumGap" w:sz="12" w:space="0" w:color="000000"/>
              <w:right w:val="thinThickMediumGap" w:sz="12" w:space="0" w:color="000000"/>
            </w:tcBorders>
          </w:tcPr>
          <w:p>
            <w:pPr>
              <w:pStyle w:val="TableParagraph"/>
              <w:spacing w:before="14"/>
              <w:ind w:left="81" w:right="75"/>
              <w:jc w:val="both"/>
              <w:rPr>
                <w:sz w:val="22"/>
              </w:rPr>
            </w:pPr>
            <w:r>
              <w:rPr>
                <w:sz w:val="22"/>
              </w:rPr>
              <w:t>En México: Chih., Chis., D.F. Dgo., Edo. de  Méx.,  Gto., Gro., Hgo., Mich., Mor., Nay., N.L., Oax., Pue., Qro., S.L.P., Sin., Son., Tam., Tlax., Ver. y Zac.) (Espejo – Serna y López – Ferrari, 1998). Esta especie se considera naturalizada en: Centro América, Colombia, Brasil, Bolivia y Perú. En USA se cultiva en California, Florida y Nuevo México (Davidse </w:t>
            </w:r>
            <w:r>
              <w:rPr>
                <w:i/>
                <w:sz w:val="22"/>
              </w:rPr>
              <w:t>et al., </w:t>
            </w:r>
            <w:r>
              <w:rPr>
                <w:sz w:val="22"/>
              </w:rPr>
              <w:t>1994; Molseed, 1970; Bryan, 1989, citados por Vázquez </w:t>
            </w:r>
            <w:r>
              <w:rPr>
                <w:i/>
                <w:sz w:val="22"/>
              </w:rPr>
              <w:t>et al., </w:t>
            </w:r>
            <w:r>
              <w:rPr>
                <w:sz w:val="22"/>
              </w:rPr>
              <w:t>2001). En el siglo XVI llego a España y se distribuyó en toda Europa. También se localiza en Israel y en Asia (Vázquez </w:t>
            </w:r>
            <w:r>
              <w:rPr>
                <w:i/>
                <w:sz w:val="22"/>
              </w:rPr>
              <w:t>et al., </w:t>
            </w:r>
            <w:r>
              <w:rPr>
                <w:sz w:val="22"/>
              </w:rPr>
              <w:t>2001).</w:t>
            </w:r>
          </w:p>
        </w:tc>
      </w:tr>
      <w:tr>
        <w:trPr>
          <w:trHeight w:val="821" w:hRule="exact"/>
        </w:trPr>
        <w:tc>
          <w:tcPr>
            <w:tcW w:w="1844" w:type="dxa"/>
            <w:tcBorders>
              <w:bottom w:val="thinThickMediumGap" w:sz="12" w:space="0" w:color="000000"/>
              <w:right w:val="thinThickMediumGap" w:sz="12" w:space="0" w:color="000000"/>
            </w:tcBorders>
          </w:tcPr>
          <w:p>
            <w:pPr>
              <w:pStyle w:val="TableParagraph"/>
              <w:spacing w:before="9"/>
              <w:ind w:left="81"/>
              <w:rPr>
                <w:b/>
                <w:sz w:val="22"/>
              </w:rPr>
            </w:pPr>
            <w:r>
              <w:rPr>
                <w:b/>
                <w:sz w:val="22"/>
              </w:rPr>
              <w:t>Malvaceae</w:t>
            </w:r>
          </w:p>
          <w:p>
            <w:pPr>
              <w:pStyle w:val="TableParagraph"/>
              <w:spacing w:before="9"/>
              <w:rPr>
                <w:rFonts w:ascii="Times New Roman"/>
                <w:sz w:val="21"/>
              </w:rPr>
            </w:pPr>
          </w:p>
          <w:p>
            <w:pPr>
              <w:pStyle w:val="TableParagraph"/>
              <w:spacing w:before="1"/>
              <w:ind w:left="81"/>
              <w:rPr>
                <w:sz w:val="22"/>
              </w:rPr>
            </w:pPr>
            <w:r>
              <w:rPr>
                <w:i/>
                <w:sz w:val="22"/>
              </w:rPr>
              <w:t>Hibiscus sp. </w:t>
            </w:r>
            <w:r>
              <w:rPr>
                <w:sz w:val="22"/>
              </w:rPr>
              <w:t>(S)</w:t>
            </w:r>
          </w:p>
        </w:tc>
        <w:tc>
          <w:tcPr>
            <w:tcW w:w="1474" w:type="dxa"/>
            <w:tcBorders>
              <w:bottom w:val="thinThickMediumGap" w:sz="12" w:space="0" w:color="000000"/>
              <w:right w:val="thinThickMediumGap" w:sz="12" w:space="0" w:color="000000"/>
            </w:tcBorders>
          </w:tcPr>
          <w:p>
            <w:pPr>
              <w:pStyle w:val="TableParagraph"/>
              <w:spacing w:before="139"/>
              <w:ind w:left="307" w:right="282" w:firstLine="38"/>
              <w:rPr>
                <w:sz w:val="22"/>
              </w:rPr>
            </w:pPr>
            <w:r>
              <w:rPr>
                <w:sz w:val="22"/>
              </w:rPr>
              <w:t>Tulipan silvestre</w:t>
            </w:r>
          </w:p>
        </w:tc>
        <w:tc>
          <w:tcPr>
            <w:tcW w:w="3222" w:type="dxa"/>
            <w:tcBorders>
              <w:bottom w:val="thinThickMediumGap" w:sz="12" w:space="0" w:color="000000"/>
              <w:right w:val="thinThickMediumGap" w:sz="12" w:space="0" w:color="000000"/>
            </w:tcBorders>
          </w:tcPr>
          <w:p>
            <w:pPr>
              <w:pStyle w:val="TableParagraph"/>
              <w:spacing w:before="9"/>
              <w:ind w:left="76"/>
              <w:rPr>
                <w:b/>
                <w:sz w:val="22"/>
              </w:rPr>
            </w:pPr>
            <w:r>
              <w:rPr>
                <w:b/>
                <w:sz w:val="22"/>
              </w:rPr>
              <w:t>Ornamental</w:t>
            </w:r>
          </w:p>
        </w:tc>
        <w:tc>
          <w:tcPr>
            <w:tcW w:w="6689" w:type="dxa"/>
            <w:tcBorders>
              <w:bottom w:val="thinThickMediumGap" w:sz="12" w:space="0" w:color="000000"/>
              <w:right w:val="thinThickMediumGap" w:sz="12" w:space="0" w:color="000000"/>
            </w:tcBorders>
          </w:tcPr>
          <w:p>
            <w:pPr>
              <w:pStyle w:val="TableParagraph"/>
              <w:spacing w:before="14"/>
              <w:ind w:left="81" w:right="65"/>
              <w:rPr>
                <w:sz w:val="22"/>
              </w:rPr>
            </w:pPr>
            <w:r>
              <w:rPr>
                <w:sz w:val="22"/>
              </w:rPr>
              <w:t>Solo se identificó a nivel de género.</w:t>
            </w:r>
          </w:p>
        </w:tc>
      </w:tr>
      <w:tr>
        <w:trPr>
          <w:trHeight w:val="1829" w:hRule="exact"/>
        </w:trPr>
        <w:tc>
          <w:tcPr>
            <w:tcW w:w="1844"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Pr>
                <w:b/>
                <w:sz w:val="22"/>
              </w:rPr>
            </w:pPr>
            <w:r>
              <w:rPr>
                <w:b/>
                <w:sz w:val="22"/>
              </w:rPr>
              <w:t>Malvaceae</w:t>
            </w:r>
          </w:p>
          <w:p>
            <w:pPr>
              <w:pStyle w:val="TableParagraph"/>
              <w:spacing w:before="9"/>
              <w:rPr>
                <w:rFonts w:ascii="Times New Roman"/>
                <w:sz w:val="21"/>
              </w:rPr>
            </w:pPr>
          </w:p>
          <w:p>
            <w:pPr>
              <w:pStyle w:val="TableParagraph"/>
              <w:spacing w:line="244" w:lineRule="auto"/>
              <w:ind w:left="81" w:right="303"/>
              <w:rPr>
                <w:sz w:val="22"/>
              </w:rPr>
            </w:pPr>
            <w:r>
              <w:rPr>
                <w:i/>
                <w:sz w:val="22"/>
              </w:rPr>
              <w:t>Malvaviscus </w:t>
            </w:r>
            <w:r>
              <w:rPr>
                <w:i/>
                <w:sz w:val="22"/>
              </w:rPr>
              <w:t>arboreus </w:t>
            </w:r>
            <w:r>
              <w:rPr>
                <w:sz w:val="22"/>
              </w:rPr>
              <w:t>Cav. (S)</w:t>
            </w:r>
          </w:p>
        </w:tc>
        <w:tc>
          <w:tcPr>
            <w:tcW w:w="147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2"/>
              </w:rPr>
            </w:pPr>
          </w:p>
          <w:p>
            <w:pPr>
              <w:pStyle w:val="TableParagraph"/>
              <w:ind w:left="162" w:right="162"/>
              <w:jc w:val="center"/>
              <w:rPr>
                <w:sz w:val="22"/>
              </w:rPr>
            </w:pPr>
            <w:r>
              <w:rPr>
                <w:sz w:val="22"/>
              </w:rPr>
              <w:t>Monancillo</w:t>
            </w:r>
          </w:p>
        </w:tc>
        <w:tc>
          <w:tcPr>
            <w:tcW w:w="3222" w:type="dxa"/>
            <w:tcBorders>
              <w:bottom w:val="thinThickMediumGap" w:sz="12" w:space="0" w:color="000000"/>
              <w:right w:val="thinThickMediumGap" w:sz="12" w:space="0" w:color="000000"/>
            </w:tcBorders>
          </w:tcPr>
          <w:p>
            <w:pPr>
              <w:pStyle w:val="TableParagraph"/>
              <w:spacing w:before="5"/>
              <w:ind w:left="76"/>
              <w:rPr>
                <w:b/>
                <w:sz w:val="22"/>
              </w:rPr>
            </w:pPr>
            <w:r>
              <w:rPr>
                <w:b/>
                <w:sz w:val="22"/>
              </w:rPr>
              <w:t>Ornamental</w:t>
            </w:r>
          </w:p>
          <w:p>
            <w:pPr>
              <w:pStyle w:val="TableParagraph"/>
              <w:tabs>
                <w:tab w:pos="1040" w:val="left" w:leader="none"/>
                <w:tab w:pos="1304" w:val="left" w:leader="none"/>
                <w:tab w:pos="1390" w:val="left" w:leader="none"/>
                <w:tab w:pos="2842" w:val="left" w:leader="none"/>
              </w:tabs>
              <w:spacing w:before="6"/>
              <w:ind w:left="76" w:right="71"/>
              <w:rPr>
                <w:sz w:val="22"/>
              </w:rPr>
            </w:pPr>
            <w:r>
              <w:rPr>
                <w:sz w:val="22"/>
              </w:rPr>
              <w:t>Cultivada en los jardines. </w:t>
            </w:r>
            <w:r>
              <w:rPr>
                <w:b/>
                <w:sz w:val="22"/>
              </w:rPr>
              <w:t>Potencial</w:t>
              <w:tab/>
              <w:t>Ornamental.</w:t>
              <w:tab/>
            </w:r>
            <w:r>
              <w:rPr>
                <w:sz w:val="22"/>
              </w:rPr>
              <w:t>La inflorescencia y follaje (Pérez- Nicolás</w:t>
              <w:tab/>
              <w:t>y</w:t>
              <w:tab/>
              <w:tab/>
            </w:r>
            <w:r>
              <w:rPr>
                <w:spacing w:val="-1"/>
                <w:sz w:val="22"/>
              </w:rPr>
              <w:t>Fernández-Nava, </w:t>
            </w:r>
            <w:r>
              <w:rPr>
                <w:sz w:val="22"/>
              </w:rPr>
              <w:t>2007).</w:t>
            </w:r>
          </w:p>
        </w:tc>
        <w:tc>
          <w:tcPr>
            <w:tcW w:w="6689" w:type="dxa"/>
            <w:tcBorders>
              <w:bottom w:val="thinThickMediumGap" w:sz="12" w:space="0" w:color="000000"/>
              <w:right w:val="thinThickMediumGap" w:sz="12" w:space="0" w:color="000000"/>
            </w:tcBorders>
          </w:tcPr>
          <w:p>
            <w:pPr>
              <w:pStyle w:val="TableParagraph"/>
              <w:spacing w:line="242" w:lineRule="auto" w:before="5"/>
              <w:ind w:left="81" w:right="65"/>
              <w:rPr>
                <w:sz w:val="22"/>
              </w:rPr>
            </w:pPr>
            <w:r>
              <w:rPr>
                <w:sz w:val="22"/>
              </w:rPr>
              <w:t>Originario del continente americano (Kantún-Balam </w:t>
            </w:r>
            <w:r>
              <w:rPr>
                <w:i/>
                <w:sz w:val="22"/>
              </w:rPr>
              <w:t>et al., </w:t>
            </w:r>
            <w:r>
              <w:rPr>
                <w:sz w:val="22"/>
              </w:rPr>
              <w:t>2013). Distribuido en: Belice, Caribean, China, Colombia, Costa Rica, Ecuador, El Salvador, Guatemala, Honduras, México (Ags., Camp.,  Chis.,  Col.,  D.F.,  Dgo., Gto., Gro.,  Hgo.,  Jal.,  Edo.  de</w:t>
            </w:r>
          </w:p>
          <w:p>
            <w:pPr>
              <w:pStyle w:val="TableParagraph"/>
              <w:ind w:left="81" w:right="86"/>
              <w:jc w:val="both"/>
              <w:rPr>
                <w:sz w:val="22"/>
              </w:rPr>
            </w:pPr>
            <w:r>
              <w:rPr>
                <w:sz w:val="22"/>
              </w:rPr>
              <w:t>Méx., Mich., Mor., Nay., Oax., Pue., Qro., Q.Roo., S.L.P. Sin., Tab., Tam., Tlax., Ver. y Yucatán), Panama, U.S.A. y Venezuela (Trópicos, 2014).</w:t>
            </w:r>
          </w:p>
        </w:tc>
      </w:tr>
      <w:tr>
        <w:trPr>
          <w:trHeight w:val="1325" w:hRule="exact"/>
        </w:trPr>
        <w:tc>
          <w:tcPr>
            <w:tcW w:w="1844" w:type="dxa"/>
            <w:tcBorders>
              <w:bottom w:val="thinThickMediumGap" w:sz="12" w:space="0" w:color="000000"/>
              <w:right w:val="thinThickMediumGap" w:sz="12" w:space="0" w:color="000000"/>
            </w:tcBorders>
          </w:tcPr>
          <w:p>
            <w:pPr>
              <w:pStyle w:val="TableParagraph"/>
              <w:spacing w:before="9"/>
              <w:ind w:left="81"/>
              <w:rPr>
                <w:b/>
                <w:sz w:val="22"/>
              </w:rPr>
            </w:pPr>
            <w:r>
              <w:rPr>
                <w:b/>
                <w:sz w:val="22"/>
              </w:rPr>
              <w:t>Olacaceae</w:t>
            </w:r>
          </w:p>
          <w:p>
            <w:pPr>
              <w:pStyle w:val="TableParagraph"/>
              <w:spacing w:before="10"/>
              <w:rPr>
                <w:rFonts w:ascii="Times New Roman"/>
                <w:sz w:val="21"/>
              </w:rPr>
            </w:pPr>
          </w:p>
          <w:p>
            <w:pPr>
              <w:pStyle w:val="TableParagraph"/>
              <w:spacing w:line="244" w:lineRule="auto"/>
              <w:ind w:left="81" w:right="462"/>
              <w:rPr>
                <w:sz w:val="22"/>
              </w:rPr>
            </w:pPr>
            <w:r>
              <w:rPr>
                <w:i/>
                <w:sz w:val="22"/>
              </w:rPr>
              <w:t>Schoepfia </w:t>
            </w:r>
            <w:r>
              <w:rPr>
                <w:i/>
                <w:sz w:val="22"/>
              </w:rPr>
              <w:t>pringlei </w:t>
            </w:r>
            <w:r>
              <w:rPr>
                <w:sz w:val="22"/>
              </w:rPr>
              <w:t>B. L. Rob (S)</w:t>
            </w:r>
          </w:p>
        </w:tc>
        <w:tc>
          <w:tcPr>
            <w:tcW w:w="147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1"/>
              <w:jc w:val="center"/>
              <w:rPr>
                <w:sz w:val="22"/>
              </w:rPr>
            </w:pPr>
            <w:r>
              <w:rPr>
                <w:w w:val="100"/>
                <w:sz w:val="22"/>
              </w:rPr>
              <w:t>-</w:t>
            </w:r>
          </w:p>
        </w:tc>
        <w:tc>
          <w:tcPr>
            <w:tcW w:w="3222" w:type="dxa"/>
            <w:tcBorders>
              <w:bottom w:val="thinThickMediumGap" w:sz="12" w:space="0" w:color="000000"/>
              <w:right w:val="thinThickMediumGap" w:sz="12" w:space="0" w:color="000000"/>
            </w:tcBorders>
          </w:tcPr>
          <w:p>
            <w:pPr>
              <w:pStyle w:val="TableParagraph"/>
              <w:spacing w:before="14"/>
              <w:ind w:left="76"/>
              <w:rPr>
                <w:sz w:val="22"/>
              </w:rPr>
            </w:pPr>
            <w:r>
              <w:rPr>
                <w:sz w:val="22"/>
              </w:rPr>
              <w:t>Sin uso</w:t>
            </w:r>
          </w:p>
        </w:tc>
        <w:tc>
          <w:tcPr>
            <w:tcW w:w="6689" w:type="dxa"/>
            <w:tcBorders>
              <w:bottom w:val="thinThickMediumGap" w:sz="12" w:space="0" w:color="000000"/>
              <w:right w:val="thinThickMediumGap" w:sz="12" w:space="0" w:color="000000"/>
            </w:tcBorders>
          </w:tcPr>
          <w:p>
            <w:pPr>
              <w:pStyle w:val="TableParagraph"/>
              <w:spacing w:before="14"/>
              <w:ind w:left="81" w:right="65"/>
              <w:rPr>
                <w:sz w:val="22"/>
              </w:rPr>
            </w:pPr>
            <w:r>
              <w:rPr>
                <w:sz w:val="22"/>
              </w:rPr>
              <w:t>En México: Gro., Edo. de Méx., Mich. y Nay. (Trópicos, 2014).</w:t>
            </w:r>
          </w:p>
        </w:tc>
      </w:tr>
      <w:tr>
        <w:trPr>
          <w:trHeight w:val="1599" w:hRule="exact"/>
        </w:trPr>
        <w:tc>
          <w:tcPr>
            <w:tcW w:w="1844" w:type="dxa"/>
            <w:tcBorders>
              <w:bottom w:val="thinThickMediumGap" w:sz="12" w:space="0" w:color="000000"/>
              <w:right w:val="thinThickMediumGap" w:sz="12" w:space="0" w:color="000000"/>
            </w:tcBorders>
          </w:tcPr>
          <w:p>
            <w:pPr>
              <w:pStyle w:val="TableParagraph"/>
              <w:spacing w:before="134"/>
              <w:ind w:left="81"/>
              <w:rPr>
                <w:b/>
                <w:sz w:val="22"/>
              </w:rPr>
            </w:pPr>
            <w:r>
              <w:rPr>
                <w:b/>
                <w:sz w:val="22"/>
              </w:rPr>
              <w:t>Salicaceae</w:t>
            </w:r>
          </w:p>
          <w:p>
            <w:pPr>
              <w:pStyle w:val="TableParagraph"/>
              <w:spacing w:before="3"/>
              <w:rPr>
                <w:rFonts w:ascii="Times New Roman"/>
                <w:sz w:val="22"/>
              </w:rPr>
            </w:pPr>
          </w:p>
          <w:p>
            <w:pPr>
              <w:pStyle w:val="TableParagraph"/>
              <w:spacing w:line="242" w:lineRule="auto"/>
              <w:ind w:left="81" w:right="363"/>
              <w:rPr>
                <w:sz w:val="22"/>
              </w:rPr>
            </w:pPr>
            <w:r>
              <w:rPr>
                <w:i/>
                <w:sz w:val="22"/>
              </w:rPr>
              <w:t>Salix </w:t>
            </w:r>
            <w:r>
              <w:rPr>
                <w:i/>
                <w:sz w:val="22"/>
              </w:rPr>
              <w:t>bonplandiana </w:t>
            </w:r>
            <w:r>
              <w:rPr>
                <w:sz w:val="22"/>
              </w:rPr>
              <w:t>Kunth (S)</w:t>
            </w:r>
          </w:p>
        </w:tc>
        <w:tc>
          <w:tcPr>
            <w:tcW w:w="147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192" w:right="193" w:firstLine="1"/>
              <w:jc w:val="center"/>
              <w:rPr>
                <w:sz w:val="22"/>
              </w:rPr>
            </w:pPr>
            <w:r>
              <w:rPr>
                <w:sz w:val="22"/>
              </w:rPr>
              <w:t>Salix, agüejote o sauce</w:t>
            </w:r>
          </w:p>
        </w:tc>
        <w:tc>
          <w:tcPr>
            <w:tcW w:w="3222" w:type="dxa"/>
            <w:tcBorders>
              <w:bottom w:val="thinThickMediumGap" w:sz="12" w:space="0" w:color="000000"/>
              <w:right w:val="thinThickMediumGap" w:sz="12" w:space="0" w:color="000000"/>
            </w:tcBorders>
          </w:tcPr>
          <w:p>
            <w:pPr>
              <w:pStyle w:val="TableParagraph"/>
              <w:spacing w:before="9"/>
              <w:ind w:left="76"/>
              <w:jc w:val="both"/>
              <w:rPr>
                <w:b/>
                <w:sz w:val="22"/>
              </w:rPr>
            </w:pPr>
            <w:r>
              <w:rPr>
                <w:b/>
                <w:sz w:val="22"/>
              </w:rPr>
              <w:t>Leña</w:t>
            </w:r>
          </w:p>
          <w:p>
            <w:pPr>
              <w:pStyle w:val="TableParagraph"/>
              <w:spacing w:before="9"/>
              <w:rPr>
                <w:rFonts w:ascii="Times New Roman"/>
                <w:sz w:val="21"/>
              </w:rPr>
            </w:pPr>
          </w:p>
          <w:p>
            <w:pPr>
              <w:pStyle w:val="TableParagraph"/>
              <w:spacing w:line="242" w:lineRule="auto" w:before="1"/>
              <w:ind w:left="76" w:right="71"/>
              <w:jc w:val="both"/>
              <w:rPr>
                <w:sz w:val="22"/>
              </w:rPr>
            </w:pPr>
            <w:r>
              <w:rPr>
                <w:b/>
                <w:sz w:val="22"/>
              </w:rPr>
              <w:t>Potencial Ornamental. </w:t>
            </w:r>
            <w:r>
              <w:rPr>
                <w:sz w:val="22"/>
              </w:rPr>
              <w:t>Toda la planta y follaje (Pérez- Nicolás y Fernández-Nava, 2007).</w:t>
            </w:r>
          </w:p>
        </w:tc>
        <w:tc>
          <w:tcPr>
            <w:tcW w:w="6689" w:type="dxa"/>
            <w:tcBorders>
              <w:bottom w:val="thinThickMediumGap" w:sz="12" w:space="0" w:color="000000"/>
              <w:right w:val="thinThickMediumGap" w:sz="12" w:space="0" w:color="000000"/>
            </w:tcBorders>
          </w:tcPr>
          <w:p>
            <w:pPr>
              <w:pStyle w:val="TableParagraph"/>
              <w:spacing w:before="14"/>
              <w:ind w:left="81" w:right="65"/>
              <w:rPr>
                <w:sz w:val="22"/>
              </w:rPr>
            </w:pPr>
            <w:r>
              <w:rPr>
                <w:sz w:val="22"/>
              </w:rPr>
              <w:t>Estado Unidos de América, Guatemala, México: Chiapas, Oaxaca (Trópicos, 2014).</w:t>
            </w:r>
          </w:p>
          <w:p>
            <w:pPr>
              <w:pStyle w:val="TableParagraph"/>
              <w:spacing w:before="9"/>
              <w:rPr>
                <w:rFonts w:ascii="Times New Roman"/>
                <w:sz w:val="21"/>
              </w:rPr>
            </w:pPr>
          </w:p>
          <w:p>
            <w:pPr>
              <w:pStyle w:val="TableParagraph"/>
              <w:ind w:left="81" w:right="65"/>
              <w:rPr>
                <w:sz w:val="22"/>
              </w:rPr>
            </w:pPr>
            <w:r>
              <w:rPr>
                <w:sz w:val="22"/>
              </w:rPr>
              <w:t>Especie nativa presente de Estados Unidos de América hasta Guatemala (López, 2012).</w:t>
            </w:r>
          </w:p>
        </w:tc>
      </w:tr>
    </w:tbl>
    <w:p>
      <w:pPr>
        <w:spacing w:after="0"/>
        <w:rPr>
          <w:sz w:val="22"/>
        </w:rPr>
        <w:sectPr>
          <w:footerReference w:type="default" r:id="rId64"/>
          <w:pgSz w:w="15840" w:h="12240" w:orient="landscape"/>
          <w:pgMar w:footer="1147" w:header="690" w:top="880" w:bottom="1340" w:left="1160" w:right="1140"/>
          <w:pgNumType w:start="81"/>
        </w:sectPr>
      </w:pPr>
    </w:p>
    <w:p>
      <w:pPr>
        <w:pStyle w:val="BodyText"/>
        <w:rPr>
          <w:rFonts w:ascii="Times New Roman"/>
          <w:sz w:val="20"/>
        </w:rPr>
      </w:pPr>
    </w:p>
    <w:p>
      <w:pPr>
        <w:pStyle w:val="BodyText"/>
        <w:spacing w:before="9"/>
        <w:rPr>
          <w:rFonts w:ascii="Times New Roman"/>
          <w:sz w:val="25"/>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295"/>
        <w:gridCol w:w="1416"/>
        <w:gridCol w:w="3347"/>
        <w:gridCol w:w="6170"/>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2492"/>
              <w:rPr>
                <w:b/>
                <w:i/>
                <w:sz w:val="20"/>
              </w:rPr>
            </w:pPr>
            <w:r>
              <w:rPr>
                <w:b/>
                <w:i/>
                <w:sz w:val="20"/>
              </w:rPr>
              <w:t>Cuadro 11. Listado de especies de flora de la Zona de Manejo Ambiental: Orquídeario.</w:t>
            </w:r>
          </w:p>
        </w:tc>
      </w:tr>
      <w:tr>
        <w:trPr>
          <w:trHeight w:val="567" w:hRule="exact"/>
        </w:trPr>
        <w:tc>
          <w:tcPr>
            <w:tcW w:w="2295" w:type="dxa"/>
            <w:tcBorders>
              <w:bottom w:val="thinThickMediumGap" w:sz="12" w:space="0" w:color="000000"/>
              <w:right w:val="thinThickMediumGap" w:sz="12" w:space="0" w:color="000000"/>
            </w:tcBorders>
            <w:shd w:val="clear" w:color="auto" w:fill="D9D9D9"/>
          </w:tcPr>
          <w:p>
            <w:pPr>
              <w:pStyle w:val="TableParagraph"/>
              <w:spacing w:before="5"/>
              <w:ind w:left="638" w:right="82" w:hanging="404"/>
              <w:rPr>
                <w:b/>
                <w:sz w:val="22"/>
              </w:rPr>
            </w:pPr>
            <w:r>
              <w:rPr>
                <w:b/>
                <w:sz w:val="22"/>
              </w:rPr>
              <w:t>Familia / Nombre científico</w:t>
            </w:r>
          </w:p>
        </w:tc>
        <w:tc>
          <w:tcPr>
            <w:tcW w:w="1416" w:type="dxa"/>
            <w:tcBorders>
              <w:bottom w:val="thinThickMediumGap" w:sz="12" w:space="0" w:color="000000"/>
              <w:right w:val="thinThickMediumGap" w:sz="12" w:space="0" w:color="000000"/>
            </w:tcBorders>
            <w:shd w:val="clear" w:color="auto" w:fill="D9D9D9"/>
          </w:tcPr>
          <w:p>
            <w:pPr>
              <w:pStyle w:val="TableParagraph"/>
              <w:spacing w:before="5"/>
              <w:ind w:left="321" w:right="244" w:hanging="58"/>
              <w:rPr>
                <w:b/>
                <w:sz w:val="22"/>
              </w:rPr>
            </w:pPr>
            <w:r>
              <w:rPr>
                <w:b/>
                <w:sz w:val="22"/>
              </w:rPr>
              <w:t>Nombre común</w:t>
            </w:r>
          </w:p>
        </w:tc>
        <w:tc>
          <w:tcPr>
            <w:tcW w:w="3347" w:type="dxa"/>
            <w:tcBorders>
              <w:bottom w:val="thinThickMediumGap" w:sz="12" w:space="0" w:color="000000"/>
              <w:right w:val="thinThickMediumGap" w:sz="12" w:space="0" w:color="000000"/>
            </w:tcBorders>
            <w:shd w:val="clear" w:color="auto" w:fill="D9D9D9"/>
          </w:tcPr>
          <w:p>
            <w:pPr>
              <w:pStyle w:val="TableParagraph"/>
              <w:spacing w:before="135"/>
              <w:ind w:left="1357" w:right="1354"/>
              <w:jc w:val="center"/>
              <w:rPr>
                <w:b/>
                <w:sz w:val="22"/>
              </w:rPr>
            </w:pPr>
            <w:r>
              <w:rPr>
                <w:b/>
                <w:sz w:val="22"/>
              </w:rPr>
              <w:t>Usos</w:t>
            </w:r>
          </w:p>
        </w:tc>
        <w:tc>
          <w:tcPr>
            <w:tcW w:w="6170" w:type="dxa"/>
            <w:tcBorders>
              <w:left w:val="thickThinMediumGap" w:sz="12" w:space="0" w:color="000000"/>
              <w:bottom w:val="thinThickMediumGap" w:sz="12" w:space="0" w:color="000000"/>
              <w:right w:val="thinThickMediumGap" w:sz="12" w:space="0" w:color="000000"/>
            </w:tcBorders>
            <w:shd w:val="clear" w:color="auto" w:fill="D9D9D9"/>
          </w:tcPr>
          <w:p>
            <w:pPr>
              <w:pStyle w:val="TableParagraph"/>
              <w:spacing w:before="135"/>
              <w:ind w:left="2393" w:right="2396"/>
              <w:jc w:val="center"/>
              <w:rPr>
                <w:b/>
                <w:sz w:val="22"/>
              </w:rPr>
            </w:pPr>
            <w:r>
              <w:rPr>
                <w:b/>
                <w:sz w:val="22"/>
              </w:rPr>
              <w:t>Distribución</w:t>
            </w:r>
          </w:p>
        </w:tc>
      </w:tr>
      <w:tr>
        <w:trPr>
          <w:trHeight w:val="1071" w:hRule="exact"/>
        </w:trPr>
        <w:tc>
          <w:tcPr>
            <w:tcW w:w="2295" w:type="dxa"/>
            <w:tcBorders>
              <w:bottom w:val="thinThickMediumGap" w:sz="12" w:space="0" w:color="000000"/>
              <w:right w:val="thinThickMediumGap" w:sz="12" w:space="0" w:color="000000"/>
            </w:tcBorders>
          </w:tcPr>
          <w:p>
            <w:pPr>
              <w:pStyle w:val="TableParagraph"/>
              <w:spacing w:before="5"/>
              <w:ind w:left="81" w:right="82"/>
              <w:rPr>
                <w:b/>
                <w:sz w:val="22"/>
              </w:rPr>
            </w:pPr>
            <w:r>
              <w:rPr>
                <w:b/>
                <w:sz w:val="22"/>
              </w:rPr>
              <w:t>Sapindaceae</w:t>
            </w:r>
          </w:p>
          <w:p>
            <w:pPr>
              <w:pStyle w:val="TableParagraph"/>
              <w:spacing w:before="2"/>
              <w:rPr>
                <w:rFonts w:ascii="Times New Roman"/>
                <w:sz w:val="22"/>
              </w:rPr>
            </w:pPr>
          </w:p>
          <w:p>
            <w:pPr>
              <w:pStyle w:val="TableParagraph"/>
              <w:spacing w:line="241" w:lineRule="exact" w:before="1"/>
              <w:ind w:left="81" w:right="82"/>
              <w:rPr>
                <w:i/>
                <w:sz w:val="22"/>
              </w:rPr>
            </w:pPr>
            <w:r>
              <w:rPr>
                <w:i/>
                <w:sz w:val="22"/>
              </w:rPr>
              <w:t>Paullinia fuscescens</w:t>
            </w:r>
          </w:p>
          <w:p>
            <w:pPr>
              <w:pStyle w:val="TableParagraph"/>
              <w:spacing w:line="266" w:lineRule="exact"/>
              <w:ind w:left="81" w:right="82"/>
              <w:rPr>
                <w:sz w:val="22"/>
              </w:rPr>
            </w:pPr>
            <w:r>
              <w:rPr>
                <w:sz w:val="22"/>
              </w:rPr>
              <w:t>Kunth </w:t>
            </w:r>
            <w:r>
              <w:rPr>
                <w:position w:val="10"/>
                <w:sz w:val="14"/>
              </w:rPr>
              <w:t>6 </w:t>
            </w:r>
            <w:r>
              <w:rPr>
                <w:sz w:val="22"/>
              </w:rPr>
              <w:t>(S)</w:t>
            </w:r>
          </w:p>
        </w:tc>
        <w:tc>
          <w:tcPr>
            <w:tcW w:w="141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15" w:right="108"/>
              <w:jc w:val="center"/>
              <w:rPr>
                <w:sz w:val="22"/>
              </w:rPr>
            </w:pPr>
            <w:r>
              <w:rPr>
                <w:sz w:val="22"/>
              </w:rPr>
              <w:t>Bejuco</w:t>
            </w:r>
          </w:p>
        </w:tc>
        <w:tc>
          <w:tcPr>
            <w:tcW w:w="3347" w:type="dxa"/>
            <w:tcBorders>
              <w:bottom w:val="thinThickMediumGap" w:sz="12" w:space="0" w:color="000000"/>
              <w:right w:val="thinThickMediumGap" w:sz="12" w:space="0" w:color="000000"/>
            </w:tcBorders>
          </w:tcPr>
          <w:p>
            <w:pPr>
              <w:pStyle w:val="TableParagraph"/>
              <w:spacing w:before="9"/>
              <w:ind w:left="81" w:right="74"/>
              <w:rPr>
                <w:sz w:val="22"/>
              </w:rPr>
            </w:pPr>
            <w:r>
              <w:rPr>
                <w:sz w:val="22"/>
              </w:rPr>
              <w:t>Sin uso en el lugar de estudio.</w:t>
            </w:r>
          </w:p>
        </w:tc>
        <w:tc>
          <w:tcPr>
            <w:tcW w:w="6170" w:type="dxa"/>
            <w:tcBorders>
              <w:left w:val="thickThinMediumGap" w:sz="12" w:space="0" w:color="000000"/>
              <w:bottom w:val="thinThickMediumGap" w:sz="12" w:space="0" w:color="000000"/>
              <w:right w:val="thinThickMediumGap" w:sz="12" w:space="0" w:color="000000"/>
            </w:tcBorders>
          </w:tcPr>
          <w:p>
            <w:pPr>
              <w:pStyle w:val="TableParagraph"/>
              <w:spacing w:before="9"/>
              <w:ind w:left="81"/>
              <w:rPr>
                <w:sz w:val="22"/>
              </w:rPr>
            </w:pPr>
            <w:r>
              <w:rPr>
                <w:sz w:val="22"/>
              </w:rPr>
              <w:t>En México: Jal., Col., Mich., Méx., Mor., Gro. (Fernández, 1996)</w:t>
            </w:r>
          </w:p>
        </w:tc>
      </w:tr>
      <w:tr>
        <w:trPr>
          <w:trHeight w:val="1580" w:hRule="exact"/>
        </w:trPr>
        <w:tc>
          <w:tcPr>
            <w:tcW w:w="2295"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ight="82"/>
              <w:rPr>
                <w:b/>
                <w:sz w:val="22"/>
              </w:rPr>
            </w:pPr>
            <w:r>
              <w:rPr>
                <w:b/>
                <w:sz w:val="22"/>
              </w:rPr>
              <w:t>Ulmaceae</w:t>
            </w:r>
          </w:p>
          <w:p>
            <w:pPr>
              <w:pStyle w:val="TableParagraph"/>
              <w:spacing w:before="6"/>
              <w:rPr>
                <w:rFonts w:ascii="Times New Roman"/>
                <w:sz w:val="22"/>
              </w:rPr>
            </w:pPr>
          </w:p>
          <w:p>
            <w:pPr>
              <w:pStyle w:val="TableParagraph"/>
              <w:spacing w:line="254" w:lineRule="exact"/>
              <w:ind w:left="81" w:right="82"/>
              <w:rPr>
                <w:sz w:val="22"/>
              </w:rPr>
            </w:pPr>
            <w:r>
              <w:rPr>
                <w:i/>
                <w:sz w:val="22"/>
              </w:rPr>
              <w:t>Trema micrantha </w:t>
            </w:r>
            <w:r>
              <w:rPr>
                <w:sz w:val="22"/>
              </w:rPr>
              <w:t>(L.) Blume </w:t>
            </w:r>
            <w:r>
              <w:rPr>
                <w:position w:val="10"/>
                <w:sz w:val="14"/>
              </w:rPr>
              <w:t>6 </w:t>
            </w:r>
            <w:r>
              <w:rPr>
                <w:sz w:val="22"/>
              </w:rPr>
              <w:t>(S)</w:t>
            </w:r>
          </w:p>
        </w:tc>
        <w:tc>
          <w:tcPr>
            <w:tcW w:w="141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spacing w:line="242" w:lineRule="auto"/>
              <w:ind w:left="192" w:right="168" w:firstLine="14"/>
              <w:rPr>
                <w:sz w:val="22"/>
              </w:rPr>
            </w:pPr>
            <w:r>
              <w:rPr>
                <w:sz w:val="22"/>
              </w:rPr>
              <w:t>Capulín o guacimilla</w:t>
            </w:r>
          </w:p>
        </w:tc>
        <w:tc>
          <w:tcPr>
            <w:tcW w:w="3347" w:type="dxa"/>
            <w:tcBorders>
              <w:bottom w:val="thinThickMediumGap" w:sz="12" w:space="0" w:color="000000"/>
              <w:right w:val="thinThickMediumGap" w:sz="12" w:space="0" w:color="000000"/>
            </w:tcBorders>
          </w:tcPr>
          <w:p>
            <w:pPr>
              <w:pStyle w:val="TableParagraph"/>
              <w:tabs>
                <w:tab w:pos="1051" w:val="left" w:leader="none"/>
                <w:tab w:pos="1718" w:val="left" w:leader="none"/>
                <w:tab w:pos="2672" w:val="left" w:leader="none"/>
              </w:tabs>
              <w:spacing w:before="9"/>
              <w:ind w:left="81" w:right="74"/>
              <w:rPr>
                <w:sz w:val="22"/>
              </w:rPr>
            </w:pPr>
            <w:r>
              <w:rPr>
                <w:b/>
                <w:sz w:val="22"/>
              </w:rPr>
              <w:t>Leña.</w:t>
              <w:tab/>
            </w:r>
            <w:r>
              <w:rPr>
                <w:sz w:val="22"/>
              </w:rPr>
              <w:t>Se</w:t>
              <w:tab/>
              <w:t>utiliza</w:t>
              <w:tab/>
              <w:t>como combustible para hacer</w:t>
            </w:r>
            <w:r>
              <w:rPr>
                <w:spacing w:val="-17"/>
                <w:sz w:val="22"/>
              </w:rPr>
              <w:t> </w:t>
            </w:r>
            <w:r>
              <w:rPr>
                <w:sz w:val="22"/>
              </w:rPr>
              <w:t>fuego.</w:t>
            </w:r>
          </w:p>
          <w:p>
            <w:pPr>
              <w:pStyle w:val="TableParagraph"/>
              <w:spacing w:before="10"/>
              <w:rPr>
                <w:rFonts w:ascii="Times New Roman"/>
                <w:sz w:val="21"/>
              </w:rPr>
            </w:pPr>
          </w:p>
          <w:p>
            <w:pPr>
              <w:pStyle w:val="TableParagraph"/>
              <w:tabs>
                <w:tab w:pos="1402" w:val="left" w:leader="none"/>
                <w:tab w:pos="2768" w:val="left" w:leader="none"/>
              </w:tabs>
              <w:ind w:left="81" w:right="74"/>
              <w:rPr>
                <w:sz w:val="22"/>
              </w:rPr>
            </w:pPr>
            <w:r>
              <w:rPr>
                <w:b/>
                <w:sz w:val="22"/>
              </w:rPr>
              <w:t>Forraje.</w:t>
              <w:tab/>
            </w:r>
            <w:r>
              <w:rPr>
                <w:sz w:val="22"/>
              </w:rPr>
              <w:t>Alimento</w:t>
              <w:tab/>
              <w:t>para animales</w:t>
            </w:r>
          </w:p>
        </w:tc>
        <w:tc>
          <w:tcPr>
            <w:tcW w:w="6170" w:type="dxa"/>
            <w:tcBorders>
              <w:left w:val="thickThinMediumGap" w:sz="12" w:space="0" w:color="000000"/>
              <w:bottom w:val="thinThickMediumGap" w:sz="12" w:space="0" w:color="000000"/>
              <w:right w:val="thinThickMediumGap" w:sz="12" w:space="0" w:color="000000"/>
            </w:tcBorders>
          </w:tcPr>
          <w:p>
            <w:pPr>
              <w:pStyle w:val="TableParagraph"/>
              <w:spacing w:before="14"/>
              <w:ind w:left="81" w:right="75"/>
              <w:jc w:val="both"/>
              <w:rPr>
                <w:sz w:val="22"/>
              </w:rPr>
            </w:pPr>
            <w:r>
              <w:rPr>
                <w:sz w:val="22"/>
              </w:rPr>
              <w:t>Estados Unidos (Florida); ambas costas de México desde Sonora y Tamaulipas hacia el sur a través de Centro América, las Antillas; la mayor parte de América del Sur (Nee, 1984). Camp., Col., Chis., Gro., Hgo., Jal., Edo.  Méx.,</w:t>
            </w:r>
          </w:p>
          <w:p>
            <w:pPr>
              <w:pStyle w:val="TableParagraph"/>
              <w:spacing w:line="242" w:lineRule="auto"/>
              <w:ind w:left="81" w:right="82"/>
              <w:jc w:val="both"/>
              <w:rPr>
                <w:sz w:val="22"/>
              </w:rPr>
            </w:pPr>
            <w:r>
              <w:rPr>
                <w:sz w:val="22"/>
              </w:rPr>
              <w:t>Mich., Mor., Nay., Oax., Pue., Q. Roo, S. L. P., Sin., Son., Tab., Tamps., Ver. y Yuc. (CONABIO, 2009).</w:t>
            </w:r>
          </w:p>
        </w:tc>
      </w:tr>
      <w:tr>
        <w:trPr>
          <w:trHeight w:val="1325" w:hRule="exact"/>
        </w:trPr>
        <w:tc>
          <w:tcPr>
            <w:tcW w:w="2295" w:type="dxa"/>
            <w:tcBorders>
              <w:bottom w:val="thinThickMediumGap" w:sz="12" w:space="0" w:color="000000"/>
              <w:right w:val="thinThickMediumGap" w:sz="12" w:space="0" w:color="000000"/>
            </w:tcBorders>
          </w:tcPr>
          <w:p>
            <w:pPr>
              <w:pStyle w:val="TableParagraph"/>
              <w:spacing w:before="5"/>
              <w:ind w:left="81" w:right="82"/>
              <w:rPr>
                <w:b/>
                <w:sz w:val="22"/>
              </w:rPr>
            </w:pPr>
            <w:r>
              <w:rPr>
                <w:b/>
                <w:sz w:val="22"/>
              </w:rPr>
              <w:t>Asteraceae</w:t>
            </w:r>
          </w:p>
          <w:p>
            <w:pPr>
              <w:pStyle w:val="TableParagraph"/>
              <w:spacing w:before="3"/>
              <w:rPr>
                <w:rFonts w:ascii="Times New Roman"/>
                <w:sz w:val="22"/>
              </w:rPr>
            </w:pPr>
          </w:p>
          <w:p>
            <w:pPr>
              <w:pStyle w:val="TableParagraph"/>
              <w:ind w:left="81" w:right="82"/>
              <w:rPr>
                <w:i/>
                <w:sz w:val="22"/>
              </w:rPr>
            </w:pPr>
            <w:r>
              <w:rPr>
                <w:i/>
                <w:sz w:val="22"/>
              </w:rPr>
              <w:t>Verbesina fastigiata</w:t>
            </w:r>
          </w:p>
          <w:p>
            <w:pPr>
              <w:pStyle w:val="TableParagraph"/>
              <w:spacing w:before="1"/>
              <w:ind w:left="81" w:right="155"/>
              <w:rPr>
                <w:sz w:val="22"/>
              </w:rPr>
            </w:pPr>
            <w:r>
              <w:rPr>
                <w:sz w:val="22"/>
              </w:rPr>
              <w:t>B.L. Rob &amp; Greenm. (S)</w:t>
            </w:r>
          </w:p>
        </w:tc>
        <w:tc>
          <w:tcPr>
            <w:tcW w:w="141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115" w:right="114"/>
              <w:jc w:val="center"/>
              <w:rPr>
                <w:sz w:val="22"/>
              </w:rPr>
            </w:pPr>
            <w:r>
              <w:rPr>
                <w:sz w:val="22"/>
              </w:rPr>
              <w:t>Vara negra</w:t>
            </w:r>
          </w:p>
        </w:tc>
        <w:tc>
          <w:tcPr>
            <w:tcW w:w="3347" w:type="dxa"/>
            <w:tcBorders>
              <w:bottom w:val="thinThickMediumGap" w:sz="12" w:space="0" w:color="000000"/>
              <w:right w:val="thinThickMediumGap" w:sz="12" w:space="0" w:color="000000"/>
            </w:tcBorders>
          </w:tcPr>
          <w:p>
            <w:pPr>
              <w:pStyle w:val="TableParagraph"/>
              <w:spacing w:before="9"/>
              <w:ind w:left="81" w:right="74"/>
              <w:rPr>
                <w:sz w:val="22"/>
              </w:rPr>
            </w:pPr>
            <w:r>
              <w:rPr>
                <w:sz w:val="22"/>
              </w:rPr>
              <w:t>Sin uso en el lugar de estudio.</w:t>
            </w:r>
          </w:p>
        </w:tc>
        <w:tc>
          <w:tcPr>
            <w:tcW w:w="6170" w:type="dxa"/>
            <w:tcBorders>
              <w:left w:val="thickThinMediumGap" w:sz="12" w:space="0" w:color="000000"/>
              <w:bottom w:val="thinThickMediumGap" w:sz="12" w:space="0" w:color="000000"/>
              <w:right w:val="thinThickMediumGap" w:sz="12" w:space="0" w:color="000000"/>
            </w:tcBorders>
          </w:tcPr>
          <w:p>
            <w:pPr>
              <w:pStyle w:val="TableParagraph"/>
              <w:spacing w:before="1"/>
              <w:rPr>
                <w:rFonts w:ascii="Times New Roman"/>
                <w:sz w:val="23"/>
              </w:rPr>
            </w:pPr>
          </w:p>
          <w:p>
            <w:pPr>
              <w:pStyle w:val="TableParagraph"/>
              <w:spacing w:line="237" w:lineRule="auto"/>
              <w:ind w:left="81" w:right="82"/>
              <w:jc w:val="both"/>
              <w:rPr>
                <w:sz w:val="22"/>
              </w:rPr>
            </w:pPr>
            <w:r>
              <w:rPr>
                <w:sz w:val="22"/>
              </w:rPr>
              <w:t>Distribuida en el occidente y centro de México: Ags., Edo. de Mex., Nay., Jal., Col., Mich., Mor., Pue., Gro., Oax., Chis. (Rzedowski </w:t>
            </w:r>
            <w:r>
              <w:rPr>
                <w:i/>
                <w:sz w:val="22"/>
              </w:rPr>
              <w:t>et al., </w:t>
            </w:r>
            <w:r>
              <w:rPr>
                <w:sz w:val="22"/>
              </w:rPr>
              <w:t>2011).</w:t>
            </w:r>
          </w:p>
        </w:tc>
      </w:tr>
      <w:tr>
        <w:trPr>
          <w:trHeight w:val="1594" w:hRule="exact"/>
        </w:trPr>
        <w:tc>
          <w:tcPr>
            <w:tcW w:w="2295" w:type="dxa"/>
            <w:tcBorders>
              <w:bottom w:val="thinThickMediumGap" w:sz="12" w:space="0" w:color="000000"/>
              <w:right w:val="thinThickMediumGap" w:sz="12" w:space="0" w:color="000000"/>
            </w:tcBorders>
          </w:tcPr>
          <w:p>
            <w:pPr>
              <w:pStyle w:val="TableParagraph"/>
              <w:spacing w:before="5"/>
              <w:ind w:left="81" w:right="82"/>
              <w:rPr>
                <w:b/>
                <w:sz w:val="22"/>
              </w:rPr>
            </w:pPr>
            <w:r>
              <w:rPr>
                <w:b/>
                <w:sz w:val="22"/>
              </w:rPr>
              <w:t>Celastraceae</w:t>
            </w:r>
          </w:p>
          <w:p>
            <w:pPr>
              <w:pStyle w:val="TableParagraph"/>
              <w:spacing w:before="9"/>
              <w:rPr>
                <w:rFonts w:ascii="Times New Roman"/>
                <w:sz w:val="22"/>
              </w:rPr>
            </w:pPr>
          </w:p>
          <w:p>
            <w:pPr>
              <w:pStyle w:val="TableParagraph"/>
              <w:spacing w:line="232" w:lineRule="auto"/>
              <w:ind w:left="81" w:right="187"/>
              <w:rPr>
                <w:sz w:val="22"/>
              </w:rPr>
            </w:pPr>
            <w:r>
              <w:rPr>
                <w:i/>
                <w:sz w:val="22"/>
              </w:rPr>
              <w:t>Euonymus </w:t>
            </w:r>
            <w:r>
              <w:rPr>
                <w:i/>
                <w:sz w:val="22"/>
              </w:rPr>
              <w:t>corymbosus </w:t>
            </w:r>
            <w:r>
              <w:rPr>
                <w:sz w:val="22"/>
              </w:rPr>
              <w:t>Sprague &amp; Bullock </w:t>
            </w:r>
            <w:r>
              <w:rPr>
                <w:position w:val="10"/>
                <w:sz w:val="14"/>
              </w:rPr>
              <w:t>4 </w:t>
            </w:r>
            <w:r>
              <w:rPr>
                <w:sz w:val="22"/>
              </w:rPr>
              <w:t>(S)</w:t>
            </w:r>
          </w:p>
        </w:tc>
        <w:tc>
          <w:tcPr>
            <w:tcW w:w="141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112" w:right="114"/>
              <w:jc w:val="center"/>
              <w:rPr>
                <w:sz w:val="22"/>
              </w:rPr>
            </w:pPr>
            <w:r>
              <w:rPr>
                <w:sz w:val="22"/>
              </w:rPr>
              <w:t>--</w:t>
            </w:r>
          </w:p>
        </w:tc>
        <w:tc>
          <w:tcPr>
            <w:tcW w:w="3347" w:type="dxa"/>
            <w:tcBorders>
              <w:bottom w:val="thinThickMediumGap" w:sz="12" w:space="0" w:color="000000"/>
              <w:right w:val="thinThickMediumGap" w:sz="12" w:space="0" w:color="000000"/>
            </w:tcBorders>
          </w:tcPr>
          <w:p>
            <w:pPr>
              <w:pStyle w:val="TableParagraph"/>
              <w:spacing w:before="9"/>
              <w:ind w:left="81" w:right="74"/>
              <w:rPr>
                <w:sz w:val="22"/>
              </w:rPr>
            </w:pPr>
            <w:r>
              <w:rPr>
                <w:sz w:val="22"/>
              </w:rPr>
              <w:t>Sin uso en el lugar de estudio.</w:t>
            </w:r>
          </w:p>
        </w:tc>
        <w:tc>
          <w:tcPr>
            <w:tcW w:w="6170" w:type="dxa"/>
            <w:tcBorders>
              <w:left w:val="thickThinMediumGap" w:sz="12" w:space="0" w:color="000000"/>
              <w:bottom w:val="thinThickMediumGap" w:sz="12" w:space="0" w:color="000000"/>
              <w:right w:val="thinThickMediumGap" w:sz="12" w:space="0" w:color="000000"/>
            </w:tcBorders>
          </w:tcPr>
          <w:p>
            <w:pPr>
              <w:pStyle w:val="TableParagraph"/>
              <w:rPr>
                <w:rFonts w:ascii="Times New Roman"/>
                <w:sz w:val="22"/>
              </w:rPr>
            </w:pPr>
          </w:p>
          <w:p>
            <w:pPr>
              <w:pStyle w:val="TableParagraph"/>
              <w:spacing w:before="8"/>
              <w:rPr>
                <w:rFonts w:ascii="Times New Roman"/>
                <w:sz w:val="22"/>
              </w:rPr>
            </w:pPr>
          </w:p>
          <w:p>
            <w:pPr>
              <w:pStyle w:val="TableParagraph"/>
              <w:ind w:left="81"/>
              <w:rPr>
                <w:sz w:val="22"/>
              </w:rPr>
            </w:pPr>
            <w:r>
              <w:rPr>
                <w:sz w:val="22"/>
              </w:rPr>
              <w:t>Estado de México, Guerrero (Guerrero </w:t>
            </w:r>
            <w:r>
              <w:rPr>
                <w:i/>
                <w:sz w:val="22"/>
              </w:rPr>
              <w:t>et al., </w:t>
            </w:r>
            <w:r>
              <w:rPr>
                <w:sz w:val="22"/>
              </w:rPr>
              <w:t>2002) Oaxaca (Tropicos, 2014).</w:t>
            </w:r>
          </w:p>
        </w:tc>
      </w:tr>
    </w:tbl>
    <w:p>
      <w:pPr>
        <w:spacing w:after="0"/>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2"/>
        <w:rPr>
          <w:rFonts w:ascii="Times New Roman"/>
          <w:sz w:val="26"/>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098"/>
        <w:gridCol w:w="1556"/>
        <w:gridCol w:w="3971"/>
        <w:gridCol w:w="5604"/>
      </w:tblGrid>
      <w:tr>
        <w:trPr>
          <w:trHeight w:val="274" w:hRule="exact"/>
        </w:trPr>
        <w:tc>
          <w:tcPr>
            <w:tcW w:w="13228" w:type="dxa"/>
            <w:gridSpan w:val="4"/>
            <w:tcBorders>
              <w:bottom w:val="thinThickMediumGap" w:sz="12" w:space="0" w:color="000000"/>
              <w:right w:val="thinThickMediumGap" w:sz="12" w:space="0" w:color="000000"/>
            </w:tcBorders>
          </w:tcPr>
          <w:p>
            <w:pPr>
              <w:pStyle w:val="TableParagraph"/>
              <w:spacing w:line="220" w:lineRule="exact"/>
              <w:ind w:left="1963"/>
              <w:rPr>
                <w:b/>
                <w:i/>
                <w:sz w:val="20"/>
              </w:rPr>
            </w:pPr>
            <w:r>
              <w:rPr>
                <w:b/>
                <w:i/>
                <w:sz w:val="20"/>
              </w:rPr>
              <w:t>Cuadro 11. Listado de especies de flora de la Zona de Manejo Ambiental: Orquídeario (Continúa).</w:t>
            </w:r>
          </w:p>
        </w:tc>
      </w:tr>
      <w:tr>
        <w:trPr>
          <w:trHeight w:val="567" w:hRule="exact"/>
        </w:trPr>
        <w:tc>
          <w:tcPr>
            <w:tcW w:w="2098" w:type="dxa"/>
            <w:tcBorders>
              <w:bottom w:val="thinThickMediumGap" w:sz="12" w:space="0" w:color="000000"/>
              <w:right w:val="thinThickMediumGap" w:sz="12" w:space="0" w:color="000000"/>
            </w:tcBorders>
            <w:shd w:val="clear" w:color="auto" w:fill="D9D9D9"/>
          </w:tcPr>
          <w:p>
            <w:pPr>
              <w:pStyle w:val="TableParagraph"/>
              <w:spacing w:line="250" w:lineRule="exact" w:before="16"/>
              <w:ind w:left="537" w:right="76" w:hanging="404"/>
              <w:rPr>
                <w:b/>
                <w:sz w:val="22"/>
              </w:rPr>
            </w:pPr>
            <w:r>
              <w:rPr>
                <w:b/>
                <w:sz w:val="22"/>
              </w:rPr>
              <w:t>Familia / Nombre científico</w:t>
            </w:r>
          </w:p>
        </w:tc>
        <w:tc>
          <w:tcPr>
            <w:tcW w:w="1556" w:type="dxa"/>
            <w:tcBorders>
              <w:bottom w:val="thinThickMediumGap" w:sz="12" w:space="0" w:color="000000"/>
              <w:right w:val="thinThickMediumGap" w:sz="12" w:space="0" w:color="000000"/>
            </w:tcBorders>
            <w:shd w:val="clear" w:color="auto" w:fill="D9D9D9"/>
          </w:tcPr>
          <w:p>
            <w:pPr>
              <w:pStyle w:val="TableParagraph"/>
              <w:spacing w:line="250" w:lineRule="exact" w:before="16"/>
              <w:ind w:left="389" w:right="78" w:hanging="58"/>
              <w:rPr>
                <w:b/>
                <w:sz w:val="22"/>
              </w:rPr>
            </w:pPr>
            <w:r>
              <w:rPr>
                <w:b/>
                <w:sz w:val="22"/>
              </w:rPr>
              <w:t>Nombre común</w:t>
            </w:r>
          </w:p>
        </w:tc>
        <w:tc>
          <w:tcPr>
            <w:tcW w:w="3971" w:type="dxa"/>
            <w:tcBorders>
              <w:bottom w:val="thinThickMediumGap" w:sz="12" w:space="0" w:color="000000"/>
              <w:right w:val="thinThickMediumGap" w:sz="12" w:space="0" w:color="000000"/>
            </w:tcBorders>
            <w:shd w:val="clear" w:color="auto" w:fill="D9D9D9"/>
          </w:tcPr>
          <w:p>
            <w:pPr>
              <w:pStyle w:val="TableParagraph"/>
              <w:spacing w:before="135"/>
              <w:ind w:left="1668" w:right="1666"/>
              <w:jc w:val="center"/>
              <w:rPr>
                <w:b/>
                <w:sz w:val="22"/>
              </w:rPr>
            </w:pPr>
            <w:r>
              <w:rPr>
                <w:b/>
                <w:sz w:val="22"/>
              </w:rPr>
              <w:t>Usos</w:t>
            </w:r>
          </w:p>
        </w:tc>
        <w:tc>
          <w:tcPr>
            <w:tcW w:w="5604" w:type="dxa"/>
            <w:tcBorders>
              <w:bottom w:val="thinThickMediumGap" w:sz="12" w:space="0" w:color="000000"/>
              <w:right w:val="thinThickMediumGap" w:sz="12" w:space="0" w:color="000000"/>
            </w:tcBorders>
            <w:shd w:val="clear" w:color="auto" w:fill="D9D9D9"/>
          </w:tcPr>
          <w:p>
            <w:pPr>
              <w:pStyle w:val="TableParagraph"/>
              <w:spacing w:before="135"/>
              <w:ind w:left="2109" w:right="2112"/>
              <w:jc w:val="center"/>
              <w:rPr>
                <w:b/>
                <w:sz w:val="22"/>
              </w:rPr>
            </w:pPr>
            <w:r>
              <w:rPr>
                <w:b/>
                <w:sz w:val="22"/>
              </w:rPr>
              <w:t>Distribución</w:t>
            </w:r>
          </w:p>
        </w:tc>
      </w:tr>
      <w:tr>
        <w:trPr>
          <w:trHeight w:val="3097" w:hRule="exact"/>
        </w:trPr>
        <w:tc>
          <w:tcPr>
            <w:tcW w:w="2098"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6"/>
              <w:rPr>
                <w:rFonts w:ascii="Times New Roman"/>
                <w:sz w:val="22"/>
              </w:rPr>
            </w:pPr>
          </w:p>
          <w:p>
            <w:pPr>
              <w:pStyle w:val="TableParagraph"/>
              <w:ind w:left="81" w:right="76"/>
              <w:rPr>
                <w:b/>
                <w:sz w:val="22"/>
              </w:rPr>
            </w:pPr>
            <w:r>
              <w:rPr>
                <w:b/>
                <w:sz w:val="22"/>
              </w:rPr>
              <w:t>Cupressaceae</w:t>
            </w:r>
          </w:p>
          <w:p>
            <w:pPr>
              <w:pStyle w:val="TableParagraph"/>
              <w:spacing w:before="2"/>
              <w:rPr>
                <w:rFonts w:ascii="Times New Roman"/>
                <w:sz w:val="22"/>
              </w:rPr>
            </w:pPr>
          </w:p>
          <w:p>
            <w:pPr>
              <w:pStyle w:val="TableParagraph"/>
              <w:spacing w:line="241" w:lineRule="exact" w:before="1"/>
              <w:ind w:left="81" w:right="76"/>
              <w:rPr>
                <w:i/>
                <w:sz w:val="22"/>
              </w:rPr>
            </w:pPr>
            <w:r>
              <w:rPr>
                <w:i/>
                <w:sz w:val="22"/>
              </w:rPr>
              <w:t>Juniperus flaccida</w:t>
            </w:r>
          </w:p>
          <w:p>
            <w:pPr>
              <w:pStyle w:val="TableParagraph"/>
              <w:spacing w:line="266" w:lineRule="exact"/>
              <w:ind w:left="81" w:right="76"/>
              <w:rPr>
                <w:sz w:val="22"/>
              </w:rPr>
            </w:pPr>
            <w:r>
              <w:rPr>
                <w:sz w:val="22"/>
              </w:rPr>
              <w:t>Schltdl </w:t>
            </w:r>
            <w:r>
              <w:rPr>
                <w:position w:val="10"/>
                <w:sz w:val="14"/>
              </w:rPr>
              <w:t>2 </w:t>
            </w:r>
            <w:r>
              <w:rPr>
                <w:sz w:val="22"/>
              </w:rPr>
              <w:t>(C)</w:t>
            </w:r>
          </w:p>
        </w:tc>
        <w:tc>
          <w:tcPr>
            <w:tcW w:w="15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3"/>
              </w:rPr>
            </w:pPr>
          </w:p>
          <w:p>
            <w:pPr>
              <w:pStyle w:val="TableParagraph"/>
              <w:spacing w:before="1"/>
              <w:ind w:left="91" w:right="78" w:firstLine="206"/>
              <w:rPr>
                <w:sz w:val="22"/>
              </w:rPr>
            </w:pPr>
            <w:r>
              <w:rPr>
                <w:sz w:val="22"/>
              </w:rPr>
              <w:t>Enebro o Cedro blanco</w:t>
            </w:r>
          </w:p>
        </w:tc>
        <w:tc>
          <w:tcPr>
            <w:tcW w:w="3971" w:type="dxa"/>
            <w:tcBorders>
              <w:bottom w:val="thinThickMediumGap" w:sz="12" w:space="0" w:color="000000"/>
              <w:right w:val="thinThickMediumGap" w:sz="12" w:space="0" w:color="000000"/>
            </w:tcBorders>
          </w:tcPr>
          <w:p>
            <w:pPr>
              <w:pStyle w:val="TableParagraph"/>
              <w:spacing w:line="244" w:lineRule="auto" w:before="5"/>
              <w:ind w:left="81" w:right="76"/>
              <w:jc w:val="both"/>
              <w:rPr>
                <w:sz w:val="22"/>
              </w:rPr>
            </w:pPr>
            <w:r>
              <w:rPr>
                <w:b/>
                <w:sz w:val="22"/>
              </w:rPr>
              <w:t>Ornamental. </w:t>
            </w:r>
            <w:r>
              <w:rPr>
                <w:sz w:val="22"/>
              </w:rPr>
              <w:t>El follaje se utiliza para arreglos florales. El árbol como ornato y maderable.</w:t>
            </w:r>
          </w:p>
          <w:p>
            <w:pPr>
              <w:pStyle w:val="TableParagraph"/>
              <w:rPr>
                <w:rFonts w:ascii="Times New Roman"/>
                <w:sz w:val="21"/>
              </w:rPr>
            </w:pPr>
          </w:p>
          <w:p>
            <w:pPr>
              <w:pStyle w:val="TableParagraph"/>
              <w:spacing w:line="242" w:lineRule="auto"/>
              <w:ind w:left="81" w:right="71"/>
              <w:jc w:val="both"/>
              <w:rPr>
                <w:sz w:val="22"/>
              </w:rPr>
            </w:pPr>
            <w:r>
              <w:rPr>
                <w:b/>
                <w:sz w:val="22"/>
              </w:rPr>
              <w:t>Medicinal: </w:t>
            </w:r>
            <w:r>
              <w:rPr>
                <w:sz w:val="22"/>
              </w:rPr>
              <w:t>Las ramas se usan para contrarestar el frío de los músculos, hirviendo un manojo grande de ramas y esta agua se utiliza en el baño (López, 2012).</w:t>
            </w:r>
          </w:p>
          <w:p>
            <w:pPr>
              <w:pStyle w:val="TableParagraph"/>
              <w:spacing w:before="1"/>
              <w:rPr>
                <w:rFonts w:ascii="Times New Roman"/>
                <w:sz w:val="22"/>
              </w:rPr>
            </w:pPr>
          </w:p>
          <w:p>
            <w:pPr>
              <w:pStyle w:val="TableParagraph"/>
              <w:spacing w:line="250" w:lineRule="exact" w:before="1"/>
              <w:ind w:left="81" w:right="75"/>
              <w:jc w:val="both"/>
              <w:rPr>
                <w:sz w:val="22"/>
              </w:rPr>
            </w:pPr>
            <w:r>
              <w:rPr>
                <w:sz w:val="22"/>
              </w:rPr>
              <w:t>Además para restaurar y conservar suelos (SAGARPA </w:t>
            </w:r>
            <w:r>
              <w:rPr>
                <w:i/>
                <w:sz w:val="22"/>
              </w:rPr>
              <w:t>et al.</w:t>
            </w:r>
            <w:r>
              <w:rPr>
                <w:sz w:val="22"/>
              </w:rPr>
              <w:t>, 2002).</w:t>
            </w:r>
          </w:p>
        </w:tc>
        <w:tc>
          <w:tcPr>
            <w:tcW w:w="560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22"/>
              </w:rPr>
            </w:pPr>
          </w:p>
          <w:p>
            <w:pPr>
              <w:pStyle w:val="TableParagraph"/>
              <w:ind w:left="81" w:right="78"/>
              <w:jc w:val="both"/>
              <w:rPr>
                <w:sz w:val="22"/>
              </w:rPr>
            </w:pPr>
            <w:r>
              <w:rPr>
                <w:sz w:val="22"/>
              </w:rPr>
              <w:t>Planta originaria de México (Dorado </w:t>
            </w:r>
            <w:r>
              <w:rPr>
                <w:i/>
                <w:sz w:val="22"/>
              </w:rPr>
              <w:t>et al., </w:t>
            </w:r>
            <w:r>
              <w:rPr>
                <w:sz w:val="22"/>
              </w:rPr>
              <w:t>2012). E.U.A., Son. y Tam. al centro y sur de México hasta Gro. y Oax. (Rzedowski, 2005; López, 2012). Además: Chih.,  Coah.,  Dgo.,  Edo. de  Méx.,  Gto., Hgo., Mich.,</w:t>
            </w:r>
          </w:p>
          <w:p>
            <w:pPr>
              <w:pStyle w:val="TableParagraph"/>
              <w:spacing w:line="242" w:lineRule="auto"/>
              <w:ind w:left="81" w:right="83"/>
              <w:jc w:val="both"/>
              <w:rPr>
                <w:sz w:val="22"/>
              </w:rPr>
            </w:pPr>
            <w:r>
              <w:rPr>
                <w:sz w:val="22"/>
              </w:rPr>
              <w:t>Mor., Nay., N.L., Pue., S.L.P., y Sin. (CONAFOR, 2009).</w:t>
            </w:r>
          </w:p>
        </w:tc>
      </w:tr>
      <w:tr>
        <w:trPr>
          <w:trHeight w:val="1071" w:hRule="exact"/>
        </w:trPr>
        <w:tc>
          <w:tcPr>
            <w:tcW w:w="2098" w:type="dxa"/>
            <w:tcBorders>
              <w:bottom w:val="thinThickMediumGap" w:sz="12" w:space="0" w:color="000000"/>
              <w:right w:val="thinThickMediumGap" w:sz="12" w:space="0" w:color="000000"/>
            </w:tcBorders>
          </w:tcPr>
          <w:p>
            <w:pPr>
              <w:pStyle w:val="TableParagraph"/>
              <w:spacing w:before="5"/>
              <w:ind w:left="81" w:right="76"/>
              <w:rPr>
                <w:b/>
                <w:sz w:val="22"/>
              </w:rPr>
            </w:pPr>
            <w:r>
              <w:rPr>
                <w:b/>
                <w:sz w:val="22"/>
              </w:rPr>
              <w:t>Clusiaceae</w:t>
            </w:r>
          </w:p>
          <w:p>
            <w:pPr>
              <w:pStyle w:val="TableParagraph"/>
              <w:spacing w:before="2"/>
              <w:rPr>
                <w:rFonts w:ascii="Times New Roman"/>
                <w:sz w:val="22"/>
              </w:rPr>
            </w:pPr>
          </w:p>
          <w:p>
            <w:pPr>
              <w:pStyle w:val="TableParagraph"/>
              <w:spacing w:before="1"/>
              <w:ind w:left="81" w:right="76"/>
              <w:rPr>
                <w:i/>
                <w:sz w:val="22"/>
              </w:rPr>
            </w:pPr>
            <w:r>
              <w:rPr>
                <w:i/>
                <w:sz w:val="22"/>
              </w:rPr>
              <w:t>Clusia salvinii</w:t>
            </w:r>
          </w:p>
          <w:p>
            <w:pPr>
              <w:pStyle w:val="TableParagraph"/>
              <w:spacing w:before="6"/>
              <w:ind w:left="81" w:right="76"/>
              <w:rPr>
                <w:sz w:val="22"/>
              </w:rPr>
            </w:pPr>
            <w:r>
              <w:rPr>
                <w:sz w:val="22"/>
              </w:rPr>
              <w:t>Donn. Sm. (S)</w:t>
            </w:r>
          </w:p>
        </w:tc>
        <w:tc>
          <w:tcPr>
            <w:tcW w:w="1556"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6" w:right="71" w:firstLine="110"/>
              <w:rPr>
                <w:sz w:val="22"/>
              </w:rPr>
            </w:pPr>
            <w:r>
              <w:rPr>
                <w:sz w:val="22"/>
              </w:rPr>
              <w:t>Guayabillo, flor de canela</w:t>
            </w:r>
          </w:p>
        </w:tc>
        <w:tc>
          <w:tcPr>
            <w:tcW w:w="3971"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Medicinal.</w:t>
            </w:r>
          </w:p>
          <w:p>
            <w:pPr>
              <w:pStyle w:val="TableParagraph"/>
              <w:spacing w:before="6"/>
              <w:ind w:left="81" w:right="75"/>
              <w:jc w:val="both"/>
              <w:rPr>
                <w:sz w:val="22"/>
              </w:rPr>
            </w:pPr>
            <w:r>
              <w:rPr>
                <w:sz w:val="22"/>
              </w:rPr>
              <w:t>Se utiliza como cataplasma sobre golpes. Las hojas se colocan en la zona afectada.</w:t>
            </w:r>
          </w:p>
        </w:tc>
        <w:tc>
          <w:tcPr>
            <w:tcW w:w="5604" w:type="dxa"/>
            <w:tcBorders>
              <w:bottom w:val="thinThickMediumGap" w:sz="12" w:space="0" w:color="000000"/>
              <w:right w:val="thinThickMediumGap" w:sz="12" w:space="0" w:color="000000"/>
            </w:tcBorders>
          </w:tcPr>
          <w:p>
            <w:pPr>
              <w:pStyle w:val="TableParagraph"/>
              <w:spacing w:before="139"/>
              <w:ind w:left="81" w:right="84"/>
              <w:jc w:val="both"/>
              <w:rPr>
                <w:sz w:val="22"/>
              </w:rPr>
            </w:pPr>
            <w:r>
              <w:rPr>
                <w:sz w:val="22"/>
              </w:rPr>
              <w:t>Distribuida del centro de México a Venezuela. En México: Chis., Col., Gro., Jal., Mich., Méx., Oax., Q.R. y Ver.; Centroamérica; Sudamérica (Rodríguez,</w:t>
            </w:r>
            <w:r>
              <w:rPr>
                <w:spacing w:val="-28"/>
                <w:sz w:val="22"/>
              </w:rPr>
              <w:t> </w:t>
            </w:r>
            <w:r>
              <w:rPr>
                <w:sz w:val="22"/>
              </w:rPr>
              <w:t>1996).</w:t>
            </w:r>
          </w:p>
        </w:tc>
      </w:tr>
      <w:tr>
        <w:trPr>
          <w:trHeight w:val="1580" w:hRule="exact"/>
        </w:trPr>
        <w:tc>
          <w:tcPr>
            <w:tcW w:w="2098" w:type="dxa"/>
            <w:tcBorders>
              <w:bottom w:val="thinThickMediumGap" w:sz="12" w:space="0" w:color="000000"/>
              <w:right w:val="thinThickMediumGap" w:sz="12" w:space="0" w:color="000000"/>
            </w:tcBorders>
          </w:tcPr>
          <w:p>
            <w:pPr>
              <w:pStyle w:val="TableParagraph"/>
              <w:spacing w:before="9"/>
              <w:ind w:left="81" w:right="76"/>
              <w:rPr>
                <w:b/>
                <w:sz w:val="22"/>
              </w:rPr>
            </w:pPr>
            <w:r>
              <w:rPr>
                <w:b/>
                <w:sz w:val="22"/>
              </w:rPr>
              <w:t>Fabaceae</w:t>
            </w:r>
          </w:p>
          <w:p>
            <w:pPr>
              <w:pStyle w:val="TableParagraph"/>
              <w:spacing w:before="4"/>
              <w:rPr>
                <w:rFonts w:ascii="Times New Roman"/>
                <w:sz w:val="22"/>
              </w:rPr>
            </w:pPr>
          </w:p>
          <w:p>
            <w:pPr>
              <w:pStyle w:val="TableParagraph"/>
              <w:spacing w:line="232" w:lineRule="auto"/>
              <w:ind w:left="81" w:right="93"/>
              <w:rPr>
                <w:sz w:val="22"/>
              </w:rPr>
            </w:pPr>
            <w:r>
              <w:rPr>
                <w:i/>
                <w:sz w:val="22"/>
              </w:rPr>
              <w:t>Mimosa albida </w:t>
            </w:r>
            <w:r>
              <w:rPr>
                <w:sz w:val="22"/>
              </w:rPr>
              <w:t>var. albida Humb &amp; Bonpl. ex Willd. </w:t>
            </w:r>
            <w:r>
              <w:rPr>
                <w:position w:val="10"/>
                <w:sz w:val="14"/>
              </w:rPr>
              <w:t>5 </w:t>
            </w:r>
            <w:r>
              <w:rPr>
                <w:sz w:val="22"/>
              </w:rPr>
              <w:t>(S)</w:t>
            </w:r>
          </w:p>
        </w:tc>
        <w:tc>
          <w:tcPr>
            <w:tcW w:w="15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177" w:right="179" w:firstLine="1"/>
              <w:jc w:val="center"/>
              <w:rPr>
                <w:sz w:val="22"/>
              </w:rPr>
            </w:pPr>
            <w:r>
              <w:rPr>
                <w:sz w:val="22"/>
              </w:rPr>
              <w:t>Mimosa, dormilona, vergonzosa</w:t>
            </w:r>
          </w:p>
        </w:tc>
        <w:tc>
          <w:tcPr>
            <w:tcW w:w="3971" w:type="dxa"/>
            <w:tcBorders>
              <w:bottom w:val="thinThickMediumGap" w:sz="12" w:space="0" w:color="000000"/>
              <w:right w:val="thinThickMediumGap" w:sz="12" w:space="0" w:color="000000"/>
            </w:tcBorders>
          </w:tcPr>
          <w:p>
            <w:pPr>
              <w:pStyle w:val="TableParagraph"/>
              <w:spacing w:before="9"/>
              <w:ind w:left="81" w:right="75"/>
              <w:jc w:val="both"/>
              <w:rPr>
                <w:sz w:val="22"/>
              </w:rPr>
            </w:pPr>
            <w:r>
              <w:rPr>
                <w:b/>
                <w:sz w:val="22"/>
              </w:rPr>
              <w:t>Medicinal. </w:t>
            </w:r>
            <w:r>
              <w:rPr>
                <w:sz w:val="22"/>
              </w:rPr>
              <w:t>Infusión de ramas y hojas para disminuir la  diarrea  y enfermedad de los riñones.</w:t>
            </w:r>
          </w:p>
          <w:p>
            <w:pPr>
              <w:pStyle w:val="TableParagraph"/>
              <w:tabs>
                <w:tab w:pos="3591" w:val="left" w:leader="none"/>
              </w:tabs>
              <w:ind w:left="81" w:right="72"/>
              <w:jc w:val="both"/>
              <w:rPr>
                <w:sz w:val="22"/>
              </w:rPr>
            </w:pPr>
            <w:r>
              <w:rPr>
                <w:b/>
                <w:sz w:val="22"/>
              </w:rPr>
              <w:t>Potencial         </w:t>
            </w:r>
            <w:r>
              <w:rPr>
                <w:b/>
                <w:spacing w:val="26"/>
                <w:sz w:val="22"/>
              </w:rPr>
              <w:t> </w:t>
            </w:r>
            <w:r>
              <w:rPr>
                <w:b/>
                <w:sz w:val="22"/>
              </w:rPr>
              <w:t>ornamental.</w:t>
              <w:tab/>
            </w:r>
            <w:r>
              <w:rPr>
                <w:sz w:val="22"/>
              </w:rPr>
              <w:t>La inflorescencia y las hojas (Guadarrama-Martínez </w:t>
            </w:r>
            <w:r>
              <w:rPr>
                <w:i/>
                <w:sz w:val="22"/>
              </w:rPr>
              <w:t>et al.,</w:t>
            </w:r>
            <w:r>
              <w:rPr>
                <w:i/>
                <w:spacing w:val="-14"/>
                <w:sz w:val="22"/>
              </w:rPr>
              <w:t> </w:t>
            </w:r>
            <w:r>
              <w:rPr>
                <w:sz w:val="22"/>
              </w:rPr>
              <w:t>2012).</w:t>
            </w:r>
          </w:p>
        </w:tc>
        <w:tc>
          <w:tcPr>
            <w:tcW w:w="5604" w:type="dxa"/>
            <w:tcBorders>
              <w:bottom w:val="thinThickMediumGap" w:sz="12" w:space="0" w:color="000000"/>
              <w:right w:val="thinThickMediumGap" w:sz="12" w:space="0" w:color="000000"/>
            </w:tcBorders>
          </w:tcPr>
          <w:p>
            <w:pPr>
              <w:pStyle w:val="TableParagraph"/>
              <w:spacing w:line="251" w:lineRule="exact" w:before="14"/>
              <w:ind w:left="81"/>
              <w:jc w:val="both"/>
              <w:rPr>
                <w:sz w:val="22"/>
              </w:rPr>
            </w:pPr>
            <w:r>
              <w:rPr>
                <w:sz w:val="22"/>
              </w:rPr>
              <w:t>México (Camp., Chis., Col., D. F., Edo. de Méx., </w:t>
            </w:r>
            <w:r>
              <w:rPr>
                <w:spacing w:val="60"/>
                <w:sz w:val="22"/>
              </w:rPr>
              <w:t> </w:t>
            </w:r>
            <w:r>
              <w:rPr>
                <w:sz w:val="22"/>
              </w:rPr>
              <w:t>Gto.,</w:t>
            </w:r>
          </w:p>
          <w:p>
            <w:pPr>
              <w:pStyle w:val="TableParagraph"/>
              <w:spacing w:line="251" w:lineRule="exact"/>
              <w:ind w:left="81"/>
              <w:jc w:val="both"/>
              <w:rPr>
                <w:sz w:val="22"/>
              </w:rPr>
            </w:pPr>
            <w:r>
              <w:rPr>
                <w:sz w:val="22"/>
              </w:rPr>
              <w:t>Gro., Hgo., Jal., Mich., Mor., Nay., Oax., Pue., Qro., S.</w:t>
            </w:r>
          </w:p>
          <w:p>
            <w:pPr>
              <w:pStyle w:val="TableParagraph"/>
              <w:spacing w:line="237" w:lineRule="auto" w:before="3"/>
              <w:ind w:left="81" w:right="76"/>
              <w:jc w:val="both"/>
              <w:rPr>
                <w:sz w:val="22"/>
              </w:rPr>
            </w:pPr>
            <w:r>
              <w:rPr>
                <w:sz w:val="22"/>
              </w:rPr>
              <w:t>L. P., Tab., Ver., Yuc. y Zac.); Centroamérica (Belice, Costa Rica, El Salvador, Guatemala, Honduras y Nicaragua) y Sudamérica (Bolivia, Brasil, Ecuador y Perú) (Grether </w:t>
            </w:r>
            <w:r>
              <w:rPr>
                <w:i/>
                <w:sz w:val="22"/>
              </w:rPr>
              <w:t>et al., </w:t>
            </w:r>
            <w:r>
              <w:rPr>
                <w:sz w:val="22"/>
              </w:rPr>
              <w:t>2006).</w:t>
            </w:r>
          </w:p>
        </w:tc>
      </w:tr>
      <w:tr>
        <w:trPr>
          <w:trHeight w:val="1071" w:hRule="exact"/>
        </w:trPr>
        <w:tc>
          <w:tcPr>
            <w:tcW w:w="2098" w:type="dxa"/>
            <w:tcBorders>
              <w:top w:val="thickThinMediumGap" w:sz="12" w:space="0" w:color="000000"/>
              <w:bottom w:val="thinThickMediumGap" w:sz="12" w:space="0" w:color="000000"/>
              <w:right w:val="thinThickMediumGap" w:sz="12" w:space="0" w:color="000000"/>
            </w:tcBorders>
          </w:tcPr>
          <w:p>
            <w:pPr>
              <w:pStyle w:val="TableParagraph"/>
              <w:spacing w:line="235" w:lineRule="auto" w:before="9"/>
              <w:ind w:left="81" w:right="76"/>
              <w:rPr>
                <w:sz w:val="22"/>
              </w:rPr>
            </w:pPr>
            <w:r>
              <w:rPr>
                <w:b/>
                <w:sz w:val="22"/>
              </w:rPr>
              <w:t>Fabaceae </w:t>
            </w:r>
            <w:r>
              <w:rPr>
                <w:i/>
                <w:sz w:val="22"/>
              </w:rPr>
              <w:t>Aeschynomene </w:t>
            </w:r>
            <w:r>
              <w:rPr>
                <w:i/>
                <w:sz w:val="22"/>
              </w:rPr>
              <w:t>petraea </w:t>
            </w:r>
            <w:r>
              <w:rPr>
                <w:sz w:val="22"/>
              </w:rPr>
              <w:t>B.L. Rob. </w:t>
            </w:r>
            <w:r>
              <w:rPr>
                <w:position w:val="10"/>
                <w:sz w:val="14"/>
              </w:rPr>
              <w:t>7 </w:t>
            </w:r>
            <w:r>
              <w:rPr>
                <w:sz w:val="22"/>
              </w:rPr>
              <w:t>(S)</w:t>
            </w:r>
          </w:p>
        </w:tc>
        <w:tc>
          <w:tcPr>
            <w:tcW w:w="1556" w:type="dxa"/>
            <w:tcBorders>
              <w:top w:val="thickThinMediumGap" w:sz="12" w:space="0" w:color="000000"/>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297" w:right="276" w:firstLine="259"/>
              <w:rPr>
                <w:sz w:val="22"/>
              </w:rPr>
            </w:pPr>
            <w:r>
              <w:rPr>
                <w:sz w:val="22"/>
              </w:rPr>
              <w:t>Flor mariposa</w:t>
            </w:r>
          </w:p>
        </w:tc>
        <w:tc>
          <w:tcPr>
            <w:tcW w:w="3971" w:type="dxa"/>
            <w:tcBorders>
              <w:top w:val="thickThinMediumGap" w:sz="12" w:space="0" w:color="000000"/>
              <w:bottom w:val="thinThickMediumGap" w:sz="12" w:space="0" w:color="000000"/>
              <w:right w:val="thinThickMediumGap" w:sz="12" w:space="0" w:color="000000"/>
            </w:tcBorders>
          </w:tcPr>
          <w:p>
            <w:pPr>
              <w:pStyle w:val="TableParagraph"/>
              <w:spacing w:before="9"/>
              <w:ind w:left="81" w:right="49"/>
              <w:rPr>
                <w:sz w:val="22"/>
              </w:rPr>
            </w:pPr>
            <w:r>
              <w:rPr>
                <w:sz w:val="22"/>
              </w:rPr>
              <w:t>Sin uso en el lugar de estudio.</w:t>
            </w:r>
          </w:p>
        </w:tc>
        <w:tc>
          <w:tcPr>
            <w:tcW w:w="5604" w:type="dxa"/>
            <w:tcBorders>
              <w:top w:val="thickThinMediumGap" w:sz="12" w:space="0" w:color="000000"/>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1"/>
              <w:rPr>
                <w:sz w:val="22"/>
              </w:rPr>
            </w:pPr>
            <w:r>
              <w:rPr>
                <w:sz w:val="22"/>
              </w:rPr>
              <w:t>E.U.A., Sonora y Tamaulipas al centro y sur de México hasta Guerrero y Oaxaca (Rzendowski, 2005).</w:t>
            </w:r>
          </w:p>
        </w:tc>
      </w:tr>
      <w:tr>
        <w:trPr>
          <w:trHeight w:val="1344" w:hRule="exact"/>
        </w:trPr>
        <w:tc>
          <w:tcPr>
            <w:tcW w:w="2098" w:type="dxa"/>
            <w:tcBorders>
              <w:bottom w:val="thinThickMediumGap" w:sz="12" w:space="0" w:color="000000"/>
              <w:right w:val="thinThickMediumGap" w:sz="12" w:space="0" w:color="000000"/>
            </w:tcBorders>
          </w:tcPr>
          <w:p>
            <w:pPr>
              <w:pStyle w:val="TableParagraph"/>
              <w:spacing w:before="10"/>
              <w:ind w:left="81" w:right="76"/>
              <w:rPr>
                <w:b/>
                <w:sz w:val="22"/>
              </w:rPr>
            </w:pPr>
            <w:r>
              <w:rPr>
                <w:b/>
                <w:sz w:val="22"/>
              </w:rPr>
              <w:t>Fagaceae</w:t>
            </w:r>
          </w:p>
          <w:p>
            <w:pPr>
              <w:pStyle w:val="TableParagraph"/>
              <w:spacing w:before="4"/>
              <w:rPr>
                <w:rFonts w:ascii="Times New Roman"/>
                <w:sz w:val="22"/>
              </w:rPr>
            </w:pPr>
          </w:p>
          <w:p>
            <w:pPr>
              <w:pStyle w:val="TableParagraph"/>
              <w:spacing w:line="232" w:lineRule="auto"/>
              <w:ind w:left="81" w:right="88"/>
              <w:rPr>
                <w:sz w:val="22"/>
              </w:rPr>
            </w:pPr>
            <w:r>
              <w:rPr>
                <w:i/>
                <w:sz w:val="22"/>
              </w:rPr>
              <w:t>Quercus </w:t>
            </w:r>
            <w:r>
              <w:rPr>
                <w:i/>
                <w:sz w:val="22"/>
              </w:rPr>
              <w:t>peduncularis </w:t>
            </w:r>
            <w:r>
              <w:rPr>
                <w:sz w:val="22"/>
              </w:rPr>
              <w:t>Née </w:t>
            </w:r>
            <w:r>
              <w:rPr>
                <w:position w:val="10"/>
                <w:sz w:val="14"/>
              </w:rPr>
              <w:t>7 </w:t>
            </w:r>
            <w:r>
              <w:rPr>
                <w:sz w:val="22"/>
              </w:rPr>
              <w:t>(S)</w:t>
            </w:r>
          </w:p>
        </w:tc>
        <w:tc>
          <w:tcPr>
            <w:tcW w:w="1556"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413" w:right="78"/>
              <w:rPr>
                <w:sz w:val="22"/>
              </w:rPr>
            </w:pPr>
            <w:r>
              <w:rPr>
                <w:sz w:val="22"/>
              </w:rPr>
              <w:t>Encino</w:t>
            </w:r>
          </w:p>
        </w:tc>
        <w:tc>
          <w:tcPr>
            <w:tcW w:w="3971" w:type="dxa"/>
            <w:tcBorders>
              <w:bottom w:val="thinThickMediumGap" w:sz="12" w:space="0" w:color="000000"/>
              <w:right w:val="thinThickMediumGap" w:sz="12" w:space="0" w:color="000000"/>
            </w:tcBorders>
          </w:tcPr>
          <w:p>
            <w:pPr>
              <w:pStyle w:val="TableParagraph"/>
              <w:spacing w:before="10"/>
              <w:ind w:left="81" w:right="49"/>
              <w:rPr>
                <w:sz w:val="22"/>
              </w:rPr>
            </w:pPr>
            <w:r>
              <w:rPr>
                <w:b/>
                <w:sz w:val="22"/>
              </w:rPr>
              <w:t>Leña. </w:t>
            </w:r>
            <w:r>
              <w:rPr>
                <w:sz w:val="22"/>
              </w:rPr>
              <w:t>Se utiliza como combustible para hacer fuego.</w:t>
            </w:r>
          </w:p>
        </w:tc>
        <w:tc>
          <w:tcPr>
            <w:tcW w:w="5604"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81" w:right="79"/>
              <w:jc w:val="both"/>
              <w:rPr>
                <w:sz w:val="22"/>
              </w:rPr>
            </w:pPr>
            <w:r>
              <w:rPr>
                <w:sz w:val="22"/>
              </w:rPr>
              <w:t>Especie endémica del centro – sur y sureste de México: Chis, Col., Gro., Jal., Mich., Méx., Oax., Pue., Qro., y Ver. (Romero </w:t>
            </w:r>
            <w:r>
              <w:rPr>
                <w:i/>
                <w:sz w:val="22"/>
              </w:rPr>
              <w:t>et al., </w:t>
            </w:r>
            <w:r>
              <w:rPr>
                <w:sz w:val="22"/>
              </w:rPr>
              <w:t>2014).</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252"/>
        <w:gridCol w:w="1402"/>
        <w:gridCol w:w="2555"/>
        <w:gridCol w:w="7020"/>
      </w:tblGrid>
      <w:tr>
        <w:trPr>
          <w:trHeight w:val="278"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1963"/>
              <w:rPr>
                <w:b/>
                <w:i/>
                <w:sz w:val="20"/>
              </w:rPr>
            </w:pPr>
            <w:r>
              <w:rPr>
                <w:b/>
                <w:i/>
                <w:sz w:val="20"/>
              </w:rPr>
              <w:t>Cuadro 11. Listado de especies de flora de la Zona de Manejo Ambiental: Orquídeario (Continúa).</w:t>
            </w:r>
          </w:p>
        </w:tc>
      </w:tr>
      <w:tr>
        <w:trPr>
          <w:trHeight w:val="566" w:hRule="exact"/>
        </w:trPr>
        <w:tc>
          <w:tcPr>
            <w:tcW w:w="2252" w:type="dxa"/>
            <w:tcBorders>
              <w:bottom w:val="thinThickMediumGap" w:sz="12" w:space="0" w:color="000000"/>
              <w:right w:val="thinThickMediumGap" w:sz="12" w:space="0" w:color="000000"/>
            </w:tcBorders>
            <w:shd w:val="clear" w:color="auto" w:fill="D9D9D9"/>
          </w:tcPr>
          <w:p>
            <w:pPr>
              <w:pStyle w:val="TableParagraph"/>
              <w:spacing w:before="5"/>
              <w:ind w:left="614" w:right="88" w:hanging="404"/>
              <w:rPr>
                <w:b/>
                <w:sz w:val="22"/>
              </w:rPr>
            </w:pPr>
            <w:r>
              <w:rPr>
                <w:b/>
                <w:sz w:val="22"/>
              </w:rPr>
              <w:t>Familia / Nombre científico</w:t>
            </w:r>
          </w:p>
        </w:tc>
        <w:tc>
          <w:tcPr>
            <w:tcW w:w="1402" w:type="dxa"/>
            <w:tcBorders>
              <w:bottom w:val="thinThickMediumGap" w:sz="12" w:space="0" w:color="000000"/>
              <w:right w:val="thinThickMediumGap" w:sz="12" w:space="0" w:color="000000"/>
            </w:tcBorders>
            <w:shd w:val="clear" w:color="auto" w:fill="D9D9D9"/>
          </w:tcPr>
          <w:p>
            <w:pPr>
              <w:pStyle w:val="TableParagraph"/>
              <w:spacing w:before="5"/>
              <w:ind w:left="312" w:right="234" w:hanging="53"/>
              <w:rPr>
                <w:b/>
                <w:sz w:val="22"/>
              </w:rPr>
            </w:pPr>
            <w:r>
              <w:rPr>
                <w:b/>
                <w:sz w:val="22"/>
              </w:rPr>
              <w:t>Nombre común</w:t>
            </w:r>
          </w:p>
        </w:tc>
        <w:tc>
          <w:tcPr>
            <w:tcW w:w="2555" w:type="dxa"/>
            <w:tcBorders>
              <w:bottom w:val="thinThickMediumGap" w:sz="12" w:space="0" w:color="000000"/>
              <w:right w:val="thinThickMediumGap" w:sz="12" w:space="0" w:color="000000"/>
            </w:tcBorders>
            <w:shd w:val="clear" w:color="auto" w:fill="D9D9D9"/>
          </w:tcPr>
          <w:p>
            <w:pPr>
              <w:pStyle w:val="TableParagraph"/>
              <w:spacing w:before="134"/>
              <w:ind w:left="959" w:right="960"/>
              <w:jc w:val="center"/>
              <w:rPr>
                <w:b/>
                <w:sz w:val="22"/>
              </w:rPr>
            </w:pPr>
            <w:r>
              <w:rPr>
                <w:b/>
                <w:sz w:val="22"/>
              </w:rPr>
              <w:t>Usos</w:t>
            </w:r>
          </w:p>
        </w:tc>
        <w:tc>
          <w:tcPr>
            <w:tcW w:w="7020" w:type="dxa"/>
            <w:tcBorders>
              <w:bottom w:val="thinThickMediumGap" w:sz="12" w:space="0" w:color="000000"/>
              <w:right w:val="thinThickMediumGap" w:sz="12" w:space="0" w:color="000000"/>
            </w:tcBorders>
            <w:shd w:val="clear" w:color="auto" w:fill="D9D9D9"/>
          </w:tcPr>
          <w:p>
            <w:pPr>
              <w:pStyle w:val="TableParagraph"/>
              <w:spacing w:before="134"/>
              <w:ind w:left="2819" w:right="2819"/>
              <w:jc w:val="center"/>
              <w:rPr>
                <w:b/>
                <w:sz w:val="22"/>
              </w:rPr>
            </w:pPr>
            <w:r>
              <w:rPr>
                <w:b/>
                <w:sz w:val="22"/>
              </w:rPr>
              <w:t>Distribución</w:t>
            </w:r>
          </w:p>
        </w:tc>
      </w:tr>
      <w:tr>
        <w:trPr>
          <w:trHeight w:val="1071" w:hRule="exact"/>
        </w:trPr>
        <w:tc>
          <w:tcPr>
            <w:tcW w:w="2252" w:type="dxa"/>
            <w:tcBorders>
              <w:top w:val="thickThinMediumGap" w:sz="12" w:space="0" w:color="000000"/>
              <w:bottom w:val="thinThickMediumGap" w:sz="12" w:space="0" w:color="000000"/>
              <w:right w:val="thinThickMediumGap" w:sz="12" w:space="0" w:color="000000"/>
            </w:tcBorders>
          </w:tcPr>
          <w:p>
            <w:pPr>
              <w:pStyle w:val="TableParagraph"/>
              <w:spacing w:line="244" w:lineRule="auto" w:before="130"/>
              <w:ind w:left="81" w:right="88"/>
              <w:rPr>
                <w:sz w:val="22"/>
              </w:rPr>
            </w:pPr>
            <w:r>
              <w:rPr>
                <w:b/>
                <w:sz w:val="22"/>
              </w:rPr>
              <w:t>Flacourtiaceae </w:t>
            </w:r>
            <w:r>
              <w:rPr>
                <w:i/>
                <w:sz w:val="22"/>
              </w:rPr>
              <w:t>Xylosma flexuosum </w:t>
            </w:r>
            <w:r>
              <w:rPr>
                <w:sz w:val="22"/>
              </w:rPr>
              <w:t>(H. B. K.) Hemsl. (S)</w:t>
            </w:r>
          </w:p>
        </w:tc>
        <w:tc>
          <w:tcPr>
            <w:tcW w:w="1402" w:type="dxa"/>
            <w:tcBorders>
              <w:top w:val="thickThinMediumGap" w:sz="12" w:space="0" w:color="000000"/>
              <w:bottom w:val="thinThickMediumGap" w:sz="12" w:space="0" w:color="000000"/>
              <w:right w:val="thinThickMediumGap" w:sz="12" w:space="0" w:color="000000"/>
            </w:tcBorders>
          </w:tcPr>
          <w:p>
            <w:pPr>
              <w:pStyle w:val="TableParagraph"/>
              <w:spacing w:before="10"/>
              <w:ind w:left="129" w:right="121" w:hanging="4"/>
              <w:jc w:val="center"/>
              <w:rPr>
                <w:sz w:val="22"/>
              </w:rPr>
            </w:pPr>
            <w:r>
              <w:rPr>
                <w:sz w:val="22"/>
              </w:rPr>
              <w:t>Espina de la corona o Palo de brujo</w:t>
            </w:r>
          </w:p>
        </w:tc>
        <w:tc>
          <w:tcPr>
            <w:tcW w:w="2555" w:type="dxa"/>
            <w:tcBorders>
              <w:top w:val="thickThinMediumGap" w:sz="12" w:space="0" w:color="000000"/>
              <w:bottom w:val="thinThickMediumGap" w:sz="12" w:space="0" w:color="000000"/>
              <w:right w:val="thinThickMediumGap" w:sz="12" w:space="0" w:color="000000"/>
            </w:tcBorders>
          </w:tcPr>
          <w:p>
            <w:pPr>
              <w:pStyle w:val="TableParagraph"/>
              <w:spacing w:line="242" w:lineRule="auto" w:before="5"/>
              <w:ind w:left="81" w:right="73"/>
              <w:jc w:val="both"/>
              <w:rPr>
                <w:sz w:val="22"/>
              </w:rPr>
            </w:pPr>
            <w:r>
              <w:rPr>
                <w:b/>
                <w:sz w:val="22"/>
              </w:rPr>
              <w:t>Potencial Ornamental. </w:t>
            </w:r>
            <w:r>
              <w:rPr>
                <w:sz w:val="22"/>
              </w:rPr>
              <w:t>Frutos (Guadarrama- Martínez </w:t>
            </w:r>
            <w:r>
              <w:rPr>
                <w:i/>
                <w:sz w:val="22"/>
              </w:rPr>
              <w:t>et al., </w:t>
            </w:r>
            <w:r>
              <w:rPr>
                <w:sz w:val="22"/>
              </w:rPr>
              <w:t>2012).</w:t>
            </w:r>
          </w:p>
        </w:tc>
        <w:tc>
          <w:tcPr>
            <w:tcW w:w="7020" w:type="dxa"/>
            <w:tcBorders>
              <w:top w:val="thickThinMediumGap" w:sz="12" w:space="0" w:color="000000"/>
              <w:bottom w:val="thinThickMediumGap" w:sz="12" w:space="0" w:color="000000"/>
              <w:right w:val="thinThickMediumGap" w:sz="12" w:space="0" w:color="000000"/>
            </w:tcBorders>
          </w:tcPr>
          <w:p>
            <w:pPr>
              <w:pStyle w:val="TableParagraph"/>
              <w:spacing w:before="10"/>
              <w:ind w:left="81" w:right="81"/>
              <w:jc w:val="both"/>
              <w:rPr>
                <w:sz w:val="22"/>
              </w:rPr>
            </w:pPr>
            <w:r>
              <w:rPr>
                <w:sz w:val="22"/>
              </w:rPr>
              <w:t>Sur de Texas, México (Cam., Col., Chis., Gro., Hgo., Jalisco, México, Michoacán, Morelos, Nayarit, Nuevo León, Oaxaca, Puebla, Querétaro, Tamaulipas, Veracruz y Yucatán) Guatemala hasta Panamá (Nee, 1999).</w:t>
            </w:r>
          </w:p>
        </w:tc>
      </w:tr>
      <w:tr>
        <w:trPr>
          <w:trHeight w:val="1325" w:hRule="exact"/>
        </w:trPr>
        <w:tc>
          <w:tcPr>
            <w:tcW w:w="2252" w:type="dxa"/>
            <w:tcBorders>
              <w:bottom w:val="thinThickMediumGap" w:sz="12" w:space="0" w:color="000000"/>
              <w:right w:val="thinThickMediumGap" w:sz="12" w:space="0" w:color="000000"/>
            </w:tcBorders>
          </w:tcPr>
          <w:p>
            <w:pPr>
              <w:pStyle w:val="TableParagraph"/>
              <w:spacing w:before="5"/>
              <w:ind w:left="81" w:right="637"/>
              <w:rPr>
                <w:i/>
                <w:sz w:val="22"/>
              </w:rPr>
            </w:pPr>
            <w:r>
              <w:rPr>
                <w:b/>
                <w:sz w:val="22"/>
              </w:rPr>
              <w:t>Lauraceae </w:t>
            </w:r>
            <w:r>
              <w:rPr>
                <w:i/>
                <w:sz w:val="22"/>
              </w:rPr>
              <w:t>Ocotea </w:t>
            </w:r>
            <w:r>
              <w:rPr>
                <w:i/>
                <w:sz w:val="22"/>
              </w:rPr>
              <w:t>bourgeauviana</w:t>
            </w:r>
          </w:p>
          <w:p>
            <w:pPr>
              <w:pStyle w:val="TableParagraph"/>
              <w:spacing w:line="250" w:lineRule="exact" w:before="12"/>
              <w:ind w:left="81" w:right="149"/>
              <w:rPr>
                <w:sz w:val="22"/>
              </w:rPr>
            </w:pPr>
            <w:r>
              <w:rPr>
                <w:sz w:val="22"/>
              </w:rPr>
              <w:t>(Mez) van der Werff (S)</w:t>
            </w:r>
          </w:p>
        </w:tc>
        <w:tc>
          <w:tcPr>
            <w:tcW w:w="140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80" w:right="78"/>
              <w:jc w:val="center"/>
              <w:rPr>
                <w:sz w:val="22"/>
              </w:rPr>
            </w:pPr>
            <w:r>
              <w:rPr>
                <w:sz w:val="22"/>
              </w:rPr>
              <w:t>Ocote</w:t>
            </w:r>
          </w:p>
        </w:tc>
        <w:tc>
          <w:tcPr>
            <w:tcW w:w="2555" w:type="dxa"/>
            <w:tcBorders>
              <w:bottom w:val="thinThickMediumGap" w:sz="12" w:space="0" w:color="000000"/>
              <w:right w:val="thinThickMediumGap" w:sz="12" w:space="0" w:color="000000"/>
            </w:tcBorders>
          </w:tcPr>
          <w:p>
            <w:pPr>
              <w:pStyle w:val="TableParagraph"/>
              <w:spacing w:line="244" w:lineRule="auto" w:before="5"/>
              <w:ind w:left="81" w:right="74"/>
              <w:jc w:val="both"/>
              <w:rPr>
                <w:sz w:val="22"/>
              </w:rPr>
            </w:pPr>
            <w:r>
              <w:rPr>
                <w:b/>
                <w:sz w:val="22"/>
              </w:rPr>
              <w:t>Leña. </w:t>
            </w:r>
            <w:r>
              <w:rPr>
                <w:sz w:val="22"/>
              </w:rPr>
              <w:t>Se utiliza como combustible para hacer fuego.</w:t>
            </w:r>
          </w:p>
        </w:tc>
        <w:tc>
          <w:tcPr>
            <w:tcW w:w="7020"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81"/>
              <w:rPr>
                <w:sz w:val="22"/>
              </w:rPr>
            </w:pPr>
            <w:r>
              <w:rPr>
                <w:sz w:val="22"/>
              </w:rPr>
              <w:t>Distribuido, según los registros en: Jal., Col., Mich., Méx., Mor., Gro. (Fernández, 1996).</w:t>
            </w:r>
          </w:p>
        </w:tc>
      </w:tr>
      <w:tr>
        <w:trPr>
          <w:trHeight w:val="821" w:hRule="exact"/>
        </w:trPr>
        <w:tc>
          <w:tcPr>
            <w:tcW w:w="2252" w:type="dxa"/>
            <w:tcBorders>
              <w:bottom w:val="thinThickMediumGap" w:sz="12" w:space="0" w:color="000000"/>
              <w:right w:val="thinThickMediumGap" w:sz="12" w:space="0" w:color="000000"/>
            </w:tcBorders>
          </w:tcPr>
          <w:p>
            <w:pPr>
              <w:pStyle w:val="TableParagraph"/>
              <w:spacing w:line="244" w:lineRule="auto" w:before="5"/>
              <w:ind w:left="81" w:right="214"/>
              <w:rPr>
                <w:sz w:val="22"/>
              </w:rPr>
            </w:pPr>
            <w:r>
              <w:rPr>
                <w:b/>
                <w:sz w:val="22"/>
              </w:rPr>
              <w:t>Lauraceae </w:t>
            </w:r>
            <w:r>
              <w:rPr>
                <w:i/>
                <w:sz w:val="22"/>
              </w:rPr>
              <w:t>Phoebe pachypoda </w:t>
            </w:r>
            <w:r>
              <w:rPr>
                <w:sz w:val="22"/>
              </w:rPr>
              <w:t>(Nees) Mez</w:t>
            </w:r>
            <w:r>
              <w:rPr>
                <w:spacing w:val="-5"/>
                <w:sz w:val="22"/>
              </w:rPr>
              <w:t> </w:t>
            </w:r>
            <w:r>
              <w:rPr>
                <w:sz w:val="22"/>
              </w:rPr>
              <w:t>(S)</w:t>
            </w:r>
          </w:p>
        </w:tc>
        <w:tc>
          <w:tcPr>
            <w:tcW w:w="1402"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ind w:left="78" w:right="78"/>
              <w:jc w:val="center"/>
              <w:rPr>
                <w:sz w:val="22"/>
              </w:rPr>
            </w:pPr>
            <w:r>
              <w:rPr>
                <w:sz w:val="22"/>
              </w:rPr>
              <w:t>--</w:t>
            </w:r>
          </w:p>
        </w:tc>
        <w:tc>
          <w:tcPr>
            <w:tcW w:w="2555" w:type="dxa"/>
            <w:tcBorders>
              <w:bottom w:val="thinThickMediumGap" w:sz="12" w:space="0" w:color="000000"/>
              <w:right w:val="thinThickMediumGap" w:sz="12" w:space="0" w:color="000000"/>
            </w:tcBorders>
          </w:tcPr>
          <w:p>
            <w:pPr>
              <w:pStyle w:val="TableParagraph"/>
              <w:spacing w:line="244" w:lineRule="auto" w:before="5"/>
              <w:ind w:left="81" w:right="74"/>
              <w:jc w:val="both"/>
              <w:rPr>
                <w:sz w:val="22"/>
              </w:rPr>
            </w:pPr>
            <w:r>
              <w:rPr>
                <w:b/>
                <w:sz w:val="22"/>
              </w:rPr>
              <w:t>Leña. </w:t>
            </w:r>
            <w:r>
              <w:rPr>
                <w:sz w:val="22"/>
              </w:rPr>
              <w:t>Se utiliza como combustible para hacer fuego.</w:t>
            </w:r>
          </w:p>
        </w:tc>
        <w:tc>
          <w:tcPr>
            <w:tcW w:w="7020" w:type="dxa"/>
            <w:tcBorders>
              <w:bottom w:val="thinThickMediumGap" w:sz="12" w:space="0" w:color="000000"/>
              <w:right w:val="thinThickMediumGap" w:sz="12" w:space="0" w:color="000000"/>
            </w:tcBorders>
          </w:tcPr>
          <w:p>
            <w:pPr>
              <w:pStyle w:val="TableParagraph"/>
              <w:spacing w:before="139"/>
              <w:ind w:left="81"/>
              <w:rPr>
                <w:sz w:val="22"/>
              </w:rPr>
            </w:pPr>
            <w:r>
              <w:rPr>
                <w:sz w:val="22"/>
              </w:rPr>
              <w:t>La distribución de la especie se registra para México en: Gto, Hgo., Edo. de Méx., Mich., Pue., Qro. S.L.P. y Ver. (Trópicos, 20014).</w:t>
            </w:r>
          </w:p>
        </w:tc>
      </w:tr>
      <w:tr>
        <w:trPr>
          <w:trHeight w:val="1071" w:hRule="exact"/>
        </w:trPr>
        <w:tc>
          <w:tcPr>
            <w:tcW w:w="2252" w:type="dxa"/>
            <w:tcBorders>
              <w:bottom w:val="thinThickMediumGap" w:sz="12" w:space="0" w:color="000000"/>
              <w:right w:val="thinThickMediumGap" w:sz="12" w:space="0" w:color="000000"/>
            </w:tcBorders>
          </w:tcPr>
          <w:p>
            <w:pPr>
              <w:pStyle w:val="TableParagraph"/>
              <w:spacing w:line="244" w:lineRule="auto" w:before="129"/>
              <w:ind w:left="81" w:right="393"/>
              <w:rPr>
                <w:sz w:val="22"/>
              </w:rPr>
            </w:pPr>
            <w:r>
              <w:rPr>
                <w:b/>
                <w:sz w:val="22"/>
              </w:rPr>
              <w:t>Malpighiaceae </w:t>
            </w:r>
            <w:r>
              <w:rPr>
                <w:i/>
                <w:sz w:val="22"/>
              </w:rPr>
              <w:t>Galphimia glauca </w:t>
            </w:r>
            <w:r>
              <w:rPr>
                <w:sz w:val="22"/>
              </w:rPr>
              <w:t>Cav. (S)</w:t>
            </w:r>
          </w:p>
        </w:tc>
        <w:tc>
          <w:tcPr>
            <w:tcW w:w="1402" w:type="dxa"/>
            <w:tcBorders>
              <w:bottom w:val="thinThickMediumGap" w:sz="12" w:space="0" w:color="000000"/>
              <w:right w:val="thinThickMediumGap" w:sz="12" w:space="0" w:color="000000"/>
            </w:tcBorders>
          </w:tcPr>
          <w:p>
            <w:pPr>
              <w:pStyle w:val="TableParagraph"/>
              <w:spacing w:before="134"/>
              <w:ind w:left="86" w:right="78"/>
              <w:jc w:val="center"/>
              <w:rPr>
                <w:sz w:val="22"/>
              </w:rPr>
            </w:pPr>
            <w:r>
              <w:rPr>
                <w:sz w:val="22"/>
              </w:rPr>
              <w:t>Huachácata o lluvia de oro</w:t>
            </w:r>
          </w:p>
        </w:tc>
        <w:tc>
          <w:tcPr>
            <w:tcW w:w="2555"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Medicinal</w:t>
            </w:r>
          </w:p>
          <w:p>
            <w:pPr>
              <w:pStyle w:val="TableParagraph"/>
              <w:spacing w:before="6"/>
              <w:ind w:left="81" w:right="74"/>
              <w:jc w:val="both"/>
              <w:rPr>
                <w:sz w:val="22"/>
              </w:rPr>
            </w:pPr>
            <w:r>
              <w:rPr>
                <w:sz w:val="22"/>
              </w:rPr>
              <w:t>El cocimiento de las hojas se utiliza para lavar heridas</w:t>
            </w:r>
          </w:p>
        </w:tc>
        <w:tc>
          <w:tcPr>
            <w:tcW w:w="7020" w:type="dxa"/>
            <w:tcBorders>
              <w:bottom w:val="thinThickMediumGap" w:sz="12" w:space="0" w:color="000000"/>
              <w:right w:val="thinThickMediumGap" w:sz="12" w:space="0" w:color="000000"/>
            </w:tcBorders>
          </w:tcPr>
          <w:p>
            <w:pPr>
              <w:pStyle w:val="TableParagraph"/>
              <w:spacing w:before="5"/>
              <w:rPr>
                <w:rFonts w:ascii="Times New Roman"/>
                <w:sz w:val="23"/>
              </w:rPr>
            </w:pPr>
          </w:p>
          <w:p>
            <w:pPr>
              <w:pStyle w:val="TableParagraph"/>
              <w:spacing w:line="250" w:lineRule="exact" w:before="1"/>
              <w:ind w:left="81"/>
              <w:rPr>
                <w:sz w:val="22"/>
              </w:rPr>
            </w:pPr>
            <w:r>
              <w:rPr>
                <w:sz w:val="22"/>
              </w:rPr>
              <w:t>Originaria de México, Guatemala y de las regiones no muy húmedas de América Central y de Panamá.</w:t>
            </w:r>
          </w:p>
        </w:tc>
      </w:tr>
      <w:tr>
        <w:trPr>
          <w:trHeight w:val="1325" w:hRule="exact"/>
        </w:trPr>
        <w:tc>
          <w:tcPr>
            <w:tcW w:w="2252" w:type="dxa"/>
            <w:tcBorders>
              <w:bottom w:val="thinThickMediumGap" w:sz="12" w:space="0" w:color="000000"/>
              <w:right w:val="thinThickMediumGap" w:sz="12" w:space="0" w:color="000000"/>
            </w:tcBorders>
          </w:tcPr>
          <w:p>
            <w:pPr>
              <w:pStyle w:val="TableParagraph"/>
              <w:spacing w:before="6"/>
              <w:rPr>
                <w:rFonts w:ascii="Times New Roman"/>
                <w:sz w:val="22"/>
              </w:rPr>
            </w:pPr>
          </w:p>
          <w:p>
            <w:pPr>
              <w:pStyle w:val="TableParagraph"/>
              <w:ind w:left="81" w:right="88"/>
              <w:rPr>
                <w:b/>
                <w:sz w:val="22"/>
              </w:rPr>
            </w:pPr>
            <w:r>
              <w:rPr>
                <w:b/>
                <w:sz w:val="22"/>
              </w:rPr>
              <w:t>Meliaceae</w:t>
            </w:r>
          </w:p>
          <w:p>
            <w:pPr>
              <w:pStyle w:val="TableParagraph"/>
              <w:spacing w:before="2"/>
              <w:ind w:left="81" w:right="88"/>
              <w:rPr>
                <w:i/>
                <w:sz w:val="22"/>
              </w:rPr>
            </w:pPr>
            <w:r>
              <w:rPr>
                <w:i/>
                <w:sz w:val="22"/>
              </w:rPr>
              <w:t>Trichilia havanensis</w:t>
            </w:r>
          </w:p>
          <w:p>
            <w:pPr>
              <w:pStyle w:val="TableParagraph"/>
              <w:spacing w:before="1"/>
              <w:ind w:left="81" w:right="88"/>
              <w:rPr>
                <w:sz w:val="22"/>
              </w:rPr>
            </w:pPr>
            <w:r>
              <w:rPr>
                <w:sz w:val="22"/>
              </w:rPr>
              <w:t>Jacq. (S)</w:t>
            </w:r>
          </w:p>
        </w:tc>
        <w:tc>
          <w:tcPr>
            <w:tcW w:w="140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line="242" w:lineRule="auto" w:before="136"/>
              <w:ind w:left="221" w:right="198"/>
              <w:rPr>
                <w:sz w:val="22"/>
              </w:rPr>
            </w:pPr>
            <w:r>
              <w:rPr>
                <w:sz w:val="22"/>
              </w:rPr>
              <w:t>Ciruelillo, limoncillo</w:t>
            </w:r>
          </w:p>
        </w:tc>
        <w:tc>
          <w:tcPr>
            <w:tcW w:w="2555" w:type="dxa"/>
            <w:tcBorders>
              <w:bottom w:val="thinThickMediumGap" w:sz="12" w:space="0" w:color="000000"/>
              <w:right w:val="thinThickMediumGap" w:sz="12" w:space="0" w:color="000000"/>
            </w:tcBorders>
          </w:tcPr>
          <w:p>
            <w:pPr>
              <w:pStyle w:val="TableParagraph"/>
              <w:spacing w:before="9"/>
              <w:ind w:left="81" w:right="51"/>
              <w:rPr>
                <w:sz w:val="22"/>
              </w:rPr>
            </w:pPr>
            <w:r>
              <w:rPr>
                <w:sz w:val="22"/>
              </w:rPr>
              <w:t>Sin uso</w:t>
            </w:r>
          </w:p>
        </w:tc>
        <w:tc>
          <w:tcPr>
            <w:tcW w:w="7020" w:type="dxa"/>
            <w:tcBorders>
              <w:bottom w:val="thinThickMediumGap" w:sz="12" w:space="0" w:color="000000"/>
              <w:right w:val="thinThickMediumGap" w:sz="12" w:space="0" w:color="000000"/>
            </w:tcBorders>
          </w:tcPr>
          <w:p>
            <w:pPr>
              <w:pStyle w:val="TableParagraph"/>
              <w:spacing w:before="9"/>
              <w:ind w:left="81" w:right="75"/>
              <w:jc w:val="both"/>
              <w:rPr>
                <w:sz w:val="22"/>
              </w:rPr>
            </w:pPr>
            <w:r>
              <w:rPr>
                <w:sz w:val="22"/>
              </w:rPr>
              <w:t>Ampliamente distribuida en la tierra caliente de ambas vertientes de México. Chis., Col., Edo. de Méx., Gto., Gro., Hgo., Jal., Mich.,  Nay.,</w:t>
            </w:r>
          </w:p>
          <w:p>
            <w:pPr>
              <w:pStyle w:val="TableParagraph"/>
              <w:spacing w:before="2"/>
              <w:ind w:left="81" w:right="80"/>
              <w:jc w:val="both"/>
              <w:rPr>
                <w:sz w:val="22"/>
              </w:rPr>
            </w:pPr>
            <w:r>
              <w:rPr>
                <w:sz w:val="22"/>
              </w:rPr>
              <w:t>Oax., Pue., Qro., Q.Roo; S.L.P., Sin., Tab., Tamps. y Ver.; Centroamérica; las Antillas; Colombia y Venezuela. (Calderón y Germán, 1993).</w:t>
            </w:r>
          </w:p>
        </w:tc>
      </w:tr>
      <w:tr>
        <w:trPr>
          <w:trHeight w:val="1594" w:hRule="exact"/>
        </w:trPr>
        <w:tc>
          <w:tcPr>
            <w:tcW w:w="225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line="244" w:lineRule="auto" w:before="131"/>
              <w:ind w:left="81" w:right="283"/>
              <w:rPr>
                <w:sz w:val="22"/>
              </w:rPr>
            </w:pPr>
            <w:r>
              <w:rPr>
                <w:b/>
                <w:sz w:val="22"/>
              </w:rPr>
              <w:t>Myrsinaceae </w:t>
            </w:r>
            <w:r>
              <w:rPr>
                <w:i/>
                <w:sz w:val="22"/>
              </w:rPr>
              <w:t>Ardisia compressa </w:t>
            </w:r>
            <w:r>
              <w:rPr>
                <w:sz w:val="22"/>
              </w:rPr>
              <w:t>Kunth (S)</w:t>
            </w:r>
          </w:p>
        </w:tc>
        <w:tc>
          <w:tcPr>
            <w:tcW w:w="1402"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rPr>
                <w:rFonts w:ascii="Times New Roman"/>
                <w:sz w:val="22"/>
              </w:rPr>
            </w:pPr>
          </w:p>
          <w:p>
            <w:pPr>
              <w:pStyle w:val="TableParagraph"/>
              <w:spacing w:before="137"/>
              <w:ind w:left="78" w:right="78"/>
              <w:jc w:val="center"/>
              <w:rPr>
                <w:sz w:val="22"/>
              </w:rPr>
            </w:pPr>
            <w:r>
              <w:rPr>
                <w:sz w:val="22"/>
              </w:rPr>
              <w:t>Capulincillo</w:t>
            </w:r>
          </w:p>
        </w:tc>
        <w:tc>
          <w:tcPr>
            <w:tcW w:w="2555" w:type="dxa"/>
            <w:tcBorders>
              <w:bottom w:val="thinThickMediumGap" w:sz="12" w:space="0" w:color="000000"/>
              <w:right w:val="thinThickMediumGap" w:sz="12" w:space="0" w:color="000000"/>
            </w:tcBorders>
          </w:tcPr>
          <w:p>
            <w:pPr>
              <w:pStyle w:val="TableParagraph"/>
              <w:spacing w:before="5"/>
              <w:ind w:left="81" w:right="51"/>
              <w:rPr>
                <w:b/>
                <w:sz w:val="22"/>
              </w:rPr>
            </w:pPr>
            <w:r>
              <w:rPr>
                <w:b/>
                <w:sz w:val="22"/>
              </w:rPr>
              <w:t>Alimenticio</w:t>
            </w:r>
          </w:p>
          <w:p>
            <w:pPr>
              <w:pStyle w:val="TableParagraph"/>
              <w:spacing w:before="6"/>
              <w:ind w:left="81" w:right="51"/>
              <w:rPr>
                <w:sz w:val="22"/>
              </w:rPr>
            </w:pPr>
            <w:r>
              <w:rPr>
                <w:sz w:val="22"/>
              </w:rPr>
              <w:t>El fruto se come, pero es algo ácido.</w:t>
            </w:r>
          </w:p>
        </w:tc>
        <w:tc>
          <w:tcPr>
            <w:tcW w:w="7020" w:type="dxa"/>
            <w:tcBorders>
              <w:bottom w:val="thinThickMediumGap" w:sz="12" w:space="0" w:color="000000"/>
              <w:right w:val="thinThickMediumGap" w:sz="12" w:space="0" w:color="000000"/>
            </w:tcBorders>
          </w:tcPr>
          <w:p>
            <w:pPr>
              <w:pStyle w:val="TableParagraph"/>
              <w:spacing w:before="9"/>
              <w:ind w:left="81" w:right="77"/>
              <w:jc w:val="both"/>
              <w:rPr>
                <w:sz w:val="22"/>
              </w:rPr>
            </w:pPr>
            <w:r>
              <w:rPr>
                <w:sz w:val="22"/>
              </w:rPr>
              <w:t>Especie nativa de México, se distribuye desde Sinaloa a Guerrero; además en los estados de Pue., Méx., Chis., Oax. y Ver. En Centroamérica hasta Honduras. En Morelos se cultiva en algunos municipios (</w:t>
            </w:r>
            <w:r>
              <w:rPr>
                <w:i/>
                <w:sz w:val="22"/>
              </w:rPr>
              <w:t>Dorado et al., </w:t>
            </w:r>
            <w:r>
              <w:rPr>
                <w:sz w:val="22"/>
              </w:rPr>
              <w:t>2012). </w:t>
            </w:r>
            <w:r>
              <w:rPr>
                <w:i/>
                <w:sz w:val="22"/>
              </w:rPr>
              <w:t>En </w:t>
            </w:r>
            <w:r>
              <w:rPr>
                <w:sz w:val="22"/>
              </w:rPr>
              <w:t>el estado de México se observó en la cañada de Nanchititla, en Ixtapan de la Sal y en el Puente de Calderón (Martínez y Matuda, 1979).</w:t>
            </w:r>
          </w:p>
        </w:tc>
      </w:tr>
    </w:tbl>
    <w:p>
      <w:pPr>
        <w:spacing w:after="0"/>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607"/>
        <w:gridCol w:w="1844"/>
        <w:gridCol w:w="1973"/>
        <w:gridCol w:w="6804"/>
      </w:tblGrid>
      <w:tr>
        <w:trPr>
          <w:trHeight w:val="274" w:hRule="exact"/>
        </w:trPr>
        <w:tc>
          <w:tcPr>
            <w:tcW w:w="13228" w:type="dxa"/>
            <w:gridSpan w:val="4"/>
            <w:tcBorders>
              <w:bottom w:val="thinThickMediumGap" w:sz="12" w:space="0" w:color="000000"/>
              <w:right w:val="thinThickMediumGap" w:sz="12" w:space="0" w:color="000000"/>
            </w:tcBorders>
          </w:tcPr>
          <w:p>
            <w:pPr>
              <w:pStyle w:val="TableParagraph"/>
              <w:spacing w:line="225" w:lineRule="exact"/>
              <w:ind w:left="1963"/>
              <w:rPr>
                <w:b/>
                <w:i/>
                <w:sz w:val="20"/>
              </w:rPr>
            </w:pPr>
            <w:r>
              <w:rPr>
                <w:b/>
                <w:i/>
                <w:sz w:val="20"/>
              </w:rPr>
              <w:t>Cuadro 11. Listado de especies de flora de la Zona de Manejo Ambiental: Orquídeario (Continúa).</w:t>
            </w:r>
          </w:p>
        </w:tc>
      </w:tr>
      <w:tr>
        <w:trPr>
          <w:trHeight w:val="566" w:hRule="exact"/>
        </w:trPr>
        <w:tc>
          <w:tcPr>
            <w:tcW w:w="2607" w:type="dxa"/>
            <w:tcBorders>
              <w:bottom w:val="thinThickMediumGap" w:sz="12" w:space="0" w:color="000000"/>
              <w:right w:val="thinThickMediumGap" w:sz="12" w:space="0" w:color="000000"/>
            </w:tcBorders>
            <w:shd w:val="clear" w:color="auto" w:fill="D9D9D9"/>
          </w:tcPr>
          <w:p>
            <w:pPr>
              <w:pStyle w:val="TableParagraph"/>
              <w:spacing w:before="9"/>
              <w:ind w:left="791" w:right="370" w:hanging="404"/>
              <w:rPr>
                <w:b/>
                <w:sz w:val="22"/>
              </w:rPr>
            </w:pPr>
            <w:r>
              <w:rPr>
                <w:b/>
                <w:sz w:val="22"/>
              </w:rPr>
              <w:t>Familia / Nombre científico</w:t>
            </w:r>
          </w:p>
        </w:tc>
        <w:tc>
          <w:tcPr>
            <w:tcW w:w="1844" w:type="dxa"/>
            <w:tcBorders>
              <w:bottom w:val="thinThickMediumGap" w:sz="12" w:space="0" w:color="000000"/>
              <w:right w:val="thinThickMediumGap" w:sz="12" w:space="0" w:color="000000"/>
            </w:tcBorders>
            <w:shd w:val="clear" w:color="auto" w:fill="D9D9D9"/>
          </w:tcPr>
          <w:p>
            <w:pPr>
              <w:pStyle w:val="TableParagraph"/>
              <w:spacing w:before="134"/>
              <w:ind w:left="66" w:right="66"/>
              <w:jc w:val="center"/>
              <w:rPr>
                <w:b/>
                <w:sz w:val="22"/>
              </w:rPr>
            </w:pPr>
            <w:r>
              <w:rPr>
                <w:b/>
                <w:sz w:val="22"/>
              </w:rPr>
              <w:t>Nombre común</w:t>
            </w:r>
          </w:p>
        </w:tc>
        <w:tc>
          <w:tcPr>
            <w:tcW w:w="1973" w:type="dxa"/>
            <w:tcBorders>
              <w:bottom w:val="thinThickMediumGap" w:sz="12" w:space="0" w:color="000000"/>
              <w:right w:val="thinThickMediumGap" w:sz="12" w:space="0" w:color="000000"/>
            </w:tcBorders>
            <w:shd w:val="clear" w:color="auto" w:fill="D9D9D9"/>
          </w:tcPr>
          <w:p>
            <w:pPr>
              <w:pStyle w:val="TableParagraph"/>
              <w:spacing w:before="134"/>
              <w:ind w:left="666" w:right="670"/>
              <w:jc w:val="center"/>
              <w:rPr>
                <w:b/>
                <w:sz w:val="22"/>
              </w:rPr>
            </w:pPr>
            <w:r>
              <w:rPr>
                <w:b/>
                <w:sz w:val="22"/>
              </w:rPr>
              <w:t>Usos</w:t>
            </w:r>
          </w:p>
        </w:tc>
        <w:tc>
          <w:tcPr>
            <w:tcW w:w="6804" w:type="dxa"/>
            <w:tcBorders>
              <w:bottom w:val="thinThickMediumGap" w:sz="12" w:space="0" w:color="000000"/>
              <w:right w:val="thinThickMediumGap" w:sz="12" w:space="0" w:color="000000"/>
            </w:tcBorders>
            <w:shd w:val="clear" w:color="auto" w:fill="D9D9D9"/>
          </w:tcPr>
          <w:p>
            <w:pPr>
              <w:pStyle w:val="TableParagraph"/>
              <w:spacing w:before="134"/>
              <w:ind w:left="2710" w:right="2712"/>
              <w:jc w:val="center"/>
              <w:rPr>
                <w:b/>
                <w:sz w:val="22"/>
              </w:rPr>
            </w:pPr>
            <w:r>
              <w:rPr>
                <w:b/>
                <w:sz w:val="22"/>
              </w:rPr>
              <w:t>Distribución</w:t>
            </w:r>
          </w:p>
        </w:tc>
      </w:tr>
      <w:tr>
        <w:trPr>
          <w:trHeight w:val="821" w:hRule="exact"/>
        </w:trPr>
        <w:tc>
          <w:tcPr>
            <w:tcW w:w="2607" w:type="dxa"/>
            <w:tcBorders>
              <w:bottom w:val="thinThickMediumGap" w:sz="12" w:space="0" w:color="000000"/>
              <w:right w:val="thinThickMediumGap" w:sz="12" w:space="0" w:color="000000"/>
            </w:tcBorders>
          </w:tcPr>
          <w:p>
            <w:pPr>
              <w:pStyle w:val="TableParagraph"/>
              <w:spacing w:line="254" w:lineRule="exact" w:before="13"/>
              <w:ind w:left="81" w:right="566"/>
              <w:rPr>
                <w:sz w:val="22"/>
              </w:rPr>
            </w:pPr>
            <w:r>
              <w:rPr>
                <w:b/>
                <w:sz w:val="22"/>
              </w:rPr>
              <w:t>Myrsinaceae </w:t>
            </w:r>
            <w:r>
              <w:rPr>
                <w:i/>
                <w:sz w:val="22"/>
              </w:rPr>
              <w:t>Myrsine myricoides </w:t>
            </w:r>
            <w:r>
              <w:rPr>
                <w:sz w:val="22"/>
              </w:rPr>
              <w:t>Schltdl </w:t>
            </w:r>
            <w:r>
              <w:rPr>
                <w:position w:val="10"/>
                <w:sz w:val="14"/>
              </w:rPr>
              <w:t>5 </w:t>
            </w:r>
            <w:r>
              <w:rPr>
                <w:sz w:val="22"/>
              </w:rPr>
              <w:t>(S)</w:t>
            </w:r>
          </w:p>
        </w:tc>
        <w:tc>
          <w:tcPr>
            <w:tcW w:w="1844" w:type="dxa"/>
            <w:tcBorders>
              <w:bottom w:val="thinThickMediumGap" w:sz="12" w:space="0" w:color="000000"/>
              <w:right w:val="thinThickMediumGap" w:sz="12" w:space="0" w:color="000000"/>
            </w:tcBorders>
          </w:tcPr>
          <w:p>
            <w:pPr>
              <w:pStyle w:val="TableParagraph"/>
              <w:spacing w:before="4"/>
              <w:rPr>
                <w:rFonts w:ascii="Times New Roman"/>
                <w:sz w:val="23"/>
              </w:rPr>
            </w:pPr>
          </w:p>
          <w:p>
            <w:pPr>
              <w:pStyle w:val="TableParagraph"/>
              <w:ind w:left="66" w:right="66"/>
              <w:jc w:val="center"/>
              <w:rPr>
                <w:sz w:val="22"/>
              </w:rPr>
            </w:pPr>
            <w:r>
              <w:rPr>
                <w:sz w:val="22"/>
              </w:rPr>
              <w:t>Laurel</w:t>
            </w:r>
          </w:p>
        </w:tc>
        <w:tc>
          <w:tcPr>
            <w:tcW w:w="1973" w:type="dxa"/>
            <w:tcBorders>
              <w:bottom w:val="thinThickMediumGap" w:sz="12" w:space="0" w:color="000000"/>
              <w:right w:val="thinThickMediumGap" w:sz="12" w:space="0" w:color="000000"/>
            </w:tcBorders>
          </w:tcPr>
          <w:p>
            <w:pPr>
              <w:pStyle w:val="TableParagraph"/>
              <w:tabs>
                <w:tab w:pos="623" w:val="left" w:leader="none"/>
                <w:tab w:pos="1198" w:val="left" w:leader="none"/>
                <w:tab w:pos="1663" w:val="left" w:leader="none"/>
              </w:tabs>
              <w:spacing w:before="15"/>
              <w:ind w:left="81" w:right="76"/>
              <w:rPr>
                <w:sz w:val="22"/>
              </w:rPr>
            </w:pPr>
            <w:r>
              <w:rPr>
                <w:sz w:val="22"/>
              </w:rPr>
              <w:t>Sin</w:t>
              <w:tab/>
              <w:t>uso</w:t>
              <w:tab/>
              <w:t>en</w:t>
              <w:tab/>
              <w:t>el lugar de</w:t>
            </w:r>
            <w:r>
              <w:rPr>
                <w:spacing w:val="-10"/>
                <w:sz w:val="22"/>
              </w:rPr>
              <w:t> </w:t>
            </w:r>
            <w:r>
              <w:rPr>
                <w:sz w:val="22"/>
              </w:rPr>
              <w:t>estudio</w:t>
            </w:r>
          </w:p>
        </w:tc>
        <w:tc>
          <w:tcPr>
            <w:tcW w:w="6804" w:type="dxa"/>
            <w:tcBorders>
              <w:bottom w:val="thinThickMediumGap" w:sz="12" w:space="0" w:color="000000"/>
              <w:right w:val="thinThickMediumGap" w:sz="12" w:space="0" w:color="000000"/>
            </w:tcBorders>
          </w:tcPr>
          <w:p>
            <w:pPr>
              <w:pStyle w:val="TableParagraph"/>
              <w:spacing w:before="4"/>
              <w:rPr>
                <w:rFonts w:ascii="Times New Roman"/>
                <w:sz w:val="23"/>
              </w:rPr>
            </w:pPr>
          </w:p>
          <w:p>
            <w:pPr>
              <w:pStyle w:val="TableParagraph"/>
              <w:ind w:left="81" w:right="82"/>
              <w:rPr>
                <w:sz w:val="22"/>
              </w:rPr>
            </w:pPr>
            <w:r>
              <w:rPr>
                <w:sz w:val="22"/>
              </w:rPr>
              <w:t>Veracruz, Oaxaca y Chiapas</w:t>
            </w:r>
          </w:p>
        </w:tc>
      </w:tr>
      <w:tr>
        <w:trPr>
          <w:trHeight w:val="1071" w:hRule="exact"/>
        </w:trPr>
        <w:tc>
          <w:tcPr>
            <w:tcW w:w="2607" w:type="dxa"/>
            <w:tcBorders>
              <w:bottom w:val="thinThickMediumGap" w:sz="12" w:space="0" w:color="000000"/>
              <w:right w:val="thinThickMediumGap" w:sz="12" w:space="0" w:color="000000"/>
            </w:tcBorders>
          </w:tcPr>
          <w:p>
            <w:pPr>
              <w:pStyle w:val="TableParagraph"/>
              <w:spacing w:before="5"/>
              <w:ind w:left="81" w:right="370"/>
              <w:rPr>
                <w:b/>
                <w:sz w:val="22"/>
              </w:rPr>
            </w:pPr>
            <w:r>
              <w:rPr>
                <w:b/>
                <w:sz w:val="22"/>
              </w:rPr>
              <w:t>Myrtaceae</w:t>
            </w:r>
          </w:p>
          <w:p>
            <w:pPr>
              <w:pStyle w:val="TableParagraph"/>
              <w:spacing w:before="1"/>
              <w:rPr>
                <w:rFonts w:ascii="Times New Roman"/>
                <w:sz w:val="22"/>
              </w:rPr>
            </w:pPr>
          </w:p>
          <w:p>
            <w:pPr>
              <w:pStyle w:val="TableParagraph"/>
              <w:spacing w:line="260" w:lineRule="exact" w:before="1"/>
              <w:ind w:left="81"/>
              <w:rPr>
                <w:sz w:val="22"/>
              </w:rPr>
            </w:pPr>
            <w:r>
              <w:rPr>
                <w:i/>
                <w:sz w:val="22"/>
              </w:rPr>
              <w:t>Eugenia Oerstediana </w:t>
            </w:r>
            <w:r>
              <w:rPr>
                <w:sz w:val="22"/>
              </w:rPr>
              <w:t>O. Berg. </w:t>
            </w:r>
            <w:r>
              <w:rPr>
                <w:position w:val="10"/>
                <w:sz w:val="14"/>
              </w:rPr>
              <w:t>2 y 3 </w:t>
            </w:r>
            <w:r>
              <w:rPr>
                <w:sz w:val="22"/>
              </w:rPr>
              <w:t>(S)</w:t>
            </w:r>
          </w:p>
        </w:tc>
        <w:tc>
          <w:tcPr>
            <w:tcW w:w="184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66" w:right="60"/>
              <w:jc w:val="center"/>
              <w:rPr>
                <w:sz w:val="22"/>
              </w:rPr>
            </w:pPr>
            <w:r>
              <w:rPr>
                <w:sz w:val="22"/>
              </w:rPr>
              <w:t>Arrancillo</w:t>
            </w:r>
          </w:p>
        </w:tc>
        <w:tc>
          <w:tcPr>
            <w:tcW w:w="1973"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Leña</w:t>
            </w:r>
          </w:p>
          <w:p>
            <w:pPr>
              <w:pStyle w:val="TableParagraph"/>
              <w:tabs>
                <w:tab w:pos="1300" w:val="left" w:leader="none"/>
              </w:tabs>
              <w:spacing w:line="242" w:lineRule="auto" w:before="6"/>
              <w:ind w:left="81" w:right="77"/>
              <w:jc w:val="both"/>
              <w:rPr>
                <w:sz w:val="22"/>
              </w:rPr>
            </w:pPr>
            <w:r>
              <w:rPr>
                <w:sz w:val="22"/>
              </w:rPr>
              <w:t>Las ramas </w:t>
            </w:r>
            <w:r>
              <w:rPr>
                <w:spacing w:val="-3"/>
                <w:sz w:val="22"/>
              </w:rPr>
              <w:t>se </w:t>
            </w:r>
            <w:r>
              <w:rPr>
                <w:sz w:val="22"/>
              </w:rPr>
              <w:t>usan</w:t>
              <w:tab/>
            </w:r>
            <w:r>
              <w:rPr>
                <w:spacing w:val="-1"/>
                <w:sz w:val="22"/>
              </w:rPr>
              <w:t>como </w:t>
            </w:r>
            <w:r>
              <w:rPr>
                <w:sz w:val="22"/>
              </w:rPr>
              <w:t>combustible.</w:t>
            </w:r>
          </w:p>
        </w:tc>
        <w:tc>
          <w:tcPr>
            <w:tcW w:w="6804" w:type="dxa"/>
            <w:tcBorders>
              <w:bottom w:val="thinThickMediumGap" w:sz="12" w:space="0" w:color="000000"/>
              <w:right w:val="thinThickMediumGap" w:sz="12" w:space="0" w:color="000000"/>
            </w:tcBorders>
          </w:tcPr>
          <w:p>
            <w:pPr>
              <w:pStyle w:val="TableParagraph"/>
              <w:spacing w:line="242" w:lineRule="auto" w:before="9"/>
              <w:ind w:left="81" w:right="82"/>
              <w:jc w:val="both"/>
              <w:rPr>
                <w:sz w:val="22"/>
              </w:rPr>
            </w:pPr>
            <w:r>
              <w:rPr>
                <w:sz w:val="22"/>
              </w:rPr>
              <w:t>Registros en: Belice, Colombia, Costa Rica, Ecuador, El Salvador, Guatemala, Honduras, Nicaragua, Panama, Perú, Venezuela y México: Chis., Jal., Nay., Oax., Pue., S.L.P., Tab. y Ver. (Tropicos, 2014).</w:t>
            </w:r>
          </w:p>
        </w:tc>
      </w:tr>
      <w:tr>
        <w:trPr>
          <w:trHeight w:val="1325" w:hRule="exact"/>
        </w:trPr>
        <w:tc>
          <w:tcPr>
            <w:tcW w:w="2607"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Rhamnaceae</w:t>
            </w:r>
          </w:p>
          <w:p>
            <w:pPr>
              <w:pStyle w:val="TableParagraph"/>
              <w:spacing w:before="9"/>
              <w:rPr>
                <w:rFonts w:ascii="Times New Roman"/>
                <w:sz w:val="21"/>
              </w:rPr>
            </w:pPr>
          </w:p>
          <w:p>
            <w:pPr>
              <w:pStyle w:val="TableParagraph"/>
              <w:spacing w:line="244" w:lineRule="auto" w:before="1"/>
              <w:ind w:left="81" w:right="76"/>
              <w:jc w:val="both"/>
              <w:rPr>
                <w:sz w:val="22"/>
              </w:rPr>
            </w:pPr>
            <w:r>
              <w:rPr>
                <w:i/>
                <w:sz w:val="22"/>
              </w:rPr>
              <w:t>Rhamnus hintonii </w:t>
            </w:r>
            <w:r>
              <w:rPr>
                <w:sz w:val="22"/>
              </w:rPr>
              <w:t>M. C. Johnst. &amp; L. A. Johnst. (S)</w:t>
            </w:r>
          </w:p>
        </w:tc>
        <w:tc>
          <w:tcPr>
            <w:tcW w:w="184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66" w:right="66"/>
              <w:jc w:val="center"/>
              <w:rPr>
                <w:sz w:val="22"/>
              </w:rPr>
            </w:pPr>
            <w:r>
              <w:rPr>
                <w:sz w:val="22"/>
              </w:rPr>
              <w:t>--</w:t>
            </w:r>
          </w:p>
        </w:tc>
        <w:tc>
          <w:tcPr>
            <w:tcW w:w="1973" w:type="dxa"/>
            <w:tcBorders>
              <w:bottom w:val="thinThickMediumGap" w:sz="12" w:space="0" w:color="000000"/>
              <w:right w:val="thinThickMediumGap" w:sz="12" w:space="0" w:color="000000"/>
            </w:tcBorders>
          </w:tcPr>
          <w:p>
            <w:pPr>
              <w:pStyle w:val="TableParagraph"/>
              <w:tabs>
                <w:tab w:pos="623" w:val="left" w:leader="none"/>
                <w:tab w:pos="1198" w:val="left" w:leader="none"/>
                <w:tab w:pos="1663" w:val="left" w:leader="none"/>
              </w:tabs>
              <w:spacing w:line="250" w:lineRule="exact" w:before="20"/>
              <w:ind w:left="81" w:right="76"/>
              <w:rPr>
                <w:sz w:val="22"/>
              </w:rPr>
            </w:pPr>
            <w:r>
              <w:rPr>
                <w:sz w:val="22"/>
              </w:rPr>
              <w:t>Sin</w:t>
              <w:tab/>
              <w:t>uso</w:t>
              <w:tab/>
              <w:t>en</w:t>
              <w:tab/>
              <w:t>el lugar de</w:t>
            </w:r>
            <w:r>
              <w:rPr>
                <w:spacing w:val="-10"/>
                <w:sz w:val="22"/>
              </w:rPr>
              <w:t> </w:t>
            </w:r>
            <w:r>
              <w:rPr>
                <w:sz w:val="22"/>
              </w:rPr>
              <w:t>estudio</w:t>
            </w:r>
          </w:p>
        </w:tc>
        <w:tc>
          <w:tcPr>
            <w:tcW w:w="680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0"/>
              <w:ind w:left="81" w:right="82"/>
              <w:rPr>
                <w:sz w:val="22"/>
              </w:rPr>
            </w:pPr>
            <w:r>
              <w:rPr>
                <w:sz w:val="22"/>
              </w:rPr>
              <w:t>Registrado en: Col., Edo. de Méx., Gro., Jal., Mich., Mor., (Fernández, 1996).</w:t>
            </w:r>
          </w:p>
        </w:tc>
      </w:tr>
      <w:tr>
        <w:trPr>
          <w:trHeight w:val="1325" w:hRule="exact"/>
        </w:trPr>
        <w:tc>
          <w:tcPr>
            <w:tcW w:w="2607"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Rosaceae</w:t>
            </w:r>
          </w:p>
          <w:p>
            <w:pPr>
              <w:pStyle w:val="TableParagraph"/>
              <w:spacing w:before="1"/>
              <w:rPr>
                <w:rFonts w:ascii="Times New Roman"/>
                <w:sz w:val="22"/>
              </w:rPr>
            </w:pPr>
          </w:p>
          <w:p>
            <w:pPr>
              <w:pStyle w:val="TableParagraph"/>
              <w:spacing w:line="254" w:lineRule="exact"/>
              <w:ind w:left="81" w:right="75"/>
              <w:jc w:val="both"/>
              <w:rPr>
                <w:sz w:val="22"/>
              </w:rPr>
            </w:pPr>
            <w:r>
              <w:rPr>
                <w:i/>
                <w:sz w:val="22"/>
              </w:rPr>
              <w:t>Photinia microcarpa </w:t>
            </w:r>
            <w:r>
              <w:rPr>
                <w:sz w:val="22"/>
              </w:rPr>
              <w:t>Standl. ssp. </w:t>
            </w:r>
            <w:r>
              <w:rPr>
                <w:i/>
                <w:sz w:val="22"/>
              </w:rPr>
              <w:t>hintonii </w:t>
            </w:r>
            <w:r>
              <w:rPr>
                <w:sz w:val="22"/>
              </w:rPr>
              <w:t>Phipss </w:t>
            </w:r>
            <w:r>
              <w:rPr>
                <w:i/>
                <w:sz w:val="22"/>
              </w:rPr>
              <w:t>var. hitonii </w:t>
            </w:r>
            <w:r>
              <w:rPr>
                <w:position w:val="10"/>
                <w:sz w:val="14"/>
              </w:rPr>
              <w:t>7 </w:t>
            </w:r>
            <w:r>
              <w:rPr>
                <w:sz w:val="22"/>
              </w:rPr>
              <w:t>(S)</w:t>
            </w:r>
          </w:p>
        </w:tc>
        <w:tc>
          <w:tcPr>
            <w:tcW w:w="184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
              <w:rPr>
                <w:rFonts w:ascii="Times New Roman"/>
                <w:sz w:val="23"/>
              </w:rPr>
            </w:pPr>
          </w:p>
          <w:p>
            <w:pPr>
              <w:pStyle w:val="TableParagraph"/>
              <w:ind w:left="66" w:right="65"/>
              <w:jc w:val="center"/>
              <w:rPr>
                <w:sz w:val="22"/>
              </w:rPr>
            </w:pPr>
            <w:r>
              <w:rPr>
                <w:sz w:val="22"/>
              </w:rPr>
              <w:t>Capulincillo</w:t>
            </w:r>
          </w:p>
        </w:tc>
        <w:tc>
          <w:tcPr>
            <w:tcW w:w="1973" w:type="dxa"/>
            <w:tcBorders>
              <w:bottom w:val="thinThickMediumGap" w:sz="12" w:space="0" w:color="000000"/>
              <w:right w:val="thinThickMediumGap" w:sz="12" w:space="0" w:color="000000"/>
            </w:tcBorders>
          </w:tcPr>
          <w:p>
            <w:pPr>
              <w:pStyle w:val="TableParagraph"/>
              <w:tabs>
                <w:tab w:pos="623" w:val="left" w:leader="none"/>
                <w:tab w:pos="1198" w:val="left" w:leader="none"/>
                <w:tab w:pos="1663" w:val="left" w:leader="none"/>
              </w:tabs>
              <w:spacing w:line="250" w:lineRule="exact" w:before="20"/>
              <w:ind w:left="81" w:right="76"/>
              <w:rPr>
                <w:sz w:val="22"/>
              </w:rPr>
            </w:pPr>
            <w:r>
              <w:rPr>
                <w:sz w:val="22"/>
              </w:rPr>
              <w:t>Sin</w:t>
              <w:tab/>
              <w:t>uso</w:t>
              <w:tab/>
              <w:t>en</w:t>
              <w:tab/>
              <w:t>el lugar de</w:t>
            </w:r>
            <w:r>
              <w:rPr>
                <w:spacing w:val="-10"/>
                <w:sz w:val="22"/>
              </w:rPr>
              <w:t> </w:t>
            </w:r>
            <w:r>
              <w:rPr>
                <w:sz w:val="22"/>
              </w:rPr>
              <w:t>estudio</w:t>
            </w:r>
          </w:p>
        </w:tc>
        <w:tc>
          <w:tcPr>
            <w:tcW w:w="680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0"/>
              <w:ind w:left="81" w:right="82"/>
              <w:rPr>
                <w:sz w:val="22"/>
              </w:rPr>
            </w:pPr>
            <w:r>
              <w:rPr>
                <w:sz w:val="22"/>
              </w:rPr>
              <w:t>Centro de México a Honduras. Chis., Edo. de Méx., Jal., Mich, Oax., Qro.; Centroamérica (Rzedowski y Rzedowski, 2005).</w:t>
            </w:r>
          </w:p>
        </w:tc>
      </w:tr>
      <w:tr>
        <w:trPr>
          <w:trHeight w:val="1325" w:hRule="exact"/>
        </w:trPr>
        <w:tc>
          <w:tcPr>
            <w:tcW w:w="2607" w:type="dxa"/>
            <w:tcBorders>
              <w:bottom w:val="thinThickMediumGap" w:sz="12" w:space="0" w:color="000000"/>
              <w:right w:val="thinThickMediumGap" w:sz="12" w:space="0" w:color="000000"/>
            </w:tcBorders>
          </w:tcPr>
          <w:p>
            <w:pPr>
              <w:pStyle w:val="TableParagraph"/>
              <w:spacing w:before="134"/>
              <w:ind w:left="81" w:right="370"/>
              <w:rPr>
                <w:b/>
                <w:sz w:val="22"/>
              </w:rPr>
            </w:pPr>
            <w:r>
              <w:rPr>
                <w:b/>
                <w:sz w:val="22"/>
              </w:rPr>
              <w:t>Solanaceae</w:t>
            </w:r>
          </w:p>
          <w:p>
            <w:pPr>
              <w:pStyle w:val="TableParagraph"/>
              <w:spacing w:before="3"/>
              <w:rPr>
                <w:rFonts w:ascii="Times New Roman"/>
                <w:sz w:val="22"/>
              </w:rPr>
            </w:pPr>
          </w:p>
          <w:p>
            <w:pPr>
              <w:pStyle w:val="TableParagraph"/>
              <w:spacing w:line="241" w:lineRule="exact"/>
              <w:ind w:left="81"/>
              <w:rPr>
                <w:i/>
                <w:sz w:val="22"/>
              </w:rPr>
            </w:pPr>
            <w:r>
              <w:rPr>
                <w:i/>
                <w:sz w:val="22"/>
              </w:rPr>
              <w:t>Solanum aphyodendron</w:t>
            </w:r>
          </w:p>
          <w:p>
            <w:pPr>
              <w:pStyle w:val="TableParagraph"/>
              <w:spacing w:line="266" w:lineRule="exact"/>
              <w:ind w:left="81" w:right="370"/>
              <w:rPr>
                <w:sz w:val="22"/>
              </w:rPr>
            </w:pPr>
            <w:r>
              <w:rPr>
                <w:sz w:val="22"/>
              </w:rPr>
              <w:t>S. Knapp </w:t>
            </w:r>
            <w:r>
              <w:rPr>
                <w:position w:val="10"/>
                <w:sz w:val="14"/>
              </w:rPr>
              <w:t>3 y 5 </w:t>
            </w:r>
            <w:r>
              <w:rPr>
                <w:sz w:val="22"/>
              </w:rPr>
              <w:t>(S)</w:t>
            </w:r>
          </w:p>
        </w:tc>
        <w:tc>
          <w:tcPr>
            <w:tcW w:w="1844" w:type="dxa"/>
            <w:tcBorders>
              <w:bottom w:val="thinThickMediumGap" w:sz="12" w:space="0" w:color="000000"/>
              <w:right w:val="thinThickMediumGap" w:sz="12" w:space="0" w:color="000000"/>
            </w:tcBorders>
          </w:tcPr>
          <w:p>
            <w:pPr>
              <w:pStyle w:val="TableParagraph"/>
              <w:spacing w:before="11"/>
              <w:rPr>
                <w:rFonts w:ascii="Times New Roman"/>
                <w:sz w:val="22"/>
              </w:rPr>
            </w:pPr>
          </w:p>
          <w:p>
            <w:pPr>
              <w:pStyle w:val="TableParagraph"/>
              <w:spacing w:line="242" w:lineRule="auto"/>
              <w:ind w:left="96" w:right="98" w:firstLine="8"/>
              <w:jc w:val="center"/>
              <w:rPr>
                <w:sz w:val="22"/>
              </w:rPr>
            </w:pPr>
            <w:r>
              <w:rPr>
                <w:sz w:val="22"/>
              </w:rPr>
              <w:t>Yerba del zopilote, capulín de pájaro</w:t>
            </w:r>
          </w:p>
        </w:tc>
        <w:tc>
          <w:tcPr>
            <w:tcW w:w="1973" w:type="dxa"/>
            <w:tcBorders>
              <w:bottom w:val="thinThickMediumGap" w:sz="12" w:space="0" w:color="000000"/>
              <w:right w:val="thinThickMediumGap" w:sz="12" w:space="0" w:color="000000"/>
            </w:tcBorders>
          </w:tcPr>
          <w:p>
            <w:pPr>
              <w:pStyle w:val="TableParagraph"/>
              <w:spacing w:before="9"/>
              <w:ind w:left="81" w:right="76"/>
              <w:rPr>
                <w:b/>
                <w:sz w:val="22"/>
              </w:rPr>
            </w:pPr>
            <w:r>
              <w:rPr>
                <w:b/>
                <w:sz w:val="22"/>
              </w:rPr>
              <w:t>Alimenticio</w:t>
            </w:r>
          </w:p>
          <w:p>
            <w:pPr>
              <w:pStyle w:val="TableParagraph"/>
              <w:tabs>
                <w:tab w:pos="661" w:val="left" w:leader="none"/>
                <w:tab w:pos="1605" w:val="left" w:leader="none"/>
              </w:tabs>
              <w:spacing w:line="242" w:lineRule="auto" w:before="1"/>
              <w:ind w:left="81" w:right="79"/>
              <w:rPr>
                <w:sz w:val="22"/>
              </w:rPr>
            </w:pPr>
            <w:r>
              <w:rPr>
                <w:sz w:val="22"/>
              </w:rPr>
              <w:t>Los</w:t>
              <w:tab/>
              <w:t>pájaros</w:t>
              <w:tab/>
            </w:r>
            <w:r>
              <w:rPr>
                <w:spacing w:val="-3"/>
                <w:sz w:val="22"/>
              </w:rPr>
              <w:t>se </w:t>
            </w:r>
            <w:r>
              <w:rPr>
                <w:sz w:val="22"/>
              </w:rPr>
              <w:t>los</w:t>
            </w:r>
            <w:r>
              <w:rPr>
                <w:spacing w:val="-2"/>
                <w:sz w:val="22"/>
              </w:rPr>
              <w:t> </w:t>
            </w:r>
            <w:r>
              <w:rPr>
                <w:sz w:val="22"/>
              </w:rPr>
              <w:t>comen</w:t>
            </w:r>
          </w:p>
        </w:tc>
        <w:tc>
          <w:tcPr>
            <w:tcW w:w="6804" w:type="dxa"/>
            <w:tcBorders>
              <w:bottom w:val="thinThickMediumGap" w:sz="12" w:space="0" w:color="000000"/>
              <w:right w:val="thinThickMediumGap" w:sz="12" w:space="0" w:color="000000"/>
            </w:tcBorders>
          </w:tcPr>
          <w:p>
            <w:pPr>
              <w:pStyle w:val="TableParagraph"/>
              <w:spacing w:before="14"/>
              <w:ind w:left="81" w:right="75"/>
              <w:jc w:val="both"/>
              <w:rPr>
                <w:sz w:val="22"/>
              </w:rPr>
            </w:pPr>
            <w:r>
              <w:rPr>
                <w:sz w:val="22"/>
              </w:rPr>
              <w:t>Bolivia, Colombia, Costa Rica, Ecuador, El Salvador, Guatemala, Honduras, México (Chis., Gro., Edo. de Méx., Hgo., Jal., Mich., Mor., Nay., Oax. y Ver.); Nicaragua, Panamá, Perú y Venezuela (Trópicos, 2014). Guatemala hasta Panamá; Sudamérica (Rzedowski, 2001).</w:t>
            </w:r>
          </w:p>
        </w:tc>
      </w:tr>
      <w:tr>
        <w:trPr>
          <w:trHeight w:val="1090" w:hRule="exact"/>
        </w:trPr>
        <w:tc>
          <w:tcPr>
            <w:tcW w:w="2607" w:type="dxa"/>
            <w:tcBorders>
              <w:bottom w:val="thinThickMediumGap" w:sz="12" w:space="0" w:color="000000"/>
              <w:right w:val="thinThickMediumGap" w:sz="12" w:space="0" w:color="000000"/>
            </w:tcBorders>
          </w:tcPr>
          <w:p>
            <w:pPr>
              <w:pStyle w:val="TableParagraph"/>
              <w:spacing w:before="9"/>
              <w:ind w:left="81" w:right="370"/>
              <w:rPr>
                <w:b/>
                <w:sz w:val="22"/>
              </w:rPr>
            </w:pPr>
            <w:r>
              <w:rPr>
                <w:b/>
                <w:sz w:val="22"/>
              </w:rPr>
              <w:t>Verbenaceae</w:t>
            </w:r>
          </w:p>
          <w:p>
            <w:pPr>
              <w:pStyle w:val="TableParagraph"/>
              <w:spacing w:before="7"/>
              <w:rPr>
                <w:rFonts w:ascii="Times New Roman"/>
                <w:sz w:val="19"/>
              </w:rPr>
            </w:pPr>
          </w:p>
          <w:p>
            <w:pPr>
              <w:pStyle w:val="TableParagraph"/>
              <w:spacing w:before="1"/>
              <w:ind w:left="81"/>
              <w:rPr>
                <w:sz w:val="14"/>
              </w:rPr>
            </w:pPr>
            <w:r>
              <w:rPr>
                <w:i/>
                <w:sz w:val="22"/>
              </w:rPr>
              <w:t>Lippia  umbellata  </w:t>
            </w:r>
            <w:r>
              <w:rPr>
                <w:sz w:val="22"/>
              </w:rPr>
              <w:t>Cav. </w:t>
            </w:r>
            <w:r>
              <w:rPr>
                <w:position w:val="10"/>
                <w:sz w:val="14"/>
              </w:rPr>
              <w:t>1</w:t>
            </w:r>
          </w:p>
          <w:p>
            <w:pPr>
              <w:pStyle w:val="TableParagraph"/>
              <w:spacing w:before="6"/>
              <w:ind w:left="81" w:right="370"/>
              <w:rPr>
                <w:sz w:val="22"/>
              </w:rPr>
            </w:pPr>
            <w:r>
              <w:rPr>
                <w:sz w:val="22"/>
              </w:rPr>
              <w:t>(S)</w:t>
            </w:r>
          </w:p>
        </w:tc>
        <w:tc>
          <w:tcPr>
            <w:tcW w:w="1844"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66" w:right="61"/>
              <w:jc w:val="center"/>
              <w:rPr>
                <w:sz w:val="22"/>
              </w:rPr>
            </w:pPr>
            <w:r>
              <w:rPr>
                <w:sz w:val="22"/>
              </w:rPr>
              <w:t>Tabaquillo</w:t>
            </w:r>
          </w:p>
        </w:tc>
        <w:tc>
          <w:tcPr>
            <w:tcW w:w="1973" w:type="dxa"/>
            <w:tcBorders>
              <w:bottom w:val="thinThickMediumGap" w:sz="12" w:space="0" w:color="000000"/>
              <w:right w:val="thinThickMediumGap" w:sz="12" w:space="0" w:color="000000"/>
            </w:tcBorders>
          </w:tcPr>
          <w:p>
            <w:pPr>
              <w:pStyle w:val="TableParagraph"/>
              <w:tabs>
                <w:tab w:pos="623" w:val="left" w:leader="none"/>
                <w:tab w:pos="1198" w:val="left" w:leader="none"/>
                <w:tab w:pos="1663" w:val="left" w:leader="none"/>
              </w:tabs>
              <w:spacing w:before="14"/>
              <w:ind w:left="81" w:right="76"/>
              <w:rPr>
                <w:sz w:val="22"/>
              </w:rPr>
            </w:pPr>
            <w:r>
              <w:rPr>
                <w:sz w:val="22"/>
              </w:rPr>
              <w:t>Sin</w:t>
              <w:tab/>
              <w:t>uso</w:t>
              <w:tab/>
              <w:t>en</w:t>
              <w:tab/>
              <w:t>el lugar de</w:t>
            </w:r>
            <w:r>
              <w:rPr>
                <w:spacing w:val="-10"/>
                <w:sz w:val="22"/>
              </w:rPr>
              <w:t> </w:t>
            </w:r>
            <w:r>
              <w:rPr>
                <w:sz w:val="22"/>
              </w:rPr>
              <w:t>estudio</w:t>
            </w:r>
          </w:p>
        </w:tc>
        <w:tc>
          <w:tcPr>
            <w:tcW w:w="6804" w:type="dxa"/>
            <w:tcBorders>
              <w:bottom w:val="thinThickMediumGap" w:sz="12" w:space="0" w:color="000000"/>
              <w:right w:val="thinThickMediumGap" w:sz="12" w:space="0" w:color="000000"/>
            </w:tcBorders>
          </w:tcPr>
          <w:p>
            <w:pPr>
              <w:pStyle w:val="TableParagraph"/>
              <w:spacing w:before="14"/>
              <w:ind w:left="81" w:right="82"/>
              <w:rPr>
                <w:sz w:val="22"/>
              </w:rPr>
            </w:pPr>
            <w:r>
              <w:rPr>
                <w:sz w:val="22"/>
              </w:rPr>
              <w:t>Sinaloa y Durango a Chiapas, México, Veracruz y Yucatán. Centro América (Standley, 1982).</w:t>
            </w:r>
          </w:p>
        </w:tc>
      </w:tr>
    </w:tbl>
    <w:p>
      <w:pPr>
        <w:spacing w:after="0"/>
        <w:rPr>
          <w:sz w:val="22"/>
        </w:rPr>
        <w:sectPr>
          <w:pgSz w:w="15840" w:h="12240" w:orient="landscape"/>
          <w:pgMar w:header="690" w:footer="1147" w:top="880" w:bottom="1340" w:left="116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0"/>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2415"/>
        <w:gridCol w:w="2175"/>
        <w:gridCol w:w="1901"/>
        <w:gridCol w:w="6737"/>
      </w:tblGrid>
      <w:tr>
        <w:trPr>
          <w:trHeight w:val="274" w:hRule="exact"/>
        </w:trPr>
        <w:tc>
          <w:tcPr>
            <w:tcW w:w="13228" w:type="dxa"/>
            <w:gridSpan w:val="4"/>
            <w:tcBorders>
              <w:bottom w:val="thinThickMediumGap" w:sz="12" w:space="0" w:color="000000"/>
              <w:right w:val="thinThickMediumGap" w:sz="12" w:space="0" w:color="000000"/>
            </w:tcBorders>
          </w:tcPr>
          <w:p>
            <w:pPr>
              <w:pStyle w:val="TableParagraph"/>
              <w:spacing w:line="221" w:lineRule="exact"/>
              <w:ind w:left="2468"/>
              <w:rPr>
                <w:b/>
                <w:i/>
                <w:sz w:val="20"/>
              </w:rPr>
            </w:pPr>
            <w:r>
              <w:rPr>
                <w:b/>
                <w:i/>
                <w:sz w:val="20"/>
              </w:rPr>
              <w:t>Cuadro 12. Listado de especies de flora de la Zona de Manejo Ambiental: Área Natural.</w:t>
            </w:r>
          </w:p>
        </w:tc>
      </w:tr>
      <w:tr>
        <w:trPr>
          <w:trHeight w:val="566" w:hRule="exact"/>
        </w:trPr>
        <w:tc>
          <w:tcPr>
            <w:tcW w:w="2415" w:type="dxa"/>
            <w:tcBorders>
              <w:bottom w:val="thinThickMediumGap" w:sz="12" w:space="0" w:color="000000"/>
              <w:right w:val="thinThickMediumGap" w:sz="12" w:space="0" w:color="000000"/>
            </w:tcBorders>
            <w:shd w:val="clear" w:color="auto" w:fill="D9D9D9"/>
          </w:tcPr>
          <w:p>
            <w:pPr>
              <w:pStyle w:val="TableParagraph"/>
              <w:spacing w:before="9"/>
              <w:ind w:left="695" w:hanging="404"/>
              <w:rPr>
                <w:b/>
                <w:sz w:val="22"/>
              </w:rPr>
            </w:pPr>
            <w:r>
              <w:rPr>
                <w:b/>
                <w:sz w:val="22"/>
              </w:rPr>
              <w:t>Familia / Nombre científico</w:t>
            </w:r>
          </w:p>
        </w:tc>
        <w:tc>
          <w:tcPr>
            <w:tcW w:w="2175" w:type="dxa"/>
            <w:tcBorders>
              <w:bottom w:val="thinThickMediumGap" w:sz="12" w:space="0" w:color="000000"/>
              <w:right w:val="thinThickMediumGap" w:sz="12" w:space="0" w:color="000000"/>
            </w:tcBorders>
            <w:shd w:val="clear" w:color="auto" w:fill="D9D9D9"/>
          </w:tcPr>
          <w:p>
            <w:pPr>
              <w:pStyle w:val="TableParagraph"/>
              <w:spacing w:before="134"/>
              <w:ind w:left="234" w:right="230"/>
              <w:jc w:val="center"/>
              <w:rPr>
                <w:b/>
                <w:sz w:val="22"/>
              </w:rPr>
            </w:pPr>
            <w:r>
              <w:rPr>
                <w:b/>
                <w:sz w:val="22"/>
              </w:rPr>
              <w:t>Nombre común</w:t>
            </w:r>
          </w:p>
        </w:tc>
        <w:tc>
          <w:tcPr>
            <w:tcW w:w="1901" w:type="dxa"/>
            <w:tcBorders>
              <w:bottom w:val="thinThickMediumGap" w:sz="12" w:space="0" w:color="000000"/>
              <w:right w:val="thinThickMediumGap" w:sz="12" w:space="0" w:color="000000"/>
            </w:tcBorders>
            <w:shd w:val="clear" w:color="auto" w:fill="D9D9D9"/>
          </w:tcPr>
          <w:p>
            <w:pPr>
              <w:pStyle w:val="TableParagraph"/>
              <w:spacing w:before="134"/>
              <w:ind w:left="632" w:right="632"/>
              <w:jc w:val="center"/>
              <w:rPr>
                <w:b/>
                <w:sz w:val="22"/>
              </w:rPr>
            </w:pPr>
            <w:r>
              <w:rPr>
                <w:b/>
                <w:sz w:val="22"/>
              </w:rPr>
              <w:t>Usos</w:t>
            </w:r>
          </w:p>
        </w:tc>
        <w:tc>
          <w:tcPr>
            <w:tcW w:w="6737" w:type="dxa"/>
            <w:tcBorders>
              <w:bottom w:val="thinThickMediumGap" w:sz="12" w:space="0" w:color="000000"/>
              <w:right w:val="thinThickMediumGap" w:sz="12" w:space="0" w:color="000000"/>
            </w:tcBorders>
            <w:shd w:val="clear" w:color="auto" w:fill="D9D9D9"/>
          </w:tcPr>
          <w:p>
            <w:pPr>
              <w:pStyle w:val="TableParagraph"/>
              <w:spacing w:before="134"/>
              <w:ind w:left="2676" w:right="2678"/>
              <w:jc w:val="center"/>
              <w:rPr>
                <w:b/>
                <w:sz w:val="22"/>
              </w:rPr>
            </w:pPr>
            <w:r>
              <w:rPr>
                <w:b/>
                <w:sz w:val="22"/>
              </w:rPr>
              <w:t>Distribución</w:t>
            </w:r>
          </w:p>
        </w:tc>
      </w:tr>
      <w:tr>
        <w:trPr>
          <w:trHeight w:val="1076" w:hRule="exact"/>
        </w:trPr>
        <w:tc>
          <w:tcPr>
            <w:tcW w:w="2415" w:type="dxa"/>
            <w:tcBorders>
              <w:bottom w:val="thinThickMediumGap" w:sz="12" w:space="0" w:color="000000"/>
              <w:right w:val="thinThickMediumGap" w:sz="12" w:space="0" w:color="000000"/>
            </w:tcBorders>
          </w:tcPr>
          <w:p>
            <w:pPr>
              <w:pStyle w:val="TableParagraph"/>
              <w:spacing w:before="9"/>
              <w:ind w:left="81"/>
              <w:rPr>
                <w:b/>
                <w:sz w:val="22"/>
              </w:rPr>
            </w:pPr>
            <w:r>
              <w:rPr>
                <w:b/>
                <w:sz w:val="22"/>
              </w:rPr>
              <w:t>Clethraceae</w:t>
            </w:r>
          </w:p>
          <w:p>
            <w:pPr>
              <w:pStyle w:val="TableParagraph"/>
              <w:spacing w:before="9"/>
              <w:rPr>
                <w:rFonts w:ascii="Times New Roman"/>
                <w:sz w:val="21"/>
              </w:rPr>
            </w:pPr>
          </w:p>
          <w:p>
            <w:pPr>
              <w:pStyle w:val="TableParagraph"/>
              <w:spacing w:before="1"/>
              <w:ind w:left="81"/>
              <w:rPr>
                <w:sz w:val="22"/>
              </w:rPr>
            </w:pPr>
            <w:r>
              <w:rPr>
                <w:i/>
                <w:sz w:val="22"/>
              </w:rPr>
              <w:t>Clethra sp. </w:t>
            </w:r>
            <w:r>
              <w:rPr>
                <w:sz w:val="22"/>
              </w:rPr>
              <w:t>(S)</w:t>
            </w:r>
          </w:p>
        </w:tc>
        <w:tc>
          <w:tcPr>
            <w:tcW w:w="2175"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1"/>
              <w:ind w:left="231" w:right="230"/>
              <w:jc w:val="center"/>
              <w:rPr>
                <w:sz w:val="22"/>
              </w:rPr>
            </w:pPr>
            <w:r>
              <w:rPr>
                <w:sz w:val="22"/>
              </w:rPr>
              <w:t>Zapotillo</w:t>
            </w:r>
          </w:p>
        </w:tc>
        <w:tc>
          <w:tcPr>
            <w:tcW w:w="1901"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Leña</w:t>
            </w:r>
          </w:p>
          <w:p>
            <w:pPr>
              <w:pStyle w:val="TableParagraph"/>
              <w:tabs>
                <w:tab w:pos="1232" w:val="left" w:leader="none"/>
              </w:tabs>
              <w:spacing w:before="1"/>
              <w:ind w:left="81" w:right="73"/>
              <w:jc w:val="both"/>
              <w:rPr>
                <w:sz w:val="22"/>
              </w:rPr>
            </w:pPr>
            <w:r>
              <w:rPr>
                <w:sz w:val="22"/>
              </w:rPr>
              <w:t>Las ramas </w:t>
            </w:r>
            <w:r>
              <w:rPr>
                <w:spacing w:val="-3"/>
                <w:sz w:val="22"/>
              </w:rPr>
              <w:t>se </w:t>
            </w:r>
            <w:r>
              <w:rPr>
                <w:sz w:val="22"/>
              </w:rPr>
              <w:t>usan</w:t>
              <w:tab/>
            </w:r>
            <w:r>
              <w:rPr>
                <w:spacing w:val="-1"/>
                <w:sz w:val="22"/>
              </w:rPr>
              <w:t>como </w:t>
            </w:r>
            <w:r>
              <w:rPr>
                <w:sz w:val="22"/>
              </w:rPr>
              <w:t>combustible.</w:t>
            </w:r>
          </w:p>
        </w:tc>
        <w:tc>
          <w:tcPr>
            <w:tcW w:w="6737" w:type="dxa"/>
            <w:tcBorders>
              <w:bottom w:val="thinThickMediumGap" w:sz="12" w:space="0" w:color="000000"/>
              <w:right w:val="thinThickMediumGap" w:sz="12" w:space="0" w:color="000000"/>
            </w:tcBorders>
          </w:tcPr>
          <w:p>
            <w:pPr>
              <w:pStyle w:val="TableParagraph"/>
              <w:spacing w:before="14"/>
              <w:ind w:left="81"/>
              <w:rPr>
                <w:sz w:val="22"/>
              </w:rPr>
            </w:pPr>
            <w:r>
              <w:rPr>
                <w:sz w:val="22"/>
              </w:rPr>
              <w:t>Identificado solo a género</w:t>
            </w:r>
          </w:p>
        </w:tc>
      </w:tr>
      <w:tr>
        <w:trPr>
          <w:trHeight w:val="1071" w:hRule="exact"/>
        </w:trPr>
        <w:tc>
          <w:tcPr>
            <w:tcW w:w="2415" w:type="dxa"/>
            <w:tcBorders>
              <w:bottom w:val="thinThickMediumGap" w:sz="12" w:space="0" w:color="000000"/>
              <w:right w:val="thinThickMediumGap" w:sz="12" w:space="0" w:color="000000"/>
            </w:tcBorders>
          </w:tcPr>
          <w:p>
            <w:pPr>
              <w:pStyle w:val="TableParagraph"/>
              <w:spacing w:before="5"/>
              <w:ind w:left="81"/>
              <w:rPr>
                <w:b/>
                <w:sz w:val="22"/>
              </w:rPr>
            </w:pPr>
            <w:r>
              <w:rPr>
                <w:b/>
                <w:sz w:val="22"/>
              </w:rPr>
              <w:t>Fagaceae</w:t>
            </w:r>
          </w:p>
          <w:p>
            <w:pPr>
              <w:pStyle w:val="TableParagraph"/>
              <w:spacing w:before="10"/>
              <w:rPr>
                <w:rFonts w:ascii="Times New Roman"/>
                <w:sz w:val="21"/>
              </w:rPr>
            </w:pPr>
          </w:p>
          <w:p>
            <w:pPr>
              <w:pStyle w:val="TableParagraph"/>
              <w:ind w:left="81"/>
              <w:rPr>
                <w:i/>
                <w:sz w:val="22"/>
              </w:rPr>
            </w:pPr>
            <w:r>
              <w:rPr>
                <w:i/>
                <w:sz w:val="22"/>
              </w:rPr>
              <w:t>Quercus scytophylla</w:t>
            </w:r>
          </w:p>
          <w:p>
            <w:pPr>
              <w:pStyle w:val="TableParagraph"/>
              <w:spacing w:before="6"/>
              <w:ind w:left="81"/>
              <w:rPr>
                <w:sz w:val="22"/>
              </w:rPr>
            </w:pPr>
            <w:r>
              <w:rPr>
                <w:sz w:val="22"/>
              </w:rPr>
              <w:t>Liebm (S)</w:t>
            </w:r>
          </w:p>
        </w:tc>
        <w:tc>
          <w:tcPr>
            <w:tcW w:w="2175"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234" w:right="228"/>
              <w:jc w:val="center"/>
              <w:rPr>
                <w:sz w:val="22"/>
              </w:rPr>
            </w:pPr>
            <w:r>
              <w:rPr>
                <w:sz w:val="22"/>
              </w:rPr>
              <w:t>Encino</w:t>
            </w:r>
          </w:p>
        </w:tc>
        <w:tc>
          <w:tcPr>
            <w:tcW w:w="1901" w:type="dxa"/>
            <w:tcBorders>
              <w:bottom w:val="thinThickMediumGap" w:sz="12" w:space="0" w:color="000000"/>
              <w:right w:val="thinThickMediumGap" w:sz="12" w:space="0" w:color="000000"/>
            </w:tcBorders>
          </w:tcPr>
          <w:p>
            <w:pPr>
              <w:pStyle w:val="TableParagraph"/>
              <w:spacing w:before="5"/>
              <w:ind w:left="81"/>
              <w:jc w:val="both"/>
              <w:rPr>
                <w:b/>
                <w:sz w:val="22"/>
              </w:rPr>
            </w:pPr>
            <w:r>
              <w:rPr>
                <w:b/>
                <w:sz w:val="22"/>
              </w:rPr>
              <w:t>Leña</w:t>
            </w:r>
          </w:p>
          <w:p>
            <w:pPr>
              <w:pStyle w:val="TableParagraph"/>
              <w:tabs>
                <w:tab w:pos="1232" w:val="left" w:leader="none"/>
              </w:tabs>
              <w:spacing w:before="6"/>
              <w:ind w:left="81" w:right="73"/>
              <w:jc w:val="both"/>
              <w:rPr>
                <w:sz w:val="22"/>
              </w:rPr>
            </w:pPr>
            <w:r>
              <w:rPr>
                <w:sz w:val="22"/>
              </w:rPr>
              <w:t>Las ramas </w:t>
            </w:r>
            <w:r>
              <w:rPr>
                <w:spacing w:val="-3"/>
                <w:sz w:val="22"/>
              </w:rPr>
              <w:t>se </w:t>
            </w:r>
            <w:r>
              <w:rPr>
                <w:sz w:val="22"/>
              </w:rPr>
              <w:t>usan</w:t>
              <w:tab/>
            </w:r>
            <w:r>
              <w:rPr>
                <w:spacing w:val="-1"/>
                <w:sz w:val="22"/>
              </w:rPr>
              <w:t>como </w:t>
            </w:r>
            <w:r>
              <w:rPr>
                <w:sz w:val="22"/>
              </w:rPr>
              <w:t>combustible.</w:t>
            </w:r>
          </w:p>
        </w:tc>
        <w:tc>
          <w:tcPr>
            <w:tcW w:w="6737" w:type="dxa"/>
            <w:tcBorders>
              <w:bottom w:val="thinThickMediumGap" w:sz="12" w:space="0" w:color="000000"/>
              <w:right w:val="thinThickMediumGap" w:sz="12" w:space="0" w:color="000000"/>
            </w:tcBorders>
          </w:tcPr>
          <w:p>
            <w:pPr>
              <w:pStyle w:val="TableParagraph"/>
              <w:spacing w:before="9"/>
              <w:ind w:left="81" w:right="82"/>
              <w:jc w:val="both"/>
              <w:rPr>
                <w:sz w:val="22"/>
              </w:rPr>
            </w:pPr>
            <w:r>
              <w:rPr>
                <w:sz w:val="22"/>
              </w:rPr>
              <w:t>Estado de México (Tejupilco, Temascaltepec, San Simón de Guerrero, Amatepec, Sultepec y Tlatlaya) Michoacán (Zavala, 1998).</w:t>
            </w:r>
          </w:p>
        </w:tc>
      </w:tr>
      <w:tr>
        <w:trPr>
          <w:trHeight w:val="1071" w:hRule="exact"/>
        </w:trPr>
        <w:tc>
          <w:tcPr>
            <w:tcW w:w="2415" w:type="dxa"/>
            <w:tcBorders>
              <w:bottom w:val="thinThickMediumGap" w:sz="12" w:space="0" w:color="000000"/>
              <w:right w:val="thinThickMediumGap" w:sz="12" w:space="0" w:color="000000"/>
            </w:tcBorders>
          </w:tcPr>
          <w:p>
            <w:pPr>
              <w:pStyle w:val="TableParagraph"/>
              <w:spacing w:before="5"/>
              <w:ind w:left="81"/>
              <w:rPr>
                <w:b/>
                <w:sz w:val="22"/>
              </w:rPr>
            </w:pPr>
            <w:r>
              <w:rPr>
                <w:b/>
                <w:sz w:val="22"/>
              </w:rPr>
              <w:t>Fagaceae</w:t>
            </w:r>
          </w:p>
          <w:p>
            <w:pPr>
              <w:pStyle w:val="TableParagraph"/>
              <w:spacing w:before="2"/>
              <w:rPr>
                <w:rFonts w:ascii="Times New Roman"/>
                <w:sz w:val="22"/>
              </w:rPr>
            </w:pPr>
          </w:p>
          <w:p>
            <w:pPr>
              <w:pStyle w:val="TableParagraph"/>
              <w:spacing w:before="1"/>
              <w:ind w:left="81"/>
              <w:rPr>
                <w:sz w:val="22"/>
              </w:rPr>
            </w:pPr>
            <w:r>
              <w:rPr>
                <w:i/>
                <w:sz w:val="22"/>
              </w:rPr>
              <w:t>Quercus sp. </w:t>
            </w:r>
            <w:r>
              <w:rPr>
                <w:sz w:val="22"/>
              </w:rPr>
              <w:t>(S)</w:t>
            </w:r>
          </w:p>
        </w:tc>
        <w:tc>
          <w:tcPr>
            <w:tcW w:w="2175"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36"/>
              <w:ind w:left="234" w:right="228"/>
              <w:jc w:val="center"/>
              <w:rPr>
                <w:sz w:val="22"/>
              </w:rPr>
            </w:pPr>
            <w:r>
              <w:rPr>
                <w:sz w:val="22"/>
              </w:rPr>
              <w:t>Encino</w:t>
            </w:r>
          </w:p>
        </w:tc>
        <w:tc>
          <w:tcPr>
            <w:tcW w:w="1901" w:type="dxa"/>
            <w:tcBorders>
              <w:bottom w:val="thinThickMediumGap" w:sz="12" w:space="0" w:color="000000"/>
              <w:right w:val="thinThickMediumGap" w:sz="12" w:space="0" w:color="000000"/>
            </w:tcBorders>
          </w:tcPr>
          <w:p>
            <w:pPr>
              <w:pStyle w:val="TableParagraph"/>
              <w:spacing w:line="242" w:lineRule="auto" w:before="5"/>
              <w:ind w:left="81" w:right="67"/>
              <w:rPr>
                <w:sz w:val="22"/>
              </w:rPr>
            </w:pPr>
            <w:r>
              <w:rPr>
                <w:b/>
                <w:sz w:val="22"/>
              </w:rPr>
              <w:t>Leña. </w:t>
            </w:r>
            <w:r>
              <w:rPr>
                <w:sz w:val="22"/>
              </w:rPr>
              <w:t>Se utiliza como combustible para hacer fuego.</w:t>
            </w:r>
          </w:p>
        </w:tc>
        <w:tc>
          <w:tcPr>
            <w:tcW w:w="6737" w:type="dxa"/>
            <w:tcBorders>
              <w:bottom w:val="thinThickMediumGap" w:sz="12" w:space="0" w:color="000000"/>
              <w:right w:val="thinThickMediumGap" w:sz="12" w:space="0" w:color="000000"/>
            </w:tcBorders>
          </w:tcPr>
          <w:p>
            <w:pPr>
              <w:pStyle w:val="TableParagraph"/>
              <w:spacing w:before="9"/>
              <w:ind w:left="81"/>
              <w:rPr>
                <w:sz w:val="22"/>
              </w:rPr>
            </w:pPr>
            <w:r>
              <w:rPr>
                <w:sz w:val="22"/>
              </w:rPr>
              <w:t>Identificado solo a género</w:t>
            </w:r>
          </w:p>
        </w:tc>
      </w:tr>
      <w:tr>
        <w:trPr>
          <w:trHeight w:val="1090" w:hRule="exact"/>
        </w:trPr>
        <w:tc>
          <w:tcPr>
            <w:tcW w:w="2415" w:type="dxa"/>
            <w:tcBorders>
              <w:bottom w:val="thinThickMediumGap" w:sz="12" w:space="0" w:color="000000"/>
              <w:right w:val="thinThickMediumGap" w:sz="12" w:space="0" w:color="000000"/>
            </w:tcBorders>
          </w:tcPr>
          <w:p>
            <w:pPr>
              <w:pStyle w:val="TableParagraph"/>
              <w:spacing w:before="9"/>
              <w:ind w:left="81"/>
              <w:rPr>
                <w:b/>
                <w:sz w:val="22"/>
              </w:rPr>
            </w:pPr>
            <w:r>
              <w:rPr>
                <w:b/>
                <w:sz w:val="22"/>
              </w:rPr>
              <w:t>Malpighiaceae</w:t>
            </w:r>
          </w:p>
          <w:p>
            <w:pPr>
              <w:pStyle w:val="TableParagraph"/>
              <w:spacing w:before="9"/>
              <w:rPr>
                <w:rFonts w:ascii="Times New Roman"/>
                <w:sz w:val="21"/>
              </w:rPr>
            </w:pPr>
          </w:p>
          <w:p>
            <w:pPr>
              <w:pStyle w:val="TableParagraph"/>
              <w:ind w:left="81"/>
              <w:rPr>
                <w:i/>
                <w:sz w:val="22"/>
              </w:rPr>
            </w:pPr>
            <w:r>
              <w:rPr>
                <w:i/>
                <w:sz w:val="22"/>
              </w:rPr>
              <w:t>Byrsonima crassifolia</w:t>
            </w:r>
          </w:p>
          <w:p>
            <w:pPr>
              <w:pStyle w:val="TableParagraph"/>
              <w:spacing w:before="6"/>
              <w:ind w:left="81"/>
              <w:rPr>
                <w:sz w:val="22"/>
              </w:rPr>
            </w:pPr>
            <w:r>
              <w:rPr>
                <w:sz w:val="22"/>
              </w:rPr>
              <w:t>(L.) Kunth (S)</w:t>
            </w:r>
          </w:p>
        </w:tc>
        <w:tc>
          <w:tcPr>
            <w:tcW w:w="2175" w:type="dxa"/>
            <w:tcBorders>
              <w:bottom w:val="thinThickMediumGap" w:sz="12" w:space="0" w:color="000000"/>
              <w:right w:val="thinThickMediumGap" w:sz="12" w:space="0" w:color="000000"/>
            </w:tcBorders>
          </w:tcPr>
          <w:p>
            <w:pPr>
              <w:pStyle w:val="TableParagraph"/>
              <w:rPr>
                <w:rFonts w:ascii="Times New Roman"/>
                <w:sz w:val="22"/>
              </w:rPr>
            </w:pPr>
          </w:p>
          <w:p>
            <w:pPr>
              <w:pStyle w:val="TableParagraph"/>
              <w:spacing w:before="140"/>
              <w:ind w:left="234" w:right="228"/>
              <w:jc w:val="center"/>
              <w:rPr>
                <w:sz w:val="22"/>
              </w:rPr>
            </w:pPr>
            <w:r>
              <w:rPr>
                <w:sz w:val="22"/>
              </w:rPr>
              <w:t>Nanche</w:t>
            </w:r>
          </w:p>
        </w:tc>
        <w:tc>
          <w:tcPr>
            <w:tcW w:w="1901" w:type="dxa"/>
            <w:tcBorders>
              <w:bottom w:val="thinThickMediumGap" w:sz="12" w:space="0" w:color="000000"/>
              <w:right w:val="thinThickMediumGap" w:sz="12" w:space="0" w:color="000000"/>
            </w:tcBorders>
          </w:tcPr>
          <w:p>
            <w:pPr>
              <w:pStyle w:val="TableParagraph"/>
              <w:spacing w:before="9"/>
              <w:ind w:left="81"/>
              <w:jc w:val="both"/>
              <w:rPr>
                <w:b/>
                <w:sz w:val="22"/>
              </w:rPr>
            </w:pPr>
            <w:r>
              <w:rPr>
                <w:b/>
                <w:sz w:val="22"/>
              </w:rPr>
              <w:t>Alimenticio</w:t>
            </w:r>
          </w:p>
          <w:p>
            <w:pPr>
              <w:pStyle w:val="TableParagraph"/>
              <w:spacing w:before="1"/>
              <w:ind w:left="81" w:right="74"/>
              <w:jc w:val="both"/>
              <w:rPr>
                <w:sz w:val="22"/>
              </w:rPr>
            </w:pPr>
            <w:r>
              <w:rPr>
                <w:sz w:val="22"/>
              </w:rPr>
              <w:t>El fruto sirve de alimento cuando madura.</w:t>
            </w:r>
          </w:p>
        </w:tc>
        <w:tc>
          <w:tcPr>
            <w:tcW w:w="6737" w:type="dxa"/>
            <w:tcBorders>
              <w:bottom w:val="thinThickMediumGap" w:sz="12" w:space="0" w:color="000000"/>
              <w:right w:val="thinThickMediumGap" w:sz="12" w:space="0" w:color="000000"/>
            </w:tcBorders>
          </w:tcPr>
          <w:p>
            <w:pPr>
              <w:pStyle w:val="TableParagraph"/>
              <w:spacing w:line="250" w:lineRule="exact" w:before="20"/>
              <w:ind w:left="81" w:right="73"/>
              <w:jc w:val="both"/>
              <w:rPr>
                <w:sz w:val="22"/>
              </w:rPr>
            </w:pPr>
            <w:r>
              <w:rPr>
                <w:sz w:val="22"/>
              </w:rPr>
              <w:t>Registrado en México: Camp., Chis., Edo. de Méx., Gro., Jal., Mich., Mor., Nay., Oax., Pue., Sin., S.L.P. Tam., Ver., y Yuc. (</w:t>
            </w:r>
            <w:r>
              <w:rPr>
                <w:i/>
                <w:sz w:val="22"/>
              </w:rPr>
              <w:t>Dorado et al., </w:t>
            </w:r>
            <w:r>
              <w:rPr>
                <w:sz w:val="22"/>
              </w:rPr>
              <w:t>2012).</w:t>
            </w:r>
          </w:p>
        </w:tc>
      </w:tr>
    </w:tbl>
    <w:p>
      <w:pPr>
        <w:spacing w:after="0" w:line="250" w:lineRule="exact"/>
        <w:jc w:val="both"/>
        <w:rPr>
          <w:sz w:val="22"/>
        </w:rPr>
        <w:sectPr>
          <w:pgSz w:w="15840" w:h="12240" w:orient="landscape"/>
          <w:pgMar w:header="690" w:footer="1147" w:top="880" w:bottom="1340" w:left="1160" w:right="1140"/>
        </w:sectPr>
      </w:pPr>
    </w:p>
    <w:p>
      <w:pPr>
        <w:pStyle w:val="BodyText"/>
        <w:rPr>
          <w:rFonts w:ascii="Times New Roman"/>
          <w:sz w:val="20"/>
        </w:rPr>
      </w:pPr>
    </w:p>
    <w:p>
      <w:pPr>
        <w:pStyle w:val="BodyText"/>
        <w:spacing w:before="4"/>
        <w:rPr>
          <w:rFonts w:ascii="Times New Roman"/>
          <w:sz w:val="19"/>
        </w:rPr>
      </w:pPr>
    </w:p>
    <w:p>
      <w:pPr>
        <w:pStyle w:val="Heading2"/>
        <w:numPr>
          <w:ilvl w:val="1"/>
          <w:numId w:val="16"/>
        </w:numPr>
        <w:tabs>
          <w:tab w:pos="612" w:val="left" w:leader="none"/>
        </w:tabs>
        <w:spacing w:line="240" w:lineRule="auto" w:before="70" w:after="0"/>
        <w:ind w:left="644" w:right="0" w:hanging="528"/>
        <w:jc w:val="both"/>
      </w:pPr>
      <w:r>
        <w:rPr/>
        <w:t>. Estudio Etnobotánico General y por Zonas de Manejo Ambiental</w:t>
      </w:r>
      <w:r>
        <w:rPr>
          <w:spacing w:val="-39"/>
        </w:rPr>
        <w:t> </w:t>
      </w:r>
      <w:r>
        <w:rPr/>
        <w:t>(ZMA)</w:t>
      </w:r>
    </w:p>
    <w:p>
      <w:pPr>
        <w:pStyle w:val="BodyText"/>
        <w:spacing w:line="360" w:lineRule="auto" w:before="146"/>
        <w:ind w:left="116" w:right="112"/>
        <w:jc w:val="both"/>
      </w:pPr>
      <w:r>
        <w:rPr/>
        <w:t>En lo que respecta al estudio etnobotánico, se realizaron 10 entrevistas a personas entre 50 y 80 años de edad, solo un hombre y las demás del género femenino habitantes de la cabecera municipal de Temascaltepec y algunos habitantes de la cercana localidad de Telpintla. Estas personas fueron seleccionadas como informantes clave por sus conocimientos sobre el uso de la flora. La mayoría fueron mujeres debido a que el conocimiento que poseen ha sido transmitido verbalmente, a través de los padres, abuelos o vecinos. Se utilizaron cuestionarios con preguntas de tipo</w:t>
      </w:r>
      <w:r>
        <w:rPr>
          <w:spacing w:val="-39"/>
        </w:rPr>
        <w:t> </w:t>
      </w:r>
      <w:r>
        <w:rPr/>
        <w:t>mixto.</w:t>
      </w:r>
    </w:p>
    <w:p>
      <w:pPr>
        <w:pStyle w:val="BodyText"/>
      </w:pPr>
    </w:p>
    <w:p>
      <w:pPr>
        <w:pStyle w:val="BodyText"/>
        <w:spacing w:line="360" w:lineRule="auto" w:before="145"/>
        <w:ind w:left="116" w:right="127"/>
        <w:jc w:val="both"/>
      </w:pPr>
      <w:r>
        <w:rPr/>
        <w:t>Los usos asignados a las especies son: medicinal (41 sp.), alimenticio (17 sp.), ornamental (9 sp.) y leña (14 sp.). Del total de especies identificadas, 19 no presentan ningún uso, 17 especies presentan dos usos distintos.</w:t>
      </w:r>
    </w:p>
    <w:p>
      <w:pPr>
        <w:pStyle w:val="BodyText"/>
      </w:pPr>
    </w:p>
    <w:p>
      <w:pPr>
        <w:spacing w:line="360" w:lineRule="auto" w:before="144"/>
        <w:ind w:left="116" w:right="110" w:firstLine="0"/>
        <w:jc w:val="both"/>
        <w:rPr>
          <w:sz w:val="24"/>
        </w:rPr>
      </w:pPr>
      <w:r>
        <w:rPr>
          <w:sz w:val="24"/>
        </w:rPr>
        <w:t>Las plantas con uso medicinal son: </w:t>
      </w:r>
      <w:r>
        <w:rPr>
          <w:i/>
          <w:sz w:val="24"/>
        </w:rPr>
        <w:t>Acacia farnesiana </w:t>
      </w:r>
      <w:r>
        <w:rPr>
          <w:sz w:val="24"/>
        </w:rPr>
        <w:t>(L.) Willd.; </w:t>
      </w:r>
      <w:r>
        <w:rPr>
          <w:i/>
          <w:sz w:val="24"/>
        </w:rPr>
        <w:t>Acaciella angustissima </w:t>
      </w:r>
      <w:r>
        <w:rPr>
          <w:i/>
          <w:sz w:val="24"/>
        </w:rPr>
        <w:t>var. angustissima </w:t>
      </w:r>
      <w:r>
        <w:rPr>
          <w:sz w:val="24"/>
        </w:rPr>
        <w:t>(Mill.) Britton &amp; Rose; </w:t>
      </w:r>
      <w:r>
        <w:rPr>
          <w:i/>
          <w:sz w:val="24"/>
        </w:rPr>
        <w:t>Agastache mexicana </w:t>
      </w:r>
      <w:r>
        <w:rPr>
          <w:sz w:val="24"/>
        </w:rPr>
        <w:t>(Kunth.) Lint &amp; Epling; </w:t>
      </w:r>
      <w:r>
        <w:rPr>
          <w:i/>
          <w:sz w:val="24"/>
        </w:rPr>
        <w:t>Alnus jorullensis </w:t>
      </w:r>
      <w:r>
        <w:rPr>
          <w:sz w:val="24"/>
        </w:rPr>
        <w:t>H.B.K. ssp </w:t>
      </w:r>
      <w:r>
        <w:rPr>
          <w:i/>
          <w:sz w:val="24"/>
        </w:rPr>
        <w:t>jorullensis; Artemisia absinthium </w:t>
      </w:r>
      <w:r>
        <w:rPr>
          <w:sz w:val="24"/>
        </w:rPr>
        <w:t>L.; </w:t>
      </w:r>
      <w:r>
        <w:rPr>
          <w:i/>
          <w:sz w:val="24"/>
        </w:rPr>
        <w:t>Bocconia arbórea </w:t>
      </w:r>
      <w:r>
        <w:rPr>
          <w:sz w:val="24"/>
        </w:rPr>
        <w:t>S. Watson; </w:t>
      </w:r>
      <w:r>
        <w:rPr>
          <w:i/>
          <w:sz w:val="24"/>
        </w:rPr>
        <w:t>Calliandra grandiflora (L’ Hér.) Benth; Carica papaya </w:t>
      </w:r>
      <w:r>
        <w:rPr>
          <w:sz w:val="24"/>
        </w:rPr>
        <w:t>L.; </w:t>
      </w:r>
      <w:r>
        <w:rPr>
          <w:i/>
          <w:sz w:val="24"/>
        </w:rPr>
        <w:t>Citrus aurantium </w:t>
      </w:r>
      <w:r>
        <w:rPr>
          <w:sz w:val="24"/>
        </w:rPr>
        <w:t>L.; </w:t>
      </w:r>
      <w:r>
        <w:rPr>
          <w:i/>
          <w:sz w:val="24"/>
        </w:rPr>
        <w:t>Citrus sinensis </w:t>
      </w:r>
      <w:r>
        <w:rPr>
          <w:sz w:val="24"/>
        </w:rPr>
        <w:t>(L.) Osbeck; </w:t>
      </w:r>
      <w:r>
        <w:rPr>
          <w:i/>
          <w:sz w:val="24"/>
        </w:rPr>
        <w:t>Coffea arabica </w:t>
      </w:r>
      <w:r>
        <w:rPr>
          <w:sz w:val="24"/>
        </w:rPr>
        <w:t>L.; </w:t>
      </w:r>
      <w:r>
        <w:rPr>
          <w:i/>
          <w:sz w:val="24"/>
        </w:rPr>
        <w:t>Clusia salvinii </w:t>
      </w:r>
      <w:r>
        <w:rPr>
          <w:sz w:val="24"/>
        </w:rPr>
        <w:t>Donn. Sm.; </w:t>
      </w:r>
      <w:r>
        <w:rPr>
          <w:i/>
          <w:sz w:val="24"/>
        </w:rPr>
        <w:t>Cymbopogon </w:t>
      </w:r>
      <w:r>
        <w:rPr>
          <w:i/>
          <w:sz w:val="24"/>
        </w:rPr>
        <w:t>citratus </w:t>
      </w:r>
      <w:r>
        <w:rPr>
          <w:sz w:val="24"/>
        </w:rPr>
        <w:t>(DC.) Staff.; </w:t>
      </w:r>
      <w:r>
        <w:rPr>
          <w:i/>
          <w:sz w:val="24"/>
        </w:rPr>
        <w:t>Eriobotrya japonica </w:t>
      </w:r>
      <w:r>
        <w:rPr>
          <w:sz w:val="24"/>
        </w:rPr>
        <w:t>(Thunb. Lindl.); </w:t>
      </w:r>
      <w:r>
        <w:rPr>
          <w:i/>
          <w:sz w:val="24"/>
        </w:rPr>
        <w:t>Euphorbia cotinifolia </w:t>
      </w:r>
      <w:r>
        <w:rPr>
          <w:sz w:val="24"/>
        </w:rPr>
        <w:t>L.,; </w:t>
      </w:r>
      <w:r>
        <w:rPr>
          <w:i/>
          <w:sz w:val="24"/>
        </w:rPr>
        <w:t>Euphorbia pulcherrima </w:t>
      </w:r>
      <w:r>
        <w:rPr>
          <w:sz w:val="24"/>
        </w:rPr>
        <w:t>Willd. ex Klotzsch; </w:t>
      </w:r>
      <w:r>
        <w:rPr>
          <w:i/>
          <w:sz w:val="24"/>
        </w:rPr>
        <w:t>Foeniculum vulgare </w:t>
      </w:r>
      <w:r>
        <w:rPr>
          <w:sz w:val="24"/>
        </w:rPr>
        <w:t>Mill.; </w:t>
      </w:r>
      <w:r>
        <w:rPr>
          <w:i/>
          <w:sz w:val="24"/>
        </w:rPr>
        <w:t>Fraxinus uhdei </w:t>
      </w:r>
      <w:r>
        <w:rPr>
          <w:sz w:val="24"/>
        </w:rPr>
        <w:t>(Wenz.) Lingelsh; </w:t>
      </w:r>
      <w:r>
        <w:rPr>
          <w:i/>
          <w:sz w:val="24"/>
        </w:rPr>
        <w:t>Galphimia glauca </w:t>
      </w:r>
      <w:r>
        <w:rPr>
          <w:sz w:val="24"/>
        </w:rPr>
        <w:t>Cav.; </w:t>
      </w:r>
      <w:r>
        <w:rPr>
          <w:i/>
          <w:sz w:val="24"/>
        </w:rPr>
        <w:t>Mangifera indica </w:t>
      </w:r>
      <w:r>
        <w:rPr>
          <w:sz w:val="24"/>
        </w:rPr>
        <w:t>L.; </w:t>
      </w:r>
      <w:r>
        <w:rPr>
          <w:i/>
          <w:sz w:val="24"/>
        </w:rPr>
        <w:t>Melissa Officinalis </w:t>
      </w:r>
      <w:r>
        <w:rPr>
          <w:sz w:val="24"/>
        </w:rPr>
        <w:t>L.; </w:t>
      </w:r>
      <w:r>
        <w:rPr>
          <w:i/>
          <w:sz w:val="24"/>
        </w:rPr>
        <w:t>Mentha arvensis </w:t>
      </w:r>
      <w:r>
        <w:rPr>
          <w:sz w:val="24"/>
        </w:rPr>
        <w:t>L.; </w:t>
      </w:r>
      <w:r>
        <w:rPr>
          <w:i/>
          <w:sz w:val="24"/>
        </w:rPr>
        <w:t>Mimosa albida </w:t>
      </w:r>
      <w:r>
        <w:rPr>
          <w:sz w:val="24"/>
        </w:rPr>
        <w:t>var. albida Humb &amp; Bonpl. ex Willd.; </w:t>
      </w:r>
      <w:r>
        <w:rPr>
          <w:i/>
          <w:sz w:val="24"/>
        </w:rPr>
        <w:t>Ocimum </w:t>
      </w:r>
      <w:r>
        <w:rPr>
          <w:i/>
          <w:sz w:val="24"/>
        </w:rPr>
        <w:t>basilicum </w:t>
      </w:r>
      <w:r>
        <w:rPr>
          <w:sz w:val="24"/>
        </w:rPr>
        <w:t>L.; </w:t>
      </w:r>
      <w:r>
        <w:rPr>
          <w:i/>
          <w:sz w:val="24"/>
        </w:rPr>
        <w:t>Origanum majorana </w:t>
      </w:r>
      <w:r>
        <w:rPr>
          <w:sz w:val="24"/>
        </w:rPr>
        <w:t>L.; </w:t>
      </w:r>
      <w:r>
        <w:rPr>
          <w:i/>
          <w:sz w:val="24"/>
        </w:rPr>
        <w:t>Persea americana </w:t>
      </w:r>
      <w:r>
        <w:rPr>
          <w:sz w:val="24"/>
        </w:rPr>
        <w:t>Mill.; </w:t>
      </w:r>
      <w:r>
        <w:rPr>
          <w:i/>
          <w:sz w:val="24"/>
        </w:rPr>
        <w:t>Physalis Philadelphica </w:t>
      </w:r>
      <w:r>
        <w:rPr>
          <w:sz w:val="24"/>
        </w:rPr>
        <w:t>Lam.; </w:t>
      </w:r>
      <w:r>
        <w:rPr>
          <w:i/>
          <w:sz w:val="24"/>
        </w:rPr>
        <w:t>Psidium guajava </w:t>
      </w:r>
      <w:r>
        <w:rPr>
          <w:sz w:val="24"/>
        </w:rPr>
        <w:t>L.; </w:t>
      </w:r>
      <w:r>
        <w:rPr>
          <w:i/>
          <w:sz w:val="24"/>
        </w:rPr>
        <w:t>Randia monantha </w:t>
      </w:r>
      <w:r>
        <w:rPr>
          <w:sz w:val="24"/>
        </w:rPr>
        <w:t>Benth; </w:t>
      </w:r>
      <w:r>
        <w:rPr>
          <w:i/>
          <w:sz w:val="24"/>
        </w:rPr>
        <w:t>Ricinus communis </w:t>
      </w:r>
      <w:r>
        <w:rPr>
          <w:sz w:val="24"/>
        </w:rPr>
        <w:t>L.; </w:t>
      </w:r>
      <w:r>
        <w:rPr>
          <w:i/>
          <w:sz w:val="24"/>
        </w:rPr>
        <w:t>Rosmarinus </w:t>
      </w:r>
      <w:r>
        <w:rPr>
          <w:i/>
          <w:sz w:val="24"/>
        </w:rPr>
        <w:t>officinalis </w:t>
      </w:r>
      <w:r>
        <w:rPr>
          <w:sz w:val="24"/>
        </w:rPr>
        <w:t>L.; </w:t>
      </w:r>
      <w:r>
        <w:rPr>
          <w:i/>
          <w:sz w:val="24"/>
        </w:rPr>
        <w:t>Ruta chalepensis </w:t>
      </w:r>
      <w:r>
        <w:rPr>
          <w:sz w:val="24"/>
        </w:rPr>
        <w:t>L.; </w:t>
      </w:r>
      <w:r>
        <w:rPr>
          <w:i/>
          <w:sz w:val="24"/>
        </w:rPr>
        <w:t>Salvia elegans </w:t>
      </w:r>
      <w:r>
        <w:rPr>
          <w:sz w:val="24"/>
        </w:rPr>
        <w:t>Vahl; </w:t>
      </w:r>
      <w:r>
        <w:rPr>
          <w:i/>
          <w:sz w:val="24"/>
        </w:rPr>
        <w:t>Sambucus nigra </w:t>
      </w:r>
      <w:r>
        <w:rPr>
          <w:sz w:val="24"/>
        </w:rPr>
        <w:t>L. subsp. </w:t>
      </w:r>
      <w:r>
        <w:rPr>
          <w:i/>
          <w:sz w:val="24"/>
        </w:rPr>
        <w:t>canadensis </w:t>
      </w:r>
      <w:r>
        <w:rPr>
          <w:sz w:val="24"/>
        </w:rPr>
        <w:t>(L.) Bolli; </w:t>
      </w:r>
      <w:r>
        <w:rPr>
          <w:i/>
          <w:sz w:val="24"/>
        </w:rPr>
        <w:t>Spondias mombin </w:t>
      </w:r>
      <w:r>
        <w:rPr>
          <w:sz w:val="24"/>
        </w:rPr>
        <w:t>L.; </w:t>
      </w:r>
      <w:r>
        <w:rPr>
          <w:i/>
          <w:sz w:val="24"/>
        </w:rPr>
        <w:t>Tagetes lunulata </w:t>
      </w:r>
      <w:r>
        <w:rPr>
          <w:sz w:val="24"/>
        </w:rPr>
        <w:t>Ortega; </w:t>
      </w:r>
      <w:r>
        <w:rPr>
          <w:i/>
          <w:sz w:val="24"/>
        </w:rPr>
        <w:t>Taxodium </w:t>
      </w:r>
      <w:r>
        <w:rPr>
          <w:i/>
          <w:sz w:val="24"/>
        </w:rPr>
        <w:t>mucronatum </w:t>
      </w:r>
      <w:r>
        <w:rPr>
          <w:sz w:val="24"/>
        </w:rPr>
        <w:t>Ten. y </w:t>
      </w:r>
      <w:r>
        <w:rPr>
          <w:i/>
          <w:sz w:val="24"/>
        </w:rPr>
        <w:t>Tigridia pavonia </w:t>
      </w:r>
      <w:r>
        <w:rPr>
          <w:sz w:val="24"/>
        </w:rPr>
        <w:t>(L. f.).</w:t>
      </w:r>
    </w:p>
    <w:p>
      <w:pPr>
        <w:pStyle w:val="BodyText"/>
      </w:pPr>
    </w:p>
    <w:p>
      <w:pPr>
        <w:spacing w:line="360" w:lineRule="auto" w:before="140"/>
        <w:ind w:left="116" w:right="115" w:firstLine="0"/>
        <w:jc w:val="both"/>
        <w:rPr>
          <w:i/>
          <w:sz w:val="24"/>
        </w:rPr>
      </w:pPr>
      <w:r>
        <w:rPr>
          <w:sz w:val="24"/>
        </w:rPr>
        <w:t>Las plantas con uso alimenticio son: </w:t>
      </w:r>
      <w:r>
        <w:rPr>
          <w:i/>
          <w:sz w:val="24"/>
        </w:rPr>
        <w:t>Amicia zygomeris </w:t>
      </w:r>
      <w:r>
        <w:rPr>
          <w:sz w:val="24"/>
        </w:rPr>
        <w:t>DC.; </w:t>
      </w:r>
      <w:r>
        <w:rPr>
          <w:i/>
          <w:sz w:val="24"/>
        </w:rPr>
        <w:t>Ardisia compressa </w:t>
      </w:r>
      <w:r>
        <w:rPr>
          <w:sz w:val="24"/>
        </w:rPr>
        <w:t>Kunth; </w:t>
      </w:r>
      <w:r>
        <w:rPr>
          <w:i/>
          <w:sz w:val="24"/>
        </w:rPr>
        <w:t>Byrsonima crassifolia </w:t>
      </w:r>
      <w:r>
        <w:rPr>
          <w:sz w:val="24"/>
        </w:rPr>
        <w:t>(L.) Kunth; </w:t>
      </w:r>
      <w:r>
        <w:rPr>
          <w:i/>
          <w:sz w:val="24"/>
        </w:rPr>
        <w:t>Capsicum pubescens </w:t>
      </w:r>
      <w:r>
        <w:rPr>
          <w:sz w:val="24"/>
        </w:rPr>
        <w:t>Ruiz &amp; Pav.; </w:t>
      </w:r>
      <w:r>
        <w:rPr>
          <w:i/>
          <w:sz w:val="24"/>
        </w:rPr>
        <w:t>Carica papaya </w:t>
      </w:r>
      <w:r>
        <w:rPr>
          <w:sz w:val="24"/>
        </w:rPr>
        <w:t>L.; </w:t>
      </w:r>
      <w:r>
        <w:rPr>
          <w:i/>
          <w:sz w:val="24"/>
        </w:rPr>
        <w:t>Citrus sinensis </w:t>
      </w:r>
      <w:r>
        <w:rPr>
          <w:sz w:val="24"/>
        </w:rPr>
        <w:t>(L.) Osbeck; </w:t>
      </w:r>
      <w:r>
        <w:rPr>
          <w:i/>
          <w:sz w:val="24"/>
        </w:rPr>
        <w:t>Citrus aurantium </w:t>
      </w:r>
      <w:r>
        <w:rPr>
          <w:sz w:val="24"/>
        </w:rPr>
        <w:t>L.; </w:t>
      </w:r>
      <w:r>
        <w:rPr>
          <w:i/>
          <w:sz w:val="24"/>
        </w:rPr>
        <w:t>Hibiscus sabdariffa </w:t>
      </w:r>
      <w:r>
        <w:rPr>
          <w:sz w:val="24"/>
        </w:rPr>
        <w:t>L.; </w:t>
      </w:r>
      <w:r>
        <w:rPr>
          <w:i/>
          <w:sz w:val="24"/>
        </w:rPr>
        <w:t>Inga hintonii</w:t>
      </w:r>
    </w:p>
    <w:p>
      <w:pPr>
        <w:spacing w:after="0" w:line="360" w:lineRule="auto"/>
        <w:jc w:val="both"/>
        <w:rPr>
          <w:sz w:val="24"/>
        </w:rPr>
        <w:sectPr>
          <w:headerReference w:type="default" r:id="rId65"/>
          <w:footerReference w:type="default" r:id="rId66"/>
          <w:pgSz w:w="12240" w:h="15840"/>
          <w:pgMar w:header="685" w:footer="1146" w:top="880" w:bottom="1340" w:left="1300" w:right="1300"/>
          <w:pgNumType w:start="87"/>
        </w:sectPr>
      </w:pPr>
    </w:p>
    <w:p>
      <w:pPr>
        <w:pStyle w:val="BodyText"/>
        <w:rPr>
          <w:i/>
          <w:sz w:val="20"/>
        </w:rPr>
      </w:pPr>
    </w:p>
    <w:p>
      <w:pPr>
        <w:pStyle w:val="BodyText"/>
        <w:spacing w:before="9"/>
        <w:rPr>
          <w:i/>
          <w:sz w:val="19"/>
        </w:rPr>
      </w:pPr>
    </w:p>
    <w:p>
      <w:pPr>
        <w:spacing w:line="362" w:lineRule="auto" w:before="69"/>
        <w:ind w:left="116" w:right="110" w:firstLine="0"/>
        <w:jc w:val="both"/>
        <w:rPr>
          <w:sz w:val="24"/>
        </w:rPr>
      </w:pPr>
      <w:r>
        <w:rPr>
          <w:sz w:val="24"/>
        </w:rPr>
        <w:t>Sandwith; </w:t>
      </w:r>
      <w:r>
        <w:rPr>
          <w:i/>
          <w:sz w:val="24"/>
        </w:rPr>
        <w:t>Macadamia sp.; Mangifera indica </w:t>
      </w:r>
      <w:r>
        <w:rPr>
          <w:sz w:val="24"/>
        </w:rPr>
        <w:t>L.; </w:t>
      </w:r>
      <w:r>
        <w:rPr>
          <w:i/>
          <w:sz w:val="24"/>
        </w:rPr>
        <w:t>Morus nigra </w:t>
      </w:r>
      <w:r>
        <w:rPr>
          <w:sz w:val="24"/>
        </w:rPr>
        <w:t>L.; </w:t>
      </w:r>
      <w:r>
        <w:rPr>
          <w:i/>
          <w:sz w:val="24"/>
        </w:rPr>
        <w:t>Persea americana </w:t>
      </w:r>
      <w:r>
        <w:rPr>
          <w:sz w:val="24"/>
        </w:rPr>
        <w:t>Mill.; </w:t>
      </w:r>
      <w:r>
        <w:rPr>
          <w:i/>
          <w:sz w:val="24"/>
        </w:rPr>
        <w:t>Physalis Philadelphica </w:t>
      </w:r>
      <w:r>
        <w:rPr>
          <w:sz w:val="24"/>
        </w:rPr>
        <w:t>Lam.; </w:t>
      </w:r>
      <w:r>
        <w:rPr>
          <w:i/>
          <w:sz w:val="24"/>
        </w:rPr>
        <w:t>Psidium guajava </w:t>
      </w:r>
      <w:r>
        <w:rPr>
          <w:sz w:val="24"/>
        </w:rPr>
        <w:t>L.; </w:t>
      </w:r>
      <w:r>
        <w:rPr>
          <w:i/>
          <w:sz w:val="24"/>
        </w:rPr>
        <w:t>Rosmarinus officinalis </w:t>
      </w:r>
      <w:r>
        <w:rPr>
          <w:sz w:val="24"/>
        </w:rPr>
        <w:t>L.; </w:t>
      </w:r>
      <w:r>
        <w:rPr>
          <w:i/>
          <w:sz w:val="24"/>
        </w:rPr>
        <w:t>Spondias </w:t>
      </w:r>
      <w:r>
        <w:rPr>
          <w:i/>
          <w:sz w:val="24"/>
        </w:rPr>
        <w:t>mombin </w:t>
      </w:r>
      <w:r>
        <w:rPr>
          <w:sz w:val="24"/>
        </w:rPr>
        <w:t>L. y </w:t>
      </w:r>
      <w:r>
        <w:rPr>
          <w:i/>
          <w:sz w:val="24"/>
        </w:rPr>
        <w:t>Solanum aphyodendron </w:t>
      </w:r>
      <w:r>
        <w:rPr>
          <w:sz w:val="24"/>
        </w:rPr>
        <w:t>S. Knapp.</w:t>
      </w:r>
    </w:p>
    <w:p>
      <w:pPr>
        <w:pStyle w:val="BodyText"/>
        <w:spacing w:before="10"/>
        <w:rPr>
          <w:sz w:val="35"/>
        </w:rPr>
      </w:pPr>
    </w:p>
    <w:p>
      <w:pPr>
        <w:spacing w:line="360" w:lineRule="auto" w:before="0"/>
        <w:ind w:left="116" w:right="114" w:firstLine="0"/>
        <w:jc w:val="both"/>
        <w:rPr>
          <w:i/>
          <w:sz w:val="24"/>
        </w:rPr>
      </w:pPr>
      <w:r>
        <w:rPr>
          <w:sz w:val="24"/>
        </w:rPr>
        <w:t>Las plantas con uso ornamental son: </w:t>
      </w:r>
      <w:r>
        <w:rPr>
          <w:i/>
          <w:sz w:val="24"/>
        </w:rPr>
        <w:t>Agapanthus africanus </w:t>
      </w:r>
      <w:r>
        <w:rPr>
          <w:sz w:val="24"/>
        </w:rPr>
        <w:t>(L.) Hoffmanns</w:t>
      </w:r>
      <w:r>
        <w:rPr>
          <w:i/>
          <w:sz w:val="24"/>
        </w:rPr>
        <w:t>; Asclepias </w:t>
      </w:r>
      <w:r>
        <w:rPr>
          <w:i/>
          <w:sz w:val="24"/>
        </w:rPr>
        <w:t>curassavica </w:t>
      </w:r>
      <w:r>
        <w:rPr>
          <w:sz w:val="24"/>
        </w:rPr>
        <w:t>L.; </w:t>
      </w:r>
      <w:r>
        <w:rPr>
          <w:i/>
          <w:sz w:val="24"/>
        </w:rPr>
        <w:t>Cnidoscolus chayamansa </w:t>
      </w:r>
      <w:r>
        <w:rPr>
          <w:sz w:val="24"/>
        </w:rPr>
        <w:t>McVaugh; </w:t>
      </w:r>
      <w:r>
        <w:rPr>
          <w:i/>
          <w:sz w:val="24"/>
        </w:rPr>
        <w:t>Euphorbia cotinifolia </w:t>
      </w:r>
      <w:r>
        <w:rPr>
          <w:sz w:val="24"/>
        </w:rPr>
        <w:t>L.; </w:t>
      </w:r>
      <w:r>
        <w:rPr>
          <w:i/>
          <w:sz w:val="24"/>
        </w:rPr>
        <w:t>Euphorbia </w:t>
      </w:r>
      <w:r>
        <w:rPr>
          <w:i/>
          <w:sz w:val="24"/>
        </w:rPr>
        <w:t>pulcherrima </w:t>
      </w:r>
      <w:r>
        <w:rPr>
          <w:sz w:val="24"/>
        </w:rPr>
        <w:t>Willd. ex Klotzsch; </w:t>
      </w:r>
      <w:r>
        <w:rPr>
          <w:i/>
          <w:sz w:val="24"/>
        </w:rPr>
        <w:t>Eriobotrya japonica </w:t>
      </w:r>
      <w:r>
        <w:rPr>
          <w:sz w:val="24"/>
        </w:rPr>
        <w:t>(Thunb. Lindl.); </w:t>
      </w:r>
      <w:r>
        <w:rPr>
          <w:i/>
          <w:sz w:val="24"/>
        </w:rPr>
        <w:t>Fraxinus uhdei </w:t>
      </w:r>
      <w:r>
        <w:rPr>
          <w:sz w:val="24"/>
        </w:rPr>
        <w:t>(Wenz.) Lingelsh; </w:t>
      </w:r>
      <w:r>
        <w:rPr>
          <w:i/>
          <w:sz w:val="24"/>
        </w:rPr>
        <w:t>Hibiscus sp.; Kalanchoe blossfeldiana </w:t>
      </w:r>
      <w:r>
        <w:rPr>
          <w:sz w:val="24"/>
        </w:rPr>
        <w:t>Poelln.; </w:t>
      </w:r>
      <w:r>
        <w:rPr>
          <w:i/>
          <w:sz w:val="24"/>
        </w:rPr>
        <w:t>Kalanchoe pinnata </w:t>
      </w:r>
      <w:r>
        <w:rPr>
          <w:sz w:val="24"/>
        </w:rPr>
        <w:t>(Lam.) Pers; </w:t>
      </w:r>
      <w:r>
        <w:rPr>
          <w:i/>
          <w:sz w:val="24"/>
        </w:rPr>
        <w:t>Juniperus flaccida </w:t>
      </w:r>
      <w:r>
        <w:rPr>
          <w:sz w:val="24"/>
        </w:rPr>
        <w:t>Schltdl y </w:t>
      </w:r>
      <w:r>
        <w:rPr>
          <w:i/>
          <w:sz w:val="24"/>
        </w:rPr>
        <w:t>Malvaviscus arboreus Cav.</w:t>
      </w:r>
    </w:p>
    <w:p>
      <w:pPr>
        <w:pStyle w:val="BodyText"/>
        <w:rPr>
          <w:i/>
        </w:rPr>
      </w:pPr>
    </w:p>
    <w:p>
      <w:pPr>
        <w:pStyle w:val="BodyText"/>
        <w:spacing w:before="8"/>
        <w:rPr>
          <w:i/>
        </w:rPr>
      </w:pPr>
    </w:p>
    <w:p>
      <w:pPr>
        <w:spacing w:line="480" w:lineRule="auto" w:before="0"/>
        <w:ind w:left="116" w:right="113" w:firstLine="0"/>
        <w:jc w:val="both"/>
        <w:rPr>
          <w:sz w:val="24"/>
        </w:rPr>
      </w:pPr>
      <w:r>
        <w:rPr>
          <w:sz w:val="24"/>
        </w:rPr>
        <w:t>Las especies utilizadas como leña son: </w:t>
      </w:r>
      <w:r>
        <w:rPr>
          <w:i/>
          <w:sz w:val="24"/>
        </w:rPr>
        <w:t>Acaciella angustissima var. angustissima </w:t>
      </w:r>
      <w:r>
        <w:rPr>
          <w:sz w:val="24"/>
        </w:rPr>
        <w:t>(Mill.) Britton &amp; Rose; </w:t>
      </w:r>
      <w:r>
        <w:rPr>
          <w:i/>
          <w:sz w:val="24"/>
        </w:rPr>
        <w:t>Alnus jorullensis </w:t>
      </w:r>
      <w:r>
        <w:rPr>
          <w:sz w:val="24"/>
        </w:rPr>
        <w:t>H.B.K. ssp </w:t>
      </w:r>
      <w:r>
        <w:rPr>
          <w:i/>
          <w:sz w:val="24"/>
        </w:rPr>
        <w:t>jorullensis</w:t>
      </w:r>
      <w:r>
        <w:rPr>
          <w:sz w:val="24"/>
        </w:rPr>
        <w:t>; </w:t>
      </w:r>
      <w:r>
        <w:rPr>
          <w:i/>
          <w:sz w:val="24"/>
        </w:rPr>
        <w:t>Clethra sp.; Cupressus lusitanica </w:t>
      </w:r>
      <w:r>
        <w:rPr>
          <w:sz w:val="24"/>
        </w:rPr>
        <w:t>Mill.; </w:t>
      </w:r>
      <w:r>
        <w:rPr>
          <w:i/>
          <w:sz w:val="24"/>
        </w:rPr>
        <w:t>Eugenia Oerstediana </w:t>
      </w:r>
      <w:r>
        <w:rPr>
          <w:sz w:val="24"/>
        </w:rPr>
        <w:t>O. Berg.; </w:t>
      </w:r>
      <w:r>
        <w:rPr>
          <w:i/>
          <w:sz w:val="24"/>
        </w:rPr>
        <w:t>Inga hintonii </w:t>
      </w:r>
      <w:r>
        <w:rPr>
          <w:sz w:val="24"/>
        </w:rPr>
        <w:t>Sandwith; </w:t>
      </w:r>
      <w:r>
        <w:rPr>
          <w:i/>
          <w:sz w:val="24"/>
        </w:rPr>
        <w:t>Ocotea bourgeauviana </w:t>
      </w:r>
      <w:r>
        <w:rPr>
          <w:sz w:val="24"/>
        </w:rPr>
        <w:t>(Mez) van der Werff; </w:t>
      </w:r>
      <w:r>
        <w:rPr>
          <w:i/>
          <w:sz w:val="24"/>
        </w:rPr>
        <w:t>Phoebe pachypoda </w:t>
      </w:r>
      <w:r>
        <w:rPr>
          <w:sz w:val="24"/>
        </w:rPr>
        <w:t>(Nees) Mez; </w:t>
      </w:r>
      <w:r>
        <w:rPr>
          <w:i/>
          <w:sz w:val="24"/>
        </w:rPr>
        <w:t>Quercus scytophylla </w:t>
      </w:r>
      <w:r>
        <w:rPr>
          <w:sz w:val="24"/>
        </w:rPr>
        <w:t>Liebm; </w:t>
      </w:r>
      <w:r>
        <w:rPr>
          <w:i/>
          <w:sz w:val="24"/>
        </w:rPr>
        <w:t>Quercus sp.; Quercus peduncularis </w:t>
      </w:r>
      <w:r>
        <w:rPr>
          <w:sz w:val="24"/>
        </w:rPr>
        <w:t>Née; </w:t>
      </w:r>
      <w:r>
        <w:rPr>
          <w:i/>
          <w:sz w:val="24"/>
        </w:rPr>
        <w:t>Salix bonplandiana </w:t>
      </w:r>
      <w:r>
        <w:rPr>
          <w:sz w:val="24"/>
        </w:rPr>
        <w:t>Kunth y </w:t>
      </w:r>
      <w:r>
        <w:rPr>
          <w:i/>
          <w:sz w:val="24"/>
        </w:rPr>
        <w:t>Trema micrantha </w:t>
      </w:r>
      <w:r>
        <w:rPr>
          <w:sz w:val="24"/>
        </w:rPr>
        <w:t>(L.) Blume.</w:t>
      </w:r>
    </w:p>
    <w:p>
      <w:pPr>
        <w:pStyle w:val="BodyText"/>
      </w:pPr>
    </w:p>
    <w:p>
      <w:pPr>
        <w:pStyle w:val="BodyText"/>
        <w:spacing w:before="7"/>
      </w:pPr>
    </w:p>
    <w:p>
      <w:pPr>
        <w:spacing w:line="480" w:lineRule="auto" w:before="1"/>
        <w:ind w:left="116" w:right="112" w:firstLine="0"/>
        <w:jc w:val="both"/>
        <w:rPr>
          <w:sz w:val="24"/>
        </w:rPr>
      </w:pPr>
      <w:r>
        <w:rPr>
          <w:sz w:val="24"/>
        </w:rPr>
        <w:t>Las especies que no reportaron ningún uso entre las personas entrevistadas son: </w:t>
      </w:r>
      <w:r>
        <w:rPr>
          <w:i/>
          <w:sz w:val="24"/>
        </w:rPr>
        <w:t>Aeschynomene petraea </w:t>
      </w:r>
      <w:r>
        <w:rPr>
          <w:sz w:val="24"/>
        </w:rPr>
        <w:t>B.L. Rob.; </w:t>
      </w:r>
      <w:r>
        <w:rPr>
          <w:i/>
          <w:sz w:val="24"/>
        </w:rPr>
        <w:t>Ageratina grandifolia </w:t>
      </w:r>
      <w:r>
        <w:rPr>
          <w:sz w:val="24"/>
        </w:rPr>
        <w:t>(Regel) R. M. King &amp; H. Rob; </w:t>
      </w:r>
      <w:r>
        <w:rPr>
          <w:i/>
          <w:sz w:val="24"/>
        </w:rPr>
        <w:t>Cleome speciosa </w:t>
      </w:r>
      <w:r>
        <w:rPr>
          <w:sz w:val="24"/>
        </w:rPr>
        <w:t>Raf.; </w:t>
      </w:r>
      <w:r>
        <w:rPr>
          <w:i/>
          <w:sz w:val="24"/>
        </w:rPr>
        <w:t>Begonia sp.</w:t>
      </w:r>
      <w:r>
        <w:rPr>
          <w:sz w:val="24"/>
        </w:rPr>
        <w:t>; </w:t>
      </w:r>
      <w:r>
        <w:rPr>
          <w:i/>
          <w:sz w:val="24"/>
        </w:rPr>
        <w:t>Critoniopsis salicifolia </w:t>
      </w:r>
      <w:r>
        <w:rPr>
          <w:sz w:val="24"/>
        </w:rPr>
        <w:t>(DC.) H. Rob.; </w:t>
      </w:r>
      <w:r>
        <w:rPr>
          <w:i/>
          <w:sz w:val="24"/>
        </w:rPr>
        <w:t>Dicliptera </w:t>
      </w:r>
      <w:r>
        <w:rPr>
          <w:i/>
          <w:sz w:val="24"/>
        </w:rPr>
        <w:t>inaequalis </w:t>
      </w:r>
      <w:r>
        <w:rPr>
          <w:sz w:val="24"/>
        </w:rPr>
        <w:t>Greenm.; </w:t>
      </w:r>
      <w:r>
        <w:rPr>
          <w:i/>
          <w:sz w:val="24"/>
        </w:rPr>
        <w:t>Euonymus corymbosus </w:t>
      </w:r>
      <w:r>
        <w:rPr>
          <w:sz w:val="24"/>
        </w:rPr>
        <w:t>Sprague &amp; Bullock; </w:t>
      </w:r>
      <w:r>
        <w:rPr>
          <w:i/>
          <w:sz w:val="24"/>
        </w:rPr>
        <w:t>Lasianthaea </w:t>
      </w:r>
      <w:r>
        <w:rPr>
          <w:i/>
          <w:sz w:val="24"/>
        </w:rPr>
        <w:t>ceanothifolia </w:t>
      </w:r>
      <w:r>
        <w:rPr>
          <w:sz w:val="24"/>
        </w:rPr>
        <w:t>(Willd.) K.; </w:t>
      </w:r>
      <w:r>
        <w:rPr>
          <w:i/>
          <w:sz w:val="24"/>
        </w:rPr>
        <w:t>Lippia umbellata </w:t>
      </w:r>
      <w:r>
        <w:rPr>
          <w:sz w:val="24"/>
        </w:rPr>
        <w:t>Cav.; </w:t>
      </w:r>
      <w:r>
        <w:rPr>
          <w:i/>
          <w:sz w:val="24"/>
        </w:rPr>
        <w:t>Myrsine myricoides </w:t>
      </w:r>
      <w:r>
        <w:rPr>
          <w:sz w:val="24"/>
        </w:rPr>
        <w:t>Schltdl; </w:t>
      </w:r>
      <w:r>
        <w:rPr>
          <w:i/>
          <w:sz w:val="24"/>
        </w:rPr>
        <w:t>Paullinia </w:t>
      </w:r>
      <w:r>
        <w:rPr>
          <w:i/>
          <w:sz w:val="24"/>
        </w:rPr>
        <w:t>fuscescens </w:t>
      </w:r>
      <w:r>
        <w:rPr>
          <w:sz w:val="24"/>
        </w:rPr>
        <w:t>Kunth; </w:t>
      </w:r>
      <w:r>
        <w:rPr>
          <w:i/>
          <w:sz w:val="24"/>
        </w:rPr>
        <w:t>Photinia microcarpa </w:t>
      </w:r>
      <w:r>
        <w:rPr>
          <w:sz w:val="24"/>
        </w:rPr>
        <w:t>Standl. ssp. </w:t>
      </w:r>
      <w:r>
        <w:rPr>
          <w:i/>
          <w:sz w:val="24"/>
        </w:rPr>
        <w:t>hintonii </w:t>
      </w:r>
      <w:r>
        <w:rPr>
          <w:sz w:val="24"/>
        </w:rPr>
        <w:t>Phipss </w:t>
      </w:r>
      <w:r>
        <w:rPr>
          <w:i/>
          <w:sz w:val="24"/>
        </w:rPr>
        <w:t>var. hitonii</w:t>
      </w:r>
      <w:r>
        <w:rPr>
          <w:sz w:val="24"/>
        </w:rPr>
        <w:t>;  </w:t>
      </w:r>
      <w:r>
        <w:rPr>
          <w:i/>
          <w:sz w:val="24"/>
        </w:rPr>
        <w:t>Rhamnus hintonii </w:t>
      </w:r>
      <w:r>
        <w:rPr>
          <w:sz w:val="24"/>
        </w:rPr>
        <w:t>M. C. Johnst. &amp; L. A. Johnst.; </w:t>
      </w:r>
      <w:r>
        <w:rPr>
          <w:i/>
          <w:sz w:val="24"/>
        </w:rPr>
        <w:t>Schoepfia pringlei </w:t>
      </w:r>
      <w:r>
        <w:rPr>
          <w:sz w:val="24"/>
        </w:rPr>
        <w:t>B. L. Rob; </w:t>
      </w:r>
      <w:r>
        <w:rPr>
          <w:i/>
          <w:sz w:val="24"/>
        </w:rPr>
        <w:t>Tagetes </w:t>
      </w:r>
      <w:r>
        <w:rPr>
          <w:i/>
          <w:sz w:val="24"/>
        </w:rPr>
        <w:t>lunulata </w:t>
      </w:r>
      <w:r>
        <w:rPr>
          <w:sz w:val="24"/>
        </w:rPr>
        <w:t>Ortega; </w:t>
      </w:r>
      <w:r>
        <w:rPr>
          <w:i/>
          <w:sz w:val="24"/>
        </w:rPr>
        <w:t>Trichilia havanensis </w:t>
      </w:r>
      <w:r>
        <w:rPr>
          <w:sz w:val="24"/>
        </w:rPr>
        <w:t>Jacq.; </w:t>
      </w:r>
      <w:r>
        <w:rPr>
          <w:i/>
          <w:sz w:val="24"/>
        </w:rPr>
        <w:t>Verbesina fastigiata </w:t>
      </w:r>
      <w:r>
        <w:rPr>
          <w:sz w:val="24"/>
        </w:rPr>
        <w:t>B.L. Rob &amp; Greenm.  </w:t>
      </w:r>
      <w:r>
        <w:rPr>
          <w:spacing w:val="59"/>
          <w:sz w:val="24"/>
        </w:rPr>
        <w:t> </w:t>
      </w:r>
      <w:r>
        <w:rPr>
          <w:sz w:val="24"/>
        </w:rPr>
        <w:t>y</w:t>
      </w:r>
    </w:p>
    <w:p>
      <w:pPr>
        <w:spacing w:before="8"/>
        <w:ind w:left="116" w:right="0" w:firstLine="0"/>
        <w:jc w:val="both"/>
        <w:rPr>
          <w:sz w:val="24"/>
        </w:rPr>
      </w:pPr>
      <w:r>
        <w:rPr>
          <w:i/>
          <w:sz w:val="24"/>
        </w:rPr>
        <w:t>Xylosma flexuosum </w:t>
      </w:r>
      <w:r>
        <w:rPr>
          <w:sz w:val="24"/>
        </w:rPr>
        <w:t>(H. B. K.) Hemsl.</w:t>
      </w:r>
    </w:p>
    <w:p>
      <w:pPr>
        <w:spacing w:after="0"/>
        <w:jc w:val="both"/>
        <w:rPr>
          <w:sz w:val="24"/>
        </w:rPr>
        <w:sectPr>
          <w:pgSz w:w="12240" w:h="15840"/>
          <w:pgMar w:header="685" w:footer="1146" w:top="880" w:bottom="1340" w:left="1300" w:right="1300"/>
        </w:sectPr>
      </w:pPr>
    </w:p>
    <w:p>
      <w:pPr>
        <w:pStyle w:val="BodyText"/>
        <w:rPr>
          <w:sz w:val="20"/>
        </w:rPr>
      </w:pPr>
    </w:p>
    <w:p>
      <w:pPr>
        <w:pStyle w:val="BodyText"/>
        <w:spacing w:before="9"/>
        <w:rPr>
          <w:sz w:val="19"/>
        </w:rPr>
      </w:pPr>
    </w:p>
    <w:p>
      <w:pPr>
        <w:spacing w:line="480" w:lineRule="auto" w:before="69"/>
        <w:ind w:left="116" w:right="109" w:firstLine="0"/>
        <w:jc w:val="both"/>
        <w:rPr>
          <w:sz w:val="24"/>
        </w:rPr>
      </w:pPr>
      <w:r>
        <w:rPr>
          <w:sz w:val="24"/>
        </w:rPr>
        <w:t>Las especies con potencial ornamental son: </w:t>
      </w:r>
      <w:r>
        <w:rPr>
          <w:i/>
          <w:sz w:val="24"/>
        </w:rPr>
        <w:t>Calliandra grandiflora </w:t>
      </w:r>
      <w:r>
        <w:rPr>
          <w:sz w:val="24"/>
        </w:rPr>
        <w:t>(L’ Hér.) Benth; </w:t>
      </w:r>
      <w:r>
        <w:rPr>
          <w:i/>
          <w:sz w:val="24"/>
        </w:rPr>
        <w:t>Cleome speciosa </w:t>
      </w:r>
      <w:r>
        <w:rPr>
          <w:sz w:val="24"/>
        </w:rPr>
        <w:t>Raf.; </w:t>
      </w:r>
      <w:r>
        <w:rPr>
          <w:i/>
          <w:sz w:val="24"/>
        </w:rPr>
        <w:t>Citrus aurantium </w:t>
      </w:r>
      <w:r>
        <w:rPr>
          <w:sz w:val="24"/>
        </w:rPr>
        <w:t>L.; </w:t>
      </w:r>
      <w:r>
        <w:rPr>
          <w:i/>
          <w:sz w:val="24"/>
        </w:rPr>
        <w:t>Coffea arabica </w:t>
      </w:r>
      <w:r>
        <w:rPr>
          <w:sz w:val="24"/>
        </w:rPr>
        <w:t>L.; </w:t>
      </w:r>
      <w:r>
        <w:rPr>
          <w:i/>
          <w:sz w:val="24"/>
        </w:rPr>
        <w:t>Cupressus lusitanica </w:t>
      </w:r>
      <w:r>
        <w:rPr>
          <w:sz w:val="24"/>
        </w:rPr>
        <w:t>Mill.; </w:t>
      </w:r>
      <w:r>
        <w:rPr>
          <w:i/>
          <w:sz w:val="24"/>
        </w:rPr>
        <w:t>Euphorbia pulcherrima </w:t>
      </w:r>
      <w:r>
        <w:rPr>
          <w:sz w:val="24"/>
        </w:rPr>
        <w:t>Willd. ex Klotzsch; </w:t>
      </w:r>
      <w:r>
        <w:rPr>
          <w:i/>
          <w:sz w:val="24"/>
        </w:rPr>
        <w:t>Macadamia sp.; Mangifera indica </w:t>
      </w:r>
      <w:r>
        <w:rPr>
          <w:sz w:val="24"/>
        </w:rPr>
        <w:t>L.; </w:t>
      </w:r>
      <w:r>
        <w:rPr>
          <w:i/>
          <w:sz w:val="24"/>
        </w:rPr>
        <w:t>Mimosa </w:t>
      </w:r>
      <w:r>
        <w:rPr>
          <w:i/>
          <w:sz w:val="24"/>
        </w:rPr>
        <w:t>albida var. albida </w:t>
      </w:r>
      <w:r>
        <w:rPr>
          <w:sz w:val="24"/>
        </w:rPr>
        <w:t>Humb &amp; Bonpl. ex Willd.; </w:t>
      </w:r>
      <w:r>
        <w:rPr>
          <w:i/>
          <w:sz w:val="24"/>
        </w:rPr>
        <w:t>Morus nigra </w:t>
      </w:r>
      <w:r>
        <w:rPr>
          <w:sz w:val="24"/>
        </w:rPr>
        <w:t>L; </w:t>
      </w:r>
      <w:r>
        <w:rPr>
          <w:i/>
          <w:sz w:val="24"/>
        </w:rPr>
        <w:t>Psidium guajava </w:t>
      </w:r>
      <w:r>
        <w:rPr>
          <w:sz w:val="24"/>
        </w:rPr>
        <w:t>L. y </w:t>
      </w:r>
      <w:r>
        <w:rPr>
          <w:i/>
          <w:sz w:val="24"/>
        </w:rPr>
        <w:t>Sambucus nigra </w:t>
      </w:r>
      <w:r>
        <w:rPr>
          <w:sz w:val="24"/>
        </w:rPr>
        <w:t>L. subsp. </w:t>
      </w:r>
      <w:r>
        <w:rPr>
          <w:i/>
          <w:sz w:val="24"/>
        </w:rPr>
        <w:t>canadensis </w:t>
      </w:r>
      <w:r>
        <w:rPr>
          <w:sz w:val="24"/>
        </w:rPr>
        <w:t>(L.) Bolli.</w:t>
      </w:r>
    </w:p>
    <w:p>
      <w:pPr>
        <w:pStyle w:val="BodyText"/>
      </w:pPr>
    </w:p>
    <w:p>
      <w:pPr>
        <w:pStyle w:val="BodyText"/>
        <w:spacing w:before="7"/>
      </w:pPr>
    </w:p>
    <w:p>
      <w:pPr>
        <w:spacing w:line="480" w:lineRule="auto" w:before="1"/>
        <w:ind w:left="116" w:right="112" w:firstLine="0"/>
        <w:jc w:val="both"/>
        <w:rPr>
          <w:sz w:val="24"/>
        </w:rPr>
      </w:pPr>
      <w:r>
        <w:rPr>
          <w:sz w:val="24"/>
        </w:rPr>
        <w:t>Las especies con potencial medicinal, según la bibliografía consultada son: </w:t>
      </w:r>
      <w:r>
        <w:rPr>
          <w:i/>
          <w:sz w:val="24"/>
        </w:rPr>
        <w:t>Kalanchoe </w:t>
      </w:r>
      <w:r>
        <w:rPr>
          <w:i/>
          <w:sz w:val="24"/>
        </w:rPr>
        <w:t>pinnata </w:t>
      </w:r>
      <w:r>
        <w:rPr>
          <w:sz w:val="24"/>
        </w:rPr>
        <w:t>(Lam.) Pers. y </w:t>
      </w:r>
      <w:r>
        <w:rPr>
          <w:i/>
          <w:sz w:val="24"/>
        </w:rPr>
        <w:t>Cnidoscolus chayamansa </w:t>
      </w:r>
      <w:r>
        <w:rPr>
          <w:sz w:val="24"/>
        </w:rPr>
        <w:t>McVaugh.</w:t>
      </w:r>
    </w:p>
    <w:p>
      <w:pPr>
        <w:pStyle w:val="BodyText"/>
      </w:pPr>
    </w:p>
    <w:p>
      <w:pPr>
        <w:pStyle w:val="BodyText"/>
        <w:spacing w:before="7"/>
      </w:pPr>
    </w:p>
    <w:p>
      <w:pPr>
        <w:pStyle w:val="BodyText"/>
        <w:spacing w:line="360" w:lineRule="auto" w:before="1"/>
        <w:ind w:left="116" w:right="111"/>
        <w:jc w:val="both"/>
      </w:pPr>
      <w:r>
        <w:rPr/>
        <w:t>De acuerdo con algunos autores (Bye, 1979; Davis y Bye, 1982; Alcorn, 1983; Colunga- García Marín, 1984; Williams, 1985 y Casas </w:t>
      </w:r>
      <w:r>
        <w:rPr>
          <w:i/>
        </w:rPr>
        <w:t>et al., </w:t>
      </w:r>
      <w:r>
        <w:rPr/>
        <w:t>1996), es posible reconocer la interacción sociedad - planta, en dos principales formas de manejo: </w:t>
      </w:r>
      <w:r>
        <w:rPr>
          <w:i/>
        </w:rPr>
        <w:t>in situ </w:t>
      </w:r>
      <w:r>
        <w:rPr/>
        <w:t>y </w:t>
      </w:r>
      <w:r>
        <w:rPr>
          <w:i/>
        </w:rPr>
        <w:t>ex situ</w:t>
      </w:r>
      <w:r>
        <w:rPr/>
        <w:t>. La primera se refiere al sitio donde las poblaciones de plantas crecen de forma natural y que el hombre aprovecha, a través de la recolección y la protección de las especies útiles. La segunda, por su parte, incluye interacciones que se llevan a cabo en hábitats creados y controlados por la humanidad. Aunque estas formas de manejo se usan comúnmente con plantas domesticadas, también se aplican a las silvestres y arvenses. En la presente investigación los pobladores adquieren las plantas útiles de las dos maneras y depende de la disponibilidad.</w:t>
      </w:r>
    </w:p>
    <w:p>
      <w:pPr>
        <w:pStyle w:val="BodyText"/>
      </w:pPr>
    </w:p>
    <w:p>
      <w:pPr>
        <w:spacing w:line="360" w:lineRule="auto" w:before="139"/>
        <w:ind w:left="116" w:right="110" w:firstLine="0"/>
        <w:jc w:val="both"/>
        <w:rPr>
          <w:sz w:val="24"/>
        </w:rPr>
      </w:pPr>
      <w:r>
        <w:rPr>
          <w:sz w:val="24"/>
        </w:rPr>
        <w:t>De acuerdo a la revisión bibliográfica se identificaron aquellas especies consideradas tóxicas debido a la presencian de algún o algunos compuestos, son: </w:t>
      </w:r>
      <w:r>
        <w:rPr>
          <w:i/>
          <w:sz w:val="24"/>
        </w:rPr>
        <w:t>Asclepias </w:t>
      </w:r>
      <w:r>
        <w:rPr>
          <w:i/>
          <w:sz w:val="24"/>
        </w:rPr>
        <w:t>curassavica </w:t>
      </w:r>
      <w:r>
        <w:rPr>
          <w:sz w:val="24"/>
        </w:rPr>
        <w:t>L., </w:t>
      </w:r>
      <w:r>
        <w:rPr>
          <w:i/>
          <w:sz w:val="24"/>
        </w:rPr>
        <w:t>Euphorbia cotinifolia </w:t>
      </w:r>
      <w:r>
        <w:rPr>
          <w:sz w:val="24"/>
        </w:rPr>
        <w:t>L., </w:t>
      </w:r>
      <w:r>
        <w:rPr>
          <w:i/>
          <w:sz w:val="24"/>
        </w:rPr>
        <w:t>Euphorbia pulcherrima </w:t>
      </w:r>
      <w:r>
        <w:rPr>
          <w:sz w:val="24"/>
        </w:rPr>
        <w:t>Willd. ex Klotzsch, </w:t>
      </w:r>
      <w:r>
        <w:rPr>
          <w:i/>
          <w:sz w:val="24"/>
        </w:rPr>
        <w:t>Ricinus communis </w:t>
      </w:r>
      <w:r>
        <w:rPr>
          <w:sz w:val="24"/>
        </w:rPr>
        <w:t>L., </w:t>
      </w:r>
      <w:r>
        <w:rPr>
          <w:i/>
          <w:sz w:val="24"/>
        </w:rPr>
        <w:t>Rosmarinus officinalis </w:t>
      </w:r>
      <w:r>
        <w:rPr>
          <w:sz w:val="24"/>
        </w:rPr>
        <w:t>L., </w:t>
      </w:r>
      <w:r>
        <w:rPr>
          <w:i/>
          <w:sz w:val="24"/>
        </w:rPr>
        <w:t>Ruta chalepensis </w:t>
      </w:r>
      <w:r>
        <w:rPr>
          <w:sz w:val="24"/>
        </w:rPr>
        <w:t>L. y </w:t>
      </w:r>
      <w:r>
        <w:rPr>
          <w:i/>
          <w:sz w:val="24"/>
        </w:rPr>
        <w:t>Mangifera indica </w:t>
      </w:r>
      <w:r>
        <w:rPr>
          <w:sz w:val="24"/>
        </w:rPr>
        <w:t>L.</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pStyle w:val="Heading2"/>
        <w:numPr>
          <w:ilvl w:val="1"/>
          <w:numId w:val="16"/>
        </w:numPr>
        <w:tabs>
          <w:tab w:pos="612" w:val="left" w:leader="none"/>
        </w:tabs>
        <w:spacing w:line="240" w:lineRule="auto" w:before="70" w:after="0"/>
        <w:ind w:left="611" w:right="0" w:hanging="495"/>
        <w:jc w:val="both"/>
      </w:pPr>
      <w:r>
        <w:rPr/>
        <w:t>. Análisis FODA y Estrategias</w:t>
      </w:r>
      <w:r>
        <w:rPr>
          <w:spacing w:val="-15"/>
        </w:rPr>
        <w:t> </w:t>
      </w:r>
      <w:r>
        <w:rPr/>
        <w:t>FODA</w:t>
      </w:r>
    </w:p>
    <w:p>
      <w:pPr>
        <w:pStyle w:val="BodyText"/>
        <w:rPr>
          <w:b/>
        </w:rPr>
      </w:pPr>
    </w:p>
    <w:p>
      <w:pPr>
        <w:pStyle w:val="BodyText"/>
        <w:spacing w:before="7"/>
        <w:rPr>
          <w:b/>
        </w:rPr>
      </w:pPr>
    </w:p>
    <w:p>
      <w:pPr>
        <w:pStyle w:val="BodyText"/>
        <w:spacing w:line="360" w:lineRule="auto" w:before="1"/>
        <w:ind w:left="116" w:right="117"/>
        <w:jc w:val="both"/>
      </w:pPr>
      <w:r>
        <w:rPr/>
        <w:t>Por medio de una análisis FODA o DAFO (SWOT por sus siglas en inglés), acrónimo que señala las Fortalezas (strengths), factores críticos positivos con los que se cuenta; las Debilidades (weaknesses), factores críticos negativos que se deben eliminar o reducir; las Oportunidades (opportunities), aspectos positivos que podemos aprovechar utilizando nuestras fortalezas; y las Amenazas (threats), aspectos negativos externos que podrían obstaculizar el logro de nuestros objetivos.</w:t>
      </w:r>
    </w:p>
    <w:p>
      <w:pPr>
        <w:pStyle w:val="BodyText"/>
      </w:pPr>
    </w:p>
    <w:p>
      <w:pPr>
        <w:pStyle w:val="BodyText"/>
        <w:spacing w:line="360" w:lineRule="auto" w:before="145"/>
        <w:ind w:left="116" w:right="111"/>
        <w:jc w:val="both"/>
      </w:pPr>
      <w:r>
        <w:rPr/>
        <w:t>El análisis FODA se aplicó al Parque Universitario “Las Orquídeas”, con miras a la creación del Jardín Botánico Regional. Se realizó a través de entrevistas no estructuradas, contando con la participación del director, auxiliar administrativo e investigadores de dicho Parque. También se realizó observación directa en </w:t>
      </w:r>
      <w:r>
        <w:rPr>
          <w:spacing w:val="-3"/>
        </w:rPr>
        <w:t>campo </w:t>
      </w:r>
      <w:r>
        <w:rPr/>
        <w:t>mediante recorridos por el área de estudio. La matriz FODA se presenta en el cuadro 13.</w:t>
      </w:r>
    </w:p>
    <w:p>
      <w:pPr>
        <w:pStyle w:val="BodyText"/>
      </w:pPr>
    </w:p>
    <w:p>
      <w:pPr>
        <w:pStyle w:val="BodyText"/>
        <w:spacing w:line="362" w:lineRule="auto" w:before="139"/>
        <w:ind w:left="116" w:right="121"/>
        <w:jc w:val="both"/>
      </w:pPr>
      <w:r>
        <w:rPr/>
        <w:t>En el cuadro 14, se integra la matriz de estrategias FODA para el establecimiento del Jardín Botánico Regional.</w:t>
      </w:r>
    </w:p>
    <w:p>
      <w:pPr>
        <w:spacing w:after="0" w:line="362" w:lineRule="auto"/>
        <w:jc w:val="both"/>
        <w:sectPr>
          <w:footerReference w:type="default" r:id="rId67"/>
          <w:pgSz w:w="12240" w:h="15840"/>
          <w:pgMar w:footer="1146" w:header="685" w:top="880" w:bottom="1340" w:left="1300" w:right="1300"/>
        </w:sectPr>
      </w:pPr>
    </w:p>
    <w:p>
      <w:pPr>
        <w:pStyle w:val="BodyText"/>
        <w:rPr>
          <w:sz w:val="20"/>
        </w:rPr>
      </w:pPr>
    </w:p>
    <w:p>
      <w:pPr>
        <w:pStyle w:val="BodyText"/>
        <w:spacing w:before="3"/>
        <w:rPr>
          <w:sz w:val="28"/>
        </w:rPr>
      </w:pPr>
    </w:p>
    <w:tbl>
      <w:tblPr>
        <w:tblW w:w="0" w:type="auto"/>
        <w:jc w:val="left"/>
        <w:tblInd w:w="117" w:type="dxa"/>
        <w:tblBorders>
          <w:top w:val="triple" w:sz="12" w:space="0" w:color="000000"/>
          <w:left w:val="triple" w:sz="12" w:space="0" w:color="000000"/>
          <w:bottom w:val="triple" w:sz="12" w:space="0" w:color="000000"/>
          <w:right w:val="triple" w:sz="12" w:space="0" w:color="000000"/>
          <w:insideH w:val="triple" w:sz="12" w:space="0" w:color="000000"/>
          <w:insideV w:val="triple" w:sz="12" w:space="0" w:color="000000"/>
        </w:tblBorders>
        <w:tblLayout w:type="fixed"/>
        <w:tblCellMar>
          <w:top w:w="0" w:type="dxa"/>
          <w:left w:w="0" w:type="dxa"/>
          <w:bottom w:w="0" w:type="dxa"/>
          <w:right w:w="0" w:type="dxa"/>
        </w:tblCellMar>
        <w:tblLook w:val="01E0"/>
      </w:tblPr>
      <w:tblGrid>
        <w:gridCol w:w="4523"/>
        <w:gridCol w:w="2833"/>
        <w:gridCol w:w="2804"/>
        <w:gridCol w:w="3083"/>
      </w:tblGrid>
      <w:tr>
        <w:trPr>
          <w:trHeight w:val="307" w:hRule="exact"/>
        </w:trPr>
        <w:tc>
          <w:tcPr>
            <w:tcW w:w="13243" w:type="dxa"/>
            <w:gridSpan w:val="4"/>
            <w:tcBorders>
              <w:bottom w:val="single" w:sz="23" w:space="0" w:color="000000"/>
            </w:tcBorders>
          </w:tcPr>
          <w:p>
            <w:pPr>
              <w:pStyle w:val="TableParagraph"/>
              <w:spacing w:before="23"/>
              <w:ind w:left="2722"/>
              <w:rPr>
                <w:b/>
                <w:i/>
                <w:sz w:val="20"/>
              </w:rPr>
            </w:pPr>
            <w:r>
              <w:rPr>
                <w:b/>
                <w:i/>
                <w:sz w:val="20"/>
              </w:rPr>
              <w:t>Cuadro 13. Matriz FODA del Parque Universitario “Las Orquídeas” Temascaltepec</w:t>
            </w:r>
          </w:p>
        </w:tc>
      </w:tr>
      <w:tr>
        <w:trPr>
          <w:trHeight w:val="375" w:hRule="exact"/>
        </w:trPr>
        <w:tc>
          <w:tcPr>
            <w:tcW w:w="4523" w:type="dxa"/>
          </w:tcPr>
          <w:p>
            <w:pPr>
              <w:pStyle w:val="TableParagraph"/>
              <w:spacing w:before="44"/>
              <w:ind w:left="1493" w:right="1481"/>
              <w:jc w:val="center"/>
              <w:rPr>
                <w:b/>
                <w:i/>
                <w:sz w:val="22"/>
              </w:rPr>
            </w:pPr>
            <w:r>
              <w:rPr>
                <w:b/>
                <w:i/>
                <w:sz w:val="22"/>
              </w:rPr>
              <w:t>FORTALEZAS</w:t>
            </w:r>
          </w:p>
        </w:tc>
        <w:tc>
          <w:tcPr>
            <w:tcW w:w="2833" w:type="dxa"/>
          </w:tcPr>
          <w:p>
            <w:pPr>
              <w:pStyle w:val="TableParagraph"/>
              <w:spacing w:before="44"/>
              <w:ind w:left="436"/>
              <w:rPr>
                <w:b/>
                <w:i/>
                <w:sz w:val="22"/>
              </w:rPr>
            </w:pPr>
            <w:r>
              <w:rPr>
                <w:b/>
                <w:i/>
                <w:sz w:val="22"/>
              </w:rPr>
              <w:t>OPORTUNIDADES</w:t>
            </w:r>
          </w:p>
        </w:tc>
        <w:tc>
          <w:tcPr>
            <w:tcW w:w="2804" w:type="dxa"/>
          </w:tcPr>
          <w:p>
            <w:pPr>
              <w:pStyle w:val="TableParagraph"/>
              <w:spacing w:before="44"/>
              <w:ind w:left="643"/>
              <w:rPr>
                <w:b/>
                <w:i/>
                <w:sz w:val="22"/>
              </w:rPr>
            </w:pPr>
            <w:r>
              <w:rPr>
                <w:b/>
                <w:i/>
                <w:sz w:val="22"/>
              </w:rPr>
              <w:t>DEBILIDADES</w:t>
            </w:r>
          </w:p>
        </w:tc>
        <w:tc>
          <w:tcPr>
            <w:tcW w:w="3083" w:type="dxa"/>
          </w:tcPr>
          <w:p>
            <w:pPr>
              <w:pStyle w:val="TableParagraph"/>
              <w:spacing w:before="44"/>
              <w:ind w:left="902"/>
              <w:rPr>
                <w:b/>
                <w:i/>
                <w:sz w:val="22"/>
              </w:rPr>
            </w:pPr>
            <w:r>
              <w:rPr>
                <w:b/>
                <w:i/>
                <w:sz w:val="22"/>
              </w:rPr>
              <w:t>AMENAZAS</w:t>
            </w:r>
          </w:p>
        </w:tc>
      </w:tr>
      <w:tr>
        <w:trPr>
          <w:trHeight w:val="288" w:hRule="exact"/>
        </w:trPr>
        <w:tc>
          <w:tcPr>
            <w:tcW w:w="13243" w:type="dxa"/>
            <w:gridSpan w:val="4"/>
            <w:tcBorders>
              <w:bottom w:val="single" w:sz="23" w:space="0" w:color="000000"/>
            </w:tcBorders>
          </w:tcPr>
          <w:p>
            <w:pPr>
              <w:pStyle w:val="TableParagraph"/>
              <w:spacing w:before="4"/>
              <w:ind w:left="110"/>
              <w:rPr>
                <w:b/>
                <w:i/>
                <w:sz w:val="20"/>
              </w:rPr>
            </w:pPr>
            <w:r>
              <w:rPr>
                <w:b/>
                <w:i/>
                <w:sz w:val="20"/>
              </w:rPr>
              <w:t>Investigación</w:t>
            </w:r>
          </w:p>
        </w:tc>
      </w:tr>
      <w:tr>
        <w:trPr>
          <w:trHeight w:val="4029" w:hRule="exact"/>
        </w:trPr>
        <w:tc>
          <w:tcPr>
            <w:tcW w:w="4523" w:type="dxa"/>
          </w:tcPr>
          <w:p>
            <w:pPr>
              <w:pStyle w:val="TableParagraph"/>
              <w:spacing w:before="43"/>
              <w:ind w:left="110" w:right="94"/>
              <w:jc w:val="both"/>
              <w:rPr>
                <w:sz w:val="20"/>
              </w:rPr>
            </w:pPr>
            <w:r>
              <w:rPr>
                <w:sz w:val="20"/>
              </w:rPr>
              <w:t>F1.- Existen proyectos de investigación que se realizan dentro del parque, como el presente trabajo.</w:t>
            </w:r>
          </w:p>
          <w:p>
            <w:pPr>
              <w:pStyle w:val="TableParagraph"/>
              <w:spacing w:before="2"/>
              <w:rPr>
                <w:sz w:val="20"/>
              </w:rPr>
            </w:pPr>
          </w:p>
          <w:p>
            <w:pPr>
              <w:pStyle w:val="TableParagraph"/>
              <w:spacing w:line="237" w:lineRule="auto"/>
              <w:ind w:left="110" w:right="89"/>
              <w:jc w:val="both"/>
              <w:rPr>
                <w:sz w:val="20"/>
              </w:rPr>
            </w:pPr>
            <w:r>
              <w:rPr>
                <w:sz w:val="20"/>
              </w:rPr>
              <w:t>F2.- El parque es un recurso para el desarrollo de la investigación en áreas como la botánica, taxonomía, hidrología, entomología, entre otras.</w:t>
            </w:r>
          </w:p>
          <w:p>
            <w:pPr>
              <w:pStyle w:val="TableParagraph"/>
              <w:spacing w:before="1"/>
              <w:rPr>
                <w:sz w:val="20"/>
              </w:rPr>
            </w:pPr>
          </w:p>
          <w:p>
            <w:pPr>
              <w:pStyle w:val="TableParagraph"/>
              <w:spacing w:before="1"/>
              <w:ind w:left="110" w:right="90"/>
              <w:jc w:val="both"/>
              <w:rPr>
                <w:sz w:val="20"/>
              </w:rPr>
            </w:pPr>
            <w:r>
              <w:rPr>
                <w:sz w:val="20"/>
              </w:rPr>
              <w:t>F3.- Directivo e investigadores interesados en desarrollar actividades de investigación científica.</w:t>
            </w:r>
          </w:p>
          <w:p>
            <w:pPr>
              <w:pStyle w:val="TableParagraph"/>
              <w:rPr>
                <w:sz w:val="20"/>
              </w:rPr>
            </w:pPr>
          </w:p>
          <w:p>
            <w:pPr>
              <w:pStyle w:val="TableParagraph"/>
              <w:spacing w:before="1"/>
              <w:ind w:left="110" w:right="90"/>
              <w:jc w:val="both"/>
              <w:rPr>
                <w:sz w:val="20"/>
              </w:rPr>
            </w:pPr>
            <w:r>
              <w:rPr>
                <w:sz w:val="20"/>
              </w:rPr>
              <w:t>F4.- El Parque pertenece al Centro Universitario Temascaltepec de la Universidad Autónoma del Estado de México, le confiere estabilidad y mayor probabilidad de obtener recursos humanos y económicos.</w:t>
            </w:r>
          </w:p>
        </w:tc>
        <w:tc>
          <w:tcPr>
            <w:tcW w:w="2833" w:type="dxa"/>
          </w:tcPr>
          <w:p>
            <w:pPr>
              <w:pStyle w:val="TableParagraph"/>
              <w:spacing w:before="43"/>
              <w:ind w:left="95" w:right="85"/>
              <w:jc w:val="both"/>
              <w:rPr>
                <w:sz w:val="20"/>
              </w:rPr>
            </w:pPr>
            <w:r>
              <w:rPr>
                <w:sz w:val="20"/>
              </w:rPr>
              <w:t>O1.- Incremento en  el número de proyectos científicos, a través de diversas Instituciones.</w:t>
            </w:r>
          </w:p>
          <w:p>
            <w:pPr>
              <w:pStyle w:val="TableParagraph"/>
              <w:rPr>
                <w:sz w:val="20"/>
              </w:rPr>
            </w:pPr>
          </w:p>
          <w:p>
            <w:pPr>
              <w:pStyle w:val="TableParagraph"/>
              <w:spacing w:before="1"/>
              <w:ind w:left="95" w:right="86"/>
              <w:jc w:val="both"/>
              <w:rPr>
                <w:sz w:val="20"/>
              </w:rPr>
            </w:pPr>
            <w:r>
              <w:rPr>
                <w:sz w:val="20"/>
              </w:rPr>
              <w:t>O2.- Conocimientos que permitan generar recursos propios, como germoplasma, etnobotánica, entre otros)</w:t>
            </w:r>
          </w:p>
        </w:tc>
        <w:tc>
          <w:tcPr>
            <w:tcW w:w="2804" w:type="dxa"/>
          </w:tcPr>
          <w:p>
            <w:pPr>
              <w:pStyle w:val="TableParagraph"/>
              <w:spacing w:before="43"/>
              <w:ind w:left="96" w:right="89"/>
              <w:jc w:val="both"/>
              <w:rPr>
                <w:sz w:val="20"/>
              </w:rPr>
            </w:pPr>
            <w:r>
              <w:rPr>
                <w:sz w:val="20"/>
              </w:rPr>
              <w:t>D1.- Falta de recursos financieros.</w:t>
            </w:r>
          </w:p>
          <w:p>
            <w:pPr>
              <w:pStyle w:val="TableParagraph"/>
              <w:spacing w:before="3"/>
              <w:rPr>
                <w:sz w:val="20"/>
              </w:rPr>
            </w:pPr>
          </w:p>
          <w:p>
            <w:pPr>
              <w:pStyle w:val="TableParagraph"/>
              <w:spacing w:line="237" w:lineRule="auto"/>
              <w:ind w:left="96" w:right="85"/>
              <w:jc w:val="both"/>
              <w:rPr>
                <w:sz w:val="20"/>
              </w:rPr>
            </w:pPr>
            <w:r>
              <w:rPr>
                <w:sz w:val="20"/>
              </w:rPr>
              <w:t>D2.- Desconocimiento de las normatividades nacionales e internacionales respecto a los Jardines</w:t>
            </w:r>
            <w:r>
              <w:rPr>
                <w:spacing w:val="-4"/>
                <w:sz w:val="20"/>
              </w:rPr>
              <w:t> </w:t>
            </w:r>
            <w:r>
              <w:rPr>
                <w:sz w:val="20"/>
              </w:rPr>
              <w:t>Botánicos.</w:t>
            </w:r>
          </w:p>
        </w:tc>
        <w:tc>
          <w:tcPr>
            <w:tcW w:w="3083" w:type="dxa"/>
          </w:tcPr>
          <w:p>
            <w:pPr>
              <w:pStyle w:val="TableParagraph"/>
              <w:spacing w:before="43"/>
              <w:ind w:left="96" w:right="90"/>
              <w:jc w:val="both"/>
              <w:rPr>
                <w:sz w:val="20"/>
              </w:rPr>
            </w:pPr>
            <w:r>
              <w:rPr>
                <w:sz w:val="20"/>
              </w:rPr>
              <w:t>A1.- La continuidad en los problemas presupuestales, que por lo general son reducidos o inciertos.</w:t>
            </w:r>
          </w:p>
        </w:tc>
      </w:tr>
      <w:tr>
        <w:trPr>
          <w:trHeight w:val="293" w:hRule="exact"/>
        </w:trPr>
        <w:tc>
          <w:tcPr>
            <w:tcW w:w="13243" w:type="dxa"/>
            <w:gridSpan w:val="4"/>
            <w:tcBorders>
              <w:bottom w:val="single" w:sz="23" w:space="0" w:color="000000"/>
            </w:tcBorders>
          </w:tcPr>
          <w:p>
            <w:pPr>
              <w:pStyle w:val="TableParagraph"/>
              <w:spacing w:before="9"/>
              <w:ind w:left="110"/>
              <w:rPr>
                <w:b/>
                <w:i/>
                <w:sz w:val="20"/>
              </w:rPr>
            </w:pPr>
            <w:r>
              <w:rPr>
                <w:b/>
                <w:i/>
                <w:sz w:val="20"/>
              </w:rPr>
              <w:t>Conservación</w:t>
            </w:r>
          </w:p>
        </w:tc>
      </w:tr>
      <w:tr>
        <w:trPr>
          <w:trHeight w:val="3112" w:hRule="exact"/>
        </w:trPr>
        <w:tc>
          <w:tcPr>
            <w:tcW w:w="4523" w:type="dxa"/>
          </w:tcPr>
          <w:p>
            <w:pPr>
              <w:pStyle w:val="TableParagraph"/>
              <w:spacing w:line="244" w:lineRule="auto" w:before="38"/>
              <w:ind w:left="110" w:right="94"/>
              <w:jc w:val="both"/>
              <w:rPr>
                <w:sz w:val="20"/>
              </w:rPr>
            </w:pPr>
            <w:r>
              <w:rPr>
                <w:sz w:val="20"/>
              </w:rPr>
              <w:t>F5.- Conservación de especies </w:t>
            </w:r>
            <w:r>
              <w:rPr>
                <w:i/>
                <w:sz w:val="20"/>
              </w:rPr>
              <w:t>in situ, á</w:t>
            </w:r>
            <w:r>
              <w:rPr>
                <w:sz w:val="20"/>
              </w:rPr>
              <w:t>reas potenciales.</w:t>
            </w:r>
          </w:p>
          <w:p>
            <w:pPr>
              <w:pStyle w:val="TableParagraph"/>
              <w:spacing w:before="9"/>
              <w:rPr>
                <w:sz w:val="19"/>
              </w:rPr>
            </w:pPr>
          </w:p>
          <w:p>
            <w:pPr>
              <w:pStyle w:val="TableParagraph"/>
              <w:spacing w:line="237" w:lineRule="auto"/>
              <w:ind w:left="110" w:right="94"/>
              <w:jc w:val="both"/>
              <w:rPr>
                <w:sz w:val="20"/>
              </w:rPr>
            </w:pPr>
            <w:r>
              <w:rPr>
                <w:sz w:val="20"/>
              </w:rPr>
              <w:t>F6.- El parque colinda con el Río Temascaltepec, lo que conlleva la disponibilidad de agua.</w:t>
            </w:r>
          </w:p>
          <w:p>
            <w:pPr>
              <w:pStyle w:val="TableParagraph"/>
              <w:spacing w:before="1"/>
              <w:rPr>
                <w:sz w:val="20"/>
              </w:rPr>
            </w:pPr>
          </w:p>
          <w:p>
            <w:pPr>
              <w:pStyle w:val="TableParagraph"/>
              <w:ind w:left="110" w:right="94"/>
              <w:jc w:val="both"/>
              <w:rPr>
                <w:sz w:val="20"/>
              </w:rPr>
            </w:pPr>
            <w:r>
              <w:rPr>
                <w:sz w:val="20"/>
              </w:rPr>
              <w:t>F7.- Actualmente, se tiene colecciones de plantas vivas, con importancia medicinal, ornamental y socioeconómica.</w:t>
            </w:r>
          </w:p>
          <w:p>
            <w:pPr>
              <w:pStyle w:val="TableParagraph"/>
              <w:spacing w:before="1"/>
              <w:rPr>
                <w:sz w:val="20"/>
              </w:rPr>
            </w:pPr>
          </w:p>
          <w:p>
            <w:pPr>
              <w:pStyle w:val="TableParagraph"/>
              <w:ind w:left="110" w:right="95"/>
              <w:jc w:val="both"/>
              <w:rPr>
                <w:sz w:val="20"/>
              </w:rPr>
            </w:pPr>
            <w:r>
              <w:rPr>
                <w:sz w:val="20"/>
              </w:rPr>
              <w:t>F8.- El Jardín cuenta con senderos para el fácil acceso a las diversas áreas.</w:t>
            </w:r>
          </w:p>
        </w:tc>
        <w:tc>
          <w:tcPr>
            <w:tcW w:w="2833" w:type="dxa"/>
          </w:tcPr>
          <w:p>
            <w:pPr>
              <w:pStyle w:val="TableParagraph"/>
              <w:spacing w:before="43"/>
              <w:ind w:left="95" w:right="83"/>
              <w:jc w:val="both"/>
              <w:rPr>
                <w:sz w:val="20"/>
              </w:rPr>
            </w:pPr>
            <w:r>
              <w:rPr>
                <w:sz w:val="20"/>
              </w:rPr>
              <w:t>O3.- Pertenecer a la Asociación Mexicana de Jardines Botánicos, A. C.</w:t>
            </w:r>
          </w:p>
          <w:p>
            <w:pPr>
              <w:pStyle w:val="TableParagraph"/>
              <w:rPr>
                <w:sz w:val="20"/>
              </w:rPr>
            </w:pPr>
          </w:p>
          <w:p>
            <w:pPr>
              <w:pStyle w:val="TableParagraph"/>
              <w:spacing w:before="1"/>
              <w:ind w:left="95" w:right="83"/>
              <w:jc w:val="both"/>
              <w:rPr>
                <w:sz w:val="20"/>
              </w:rPr>
            </w:pPr>
            <w:r>
              <w:rPr>
                <w:sz w:val="20"/>
              </w:rPr>
              <w:t>O4.- Existen condiciones favorables para generar y seguir un protocolo de  diseño y desarrollo de actividades como Jardín Botánico.</w:t>
            </w:r>
          </w:p>
        </w:tc>
        <w:tc>
          <w:tcPr>
            <w:tcW w:w="2804" w:type="dxa"/>
          </w:tcPr>
          <w:p>
            <w:pPr>
              <w:pStyle w:val="TableParagraph"/>
              <w:spacing w:before="43"/>
              <w:ind w:left="96" w:right="84"/>
              <w:jc w:val="both"/>
              <w:rPr>
                <w:sz w:val="20"/>
              </w:rPr>
            </w:pPr>
            <w:r>
              <w:rPr>
                <w:sz w:val="20"/>
              </w:rPr>
              <w:t>D3.- Entrada al Parque sin ningún costo, falta de ingresos.</w:t>
            </w:r>
          </w:p>
          <w:p>
            <w:pPr>
              <w:pStyle w:val="TableParagraph"/>
              <w:spacing w:before="7"/>
              <w:rPr>
                <w:sz w:val="20"/>
              </w:rPr>
            </w:pPr>
          </w:p>
          <w:p>
            <w:pPr>
              <w:pStyle w:val="TableParagraph"/>
              <w:spacing w:line="226" w:lineRule="exact"/>
              <w:ind w:left="96" w:right="88"/>
              <w:jc w:val="both"/>
              <w:rPr>
                <w:sz w:val="20"/>
              </w:rPr>
            </w:pPr>
            <w:r>
              <w:rPr>
                <w:sz w:val="20"/>
              </w:rPr>
              <w:t>D4.- Falta de personal para mantenimiento de las áreas.</w:t>
            </w:r>
          </w:p>
          <w:p>
            <w:pPr>
              <w:pStyle w:val="TableParagraph"/>
              <w:spacing w:before="9"/>
              <w:rPr>
                <w:sz w:val="19"/>
              </w:rPr>
            </w:pPr>
          </w:p>
          <w:p>
            <w:pPr>
              <w:pStyle w:val="TableParagraph"/>
              <w:ind w:left="96" w:right="88"/>
              <w:jc w:val="both"/>
              <w:rPr>
                <w:sz w:val="20"/>
              </w:rPr>
            </w:pPr>
            <w:r>
              <w:rPr>
                <w:sz w:val="20"/>
              </w:rPr>
              <w:t>D5.- Falta diseñar una arquitectura del paisaje para el Jardín Botánico.</w:t>
            </w:r>
          </w:p>
        </w:tc>
        <w:tc>
          <w:tcPr>
            <w:tcW w:w="3083" w:type="dxa"/>
          </w:tcPr>
          <w:p>
            <w:pPr>
              <w:pStyle w:val="TableParagraph"/>
              <w:spacing w:before="43"/>
              <w:ind w:left="96" w:right="97"/>
              <w:jc w:val="both"/>
              <w:rPr>
                <w:sz w:val="20"/>
              </w:rPr>
            </w:pPr>
            <w:r>
              <w:rPr>
                <w:sz w:val="20"/>
              </w:rPr>
              <w:t>A2.- Catástrofes naturales, plagas y enfermedades.</w:t>
            </w:r>
          </w:p>
          <w:p>
            <w:pPr>
              <w:pStyle w:val="TableParagraph"/>
              <w:spacing w:before="2"/>
              <w:rPr>
                <w:sz w:val="20"/>
              </w:rPr>
            </w:pPr>
          </w:p>
          <w:p>
            <w:pPr>
              <w:pStyle w:val="TableParagraph"/>
              <w:spacing w:line="237" w:lineRule="auto"/>
              <w:ind w:left="96" w:right="95"/>
              <w:jc w:val="both"/>
              <w:rPr>
                <w:sz w:val="20"/>
              </w:rPr>
            </w:pPr>
            <w:r>
              <w:rPr>
                <w:sz w:val="20"/>
              </w:rPr>
              <w:t>A3.- El desinterés por las plantas de amplios sectores sociales.</w:t>
            </w:r>
          </w:p>
          <w:p>
            <w:pPr>
              <w:pStyle w:val="TableParagraph"/>
              <w:spacing w:before="1"/>
              <w:rPr>
                <w:sz w:val="20"/>
              </w:rPr>
            </w:pPr>
          </w:p>
          <w:p>
            <w:pPr>
              <w:pStyle w:val="TableParagraph"/>
              <w:ind w:left="96" w:right="89"/>
              <w:jc w:val="both"/>
              <w:rPr>
                <w:sz w:val="20"/>
              </w:rPr>
            </w:pPr>
            <w:r>
              <w:rPr>
                <w:sz w:val="20"/>
              </w:rPr>
              <w:t>A4.- Falta de reconocimiento de su estatus como institución.</w:t>
            </w:r>
          </w:p>
          <w:p>
            <w:pPr>
              <w:pStyle w:val="TableParagraph"/>
              <w:spacing w:before="1"/>
              <w:rPr>
                <w:sz w:val="20"/>
              </w:rPr>
            </w:pPr>
          </w:p>
          <w:p>
            <w:pPr>
              <w:pStyle w:val="TableParagraph"/>
              <w:ind w:left="96" w:right="99"/>
              <w:jc w:val="both"/>
              <w:rPr>
                <w:sz w:val="20"/>
              </w:rPr>
            </w:pPr>
            <w:r>
              <w:rPr>
                <w:sz w:val="20"/>
              </w:rPr>
              <w:t>A5.- Falta de asesoría para el mantenimiento de áreas verdes.</w:t>
            </w:r>
          </w:p>
        </w:tc>
      </w:tr>
    </w:tbl>
    <w:p>
      <w:pPr>
        <w:spacing w:before="4"/>
        <w:ind w:left="256" w:right="0" w:firstLine="0"/>
        <w:jc w:val="left"/>
        <w:rPr>
          <w:b/>
          <w:i/>
          <w:sz w:val="20"/>
        </w:rPr>
      </w:pPr>
      <w:r>
        <w:rPr>
          <w:b/>
          <w:i/>
          <w:sz w:val="20"/>
        </w:rPr>
        <w:t>Fuente: Elaboración propia, a partir de Camacho, 2001 y Gutiérrez, 2013.</w:t>
      </w:r>
    </w:p>
    <w:p>
      <w:pPr>
        <w:spacing w:after="0"/>
        <w:jc w:val="left"/>
        <w:rPr>
          <w:sz w:val="20"/>
        </w:rPr>
        <w:sectPr>
          <w:headerReference w:type="default" r:id="rId68"/>
          <w:footerReference w:type="default" r:id="rId69"/>
          <w:pgSz w:w="15840" w:h="12240" w:orient="landscape"/>
          <w:pgMar w:header="690" w:footer="1147" w:top="880" w:bottom="1340" w:left="1160" w:right="1160"/>
          <w:pgNumType w:start="91"/>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4"/>
        <w:rPr>
          <w:b/>
          <w:i/>
          <w:sz w:val="11"/>
        </w:rPr>
      </w:pPr>
    </w:p>
    <w:tbl>
      <w:tblPr>
        <w:tblW w:w="0" w:type="auto"/>
        <w:jc w:val="left"/>
        <w:tblInd w:w="117" w:type="dxa"/>
        <w:tblBorders>
          <w:top w:val="triple" w:sz="12" w:space="0" w:color="000000"/>
          <w:left w:val="triple" w:sz="12" w:space="0" w:color="000000"/>
          <w:bottom w:val="triple" w:sz="12" w:space="0" w:color="000000"/>
          <w:right w:val="triple" w:sz="12" w:space="0" w:color="000000"/>
          <w:insideH w:val="triple" w:sz="12" w:space="0" w:color="000000"/>
          <w:insideV w:val="triple" w:sz="12" w:space="0" w:color="000000"/>
        </w:tblBorders>
        <w:tblLayout w:type="fixed"/>
        <w:tblCellMar>
          <w:top w:w="0" w:type="dxa"/>
          <w:left w:w="0" w:type="dxa"/>
          <w:bottom w:w="0" w:type="dxa"/>
          <w:right w:w="0" w:type="dxa"/>
        </w:tblCellMar>
        <w:tblLook w:val="01E0"/>
      </w:tblPr>
      <w:tblGrid>
        <w:gridCol w:w="4235"/>
        <w:gridCol w:w="3121"/>
        <w:gridCol w:w="3116"/>
        <w:gridCol w:w="2771"/>
      </w:tblGrid>
      <w:tr>
        <w:trPr>
          <w:trHeight w:val="302" w:hRule="exact"/>
        </w:trPr>
        <w:tc>
          <w:tcPr>
            <w:tcW w:w="13243" w:type="dxa"/>
            <w:gridSpan w:val="4"/>
            <w:tcBorders>
              <w:bottom w:val="single" w:sz="23" w:space="0" w:color="000000"/>
            </w:tcBorders>
          </w:tcPr>
          <w:p>
            <w:pPr>
              <w:pStyle w:val="TableParagraph"/>
              <w:spacing w:before="19"/>
              <w:ind w:left="2165"/>
              <w:rPr>
                <w:b/>
                <w:i/>
                <w:sz w:val="20"/>
              </w:rPr>
            </w:pPr>
            <w:r>
              <w:rPr>
                <w:b/>
                <w:i/>
                <w:sz w:val="20"/>
              </w:rPr>
              <w:t>Cuadro 13. Matriz FODA del Parque Universitario “Las Orquídeas” Temascaltepec (Continúa).</w:t>
            </w:r>
          </w:p>
        </w:tc>
      </w:tr>
      <w:tr>
        <w:trPr>
          <w:trHeight w:val="374" w:hRule="exact"/>
        </w:trPr>
        <w:tc>
          <w:tcPr>
            <w:tcW w:w="4235" w:type="dxa"/>
          </w:tcPr>
          <w:p>
            <w:pPr>
              <w:pStyle w:val="TableParagraph"/>
              <w:spacing w:before="43"/>
              <w:ind w:left="1373"/>
              <w:rPr>
                <w:b/>
                <w:i/>
                <w:sz w:val="22"/>
              </w:rPr>
            </w:pPr>
            <w:r>
              <w:rPr>
                <w:b/>
                <w:i/>
                <w:sz w:val="22"/>
              </w:rPr>
              <w:t>FORTALEZAS</w:t>
            </w:r>
          </w:p>
        </w:tc>
        <w:tc>
          <w:tcPr>
            <w:tcW w:w="3121" w:type="dxa"/>
          </w:tcPr>
          <w:p>
            <w:pPr>
              <w:pStyle w:val="TableParagraph"/>
              <w:spacing w:before="43"/>
              <w:ind w:left="580"/>
              <w:rPr>
                <w:b/>
                <w:i/>
                <w:sz w:val="22"/>
              </w:rPr>
            </w:pPr>
            <w:r>
              <w:rPr>
                <w:b/>
                <w:i/>
                <w:sz w:val="22"/>
              </w:rPr>
              <w:t>OPORTUNIDADES</w:t>
            </w:r>
          </w:p>
        </w:tc>
        <w:tc>
          <w:tcPr>
            <w:tcW w:w="3116" w:type="dxa"/>
          </w:tcPr>
          <w:p>
            <w:pPr>
              <w:pStyle w:val="TableParagraph"/>
              <w:spacing w:before="43"/>
              <w:ind w:left="796"/>
              <w:rPr>
                <w:b/>
                <w:i/>
                <w:sz w:val="22"/>
              </w:rPr>
            </w:pPr>
            <w:r>
              <w:rPr>
                <w:b/>
                <w:i/>
                <w:sz w:val="22"/>
              </w:rPr>
              <w:t>DEBILIDADES</w:t>
            </w:r>
          </w:p>
        </w:tc>
        <w:tc>
          <w:tcPr>
            <w:tcW w:w="2771" w:type="dxa"/>
          </w:tcPr>
          <w:p>
            <w:pPr>
              <w:pStyle w:val="TableParagraph"/>
              <w:spacing w:before="43"/>
              <w:ind w:left="743"/>
              <w:rPr>
                <w:b/>
                <w:i/>
                <w:sz w:val="22"/>
              </w:rPr>
            </w:pPr>
            <w:r>
              <w:rPr>
                <w:b/>
                <w:i/>
                <w:sz w:val="22"/>
              </w:rPr>
              <w:t>AMENAZAS</w:t>
            </w:r>
          </w:p>
        </w:tc>
      </w:tr>
      <w:tr>
        <w:trPr>
          <w:trHeight w:val="288" w:hRule="exact"/>
        </w:trPr>
        <w:tc>
          <w:tcPr>
            <w:tcW w:w="13243" w:type="dxa"/>
            <w:gridSpan w:val="4"/>
            <w:tcBorders>
              <w:bottom w:val="single" w:sz="23" w:space="0" w:color="000000"/>
            </w:tcBorders>
          </w:tcPr>
          <w:p>
            <w:pPr>
              <w:pStyle w:val="TableParagraph"/>
              <w:spacing w:before="9"/>
              <w:ind w:left="110"/>
              <w:rPr>
                <w:b/>
                <w:i/>
                <w:sz w:val="20"/>
              </w:rPr>
            </w:pPr>
            <w:r>
              <w:rPr>
                <w:b/>
                <w:i/>
                <w:sz w:val="20"/>
              </w:rPr>
              <w:t>Educación Ambiental</w:t>
            </w:r>
          </w:p>
        </w:tc>
      </w:tr>
      <w:tr>
        <w:trPr>
          <w:trHeight w:val="4034" w:hRule="exact"/>
        </w:trPr>
        <w:tc>
          <w:tcPr>
            <w:tcW w:w="4235" w:type="dxa"/>
          </w:tcPr>
          <w:p>
            <w:pPr>
              <w:pStyle w:val="TableParagraph"/>
              <w:spacing w:before="43"/>
              <w:ind w:left="537" w:right="85" w:hanging="428"/>
              <w:jc w:val="both"/>
              <w:rPr>
                <w:sz w:val="20"/>
              </w:rPr>
            </w:pPr>
            <w:r>
              <w:rPr>
                <w:sz w:val="20"/>
              </w:rPr>
              <w:t>F10.- Se han realizado vistas guiadas por  las diferentes áreas del Parque, a los alumnos del Centro Universitario Temascaltepec; </w:t>
            </w:r>
            <w:r>
              <w:rPr>
                <w:spacing w:val="-3"/>
                <w:sz w:val="20"/>
              </w:rPr>
              <w:t>así </w:t>
            </w:r>
            <w:r>
              <w:rPr>
                <w:sz w:val="20"/>
              </w:rPr>
              <w:t>como visitantes externos.</w:t>
            </w:r>
          </w:p>
        </w:tc>
        <w:tc>
          <w:tcPr>
            <w:tcW w:w="3121" w:type="dxa"/>
          </w:tcPr>
          <w:p>
            <w:pPr>
              <w:pStyle w:val="TableParagraph"/>
              <w:spacing w:before="43"/>
              <w:ind w:left="364" w:right="83" w:hanging="269"/>
              <w:jc w:val="both"/>
              <w:rPr>
                <w:sz w:val="20"/>
              </w:rPr>
            </w:pPr>
            <w:r>
              <w:rPr>
                <w:sz w:val="20"/>
              </w:rPr>
              <w:t>O5.- Invitar a las Instituciones académicas a participar en las visitas guiadas dentro del Parque como medio para conocer diversos  aspectos de las colecciones.</w:t>
            </w:r>
          </w:p>
          <w:p>
            <w:pPr>
              <w:pStyle w:val="TableParagraph"/>
              <w:rPr>
                <w:b/>
                <w:i/>
                <w:sz w:val="20"/>
              </w:rPr>
            </w:pPr>
          </w:p>
          <w:p>
            <w:pPr>
              <w:pStyle w:val="TableParagraph"/>
              <w:spacing w:before="1"/>
              <w:ind w:left="364" w:right="85" w:hanging="269"/>
              <w:jc w:val="both"/>
              <w:rPr>
                <w:sz w:val="20"/>
              </w:rPr>
            </w:pPr>
            <w:r>
              <w:rPr>
                <w:sz w:val="20"/>
              </w:rPr>
              <w:t>O6.- Atención a Instituciones educativas.</w:t>
            </w:r>
          </w:p>
        </w:tc>
        <w:tc>
          <w:tcPr>
            <w:tcW w:w="3116" w:type="dxa"/>
          </w:tcPr>
          <w:p>
            <w:pPr>
              <w:pStyle w:val="TableParagraph"/>
              <w:spacing w:before="43"/>
              <w:ind w:left="403" w:right="88" w:hanging="284"/>
              <w:jc w:val="both"/>
              <w:rPr>
                <w:sz w:val="20"/>
              </w:rPr>
            </w:pPr>
            <w:r>
              <w:rPr>
                <w:sz w:val="20"/>
              </w:rPr>
              <w:t>D6.- Falta de infraestructura, además de señalizaciones y letreros con información del Parque.</w:t>
            </w:r>
          </w:p>
          <w:p>
            <w:pPr>
              <w:pStyle w:val="TableParagraph"/>
              <w:spacing w:before="1"/>
              <w:rPr>
                <w:b/>
                <w:i/>
                <w:sz w:val="20"/>
              </w:rPr>
            </w:pPr>
          </w:p>
          <w:p>
            <w:pPr>
              <w:pStyle w:val="TableParagraph"/>
              <w:ind w:left="403" w:right="84" w:hanging="284"/>
              <w:jc w:val="both"/>
              <w:rPr>
                <w:sz w:val="20"/>
              </w:rPr>
            </w:pPr>
            <w:r>
              <w:rPr>
                <w:sz w:val="20"/>
              </w:rPr>
              <w:t>D7.- Falta de cultura y educación ambiental </w:t>
            </w:r>
            <w:r>
              <w:rPr>
                <w:spacing w:val="-3"/>
                <w:sz w:val="20"/>
              </w:rPr>
              <w:t>por </w:t>
            </w:r>
            <w:r>
              <w:rPr>
                <w:sz w:val="20"/>
              </w:rPr>
              <w:t>parte de los alumnos, ya que en zonas aledañas al Jardín </w:t>
            </w:r>
            <w:r>
              <w:rPr>
                <w:spacing w:val="-3"/>
                <w:sz w:val="20"/>
              </w:rPr>
              <w:t>se </w:t>
            </w:r>
            <w:r>
              <w:rPr>
                <w:sz w:val="20"/>
              </w:rPr>
              <w:t>puede observar</w:t>
            </w:r>
            <w:r>
              <w:rPr>
                <w:spacing w:val="1"/>
                <w:sz w:val="20"/>
              </w:rPr>
              <w:t> </w:t>
            </w:r>
            <w:r>
              <w:rPr>
                <w:sz w:val="20"/>
              </w:rPr>
              <w:t>basura.</w:t>
            </w:r>
          </w:p>
          <w:p>
            <w:pPr>
              <w:pStyle w:val="TableParagraph"/>
              <w:spacing w:before="1"/>
              <w:rPr>
                <w:b/>
                <w:i/>
                <w:sz w:val="20"/>
              </w:rPr>
            </w:pPr>
          </w:p>
          <w:p>
            <w:pPr>
              <w:pStyle w:val="TableParagraph"/>
              <w:ind w:left="403" w:right="89" w:hanging="284"/>
              <w:jc w:val="both"/>
              <w:rPr>
                <w:sz w:val="20"/>
              </w:rPr>
            </w:pPr>
            <w:r>
              <w:rPr>
                <w:sz w:val="20"/>
              </w:rPr>
              <w:t>D8.- Falta de personal que realice visitas guiadas.</w:t>
            </w:r>
          </w:p>
          <w:p>
            <w:pPr>
              <w:pStyle w:val="TableParagraph"/>
              <w:rPr>
                <w:b/>
                <w:i/>
                <w:sz w:val="20"/>
              </w:rPr>
            </w:pPr>
          </w:p>
          <w:p>
            <w:pPr>
              <w:pStyle w:val="TableParagraph"/>
              <w:spacing w:before="1"/>
              <w:ind w:left="441" w:right="88" w:hanging="346"/>
              <w:jc w:val="both"/>
              <w:rPr>
                <w:sz w:val="20"/>
              </w:rPr>
            </w:pPr>
            <w:r>
              <w:rPr>
                <w:sz w:val="20"/>
              </w:rPr>
              <w:t>D9.- Falta de personal especialista en educación ambiental.</w:t>
            </w:r>
          </w:p>
        </w:tc>
        <w:tc>
          <w:tcPr>
            <w:tcW w:w="2771" w:type="dxa"/>
          </w:tcPr>
          <w:p>
            <w:pPr>
              <w:pStyle w:val="TableParagraph"/>
              <w:spacing w:before="9"/>
              <w:rPr>
                <w:b/>
                <w:i/>
                <w:sz w:val="23"/>
              </w:rPr>
            </w:pPr>
          </w:p>
          <w:p>
            <w:pPr>
              <w:pStyle w:val="TableParagraph"/>
              <w:ind w:left="441" w:right="88" w:hanging="346"/>
              <w:jc w:val="both"/>
              <w:rPr>
                <w:sz w:val="20"/>
              </w:rPr>
            </w:pPr>
            <w:r>
              <w:rPr>
                <w:sz w:val="20"/>
              </w:rPr>
              <w:t>A6.- Alumnos de nuevo ingreso sin conciencia ambiental.</w:t>
            </w:r>
          </w:p>
        </w:tc>
      </w:tr>
      <w:tr>
        <w:trPr>
          <w:trHeight w:val="288" w:hRule="exact"/>
        </w:trPr>
        <w:tc>
          <w:tcPr>
            <w:tcW w:w="13243" w:type="dxa"/>
            <w:gridSpan w:val="4"/>
            <w:tcBorders>
              <w:bottom w:val="single" w:sz="23" w:space="0" w:color="000000"/>
            </w:tcBorders>
          </w:tcPr>
          <w:p>
            <w:pPr>
              <w:pStyle w:val="TableParagraph"/>
              <w:spacing w:before="4"/>
              <w:ind w:left="110"/>
              <w:rPr>
                <w:b/>
                <w:i/>
                <w:sz w:val="20"/>
              </w:rPr>
            </w:pPr>
            <w:r>
              <w:rPr>
                <w:b/>
                <w:i/>
                <w:sz w:val="20"/>
              </w:rPr>
              <w:t>Difusión</w:t>
            </w:r>
          </w:p>
        </w:tc>
      </w:tr>
      <w:tr>
        <w:trPr>
          <w:trHeight w:val="2655" w:hRule="exact"/>
        </w:trPr>
        <w:tc>
          <w:tcPr>
            <w:tcW w:w="4235" w:type="dxa"/>
          </w:tcPr>
          <w:p>
            <w:pPr>
              <w:pStyle w:val="TableParagraph"/>
              <w:spacing w:before="43"/>
              <w:ind w:left="110" w:right="93"/>
              <w:jc w:val="both"/>
              <w:rPr>
                <w:sz w:val="20"/>
              </w:rPr>
            </w:pPr>
            <w:r>
              <w:rPr>
                <w:sz w:val="20"/>
              </w:rPr>
              <w:t>F12.- El Centro Universitario Temascaltepec, cuenta con los servicios básicos de energía eléctrica y telecomunicaciones.</w:t>
            </w:r>
          </w:p>
          <w:p>
            <w:pPr>
              <w:pStyle w:val="TableParagraph"/>
              <w:spacing w:before="1"/>
              <w:rPr>
                <w:b/>
                <w:i/>
                <w:sz w:val="20"/>
              </w:rPr>
            </w:pPr>
          </w:p>
          <w:p>
            <w:pPr>
              <w:pStyle w:val="TableParagraph"/>
              <w:ind w:left="110" w:right="88"/>
              <w:jc w:val="both"/>
              <w:rPr>
                <w:sz w:val="20"/>
              </w:rPr>
            </w:pPr>
            <w:r>
              <w:rPr>
                <w:sz w:val="20"/>
              </w:rPr>
              <w:t>F13.- El acceso al Parque es a través de la carretera Federal No. 134, Toluca – Ciudad Altamirano.</w:t>
            </w:r>
          </w:p>
          <w:p>
            <w:pPr>
              <w:pStyle w:val="TableParagraph"/>
              <w:spacing w:before="7"/>
              <w:rPr>
                <w:b/>
                <w:i/>
                <w:sz w:val="19"/>
              </w:rPr>
            </w:pPr>
          </w:p>
          <w:p>
            <w:pPr>
              <w:pStyle w:val="TableParagraph"/>
              <w:spacing w:before="1"/>
              <w:ind w:left="110" w:right="90"/>
              <w:jc w:val="both"/>
              <w:rPr>
                <w:sz w:val="20"/>
              </w:rPr>
            </w:pPr>
            <w:r>
              <w:rPr>
                <w:sz w:val="20"/>
              </w:rPr>
              <w:t>F14.- Actualmente se realizan actividades de difusión para conocer el Parque a través de visitas guiadas.</w:t>
            </w:r>
          </w:p>
        </w:tc>
        <w:tc>
          <w:tcPr>
            <w:tcW w:w="3121" w:type="dxa"/>
          </w:tcPr>
          <w:p>
            <w:pPr>
              <w:pStyle w:val="TableParagraph"/>
              <w:spacing w:before="43"/>
              <w:ind w:left="364" w:right="84" w:hanging="269"/>
              <w:jc w:val="both"/>
              <w:rPr>
                <w:sz w:val="20"/>
              </w:rPr>
            </w:pPr>
            <w:r>
              <w:rPr>
                <w:sz w:val="20"/>
              </w:rPr>
              <w:t>O7.- La tecnología favorece la comunicación y la difusión.</w:t>
            </w:r>
          </w:p>
          <w:p>
            <w:pPr>
              <w:pStyle w:val="TableParagraph"/>
              <w:spacing w:before="1"/>
              <w:rPr>
                <w:b/>
                <w:i/>
                <w:sz w:val="20"/>
              </w:rPr>
            </w:pPr>
          </w:p>
          <w:p>
            <w:pPr>
              <w:pStyle w:val="TableParagraph"/>
              <w:ind w:left="364" w:right="84" w:hanging="269"/>
              <w:jc w:val="both"/>
              <w:rPr>
                <w:sz w:val="20"/>
              </w:rPr>
            </w:pPr>
            <w:r>
              <w:rPr>
                <w:sz w:val="20"/>
              </w:rPr>
              <w:t>O8.- El Jardín Botánico sería un sitio importante para los habitantes de la región y los visitantes.</w:t>
            </w:r>
          </w:p>
        </w:tc>
        <w:tc>
          <w:tcPr>
            <w:tcW w:w="3116" w:type="dxa"/>
          </w:tcPr>
          <w:p>
            <w:pPr>
              <w:pStyle w:val="TableParagraph"/>
              <w:spacing w:before="43"/>
              <w:ind w:left="403" w:right="88" w:hanging="284"/>
              <w:jc w:val="both"/>
              <w:rPr>
                <w:sz w:val="20"/>
              </w:rPr>
            </w:pPr>
            <w:r>
              <w:rPr>
                <w:sz w:val="20"/>
              </w:rPr>
              <w:t>D10.- No se cuenta con una página de internet donde se informe sobre el Parque.</w:t>
            </w:r>
          </w:p>
          <w:p>
            <w:pPr>
              <w:pStyle w:val="TableParagraph"/>
              <w:spacing w:before="1"/>
              <w:rPr>
                <w:b/>
                <w:i/>
                <w:sz w:val="20"/>
              </w:rPr>
            </w:pPr>
          </w:p>
          <w:p>
            <w:pPr>
              <w:pStyle w:val="TableParagraph"/>
              <w:ind w:left="96"/>
              <w:rPr>
                <w:sz w:val="20"/>
              </w:rPr>
            </w:pPr>
            <w:r>
              <w:rPr>
                <w:sz w:val="20"/>
              </w:rPr>
              <w:t>D11.- En la carretera no existen señalamientos del Parque.</w:t>
            </w:r>
          </w:p>
        </w:tc>
        <w:tc>
          <w:tcPr>
            <w:tcW w:w="2771" w:type="dxa"/>
          </w:tcPr>
          <w:p>
            <w:pPr>
              <w:pStyle w:val="TableParagraph"/>
              <w:spacing w:before="43"/>
              <w:ind w:left="95" w:right="96"/>
              <w:jc w:val="both"/>
              <w:rPr>
                <w:sz w:val="20"/>
              </w:rPr>
            </w:pPr>
            <w:r>
              <w:rPr>
                <w:sz w:val="20"/>
              </w:rPr>
              <w:t>A7.- No se cuenta con los recursos financieros para realizar la difusión.</w:t>
            </w:r>
          </w:p>
        </w:tc>
      </w:tr>
    </w:tbl>
    <w:p>
      <w:pPr>
        <w:spacing w:before="4"/>
        <w:ind w:left="256" w:right="0" w:firstLine="0"/>
        <w:jc w:val="left"/>
        <w:rPr>
          <w:b/>
          <w:i/>
          <w:sz w:val="20"/>
        </w:rPr>
      </w:pPr>
      <w:r>
        <w:rPr>
          <w:b/>
          <w:i/>
          <w:sz w:val="20"/>
        </w:rPr>
        <w:t>Fuente: Elaboración propia, a partir de Camacho, 2001 y Gutiérrez, 2013.</w:t>
      </w:r>
    </w:p>
    <w:p>
      <w:pPr>
        <w:spacing w:after="0"/>
        <w:jc w:val="left"/>
        <w:rPr>
          <w:sz w:val="20"/>
        </w:rPr>
        <w:sectPr>
          <w:pgSz w:w="15840" w:h="12240" w:orient="landscape"/>
          <w:pgMar w:header="690" w:footer="1147" w:top="880" w:bottom="1340" w:left="1160" w:right="1160"/>
        </w:sectPr>
      </w:pPr>
    </w:p>
    <w:p>
      <w:pPr>
        <w:pStyle w:val="BodyText"/>
        <w:rPr>
          <w:b/>
          <w:i/>
          <w:sz w:val="20"/>
        </w:rPr>
      </w:pPr>
    </w:p>
    <w:p>
      <w:pPr>
        <w:pStyle w:val="BodyText"/>
        <w:rPr>
          <w:b/>
          <w:i/>
          <w:sz w:val="20"/>
        </w:rPr>
      </w:pPr>
    </w:p>
    <w:p>
      <w:pPr>
        <w:pStyle w:val="BodyText"/>
        <w:rPr>
          <w:b/>
          <w:i/>
          <w:sz w:val="20"/>
        </w:rPr>
      </w:pPr>
    </w:p>
    <w:p>
      <w:pPr>
        <w:pStyle w:val="BodyText"/>
        <w:spacing w:before="7" w:after="1"/>
        <w:rPr>
          <w:b/>
          <w:i/>
          <w:sz w:val="29"/>
        </w:rPr>
      </w:pPr>
    </w:p>
    <w:tbl>
      <w:tblPr>
        <w:tblW w:w="0" w:type="auto"/>
        <w:jc w:val="left"/>
        <w:tblInd w:w="102" w:type="dxa"/>
        <w:tblBorders>
          <w:top w:val="triple" w:sz="17" w:space="0" w:color="000000"/>
          <w:left w:val="triple" w:sz="17" w:space="0" w:color="000000"/>
          <w:bottom w:val="triple" w:sz="17" w:space="0" w:color="000000"/>
          <w:right w:val="triple" w:sz="17" w:space="0" w:color="000000"/>
          <w:insideH w:val="triple" w:sz="17" w:space="0" w:color="000000"/>
          <w:insideV w:val="triple" w:sz="17" w:space="0" w:color="000000"/>
        </w:tblBorders>
        <w:tblLayout w:type="fixed"/>
        <w:tblCellMar>
          <w:top w:w="0" w:type="dxa"/>
          <w:left w:w="0" w:type="dxa"/>
          <w:bottom w:w="0" w:type="dxa"/>
          <w:right w:w="0" w:type="dxa"/>
        </w:tblCellMar>
        <w:tblLook w:val="01E0"/>
      </w:tblPr>
      <w:tblGrid>
        <w:gridCol w:w="6636"/>
        <w:gridCol w:w="6631"/>
      </w:tblGrid>
      <w:tr>
        <w:trPr>
          <w:trHeight w:val="346" w:hRule="exact"/>
        </w:trPr>
        <w:tc>
          <w:tcPr>
            <w:tcW w:w="13267" w:type="dxa"/>
            <w:gridSpan w:val="2"/>
          </w:tcPr>
          <w:p>
            <w:pPr>
              <w:pStyle w:val="TableParagraph"/>
              <w:spacing w:before="43"/>
              <w:ind w:left="2880"/>
              <w:rPr>
                <w:b/>
                <w:i/>
                <w:sz w:val="20"/>
              </w:rPr>
            </w:pPr>
            <w:r>
              <w:rPr>
                <w:b/>
                <w:i/>
                <w:sz w:val="20"/>
              </w:rPr>
              <w:t>Cuadro 14. Matriz estrategias FODA del Parque Universitario “Las Orquídeas”.</w:t>
            </w:r>
          </w:p>
        </w:tc>
      </w:tr>
      <w:tr>
        <w:trPr>
          <w:trHeight w:val="4206" w:hRule="exact"/>
        </w:trPr>
        <w:tc>
          <w:tcPr>
            <w:tcW w:w="6636" w:type="dxa"/>
          </w:tcPr>
          <w:p>
            <w:pPr>
              <w:pStyle w:val="TableParagraph"/>
              <w:spacing w:before="67"/>
              <w:ind w:left="110" w:right="91"/>
              <w:jc w:val="both"/>
              <w:rPr>
                <w:b/>
                <w:i/>
                <w:sz w:val="22"/>
              </w:rPr>
            </w:pPr>
            <w:r>
              <w:rPr>
                <w:b/>
                <w:i/>
                <w:sz w:val="22"/>
              </w:rPr>
              <w:t>ESTRATEGIA FO, PARA MAXIMIZAR TANTO LAS </w:t>
            </w:r>
            <w:r>
              <w:rPr>
                <w:b/>
                <w:i/>
                <w:sz w:val="22"/>
              </w:rPr>
              <w:t>FORTALEZAS COMO LAS OPORTUNIDADES.</w:t>
            </w:r>
          </w:p>
          <w:p>
            <w:pPr>
              <w:pStyle w:val="TableParagraph"/>
              <w:spacing w:before="9"/>
              <w:rPr>
                <w:b/>
                <w:i/>
                <w:sz w:val="21"/>
              </w:rPr>
            </w:pPr>
          </w:p>
          <w:p>
            <w:pPr>
              <w:pStyle w:val="TableParagraph"/>
              <w:spacing w:before="1"/>
              <w:ind w:left="110" w:right="88"/>
              <w:jc w:val="both"/>
              <w:rPr>
                <w:sz w:val="22"/>
              </w:rPr>
            </w:pPr>
            <w:r>
              <w:rPr>
                <w:sz w:val="22"/>
              </w:rPr>
              <w:t>FO1.- Desarrollar proyectos de investigación científica, ecoturismo, conservación y difusión</w:t>
            </w:r>
          </w:p>
          <w:p>
            <w:pPr>
              <w:pStyle w:val="TableParagraph"/>
              <w:spacing w:before="2"/>
              <w:rPr>
                <w:b/>
                <w:i/>
                <w:sz w:val="22"/>
              </w:rPr>
            </w:pPr>
          </w:p>
          <w:p>
            <w:pPr>
              <w:pStyle w:val="TableParagraph"/>
              <w:spacing w:before="1"/>
              <w:ind w:left="110" w:right="86"/>
              <w:jc w:val="both"/>
              <w:rPr>
                <w:sz w:val="22"/>
              </w:rPr>
            </w:pPr>
            <w:r>
              <w:rPr>
                <w:sz w:val="22"/>
              </w:rPr>
              <w:t>FO2.- Realizar campañas de difusión a diversas instituciones de educación para que realicen Investigaciones científicas dentro del</w:t>
            </w:r>
            <w:r>
              <w:rPr>
                <w:spacing w:val="-5"/>
                <w:sz w:val="22"/>
              </w:rPr>
              <w:t> </w:t>
            </w:r>
            <w:r>
              <w:rPr>
                <w:sz w:val="22"/>
              </w:rPr>
              <w:t>Parque.</w:t>
            </w:r>
          </w:p>
          <w:p>
            <w:pPr>
              <w:pStyle w:val="TableParagraph"/>
              <w:spacing w:before="9"/>
              <w:rPr>
                <w:b/>
                <w:i/>
                <w:sz w:val="21"/>
              </w:rPr>
            </w:pPr>
          </w:p>
          <w:p>
            <w:pPr>
              <w:pStyle w:val="TableParagraph"/>
              <w:ind w:left="110" w:right="88"/>
              <w:jc w:val="both"/>
              <w:rPr>
                <w:sz w:val="22"/>
              </w:rPr>
            </w:pPr>
            <w:r>
              <w:rPr>
                <w:sz w:val="22"/>
              </w:rPr>
              <w:t>FO3.- Establecer comunicación con otros Jardines Botánicos para intercambio de experiencias y de ejemplares.</w:t>
            </w:r>
          </w:p>
          <w:p>
            <w:pPr>
              <w:pStyle w:val="TableParagraph"/>
              <w:spacing w:before="9"/>
              <w:rPr>
                <w:b/>
                <w:i/>
                <w:sz w:val="21"/>
              </w:rPr>
            </w:pPr>
          </w:p>
          <w:p>
            <w:pPr>
              <w:pStyle w:val="TableParagraph"/>
              <w:spacing w:before="1"/>
              <w:ind w:left="110" w:right="92"/>
              <w:jc w:val="both"/>
              <w:rPr>
                <w:sz w:val="22"/>
              </w:rPr>
            </w:pPr>
            <w:r>
              <w:rPr>
                <w:sz w:val="22"/>
              </w:rPr>
              <w:t>FO4.- Realizar programas de educación ambiental e invitar a la comunidad a participar.</w:t>
            </w:r>
          </w:p>
        </w:tc>
        <w:tc>
          <w:tcPr>
            <w:tcW w:w="6631" w:type="dxa"/>
          </w:tcPr>
          <w:p>
            <w:pPr>
              <w:pStyle w:val="TableParagraph"/>
              <w:spacing w:before="67"/>
              <w:ind w:left="91" w:right="51"/>
              <w:rPr>
                <w:b/>
                <w:i/>
                <w:sz w:val="22"/>
              </w:rPr>
            </w:pPr>
            <w:r>
              <w:rPr>
                <w:b/>
                <w:i/>
                <w:sz w:val="22"/>
              </w:rPr>
              <w:t>ESTRATEGIA FA, PARA MINIMIZAR LAS AMENAZAS Y </w:t>
            </w:r>
            <w:r>
              <w:rPr>
                <w:b/>
                <w:i/>
                <w:sz w:val="22"/>
              </w:rPr>
              <w:t>MAXIMIZAR LAS FORTALEZAS.</w:t>
            </w:r>
          </w:p>
          <w:p>
            <w:pPr>
              <w:pStyle w:val="TableParagraph"/>
              <w:spacing w:before="9"/>
              <w:rPr>
                <w:b/>
                <w:i/>
                <w:sz w:val="21"/>
              </w:rPr>
            </w:pPr>
          </w:p>
          <w:p>
            <w:pPr>
              <w:pStyle w:val="TableParagraph"/>
              <w:spacing w:before="1"/>
              <w:ind w:left="91" w:right="51"/>
              <w:rPr>
                <w:sz w:val="22"/>
              </w:rPr>
            </w:pPr>
            <w:r>
              <w:rPr>
                <w:sz w:val="22"/>
              </w:rPr>
              <w:t>FA1.- Establecer un vínculo entre los Jardines Botánicos, para lograr mayores éxitos en la implementación de los proyectos.</w:t>
            </w:r>
          </w:p>
          <w:p>
            <w:pPr>
              <w:pStyle w:val="TableParagraph"/>
              <w:spacing w:before="9"/>
              <w:rPr>
                <w:b/>
                <w:i/>
                <w:sz w:val="22"/>
              </w:rPr>
            </w:pPr>
          </w:p>
          <w:p>
            <w:pPr>
              <w:pStyle w:val="TableParagraph"/>
              <w:spacing w:line="250" w:lineRule="exact"/>
              <w:ind w:left="91" w:right="51"/>
              <w:rPr>
                <w:sz w:val="22"/>
              </w:rPr>
            </w:pPr>
            <w:r>
              <w:rPr>
                <w:sz w:val="22"/>
              </w:rPr>
              <w:t>FA2.- Impulsar el desarrollo de cursos de capacitación para el personal que labora en el Parque.</w:t>
            </w:r>
          </w:p>
          <w:p>
            <w:pPr>
              <w:pStyle w:val="TableParagraph"/>
              <w:spacing w:before="10"/>
              <w:rPr>
                <w:b/>
                <w:i/>
                <w:sz w:val="21"/>
              </w:rPr>
            </w:pPr>
          </w:p>
          <w:p>
            <w:pPr>
              <w:pStyle w:val="TableParagraph"/>
              <w:spacing w:before="1"/>
              <w:ind w:left="91" w:right="51"/>
              <w:rPr>
                <w:sz w:val="22"/>
              </w:rPr>
            </w:pPr>
            <w:r>
              <w:rPr>
                <w:sz w:val="22"/>
              </w:rPr>
              <w:t>FA3.- Realizar integración de los programas de apoyo.</w:t>
            </w:r>
          </w:p>
          <w:p>
            <w:pPr>
              <w:pStyle w:val="TableParagraph"/>
              <w:spacing w:before="9"/>
              <w:rPr>
                <w:b/>
                <w:i/>
                <w:sz w:val="21"/>
              </w:rPr>
            </w:pPr>
          </w:p>
          <w:p>
            <w:pPr>
              <w:pStyle w:val="TableParagraph"/>
              <w:ind w:left="91" w:right="51"/>
              <w:rPr>
                <w:sz w:val="22"/>
              </w:rPr>
            </w:pPr>
            <w:r>
              <w:rPr>
                <w:sz w:val="22"/>
              </w:rPr>
              <w:t>FA4.- Ampliar las áreas de difusión a programas que apoyan la protección y conservación de los recursos naturales.</w:t>
            </w:r>
          </w:p>
          <w:p>
            <w:pPr>
              <w:pStyle w:val="TableParagraph"/>
              <w:spacing w:before="9"/>
              <w:rPr>
                <w:b/>
                <w:i/>
                <w:sz w:val="21"/>
              </w:rPr>
            </w:pPr>
          </w:p>
          <w:p>
            <w:pPr>
              <w:pStyle w:val="TableParagraph"/>
              <w:ind w:left="91" w:right="51"/>
              <w:rPr>
                <w:sz w:val="22"/>
              </w:rPr>
            </w:pPr>
            <w:r>
              <w:rPr>
                <w:sz w:val="22"/>
              </w:rPr>
              <w:t>FA5.- Inculcar en los alumnos de nuevo ingreso el amor a la conservación de las plantas a través de pláticas o cursos.</w:t>
            </w:r>
          </w:p>
        </w:tc>
      </w:tr>
      <w:tr>
        <w:trPr>
          <w:trHeight w:val="3457" w:hRule="exact"/>
        </w:trPr>
        <w:tc>
          <w:tcPr>
            <w:tcW w:w="6636" w:type="dxa"/>
          </w:tcPr>
          <w:p>
            <w:pPr>
              <w:pStyle w:val="TableParagraph"/>
              <w:spacing w:line="250" w:lineRule="exact" w:before="54"/>
              <w:ind w:left="110"/>
              <w:rPr>
                <w:b/>
                <w:i/>
                <w:sz w:val="22"/>
              </w:rPr>
            </w:pPr>
            <w:r>
              <w:rPr>
                <w:b/>
                <w:i/>
                <w:sz w:val="22"/>
              </w:rPr>
              <w:t>ESTRATEGIA DO, PARA MINIMIZAR LAS DEBILIDADES Y </w:t>
            </w:r>
            <w:r>
              <w:rPr>
                <w:b/>
                <w:i/>
                <w:sz w:val="22"/>
              </w:rPr>
              <w:t>MAXIMIZAR LAS OPORTUNIDADES.</w:t>
            </w:r>
          </w:p>
          <w:p>
            <w:pPr>
              <w:pStyle w:val="TableParagraph"/>
              <w:spacing w:before="10"/>
              <w:rPr>
                <w:b/>
                <w:i/>
                <w:sz w:val="21"/>
              </w:rPr>
            </w:pPr>
          </w:p>
          <w:p>
            <w:pPr>
              <w:pStyle w:val="TableParagraph"/>
              <w:spacing w:before="1"/>
              <w:ind w:left="110"/>
              <w:rPr>
                <w:sz w:val="22"/>
              </w:rPr>
            </w:pPr>
            <w:r>
              <w:rPr>
                <w:sz w:val="22"/>
              </w:rPr>
              <w:t>DO1.- Fortalecer las colecciones de plantas.</w:t>
            </w:r>
          </w:p>
          <w:p>
            <w:pPr>
              <w:pStyle w:val="TableParagraph"/>
              <w:spacing w:before="10"/>
              <w:rPr>
                <w:b/>
                <w:i/>
                <w:sz w:val="21"/>
              </w:rPr>
            </w:pPr>
          </w:p>
          <w:p>
            <w:pPr>
              <w:pStyle w:val="TableParagraph"/>
              <w:ind w:left="110"/>
              <w:rPr>
                <w:sz w:val="22"/>
              </w:rPr>
            </w:pPr>
            <w:r>
              <w:rPr>
                <w:sz w:val="22"/>
              </w:rPr>
              <w:t>DO2.- Establecer convenios con instituciones de educación e investigación.</w:t>
            </w:r>
          </w:p>
          <w:p>
            <w:pPr>
              <w:pStyle w:val="TableParagraph"/>
              <w:spacing w:before="9"/>
              <w:rPr>
                <w:b/>
                <w:i/>
                <w:sz w:val="21"/>
              </w:rPr>
            </w:pPr>
          </w:p>
          <w:p>
            <w:pPr>
              <w:pStyle w:val="TableParagraph"/>
              <w:ind w:left="110"/>
              <w:rPr>
                <w:sz w:val="22"/>
              </w:rPr>
            </w:pPr>
            <w:r>
              <w:rPr>
                <w:sz w:val="22"/>
              </w:rPr>
              <w:t>DO3.- Designar un costo para la entrada al Jardín Botánico que permita generar ingresos para el mantenimiento del mismo.</w:t>
            </w:r>
          </w:p>
        </w:tc>
        <w:tc>
          <w:tcPr>
            <w:tcW w:w="6631" w:type="dxa"/>
          </w:tcPr>
          <w:p>
            <w:pPr>
              <w:pStyle w:val="TableParagraph"/>
              <w:spacing w:line="250" w:lineRule="exact" w:before="54"/>
              <w:ind w:left="91" w:right="51"/>
              <w:rPr>
                <w:b/>
                <w:i/>
                <w:sz w:val="22"/>
              </w:rPr>
            </w:pPr>
            <w:r>
              <w:rPr>
                <w:b/>
                <w:i/>
                <w:sz w:val="22"/>
              </w:rPr>
              <w:t>ESTRATEGIA DA, PARA MINIMIZAR LAS DEBILIDADES Y </w:t>
            </w:r>
            <w:r>
              <w:rPr>
                <w:b/>
                <w:i/>
                <w:sz w:val="22"/>
              </w:rPr>
              <w:t>LAS AMENAZAS.</w:t>
            </w:r>
          </w:p>
          <w:p>
            <w:pPr>
              <w:pStyle w:val="TableParagraph"/>
              <w:spacing w:before="10"/>
              <w:rPr>
                <w:b/>
                <w:i/>
                <w:sz w:val="21"/>
              </w:rPr>
            </w:pPr>
          </w:p>
          <w:p>
            <w:pPr>
              <w:pStyle w:val="TableParagraph"/>
              <w:spacing w:before="1"/>
              <w:ind w:left="91" w:right="51"/>
              <w:rPr>
                <w:sz w:val="22"/>
              </w:rPr>
            </w:pPr>
            <w:r>
              <w:rPr>
                <w:sz w:val="22"/>
              </w:rPr>
              <w:t>DA1.- Realizar caminatas deportivas dentro del Parque para estimular el interés entre la población.</w:t>
            </w:r>
          </w:p>
          <w:p>
            <w:pPr>
              <w:pStyle w:val="TableParagraph"/>
              <w:spacing w:before="10"/>
              <w:rPr>
                <w:b/>
                <w:i/>
                <w:sz w:val="21"/>
              </w:rPr>
            </w:pPr>
          </w:p>
          <w:p>
            <w:pPr>
              <w:pStyle w:val="TableParagraph"/>
              <w:ind w:left="91" w:right="51"/>
              <w:rPr>
                <w:sz w:val="22"/>
              </w:rPr>
            </w:pPr>
            <w:r>
              <w:rPr>
                <w:sz w:val="22"/>
              </w:rPr>
              <w:t>DA2.- Realizar pláticas y/o cursos de capacitación sobre el mantenimiento de las áreas.</w:t>
            </w:r>
          </w:p>
          <w:p>
            <w:pPr>
              <w:pStyle w:val="TableParagraph"/>
              <w:spacing w:before="9"/>
              <w:rPr>
                <w:b/>
                <w:i/>
                <w:sz w:val="21"/>
              </w:rPr>
            </w:pPr>
          </w:p>
          <w:p>
            <w:pPr>
              <w:pStyle w:val="TableParagraph"/>
              <w:ind w:left="91" w:right="51"/>
              <w:rPr>
                <w:sz w:val="22"/>
              </w:rPr>
            </w:pPr>
            <w:r>
              <w:rPr>
                <w:sz w:val="22"/>
              </w:rPr>
              <w:t>DA3.- Desarrollar programas de difusión del Parque.</w:t>
            </w:r>
          </w:p>
          <w:p>
            <w:pPr>
              <w:pStyle w:val="TableParagraph"/>
              <w:spacing w:before="9"/>
              <w:rPr>
                <w:b/>
                <w:i/>
                <w:sz w:val="21"/>
              </w:rPr>
            </w:pPr>
          </w:p>
          <w:p>
            <w:pPr>
              <w:pStyle w:val="TableParagraph"/>
              <w:spacing w:before="1"/>
              <w:ind w:left="91" w:right="51"/>
              <w:rPr>
                <w:sz w:val="22"/>
              </w:rPr>
            </w:pPr>
            <w:r>
              <w:rPr>
                <w:sz w:val="22"/>
              </w:rPr>
              <w:t>DA4.- Desarrollo y transferencia de tecnología acorde a las condiciones del Parque.</w:t>
            </w:r>
          </w:p>
        </w:tc>
      </w:tr>
    </w:tbl>
    <w:p>
      <w:pPr>
        <w:spacing w:before="9"/>
        <w:ind w:left="256" w:right="97" w:firstLine="0"/>
        <w:jc w:val="left"/>
        <w:rPr>
          <w:b/>
          <w:i/>
          <w:sz w:val="20"/>
        </w:rPr>
      </w:pPr>
      <w:r>
        <w:rPr>
          <w:b/>
          <w:i/>
          <w:sz w:val="20"/>
        </w:rPr>
        <w:t>Fuente: Elaboración propia, a partir de Camacho, 2001 y Gutiérrez, 2013.</w:t>
      </w:r>
    </w:p>
    <w:p>
      <w:pPr>
        <w:spacing w:after="0"/>
        <w:jc w:val="left"/>
        <w:rPr>
          <w:sz w:val="20"/>
        </w:rPr>
        <w:sectPr>
          <w:pgSz w:w="15840" w:h="12240" w:orient="landscape"/>
          <w:pgMar w:header="690" w:footer="1147" w:top="880" w:bottom="1340" w:left="1160" w:right="1140"/>
        </w:sectPr>
      </w:pPr>
    </w:p>
    <w:p>
      <w:pPr>
        <w:pStyle w:val="BodyText"/>
        <w:rPr>
          <w:b/>
          <w:i/>
          <w:sz w:val="20"/>
        </w:rPr>
      </w:pPr>
    </w:p>
    <w:p>
      <w:pPr>
        <w:pStyle w:val="BodyText"/>
        <w:spacing w:before="4"/>
        <w:rPr>
          <w:b/>
          <w:i/>
          <w:sz w:val="19"/>
        </w:rPr>
      </w:pPr>
    </w:p>
    <w:p>
      <w:pPr>
        <w:pStyle w:val="Heading2"/>
        <w:numPr>
          <w:ilvl w:val="1"/>
          <w:numId w:val="16"/>
        </w:numPr>
        <w:tabs>
          <w:tab w:pos="828" w:val="left" w:leader="none"/>
        </w:tabs>
        <w:spacing w:line="240" w:lineRule="auto" w:before="70" w:after="0"/>
        <w:ind w:left="827" w:right="0" w:hanging="428"/>
        <w:jc w:val="left"/>
      </w:pPr>
      <w:r>
        <w:rPr/>
        <w:t>Análisis bajo el Enfoque del Marco Lógico</w:t>
      </w:r>
      <w:r>
        <w:rPr>
          <w:spacing w:val="-27"/>
        </w:rPr>
        <w:t> </w:t>
      </w:r>
      <w:r>
        <w:rPr/>
        <w:t>(EML).</w:t>
      </w:r>
    </w:p>
    <w:p>
      <w:pPr>
        <w:pStyle w:val="BodyText"/>
        <w:spacing w:line="360" w:lineRule="auto" w:before="146"/>
        <w:ind w:left="116" w:right="111"/>
        <w:jc w:val="both"/>
      </w:pPr>
      <w:r>
        <w:rPr/>
        <w:t>Con la finalidad de integrar las estrategias que aminoren los  problemas  ambientales que se presentan dentro del Parque Universitario “Las Orquídeas” se aplicó el análisis del Enfoque del Marco Lógico (Camacho, 2001). La información utilizada para la identificación y construcción del árbol de problemas fueron las siguientes: entrevistas personales realizadas al Director General, Auxiliar Administrativo y personal de jardinería, indicadores ambientales y observaciones en el área de estudio.</w:t>
      </w:r>
    </w:p>
    <w:p>
      <w:pPr>
        <w:pStyle w:val="BodyText"/>
      </w:pPr>
    </w:p>
    <w:p>
      <w:pPr>
        <w:pStyle w:val="BodyText"/>
      </w:pPr>
    </w:p>
    <w:p>
      <w:pPr>
        <w:pStyle w:val="BodyText"/>
        <w:spacing w:before="5"/>
      </w:pPr>
    </w:p>
    <w:p>
      <w:pPr>
        <w:pStyle w:val="ListParagraph"/>
        <w:numPr>
          <w:ilvl w:val="2"/>
          <w:numId w:val="16"/>
        </w:numPr>
        <w:tabs>
          <w:tab w:pos="1111" w:val="left" w:leader="none"/>
        </w:tabs>
        <w:spacing w:line="240" w:lineRule="auto" w:before="1" w:after="0"/>
        <w:ind w:left="1110" w:right="0" w:hanging="711"/>
        <w:jc w:val="left"/>
        <w:rPr>
          <w:i/>
          <w:sz w:val="24"/>
        </w:rPr>
      </w:pPr>
      <w:r>
        <w:rPr>
          <w:i/>
          <w:sz w:val="24"/>
        </w:rPr>
        <w:t>Análisis de</w:t>
      </w:r>
      <w:r>
        <w:rPr>
          <w:i/>
          <w:spacing w:val="-8"/>
          <w:sz w:val="24"/>
        </w:rPr>
        <w:t> </w:t>
      </w:r>
      <w:r>
        <w:rPr>
          <w:i/>
          <w:sz w:val="24"/>
        </w:rPr>
        <w:t>Problemas</w:t>
      </w:r>
    </w:p>
    <w:p>
      <w:pPr>
        <w:pStyle w:val="BodyText"/>
        <w:spacing w:line="360" w:lineRule="auto" w:before="137"/>
        <w:ind w:left="116" w:right="112"/>
        <w:jc w:val="both"/>
      </w:pPr>
      <w:r>
        <w:rPr/>
        <w:t>El árbol de problemas se elaboró mediante la identificación de las principales causas y efectos que modifican y deterioran las condiciones naturales del Parque, considerando principalmente aquellas relacionadas con las actividades antropogénicas, los resultados se presentan en el diagrama 1.</w:t>
      </w:r>
    </w:p>
    <w:p>
      <w:pPr>
        <w:spacing w:after="0" w:line="360" w:lineRule="auto"/>
        <w:jc w:val="both"/>
        <w:sectPr>
          <w:headerReference w:type="default" r:id="rId70"/>
          <w:footerReference w:type="default" r:id="rId71"/>
          <w:pgSz w:w="12240" w:h="15840"/>
          <w:pgMar w:header="685" w:footer="1190" w:top="880" w:bottom="1380" w:left="1300" w:right="1300"/>
          <w:pgNumType w:start="94"/>
        </w:sectPr>
      </w:pPr>
    </w:p>
    <w:p>
      <w:pPr>
        <w:pStyle w:val="BodyText"/>
        <w:rPr>
          <w:sz w:val="20"/>
        </w:rPr>
      </w:pPr>
    </w:p>
    <w:p>
      <w:pPr>
        <w:pStyle w:val="BodyText"/>
        <w:rPr>
          <w:sz w:val="20"/>
        </w:rPr>
      </w:pPr>
    </w:p>
    <w:p>
      <w:pPr>
        <w:pStyle w:val="BodyText"/>
        <w:rPr>
          <w:sz w:val="20"/>
        </w:rPr>
      </w:pPr>
    </w:p>
    <w:p>
      <w:pPr>
        <w:pStyle w:val="BodyText"/>
        <w:spacing w:before="7"/>
        <w:rPr>
          <w:sz w:val="21"/>
        </w:rPr>
      </w:pPr>
    </w:p>
    <w:p>
      <w:pPr>
        <w:spacing w:before="0"/>
        <w:ind w:left="2274" w:right="0" w:firstLine="0"/>
        <w:jc w:val="left"/>
        <w:rPr>
          <w:b/>
          <w:i/>
          <w:sz w:val="20"/>
        </w:rPr>
      </w:pPr>
      <w:r>
        <w:rPr/>
        <w:pict>
          <v:group style="position:absolute;margin-left:19.1pt;margin-top:49.099865pt;width:175.45pt;height:45.5pt;mso-position-horizontal-relative:page;mso-position-vertical-relative:paragraph;z-index:1984" coordorigin="382,982" coordsize="3509,910">
            <v:shape style="position:absolute;left:413;top:1085;width:3446;height:706" type="#_x0000_t75" stroked="false">
              <v:imagedata r:id="rId72" o:title=""/>
            </v:shape>
            <v:shape style="position:absolute;left:397;top:997;width:3479;height:880" type="#_x0000_t202" filled="false" stroked="true" strokeweight="1.5pt" strokecolor="#000000">
              <v:textbox inset="0,0,0,0">
                <w:txbxContent>
                  <w:p>
                    <w:pPr>
                      <w:spacing w:line="240" w:lineRule="auto" w:before="69"/>
                      <w:ind w:left="144" w:right="132" w:firstLine="0"/>
                      <w:jc w:val="both"/>
                      <w:rPr>
                        <w:sz w:val="22"/>
                      </w:rPr>
                    </w:pPr>
                    <w:r>
                      <w:rPr>
                        <w:sz w:val="22"/>
                      </w:rPr>
                      <w:t>Inadecuada disposición de aguas negras y desechos de la Posta Zootécnica.</w:t>
                    </w:r>
                  </w:p>
                </w:txbxContent>
              </v:textbox>
              <w10:wrap type="none"/>
            </v:shape>
            <w10:wrap type="none"/>
          </v:group>
        </w:pict>
      </w:r>
      <w:r>
        <w:rPr/>
        <w:pict>
          <v:group style="position:absolute;margin-left:373.100006pt;margin-top:115.389862pt;width:171pt;height:36.5pt;mso-position-horizontal-relative:page;mso-position-vertical-relative:paragraph;z-index:2032" coordorigin="7462,2308" coordsize="3420,730">
            <v:shape style="position:absolute;left:7493;top:2410;width:3360;height:528" type="#_x0000_t75" stroked="false">
              <v:imagedata r:id="rId73" o:title=""/>
            </v:shape>
            <v:shape style="position:absolute;left:7477;top:2323;width:3390;height:700" type="#_x0000_t202" filled="false" stroked="true" strokeweight="1.5pt" strokecolor="#000000">
              <v:textbox inset="0,0,0,0">
                <w:txbxContent>
                  <w:p>
                    <w:pPr>
                      <w:spacing w:line="249" w:lineRule="auto" w:before="68"/>
                      <w:ind w:left="147" w:right="0" w:firstLine="0"/>
                      <w:jc w:val="left"/>
                      <w:rPr>
                        <w:sz w:val="22"/>
                      </w:rPr>
                    </w:pPr>
                    <w:r>
                      <w:rPr>
                        <w:sz w:val="22"/>
                      </w:rPr>
                      <w:t>Falta promover la conservación de la biodiversidad del Parque.</w:t>
                    </w:r>
                  </w:p>
                </w:txbxContent>
              </v:textbox>
              <w10:wrap type="none"/>
            </v:shape>
            <w10:wrap type="none"/>
          </v:group>
        </w:pict>
      </w:r>
      <w:r>
        <w:rPr/>
        <w:pict>
          <v:group style="position:absolute;margin-left:198.100006pt;margin-top:61.489864pt;width:169.5pt;height:39.550pt;mso-position-horizontal-relative:page;mso-position-vertical-relative:paragraph;z-index:2080" coordorigin="3962,1230" coordsize="3390,791">
            <v:shape style="position:absolute;left:5122;top:1742;width:1406;height:278" type="#_x0000_t75" stroked="false">
              <v:imagedata r:id="rId74" o:title=""/>
            </v:shape>
            <v:shape style="position:absolute;left:3962;top:1230;width:3390;height:673" coordorigin="3962,1230" coordsize="3390,673" path="m5117,1872l4554,1872,4554,1422,4554,1407,4554,1398,4548,1392,4047,1392,4119,1349,4126,1345,4129,1336,4120,1322,4111,1319,4104,1324,3962,1407,4104,1489,4111,1494,4120,1491,4125,1484,4129,1477,4126,1468,4047,1422,4524,1422,4524,1895,4531,1902,5117,1902,5117,1887,5117,1872m7352,1317l7326,1302,7203,1230,7194,1232,7185,1247,7188,1256,7267,1302,6935,1302,6928,1309,6928,1872,6534,1872,6534,1902,6951,1902,6958,1895,6958,1887,6958,1872,6958,1332,7267,1332,7293,1317,7293,1317,7188,1378,7185,1387,7189,1394,7194,1402,7203,1404,7326,1332,7352,1317e" filled="true" fillcolor="#000000" stroked="false">
              <v:path arrowok="t"/>
              <v:fill type="solid"/>
            </v:shape>
            <v:shape style="position:absolute;left:3962;top:1230;width:3390;height:791" type="#_x0000_t202" filled="false" stroked="false">
              <v:textbox inset="0,0,0,0">
                <w:txbxContent>
                  <w:p>
                    <w:pPr>
                      <w:spacing w:line="240" w:lineRule="auto" w:before="0"/>
                      <w:rPr>
                        <w:b/>
                        <w:i/>
                        <w:sz w:val="22"/>
                      </w:rPr>
                    </w:pPr>
                  </w:p>
                  <w:p>
                    <w:pPr>
                      <w:spacing w:line="240" w:lineRule="auto" w:before="3"/>
                      <w:rPr>
                        <w:b/>
                        <w:i/>
                        <w:sz w:val="22"/>
                      </w:rPr>
                    </w:pPr>
                  </w:p>
                  <w:p>
                    <w:pPr>
                      <w:spacing w:before="0"/>
                      <w:ind w:left="1396" w:right="0" w:firstLine="0"/>
                      <w:jc w:val="left"/>
                      <w:rPr>
                        <w:b/>
                        <w:i/>
                        <w:sz w:val="22"/>
                      </w:rPr>
                    </w:pPr>
                    <w:r>
                      <w:rPr>
                        <w:b/>
                        <w:i/>
                        <w:sz w:val="22"/>
                      </w:rPr>
                      <w:t>CAUSAS</w:t>
                    </w:r>
                  </w:p>
                </w:txbxContent>
              </v:textbox>
              <w10:wrap type="none"/>
            </v:shape>
            <w10:wrap type="none"/>
          </v:group>
        </w:pict>
      </w:r>
      <w:r>
        <w:rPr/>
        <w:pict>
          <v:group style="position:absolute;margin-left:372.600006pt;margin-top:53.849865pt;width:171pt;height:34.5pt;mso-position-horizontal-relative:page;mso-position-vertical-relative:paragraph;z-index:2128" coordorigin="7452,1077" coordsize="3420,690">
            <v:shape style="position:absolute;left:7483;top:1181;width:3360;height:485" type="#_x0000_t75" stroked="false">
              <v:imagedata r:id="rId75" o:title=""/>
            </v:shape>
            <v:shape style="position:absolute;left:7467;top:1092;width:3390;height:660" type="#_x0000_t202" filled="false" stroked="true" strokeweight="1.5pt" strokecolor="#000000">
              <v:textbox inset="0,0,0,0">
                <w:txbxContent>
                  <w:p>
                    <w:pPr>
                      <w:tabs>
                        <w:tab w:pos="1404" w:val="left" w:leader="none"/>
                        <w:tab w:pos="1878" w:val="left" w:leader="none"/>
                        <w:tab w:pos="2971" w:val="left" w:leader="none"/>
                      </w:tabs>
                      <w:spacing w:line="250" w:lineRule="exact" w:before="76"/>
                      <w:ind w:left="147" w:right="138" w:firstLine="0"/>
                      <w:jc w:val="left"/>
                      <w:rPr>
                        <w:sz w:val="22"/>
                      </w:rPr>
                    </w:pPr>
                    <w:r>
                      <w:rPr>
                        <w:sz w:val="22"/>
                      </w:rPr>
                      <w:t>Extracción</w:t>
                      <w:tab/>
                      <w:t>de</w:t>
                      <w:tab/>
                      <w:t>especies</w:t>
                      <w:tab/>
                      <w:t>de plantas y recursos</w:t>
                    </w:r>
                    <w:r>
                      <w:rPr>
                        <w:spacing w:val="-14"/>
                        <w:sz w:val="22"/>
                      </w:rPr>
                      <w:t> </w:t>
                    </w:r>
                    <w:r>
                      <w:rPr>
                        <w:sz w:val="22"/>
                      </w:rPr>
                      <w:t>forestales.</w:t>
                    </w:r>
                  </w:p>
                </w:txbxContent>
              </v:textbox>
              <w10:wrap type="none"/>
            </v:shape>
            <w10:wrap type="none"/>
          </v:group>
        </w:pict>
      </w:r>
      <w:r>
        <w:rPr/>
        <w:pict>
          <v:group style="position:absolute;margin-left:19.1pt;margin-top:157.099869pt;width:447.2pt;height:214.75pt;mso-position-horizontal-relative:page;mso-position-vertical-relative:paragraph;z-index:-353392" coordorigin="382,3142" coordsize="8944,4295">
            <v:rect style="position:absolute;left:397;top:3517;width:3459;height:1200" filled="false" stroked="true" strokeweight="1.5pt" strokecolor="#000000"/>
            <v:shape style="position:absolute;left:413;top:3605;width:3427;height:1027" type="#_x0000_t75" stroked="false">
              <v:imagedata r:id="rId76" o:title=""/>
            </v:shape>
            <v:shape style="position:absolute;left:2090;top:3142;width:174;height:315" type="#_x0000_t75" stroked="false">
              <v:imagedata r:id="rId77" o:title=""/>
            </v:shape>
            <v:shape style="position:absolute;left:4790;top:4546;width:1915;height:1742" type="#_x0000_t75" stroked="false">
              <v:imagedata r:id="rId78" o:title=""/>
            </v:shape>
            <v:shape style="position:absolute;left:2157;top:5069;width:2585;height:175" coordorigin="2157,5069" coordsize="2585,175" path="m4683,5156l4578,5218,4575,5227,4579,5234,4584,5241,4593,5244,4716,5172,4712,5172,4712,5169,4705,5169,4683,5156xm4657,5142l2157,5142,2157,5172,4657,5172,4683,5156,4657,5142xm4716,5142l4712,5142,4712,5172,4716,5172,4742,5157,4716,5142xm4705,5144l4683,5156,4705,5169,4705,5144xm4712,5144l4705,5144,4705,5169,4712,5169,4712,5144xm4593,5069l4584,5072,4575,5086,4578,5095,4585,5099,4683,5156,4705,5144,4712,5144,4712,5142,4716,5142,4593,5069xe" filled="true" fillcolor="#000000" stroked="false">
              <v:path arrowok="t"/>
              <v:fill type="solid"/>
            </v:shape>
            <v:rect style="position:absolute;left:397;top:5597;width:3452;height:1440" filled="false" stroked="true" strokeweight="1.5pt" strokecolor="#000000"/>
            <v:shape style="position:absolute;left:413;top:5683;width:3422;height:1267" type="#_x0000_t75" stroked="false">
              <v:imagedata r:id="rId79" o:title=""/>
            </v:shape>
            <v:line style="position:absolute" from="2137,4737" to="2137,5547" stroked="true" strokeweight="1.5pt" strokecolor="#000000"/>
            <v:shape style="position:absolute;left:2070;top:7037;width:174;height:399" type="#_x0000_t75" stroked="false">
              <v:imagedata r:id="rId80" o:title=""/>
            </v:shape>
            <v:shape style="position:absolute;left:6717;top:5193;width:2609;height:175" coordorigin="6717,5193" coordsize="2609,175" path="m6866,5193l6859,5197,6717,5280,6859,5363,6866,5367,6875,5364,6880,5357,6884,5350,6881,5341,6802,5295,6747,5295,6747,5265,6802,5265,6881,5219,6884,5209,6875,5195,6866,5193xm6802,5265l6747,5265,6747,5295,6802,5295,6799,5293,6754,5293,6754,5267,6799,5267,6802,5265xm9326,5265l6802,5265,6776,5280,6802,5295,9326,5295,9326,5265xm6754,5267l6754,5293,6776,5280,6754,5267xm6776,5280l6754,5293,6799,5293,6776,5280xm6799,5267l6754,5267,6776,5280,6799,5267xe" filled="true" fillcolor="#000000" stroked="false">
              <v:path arrowok="t"/>
              <v:fill type="solid"/>
            </v:shape>
            <v:shape style="position:absolute;left:557;top:3629;width:494;height:221" type="#_x0000_t202" filled="false" stroked="false">
              <v:textbox inset="0,0,0,0">
                <w:txbxContent>
                  <w:p>
                    <w:pPr>
                      <w:spacing w:line="221" w:lineRule="exact" w:before="0"/>
                      <w:ind w:left="0" w:right="-16" w:firstLine="0"/>
                      <w:jc w:val="left"/>
                      <w:rPr>
                        <w:sz w:val="22"/>
                      </w:rPr>
                    </w:pPr>
                    <w:r>
                      <w:rPr>
                        <w:sz w:val="22"/>
                      </w:rPr>
                      <w:t>Falta</w:t>
                    </w:r>
                  </w:p>
                </w:txbxContent>
              </v:textbox>
              <w10:wrap type="none"/>
            </v:shape>
            <v:shape style="position:absolute;left:1498;top:3629;width:908;height:221" type="#_x0000_t202" filled="false" stroked="false">
              <v:textbox inset="0,0,0,0">
                <w:txbxContent>
                  <w:p>
                    <w:pPr>
                      <w:spacing w:line="221" w:lineRule="exact" w:before="0"/>
                      <w:ind w:left="0" w:right="-18" w:firstLine="0"/>
                      <w:jc w:val="left"/>
                      <w:rPr>
                        <w:sz w:val="22"/>
                      </w:rPr>
                    </w:pPr>
                    <w:r>
                      <w:rPr>
                        <w:sz w:val="22"/>
                      </w:rPr>
                      <w:t>gestionar</w:t>
                    </w:r>
                  </w:p>
                </w:txbxContent>
              </v:textbox>
              <w10:wrap type="none"/>
            </v:shape>
            <v:shape style="position:absolute;left:557;top:3884;width:2245;height:221" type="#_x0000_t202" filled="false" stroked="false">
              <v:textbox inset="0,0,0,0">
                <w:txbxContent>
                  <w:p>
                    <w:pPr>
                      <w:tabs>
                        <w:tab w:pos="1804" w:val="left" w:leader="none"/>
                      </w:tabs>
                      <w:spacing w:line="221" w:lineRule="exact" w:before="0"/>
                      <w:ind w:left="0" w:right="0" w:firstLine="0"/>
                      <w:jc w:val="left"/>
                      <w:rPr>
                        <w:sz w:val="22"/>
                      </w:rPr>
                    </w:pPr>
                    <w:r>
                      <w:rPr>
                        <w:sz w:val="22"/>
                      </w:rPr>
                      <w:t>financieros</w:t>
                      <w:tab/>
                    </w:r>
                    <w:r>
                      <w:rPr>
                        <w:spacing w:val="-1"/>
                        <w:sz w:val="22"/>
                      </w:rPr>
                      <w:t>para</w:t>
                    </w:r>
                  </w:p>
                </w:txbxContent>
              </v:textbox>
              <w10:wrap type="none"/>
            </v:shape>
            <v:shape style="position:absolute;left:2857;top:3629;width:851;height:476" type="#_x0000_t202" filled="false" stroked="false">
              <v:textbox inset="0,0,0,0">
                <w:txbxContent>
                  <w:p>
                    <w:pPr>
                      <w:spacing w:line="226" w:lineRule="exact" w:before="0"/>
                      <w:ind w:left="0" w:right="4" w:firstLine="0"/>
                      <w:jc w:val="right"/>
                      <w:rPr>
                        <w:sz w:val="22"/>
                      </w:rPr>
                    </w:pPr>
                    <w:r>
                      <w:rPr>
                        <w:sz w:val="22"/>
                      </w:rPr>
                      <w:t>recursos</w:t>
                    </w:r>
                  </w:p>
                  <w:p>
                    <w:pPr>
                      <w:spacing w:line="248" w:lineRule="exact" w:before="1"/>
                      <w:ind w:left="0" w:right="0" w:firstLine="0"/>
                      <w:jc w:val="right"/>
                      <w:rPr>
                        <w:sz w:val="22"/>
                      </w:rPr>
                    </w:pPr>
                    <w:r>
                      <w:rPr>
                        <w:sz w:val="22"/>
                      </w:rPr>
                      <w:t>el</w:t>
                    </w:r>
                  </w:p>
                </w:txbxContent>
              </v:textbox>
              <w10:wrap type="none"/>
            </v:shape>
            <v:shape style="position:absolute;left:557;top:4133;width:3153;height:485" type="#_x0000_t202" filled="false" stroked="false">
              <v:textbox inset="0,0,0,0">
                <w:txbxContent>
                  <w:p>
                    <w:pPr>
                      <w:spacing w:line="226" w:lineRule="exact" w:before="0"/>
                      <w:ind w:left="0" w:right="0" w:firstLine="0"/>
                      <w:jc w:val="left"/>
                      <w:rPr>
                        <w:sz w:val="22"/>
                      </w:rPr>
                    </w:pPr>
                    <w:r>
                      <w:rPr>
                        <w:sz w:val="22"/>
                      </w:rPr>
                      <w:t>mantenimiento   del   Parque   y</w:t>
                    </w:r>
                  </w:p>
                  <w:p>
                    <w:pPr>
                      <w:spacing w:line="248" w:lineRule="exact" w:before="11"/>
                      <w:ind w:left="0" w:right="0" w:firstLine="0"/>
                      <w:jc w:val="left"/>
                      <w:rPr>
                        <w:sz w:val="22"/>
                      </w:rPr>
                    </w:pPr>
                    <w:r>
                      <w:rPr>
                        <w:sz w:val="22"/>
                      </w:rPr>
                      <w:t>contratación de personal.</w:t>
                    </w:r>
                  </w:p>
                </w:txbxContent>
              </v:textbox>
              <w10:wrap type="none"/>
            </v:shape>
            <v:shape style="position:absolute;left:4777;top:4457;width:1942;height:1920" type="#_x0000_t202" filled="false" stroked="true" strokeweight="1.5pt" strokecolor="#000000">
              <v:textbox inset="0,0,0,0">
                <w:txbxContent>
                  <w:p>
                    <w:pPr>
                      <w:spacing w:line="240" w:lineRule="auto" w:before="66"/>
                      <w:ind w:left="283" w:right="0" w:hanging="92"/>
                      <w:jc w:val="left"/>
                      <w:rPr>
                        <w:b/>
                        <w:sz w:val="22"/>
                      </w:rPr>
                    </w:pPr>
                    <w:r>
                      <w:rPr>
                        <w:b/>
                        <w:sz w:val="22"/>
                      </w:rPr>
                      <w:t>Modificación y deterioro Ambiental del Parque Universitario</w:t>
                    </w:r>
                  </w:p>
                  <w:p>
                    <w:pPr>
                      <w:spacing w:before="1"/>
                      <w:ind w:left="355" w:right="0" w:firstLine="355"/>
                      <w:jc w:val="left"/>
                      <w:rPr>
                        <w:b/>
                        <w:sz w:val="22"/>
                      </w:rPr>
                    </w:pPr>
                    <w:r>
                      <w:rPr>
                        <w:b/>
                        <w:sz w:val="22"/>
                      </w:rPr>
                      <w:t>“Las Orquídeas”</w:t>
                    </w:r>
                  </w:p>
                </w:txbxContent>
              </v:textbox>
              <w10:wrap type="none"/>
            </v:shape>
            <v:shape style="position:absolute;left:557;top:5708;width:1476;height:221" type="#_x0000_t202" filled="false" stroked="false">
              <v:textbox inset="0,0,0,0">
                <w:txbxContent>
                  <w:p>
                    <w:pPr>
                      <w:spacing w:line="221" w:lineRule="exact" w:before="0"/>
                      <w:ind w:left="0" w:right="-12" w:firstLine="0"/>
                      <w:jc w:val="left"/>
                      <w:rPr>
                        <w:sz w:val="22"/>
                      </w:rPr>
                    </w:pPr>
                    <w:r>
                      <w:rPr>
                        <w:sz w:val="22"/>
                      </w:rPr>
                      <w:t>Contaminación</w:t>
                    </w:r>
                  </w:p>
                </w:txbxContent>
              </v:textbox>
              <w10:wrap type="none"/>
            </v:shape>
            <v:shape style="position:absolute;left:2548;top:5708;width:295;height:221" type="#_x0000_t202" filled="false" stroked="false">
              <v:textbox inset="0,0,0,0">
                <w:txbxContent>
                  <w:p>
                    <w:pPr>
                      <w:spacing w:line="221" w:lineRule="exact" w:before="0"/>
                      <w:ind w:left="0" w:right="-19" w:firstLine="0"/>
                      <w:jc w:val="left"/>
                      <w:rPr>
                        <w:sz w:val="22"/>
                      </w:rPr>
                    </w:pPr>
                    <w:r>
                      <w:rPr>
                        <w:sz w:val="22"/>
                      </w:rPr>
                      <w:t>del</w:t>
                    </w:r>
                  </w:p>
                </w:txbxContent>
              </v:textbox>
              <w10:wrap type="none"/>
            </v:shape>
            <v:shape style="position:absolute;left:3356;top:5708;width:340;height:221" type="#_x0000_t202" filled="false" stroked="false">
              <v:textbox inset="0,0,0,0">
                <w:txbxContent>
                  <w:p>
                    <w:pPr>
                      <w:spacing w:line="221" w:lineRule="exact" w:before="0"/>
                      <w:ind w:left="0" w:right="-17" w:firstLine="0"/>
                      <w:jc w:val="left"/>
                      <w:rPr>
                        <w:sz w:val="22"/>
                      </w:rPr>
                    </w:pPr>
                    <w:r>
                      <w:rPr>
                        <w:spacing w:val="-2"/>
                        <w:sz w:val="22"/>
                      </w:rPr>
                      <w:t>Río</w:t>
                    </w:r>
                  </w:p>
                </w:txbxContent>
              </v:textbox>
              <w10:wrap type="none"/>
            </v:shape>
            <v:shape style="position:absolute;left:557;top:5963;width:3149;height:476" type="#_x0000_t202" filled="false" stroked="false">
              <v:textbox inset="0,0,0,0">
                <w:txbxContent>
                  <w:p>
                    <w:pPr>
                      <w:spacing w:line="226" w:lineRule="exact" w:before="0"/>
                      <w:ind w:left="0" w:right="0" w:firstLine="0"/>
                      <w:jc w:val="left"/>
                      <w:rPr>
                        <w:sz w:val="22"/>
                      </w:rPr>
                    </w:pPr>
                    <w:r>
                      <w:rPr>
                        <w:sz w:val="22"/>
                      </w:rPr>
                      <w:t>Temascaltepec  por  las   aguas</w:t>
                    </w:r>
                  </w:p>
                  <w:p>
                    <w:pPr>
                      <w:spacing w:line="248" w:lineRule="exact" w:before="1"/>
                      <w:ind w:left="0" w:right="0" w:firstLine="0"/>
                      <w:jc w:val="left"/>
                      <w:rPr>
                        <w:sz w:val="22"/>
                      </w:rPr>
                    </w:pPr>
                    <w:r>
                      <w:rPr>
                        <w:sz w:val="22"/>
                      </w:rPr>
                      <w:t>negras   y   el   arrastre   de  los</w:t>
                    </w:r>
                  </w:p>
                </w:txbxContent>
              </v:textbox>
              <w10:wrap type="none"/>
            </v:shape>
            <v:shape style="position:absolute;left:557;top:6467;width:1595;height:476" type="#_x0000_t202" filled="false" stroked="false">
              <v:textbox inset="0,0,0,0">
                <w:txbxContent>
                  <w:p>
                    <w:pPr>
                      <w:tabs>
                        <w:tab w:pos="1351" w:val="left" w:leader="none"/>
                      </w:tabs>
                      <w:spacing w:line="226" w:lineRule="exact" w:before="0"/>
                      <w:ind w:left="0" w:right="0" w:firstLine="0"/>
                      <w:jc w:val="left"/>
                      <w:rPr>
                        <w:sz w:val="22"/>
                      </w:rPr>
                    </w:pPr>
                    <w:r>
                      <w:rPr>
                        <w:sz w:val="22"/>
                      </w:rPr>
                      <w:t>desechos</w:t>
                      <w:tab/>
                    </w:r>
                    <w:r>
                      <w:rPr>
                        <w:spacing w:val="-2"/>
                        <w:sz w:val="22"/>
                      </w:rPr>
                      <w:t>de</w:t>
                    </w:r>
                  </w:p>
                  <w:p>
                    <w:pPr>
                      <w:spacing w:line="248" w:lineRule="exact" w:before="1"/>
                      <w:ind w:left="0" w:right="0" w:firstLine="0"/>
                      <w:jc w:val="left"/>
                      <w:rPr>
                        <w:sz w:val="22"/>
                      </w:rPr>
                    </w:pPr>
                    <w:r>
                      <w:rPr>
                        <w:sz w:val="22"/>
                      </w:rPr>
                      <w:t>Zootécnica.</w:t>
                    </w:r>
                  </w:p>
                </w:txbxContent>
              </v:textbox>
              <w10:wrap type="none"/>
            </v:shape>
            <v:shape style="position:absolute;left:2557;top:6467;width:172;height:221" type="#_x0000_t202" filled="false" stroked="false">
              <v:textbox inset="0,0,0,0">
                <w:txbxContent>
                  <w:p>
                    <w:pPr>
                      <w:spacing w:line="221" w:lineRule="exact" w:before="0"/>
                      <w:ind w:left="0" w:right="-20" w:firstLine="0"/>
                      <w:jc w:val="left"/>
                      <w:rPr>
                        <w:sz w:val="22"/>
                      </w:rPr>
                    </w:pPr>
                    <w:r>
                      <w:rPr>
                        <w:sz w:val="22"/>
                      </w:rPr>
                      <w:t>la</w:t>
                    </w:r>
                  </w:p>
                </w:txbxContent>
              </v:textbox>
              <w10:wrap type="none"/>
            </v:shape>
            <v:shape style="position:absolute;left:3134;top:6467;width:566;height:221" type="#_x0000_t202" filled="false" stroked="false">
              <v:textbox inset="0,0,0,0">
                <w:txbxContent>
                  <w:p>
                    <w:pPr>
                      <w:spacing w:line="221" w:lineRule="exact" w:before="0"/>
                      <w:ind w:left="0" w:right="-17" w:firstLine="0"/>
                      <w:jc w:val="left"/>
                      <w:rPr>
                        <w:sz w:val="22"/>
                      </w:rPr>
                    </w:pPr>
                    <w:r>
                      <w:rPr>
                        <w:sz w:val="22"/>
                      </w:rPr>
                      <w:t>Posta</w:t>
                    </w:r>
                  </w:p>
                </w:txbxContent>
              </v:textbox>
              <w10:wrap type="none"/>
            </v:shape>
            <w10:wrap type="none"/>
          </v:group>
        </w:pict>
      </w:r>
      <w:r>
        <w:rPr/>
        <w:pict>
          <v:group style="position:absolute;margin-left:19.1pt;margin-top:110.089867pt;width:174.6pt;height:45.5pt;mso-position-horizontal-relative:page;mso-position-vertical-relative:paragraph;z-index:2512" coordorigin="382,2202" coordsize="3492,910">
            <v:shape style="position:absolute;left:413;top:2304;width:3432;height:706" type="#_x0000_t75" stroked="false">
              <v:imagedata r:id="rId81" o:title=""/>
            </v:shape>
            <v:shape style="position:absolute;left:397;top:2217;width:3462;height:880" type="#_x0000_t202" filled="false" stroked="true" strokeweight="1.5pt" strokecolor="#000000">
              <v:textbox inset="0,0,0,0">
                <w:txbxContent>
                  <w:p>
                    <w:pPr>
                      <w:spacing w:line="240" w:lineRule="auto" w:before="69"/>
                      <w:ind w:left="144" w:right="128" w:firstLine="0"/>
                      <w:jc w:val="both"/>
                      <w:rPr>
                        <w:sz w:val="22"/>
                      </w:rPr>
                    </w:pPr>
                    <w:r>
                      <w:rPr>
                        <w:sz w:val="22"/>
                      </w:rPr>
                      <w:t>Falta  colocar  contenedores para segregar los desechos sólidos.</w:t>
                    </w:r>
                  </w:p>
                </w:txbxContent>
              </v:textbox>
              <w10:wrap type="none"/>
            </v:shape>
            <w10:wrap type="none"/>
          </v:group>
        </w:pict>
      </w:r>
      <w:r>
        <w:rPr/>
        <w:drawing>
          <wp:anchor distT="0" distB="0" distL="0" distR="0" allowOverlap="1" layoutInCell="1" locked="0" behindDoc="0" simplePos="0" relativeHeight="2536">
            <wp:simplePos x="0" y="0"/>
            <wp:positionH relativeFrom="page">
              <wp:posOffset>4770120</wp:posOffset>
            </wp:positionH>
            <wp:positionV relativeFrom="paragraph">
              <wp:posOffset>2328670</wp:posOffset>
            </wp:positionV>
            <wp:extent cx="2128421" cy="626363"/>
            <wp:effectExtent l="0" t="0" r="0" b="0"/>
            <wp:wrapNone/>
            <wp:docPr id="47" name="image34.png" descr=""/>
            <wp:cNvGraphicFramePr>
              <a:graphicFrameLocks noChangeAspect="1"/>
            </wp:cNvGraphicFramePr>
            <a:graphic>
              <a:graphicData uri="http://schemas.openxmlformats.org/drawingml/2006/picture">
                <pic:pic>
                  <pic:nvPicPr>
                    <pic:cNvPr id="48" name="image34.png"/>
                    <pic:cNvPicPr/>
                  </pic:nvPicPr>
                  <pic:blipFill>
                    <a:blip r:embed="rId82" cstate="print"/>
                    <a:stretch>
                      <a:fillRect/>
                    </a:stretch>
                  </pic:blipFill>
                  <pic:spPr>
                    <a:xfrm>
                      <a:off x="0" y="0"/>
                      <a:ext cx="2128421" cy="626363"/>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1333372</wp:posOffset>
            </wp:positionH>
            <wp:positionV relativeFrom="paragraph">
              <wp:posOffset>1212340</wp:posOffset>
            </wp:positionV>
            <wp:extent cx="110743" cy="190500"/>
            <wp:effectExtent l="0" t="0" r="0" b="0"/>
            <wp:wrapNone/>
            <wp:docPr id="49" name="image35.png" descr=""/>
            <wp:cNvGraphicFramePr>
              <a:graphicFrameLocks noChangeAspect="1"/>
            </wp:cNvGraphicFramePr>
            <a:graphic>
              <a:graphicData uri="http://schemas.openxmlformats.org/drawingml/2006/picture">
                <pic:pic>
                  <pic:nvPicPr>
                    <pic:cNvPr id="50" name="image35.png"/>
                    <pic:cNvPicPr/>
                  </pic:nvPicPr>
                  <pic:blipFill>
                    <a:blip r:embed="rId83" cstate="print"/>
                    <a:stretch>
                      <a:fillRect/>
                    </a:stretch>
                  </pic:blipFill>
                  <pic:spPr>
                    <a:xfrm>
                      <a:off x="0" y="0"/>
                      <a:ext cx="110743" cy="190500"/>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5854572</wp:posOffset>
            </wp:positionH>
            <wp:positionV relativeFrom="paragraph">
              <wp:posOffset>1193290</wp:posOffset>
            </wp:positionV>
            <wp:extent cx="110743" cy="190500"/>
            <wp:effectExtent l="0" t="0" r="0" b="0"/>
            <wp:wrapNone/>
            <wp:docPr id="51" name="image36.png" descr=""/>
            <wp:cNvGraphicFramePr>
              <a:graphicFrameLocks noChangeAspect="1"/>
            </wp:cNvGraphicFramePr>
            <a:graphic>
              <a:graphicData uri="http://schemas.openxmlformats.org/drawingml/2006/picture">
                <pic:pic>
                  <pic:nvPicPr>
                    <pic:cNvPr id="52" name="image36.png"/>
                    <pic:cNvPicPr/>
                  </pic:nvPicPr>
                  <pic:blipFill>
                    <a:blip r:embed="rId84" cstate="print"/>
                    <a:stretch>
                      <a:fillRect/>
                    </a:stretch>
                  </pic:blipFill>
                  <pic:spPr>
                    <a:xfrm>
                      <a:off x="0" y="0"/>
                      <a:ext cx="110743" cy="190500"/>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5856478</wp:posOffset>
            </wp:positionH>
            <wp:positionV relativeFrom="paragraph">
              <wp:posOffset>1964053</wp:posOffset>
            </wp:positionV>
            <wp:extent cx="110676" cy="209550"/>
            <wp:effectExtent l="0" t="0" r="0" b="0"/>
            <wp:wrapNone/>
            <wp:docPr id="53" name="image37.png" descr=""/>
            <wp:cNvGraphicFramePr>
              <a:graphicFrameLocks noChangeAspect="1"/>
            </wp:cNvGraphicFramePr>
            <a:graphic>
              <a:graphicData uri="http://schemas.openxmlformats.org/drawingml/2006/picture">
                <pic:pic>
                  <pic:nvPicPr>
                    <pic:cNvPr id="54" name="image37.png"/>
                    <pic:cNvPicPr/>
                  </pic:nvPicPr>
                  <pic:blipFill>
                    <a:blip r:embed="rId85" cstate="print"/>
                    <a:stretch>
                      <a:fillRect/>
                    </a:stretch>
                  </pic:blipFill>
                  <pic:spPr>
                    <a:xfrm>
                      <a:off x="0" y="0"/>
                      <a:ext cx="110676" cy="209550"/>
                    </a:xfrm>
                    <a:prstGeom prst="rect">
                      <a:avLst/>
                    </a:prstGeom>
                  </pic:spPr>
                </pic:pic>
              </a:graphicData>
            </a:graphic>
          </wp:anchor>
        </w:drawing>
      </w:r>
      <w:r>
        <w:rPr>
          <w:b/>
          <w:i/>
          <w:sz w:val="20"/>
        </w:rPr>
        <w:t>Diagrama 1. Árbol de problemas del Parque Universitario “Las Orquídeas”.</w:t>
      </w:r>
    </w:p>
    <w:p>
      <w:pPr>
        <w:pStyle w:val="BodyText"/>
        <w:spacing w:before="9"/>
        <w:rPr>
          <w:b/>
          <w:i/>
          <w:sz w:val="25"/>
        </w:rPr>
      </w:pPr>
      <w:r>
        <w:rPr/>
        <w:pict>
          <v:group style="position:absolute;margin-left:198.720001pt;margin-top:16.820843pt;width:167.55pt;height:12pt;mso-position-horizontal-relative:page;mso-position-vertical-relative:paragraph;z-index:1672;mso-wrap-distance-left:0;mso-wrap-distance-right:0" coordorigin="3974,336" coordsize="3351,240">
            <v:shape style="position:absolute;left:3974;top:336;width:3350;height:235" type="#_x0000_t75" stroked="false">
              <v:imagedata r:id="rId86" o:title=""/>
            </v:shape>
            <v:shape style="position:absolute;left:3974;top:336;width:3351;height:240" type="#_x0000_t202" filled="false" stroked="false">
              <v:textbox inset="0,0,0,0">
                <w:txbxContent>
                  <w:p>
                    <w:pPr>
                      <w:spacing w:line="240" w:lineRule="exact" w:before="0"/>
                      <w:ind w:left="371" w:right="0" w:firstLine="0"/>
                      <w:jc w:val="left"/>
                      <w:rPr>
                        <w:b/>
                        <w:sz w:val="22"/>
                      </w:rPr>
                    </w:pPr>
                    <w:r>
                      <w:rPr>
                        <w:b/>
                        <w:sz w:val="22"/>
                      </w:rPr>
                      <w:t>ÁRBOL DE PROBLEMAS</w:t>
                    </w:r>
                  </w:p>
                </w:txbxContent>
              </v:textbox>
              <w10:wrap type="none"/>
            </v:shape>
            <w10:wrap type="topAndBottom"/>
          </v:group>
        </w:pic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6"/>
        <w:rPr>
          <w:b/>
          <w:i/>
          <w:sz w:val="17"/>
        </w:rPr>
      </w:pPr>
    </w:p>
    <w:tbl>
      <w:tblPr>
        <w:tblW w:w="0" w:type="auto"/>
        <w:jc w:val="left"/>
        <w:tblInd w:w="723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810"/>
        <w:gridCol w:w="1545"/>
      </w:tblGrid>
      <w:tr>
        <w:trPr>
          <w:trHeight w:val="1160" w:hRule="exact"/>
        </w:trPr>
        <w:tc>
          <w:tcPr>
            <w:tcW w:w="3355" w:type="dxa"/>
            <w:gridSpan w:val="2"/>
          </w:tcPr>
          <w:p>
            <w:pPr>
              <w:pStyle w:val="TableParagraph"/>
              <w:spacing w:before="68"/>
              <w:ind w:left="116" w:right="134"/>
              <w:jc w:val="both"/>
              <w:rPr>
                <w:sz w:val="22"/>
              </w:rPr>
            </w:pPr>
            <w:r>
              <w:rPr>
                <w:sz w:val="22"/>
              </w:rPr>
              <w:t>En el Parque se introdujeron especies domesticadas de interés ornamental, medicinal, aromáticas, entre otras.</w:t>
            </w:r>
          </w:p>
        </w:tc>
      </w:tr>
      <w:tr>
        <w:trPr>
          <w:trHeight w:val="1071" w:hRule="exact"/>
        </w:trPr>
        <w:tc>
          <w:tcPr>
            <w:tcW w:w="1810" w:type="dxa"/>
            <w:tcBorders>
              <w:left w:val="nil"/>
            </w:tcBorders>
          </w:tcPr>
          <w:p>
            <w:pPr/>
          </w:p>
        </w:tc>
        <w:tc>
          <w:tcPr>
            <w:tcW w:w="1545" w:type="dxa"/>
            <w:tcBorders>
              <w:right w:val="nil"/>
            </w:tcBorders>
          </w:tcPr>
          <w:p>
            <w:pPr/>
          </w:p>
        </w:tc>
      </w:tr>
      <w:tr>
        <w:trPr>
          <w:trHeight w:val="660" w:hRule="exact"/>
        </w:trPr>
        <w:tc>
          <w:tcPr>
            <w:tcW w:w="3355" w:type="dxa"/>
            <w:gridSpan w:val="2"/>
          </w:tcPr>
          <w:p>
            <w:pPr>
              <w:pStyle w:val="TableParagraph"/>
              <w:spacing w:before="69"/>
              <w:ind w:left="179"/>
              <w:rPr>
                <w:sz w:val="22"/>
              </w:rPr>
            </w:pPr>
            <w:r>
              <w:rPr>
                <w:sz w:val="22"/>
              </w:rPr>
              <w:t>Erosión del suelo y pérdida de</w:t>
            </w:r>
          </w:p>
          <w:p>
            <w:pPr>
              <w:pStyle w:val="TableParagraph"/>
              <w:spacing w:before="1"/>
              <w:ind w:left="179"/>
              <w:rPr>
                <w:sz w:val="22"/>
              </w:rPr>
            </w:pPr>
            <w:r>
              <w:rPr>
                <w:sz w:val="22"/>
              </w:rPr>
              <w:t>la biodiversidad.</w:t>
            </w:r>
          </w:p>
        </w:tc>
      </w:tr>
    </w:tbl>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6"/>
        <w:rPr>
          <w:b/>
          <w:i/>
          <w:sz w:val="27"/>
        </w:rPr>
      </w:pPr>
      <w:r>
        <w:rPr/>
        <w:pict>
          <v:group style="position:absolute;margin-left:19.1pt;margin-top:18.248789pt;width:174.45pt;height:76pt;mso-position-horizontal-relative:page;mso-position-vertical-relative:paragraph;z-index:1816;mso-wrap-distance-left:0;mso-wrap-distance-right:0" coordorigin="382,365" coordsize="3489,1520">
            <v:rect style="position:absolute;left:397;top:380;width:3459;height:1490" filled="false" stroked="true" strokeweight="1.5pt" strokecolor="#000000"/>
            <v:shape style="position:absolute;left:413;top:467;width:3427;height:1315" type="#_x0000_t75" stroked="false">
              <v:imagedata r:id="rId87" o:title=""/>
            </v:shape>
            <v:shape style="position:absolute;left:557;top:493;width:726;height:221" type="#_x0000_t202" filled="false" stroked="false">
              <v:textbox inset="0,0,0,0">
                <w:txbxContent>
                  <w:p>
                    <w:pPr>
                      <w:spacing w:line="221" w:lineRule="exact" w:before="0"/>
                      <w:ind w:left="0" w:right="-16" w:firstLine="0"/>
                      <w:jc w:val="left"/>
                      <w:rPr>
                        <w:sz w:val="22"/>
                      </w:rPr>
                    </w:pPr>
                    <w:r>
                      <w:rPr>
                        <w:sz w:val="22"/>
                      </w:rPr>
                      <w:t>Existen</w:t>
                    </w:r>
                  </w:p>
                </w:txbxContent>
              </v:textbox>
              <w10:wrap type="none"/>
            </v:shape>
            <v:shape style="position:absolute;left:2096;top:493;width:554;height:221" type="#_x0000_t202" filled="false" stroked="false">
              <v:textbox inset="0,0,0,0">
                <w:txbxContent>
                  <w:p>
                    <w:pPr>
                      <w:spacing w:line="221" w:lineRule="exact" w:before="0"/>
                      <w:ind w:left="0" w:right="-17" w:firstLine="0"/>
                      <w:jc w:val="left"/>
                      <w:rPr>
                        <w:sz w:val="22"/>
                      </w:rPr>
                    </w:pPr>
                    <w:r>
                      <w:rPr>
                        <w:sz w:val="22"/>
                      </w:rPr>
                      <w:t>obras</w:t>
                    </w:r>
                  </w:p>
                </w:txbxContent>
              </v:textbox>
              <w10:wrap type="none"/>
            </v:shape>
            <v:shape style="position:absolute;left:557;top:747;width:2635;height:472" type="#_x0000_t202" filled="false" stroked="false">
              <v:textbox inset="0,0,0,0">
                <w:txbxContent>
                  <w:p>
                    <w:pPr>
                      <w:tabs>
                        <w:tab w:pos="1732" w:val="left" w:leader="none"/>
                        <w:tab w:pos="2386" w:val="left" w:leader="none"/>
                      </w:tabs>
                      <w:spacing w:line="224" w:lineRule="exact" w:before="0"/>
                      <w:ind w:left="0" w:right="0" w:firstLine="0"/>
                      <w:jc w:val="left"/>
                      <w:rPr>
                        <w:sz w:val="22"/>
                      </w:rPr>
                    </w:pPr>
                    <w:r>
                      <w:rPr>
                        <w:sz w:val="22"/>
                      </w:rPr>
                      <w:t>mantenimiento</w:t>
                      <w:tab/>
                      <w:t>que</w:t>
                      <w:tab/>
                      <w:t>no</w:t>
                    </w:r>
                  </w:p>
                  <w:p>
                    <w:pPr>
                      <w:tabs>
                        <w:tab w:pos="1241" w:val="left" w:leader="none"/>
                        <w:tab w:pos="2020" w:val="left" w:leader="none"/>
                      </w:tabs>
                      <w:spacing w:line="247" w:lineRule="exact" w:before="0"/>
                      <w:ind w:left="0" w:right="0" w:firstLine="0"/>
                      <w:jc w:val="left"/>
                      <w:rPr>
                        <w:sz w:val="22"/>
                      </w:rPr>
                    </w:pPr>
                    <w:r>
                      <w:rPr>
                        <w:sz w:val="22"/>
                      </w:rPr>
                      <w:t>realizan</w:t>
                      <w:tab/>
                      <w:t>por</w:t>
                      <w:tab/>
                      <w:t>falta</w:t>
                    </w:r>
                  </w:p>
                </w:txbxContent>
              </v:textbox>
              <w10:wrap type="none"/>
            </v:shape>
            <v:shape style="position:absolute;left:3457;top:493;width:250;height:726" type="#_x0000_t202" filled="false" stroked="false">
              <v:textbox inset="0,0,0,0">
                <w:txbxContent>
                  <w:p>
                    <w:pPr>
                      <w:spacing w:line="226" w:lineRule="exact" w:before="0"/>
                      <w:ind w:left="20" w:right="-19" w:hanging="16"/>
                      <w:jc w:val="left"/>
                      <w:rPr>
                        <w:sz w:val="22"/>
                      </w:rPr>
                    </w:pPr>
                    <w:r>
                      <w:rPr>
                        <w:sz w:val="22"/>
                      </w:rPr>
                      <w:t>de</w:t>
                    </w:r>
                  </w:p>
                  <w:p>
                    <w:pPr>
                      <w:spacing w:line="251" w:lineRule="exact" w:before="1"/>
                      <w:ind w:left="20" w:right="-17" w:firstLine="0"/>
                      <w:jc w:val="left"/>
                      <w:rPr>
                        <w:sz w:val="22"/>
                      </w:rPr>
                    </w:pPr>
                    <w:r>
                      <w:rPr>
                        <w:spacing w:val="-3"/>
                        <w:sz w:val="22"/>
                      </w:rPr>
                      <w:t>se</w:t>
                    </w:r>
                  </w:p>
                  <w:p>
                    <w:pPr>
                      <w:spacing w:line="247" w:lineRule="exact" w:before="0"/>
                      <w:ind w:left="0" w:right="-15" w:firstLine="0"/>
                      <w:jc w:val="left"/>
                      <w:rPr>
                        <w:sz w:val="22"/>
                      </w:rPr>
                    </w:pPr>
                    <w:r>
                      <w:rPr>
                        <w:sz w:val="22"/>
                      </w:rPr>
                      <w:t>de</w:t>
                    </w:r>
                  </w:p>
                </w:txbxContent>
              </v:textbox>
              <w10:wrap type="none"/>
            </v:shape>
            <v:shape style="position:absolute;left:557;top:1252;width:3154;height:485" type="#_x0000_t202" filled="false" stroked="false">
              <v:textbox inset="0,0,0,0">
                <w:txbxContent>
                  <w:p>
                    <w:pPr>
                      <w:spacing w:line="226" w:lineRule="exact" w:before="0"/>
                      <w:ind w:left="0" w:right="0" w:firstLine="0"/>
                      <w:jc w:val="left"/>
                      <w:rPr>
                        <w:sz w:val="22"/>
                      </w:rPr>
                    </w:pPr>
                    <w:r>
                      <w:rPr>
                        <w:sz w:val="22"/>
                      </w:rPr>
                      <w:t>presupuesto  y  el  personal   es</w:t>
                    </w:r>
                  </w:p>
                  <w:p>
                    <w:pPr>
                      <w:spacing w:line="248" w:lineRule="exact" w:before="11"/>
                      <w:ind w:left="0" w:right="0" w:firstLine="0"/>
                      <w:jc w:val="left"/>
                      <w:rPr>
                        <w:sz w:val="22"/>
                      </w:rPr>
                    </w:pPr>
                    <w:r>
                      <w:rPr>
                        <w:sz w:val="22"/>
                      </w:rPr>
                      <w:t>insuficiente.</w:t>
                    </w:r>
                  </w:p>
                </w:txbxContent>
              </v:textbox>
              <w10:wrap type="none"/>
            </v:shape>
            <w10:wrap type="topAndBottom"/>
          </v:group>
        </w:pict>
      </w:r>
      <w:r>
        <w:rPr/>
        <w:pict>
          <v:group style="position:absolute;margin-left:198.100006pt;margin-top:17.818789pt;width:124.25pt;height:38.1pt;mso-position-horizontal-relative:page;mso-position-vertical-relative:paragraph;z-index:1864;mso-wrap-distance-left:0;mso-wrap-distance-right:0" coordorigin="3962,356" coordsize="2485,762">
            <v:shape style="position:absolute;left:5030;top:356;width:1416;height:278" type="#_x0000_t75" stroked="false">
              <v:imagedata r:id="rId88" o:title=""/>
            </v:shape>
            <v:shape style="position:absolute;left:3962;top:491;width:1064;height:628" coordorigin="3962,491" coordsize="1064,628" path="m4111,944l4104,948,3962,1031,4104,1114,4111,1118,4120,1116,4129,1101,4126,1092,4119,1088,4047,1046,3992,1046,3992,1016,4047,1016,4126,970,4129,961,4125,954,4120,946,4111,944xm4047,1016l3992,1016,3992,1046,4047,1046,4043,1044,3999,1044,3999,1018,4043,1018,4047,1016xm4479,1016l4047,1016,4021,1031,4047,1046,4502,1046,4509,1039,4509,1031,4479,1031,4479,1016xm3999,1018l3999,1044,4021,1031,3999,1018xm4021,1031l3999,1044,4043,1044,4021,1031xm4043,1018l3999,1018,4021,1031,4043,1018xm5026,491l4486,491,4479,498,4479,1031,4494,1016,4509,1016,4509,521,4494,521,4509,506,5026,506,5026,491xm4509,1016l4494,1016,4479,1031,4509,1031,4509,1016xm4509,506l4494,521,4509,521,4509,506xm5026,506l4509,506,4509,521,5026,521,5026,506xe" filled="true" fillcolor="#000000" stroked="false">
              <v:path arrowok="t"/>
              <v:fill type="solid"/>
            </v:shape>
            <v:shape style="position:absolute;left:3962;top:356;width:2485;height:762" type="#_x0000_t202" filled="false" stroked="false">
              <v:textbox inset="0,0,0,0">
                <w:txbxContent>
                  <w:p>
                    <w:pPr>
                      <w:spacing w:line="252" w:lineRule="exact" w:before="0"/>
                      <w:ind w:left="1257" w:right="0" w:firstLine="0"/>
                      <w:jc w:val="left"/>
                      <w:rPr>
                        <w:b/>
                        <w:i/>
                        <w:sz w:val="22"/>
                      </w:rPr>
                    </w:pPr>
                    <w:r>
                      <w:rPr>
                        <w:b/>
                        <w:i/>
                        <w:sz w:val="22"/>
                      </w:rPr>
                      <w:t>EFECTOS</w:t>
                    </w:r>
                  </w:p>
                </w:txbxContent>
              </v:textbox>
              <w10:wrap type="none"/>
            </v:shape>
            <w10:wrap type="topAndBottom"/>
          </v:group>
        </w:pict>
      </w:r>
      <w:r>
        <w:rPr/>
        <w:pict>
          <v:shape style="position:absolute;margin-left:326.450012pt;margin-top:24.348789pt;width:50.65pt;height:31.4pt;mso-position-horizontal-relative:page;mso-position-vertical-relative:paragraph;z-index:1888;mso-wrap-distance-left:0;mso-wrap-distance-right:0" coordorigin="6529,487" coordsize="1013,628" path="m7483,1027l7385,1084,7378,1088,7375,1097,7384,1112,7393,1114,7516,1042,7512,1042,7512,1040,7505,1040,7483,1027xm7020,502l7020,1035,7027,1042,7457,1042,7483,1027,7483,1027,7050,1027,7035,1012,7050,1012,7050,517,7035,517,7020,502xm7516,1012l7512,1012,7512,1042,7516,1042,7542,1027,7516,1012xm7505,1014l7483,1027,7505,1040,7505,1014xm7512,1014l7505,1014,7505,1040,7512,1040,7512,1014xm7393,940l7384,942,7379,950,7375,957,7378,966,7483,1027,7505,1014,7512,1014,7512,1012,7516,1012,7393,940xm7050,1012l7035,1012,7050,1027,7050,1012xm7457,1012l7050,1012,7050,1027,7483,1027,7457,1012xm7044,487l6529,487,6529,517,7020,517,7020,502,7050,502,7050,494,7044,487xm7050,502l7020,502,7035,517,7050,517,7050,502xe" filled="true" fillcolor="#000000" stroked="false">
            <v:path arrowok="t"/>
            <v:fill type="solid"/>
            <w10:wrap type="topAndBottom"/>
          </v:shape>
        </w:pict>
      </w:r>
      <w:r>
        <w:rPr/>
        <w:pict>
          <v:group style="position:absolute;margin-left:381.100006pt;margin-top:18.44879pt;width:164pt;height:52.5pt;mso-position-horizontal-relative:page;mso-position-vertical-relative:paragraph;z-index:1936;mso-wrap-distance-left:0;mso-wrap-distance-right:0" coordorigin="7622,369" coordsize="3280,1050">
            <v:shape style="position:absolute;left:7651;top:472;width:3221;height:845" type="#_x0000_t75" stroked="false">
              <v:imagedata r:id="rId89" o:title=""/>
            </v:shape>
            <v:shape style="position:absolute;left:7637;top:384;width:3250;height:1020" type="#_x0000_t202" filled="false" stroked="true" strokeweight="1.5pt" strokecolor="#000000">
              <v:textbox inset="0,0,0,0">
                <w:txbxContent>
                  <w:p>
                    <w:pPr>
                      <w:spacing w:before="71"/>
                      <w:ind w:left="145" w:right="135" w:firstLine="0"/>
                      <w:jc w:val="both"/>
                      <w:rPr>
                        <w:sz w:val="22"/>
                      </w:rPr>
                    </w:pPr>
                    <w:r>
                      <w:rPr>
                        <w:sz w:val="22"/>
                      </w:rPr>
                      <w:t>Disminución de áreas para que las especies nativas se reproduzcan.</w:t>
                    </w:r>
                  </w:p>
                </w:txbxContent>
              </v:textbox>
              <w10:wrap type="none"/>
            </v:shape>
            <w10:wrap type="topAndBottom"/>
          </v:group>
        </w:pict>
      </w:r>
    </w:p>
    <w:p>
      <w:pPr>
        <w:pStyle w:val="BodyText"/>
        <w:rPr>
          <w:b/>
          <w:i/>
          <w:sz w:val="20"/>
        </w:rPr>
      </w:pPr>
    </w:p>
    <w:p>
      <w:pPr>
        <w:pStyle w:val="BodyText"/>
        <w:rPr>
          <w:b/>
          <w:i/>
          <w:sz w:val="20"/>
        </w:rPr>
      </w:pPr>
    </w:p>
    <w:p>
      <w:pPr>
        <w:pStyle w:val="BodyText"/>
        <w:spacing w:before="1"/>
        <w:rPr>
          <w:b/>
          <w:i/>
          <w:sz w:val="18"/>
        </w:rPr>
      </w:pPr>
    </w:p>
    <w:p>
      <w:pPr>
        <w:spacing w:before="1"/>
        <w:ind w:left="1136" w:right="0" w:firstLine="0"/>
        <w:jc w:val="left"/>
        <w:rPr>
          <w:b/>
          <w:i/>
          <w:sz w:val="20"/>
        </w:rPr>
      </w:pPr>
      <w:r>
        <w:rPr/>
        <w:pict>
          <v:group style="position:absolute;margin-left:380.350006pt;margin-top:-230.120117pt;width:164pt;height:115.05pt;mso-position-horizontal-relative:page;mso-position-vertical-relative:paragraph;z-index:2656" coordorigin="7607,-4602" coordsize="3280,2301">
            <v:rect style="position:absolute;left:7622;top:-4091;width:3250;height:1185" filled="false" stroked="true" strokeweight="1.5pt" strokecolor="#000000"/>
            <v:shape style="position:absolute;left:7637;top:-4006;width:3221;height:1013" type="#_x0000_t75" stroked="false">
              <v:imagedata r:id="rId90" o:title=""/>
            </v:shape>
            <v:shape style="position:absolute;left:9250;top:-4602;width:215;height:2301" coordorigin="9250,-4602" coordsize="215,2301" path="m9424,-4453l9354,-4573,9337,-4602,9250,-4453,9252,-4444,9267,-4435,9276,-4438,9280,-4445,9322,-4517,9322,-4104,9352,-4104,9352,-4517,9394,-4445,9398,-4438,9407,-4435,9422,-4444,9424,-4453m9464,-2713l9460,-2720,9394,-2832,9377,-2862,9294,-2720,9290,-2713,9292,-2703,9307,-2695,9316,-2697,9362,-2777,9362,-2777,9362,-2302,9392,-2302,9392,-2777,9438,-2697,9447,-2695,9462,-2703,9464,-2713e" filled="true" fillcolor="#000000" stroked="false">
              <v:path arrowok="t"/>
              <v:fill type="solid"/>
            </v:shape>
            <v:shape style="position:absolute;left:7784;top:-3981;width:2937;height:476" type="#_x0000_t202" filled="false" stroked="false">
              <v:textbox inset="0,0,0,0">
                <w:txbxContent>
                  <w:p>
                    <w:pPr>
                      <w:spacing w:line="226" w:lineRule="exact" w:before="0"/>
                      <w:ind w:left="0" w:right="0" w:firstLine="0"/>
                      <w:jc w:val="left"/>
                      <w:rPr>
                        <w:sz w:val="22"/>
                      </w:rPr>
                    </w:pPr>
                    <w:r>
                      <w:rPr>
                        <w:sz w:val="22"/>
                      </w:rPr>
                      <w:t>En algunas áreas del  Parque</w:t>
                    </w:r>
                  </w:p>
                  <w:p>
                    <w:pPr>
                      <w:spacing w:line="248" w:lineRule="exact" w:before="1"/>
                      <w:ind w:left="0" w:right="0" w:firstLine="0"/>
                      <w:jc w:val="left"/>
                      <w:rPr>
                        <w:sz w:val="22"/>
                      </w:rPr>
                    </w:pPr>
                    <w:r>
                      <w:rPr>
                        <w:sz w:val="22"/>
                      </w:rPr>
                      <w:t>se  observa  basura dispersa.</w:t>
                    </w:r>
                  </w:p>
                </w:txbxContent>
              </v:textbox>
              <w10:wrap type="none"/>
            </v:shape>
            <v:shape style="position:absolute;left:7784;top:-3472;width:1030;height:476" type="#_x0000_t202" filled="false" stroked="false">
              <v:textbox inset="0,0,0,0">
                <w:txbxContent>
                  <w:p>
                    <w:pPr>
                      <w:spacing w:line="226" w:lineRule="exact" w:before="0"/>
                      <w:ind w:left="0" w:right="-18" w:firstLine="0"/>
                      <w:jc w:val="left"/>
                      <w:rPr>
                        <w:sz w:val="22"/>
                      </w:rPr>
                    </w:pPr>
                    <w:r>
                      <w:rPr>
                        <w:sz w:val="22"/>
                      </w:rPr>
                      <w:t>Extracción</w:t>
                    </w:r>
                  </w:p>
                  <w:p>
                    <w:pPr>
                      <w:spacing w:line="248" w:lineRule="exact" w:before="2"/>
                      <w:ind w:left="0" w:right="-18" w:firstLine="0"/>
                      <w:jc w:val="left"/>
                      <w:rPr>
                        <w:sz w:val="22"/>
                      </w:rPr>
                    </w:pPr>
                    <w:r>
                      <w:rPr>
                        <w:sz w:val="22"/>
                      </w:rPr>
                      <w:t>silvestres.</w:t>
                    </w:r>
                  </w:p>
                </w:txbxContent>
              </v:textbox>
              <w10:wrap type="none"/>
            </v:shape>
            <v:shape style="position:absolute;left:9285;top:-3472;width:248;height:221" type="#_x0000_t202" filled="false" stroked="false">
              <v:textbox inset="0,0,0,0">
                <w:txbxContent>
                  <w:p>
                    <w:pPr>
                      <w:spacing w:line="221" w:lineRule="exact" w:before="0"/>
                      <w:ind w:left="0" w:right="-17" w:firstLine="0"/>
                      <w:jc w:val="left"/>
                      <w:rPr>
                        <w:sz w:val="22"/>
                      </w:rPr>
                    </w:pPr>
                    <w:r>
                      <w:rPr>
                        <w:sz w:val="22"/>
                      </w:rPr>
                      <w:t>de</w:t>
                    </w:r>
                  </w:p>
                </w:txbxContent>
              </v:textbox>
              <w10:wrap type="none"/>
            </v:shape>
            <v:shape style="position:absolute;left:10005;top:-3472;width:715;height:221" type="#_x0000_t202" filled="false" stroked="false">
              <v:textbox inset="0,0,0,0">
                <w:txbxContent>
                  <w:p>
                    <w:pPr>
                      <w:spacing w:line="221" w:lineRule="exact" w:before="0"/>
                      <w:ind w:left="0" w:right="-15" w:firstLine="0"/>
                      <w:jc w:val="left"/>
                      <w:rPr>
                        <w:sz w:val="22"/>
                      </w:rPr>
                    </w:pPr>
                    <w:r>
                      <w:rPr>
                        <w:sz w:val="22"/>
                      </w:rPr>
                      <w:t>plantas</w:t>
                    </w:r>
                  </w:p>
                </w:txbxContent>
              </v:textbox>
              <w10:wrap type="none"/>
            </v:shape>
            <w10:wrap type="none"/>
          </v:group>
        </w:pict>
      </w:r>
      <w:r>
        <w:rPr/>
        <w:pict>
          <v:group style="position:absolute;margin-left:19.1pt;margin-top:-184.850113pt;width:174.45pt;height:50.5pt;mso-position-horizontal-relative:page;mso-position-vertical-relative:paragraph;z-index:2704" coordorigin="382,-3697" coordsize="3489,1010">
            <v:shape style="position:absolute;left:413;top:-3593;width:3427;height:806" type="#_x0000_t75" stroked="false">
              <v:imagedata r:id="rId91" o:title=""/>
            </v:shape>
            <v:shape style="position:absolute;left:397;top:-3682;width:3459;height:980" type="#_x0000_t202" filled="false" stroked="true" strokeweight="1.5pt" strokecolor="#000000">
              <v:textbox inset="0,0,0,0">
                <w:txbxContent>
                  <w:p>
                    <w:pPr>
                      <w:spacing w:line="244" w:lineRule="auto" w:before="71"/>
                      <w:ind w:left="144" w:right="128" w:firstLine="0"/>
                      <w:jc w:val="both"/>
                      <w:rPr>
                        <w:sz w:val="22"/>
                      </w:rPr>
                    </w:pPr>
                    <w:r>
                      <w:rPr>
                        <w:sz w:val="22"/>
                      </w:rPr>
                      <w:t>Contaminación del suelo, aire y agua por la mezcla de los desechos sólidos.</w:t>
                    </w:r>
                  </w:p>
                </w:txbxContent>
              </v:textbox>
              <w10:wrap type="none"/>
            </v:shape>
            <w10:wrap type="none"/>
          </v:group>
        </w:pict>
      </w:r>
      <w:r>
        <w:rPr/>
        <w:drawing>
          <wp:anchor distT="0" distB="0" distL="0" distR="0" allowOverlap="1" layoutInCell="1" locked="0" behindDoc="0" simplePos="0" relativeHeight="2728">
            <wp:simplePos x="0" y="0"/>
            <wp:positionH relativeFrom="page">
              <wp:posOffset>4809744</wp:posOffset>
            </wp:positionH>
            <wp:positionV relativeFrom="paragraph">
              <wp:posOffset>-3327274</wp:posOffset>
            </wp:positionV>
            <wp:extent cx="2077543" cy="306324"/>
            <wp:effectExtent l="0" t="0" r="0" b="0"/>
            <wp:wrapNone/>
            <wp:docPr id="55" name="image44.png" descr=""/>
            <wp:cNvGraphicFramePr>
              <a:graphicFrameLocks noChangeAspect="1"/>
            </wp:cNvGraphicFramePr>
            <a:graphic>
              <a:graphicData uri="http://schemas.openxmlformats.org/drawingml/2006/picture">
                <pic:pic>
                  <pic:nvPicPr>
                    <pic:cNvPr id="56" name="image44.png"/>
                    <pic:cNvPicPr/>
                  </pic:nvPicPr>
                  <pic:blipFill>
                    <a:blip r:embed="rId92" cstate="print"/>
                    <a:stretch>
                      <a:fillRect/>
                    </a:stretch>
                  </pic:blipFill>
                  <pic:spPr>
                    <a:xfrm>
                      <a:off x="0" y="0"/>
                      <a:ext cx="2077543" cy="306324"/>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1301622</wp:posOffset>
            </wp:positionH>
            <wp:positionV relativeFrom="paragraph">
              <wp:posOffset>-1703198</wp:posOffset>
            </wp:positionV>
            <wp:extent cx="111472" cy="242887"/>
            <wp:effectExtent l="0" t="0" r="0" b="0"/>
            <wp:wrapNone/>
            <wp:docPr id="57" name="image45.png" descr=""/>
            <wp:cNvGraphicFramePr>
              <a:graphicFrameLocks noChangeAspect="1"/>
            </wp:cNvGraphicFramePr>
            <a:graphic>
              <a:graphicData uri="http://schemas.openxmlformats.org/drawingml/2006/picture">
                <pic:pic>
                  <pic:nvPicPr>
                    <pic:cNvPr id="58" name="image45.png"/>
                    <pic:cNvPicPr/>
                  </pic:nvPicPr>
                  <pic:blipFill>
                    <a:blip r:embed="rId93" cstate="print"/>
                    <a:stretch>
                      <a:fillRect/>
                    </a:stretch>
                  </pic:blipFill>
                  <pic:spPr>
                    <a:xfrm>
                      <a:off x="0" y="0"/>
                      <a:ext cx="111472" cy="242887"/>
                    </a:xfrm>
                    <a:prstGeom prst="rect">
                      <a:avLst/>
                    </a:prstGeom>
                  </pic:spPr>
                </pic:pic>
              </a:graphicData>
            </a:graphic>
          </wp:anchor>
        </w:drawing>
      </w:r>
      <w:r>
        <w:rPr>
          <w:b/>
          <w:i/>
          <w:sz w:val="20"/>
        </w:rPr>
        <w:t>Fuente: Elaboración propia, a partir de Camacho, 2001 y Gutiérrez, 2013.</w:t>
      </w:r>
    </w:p>
    <w:p>
      <w:pPr>
        <w:spacing w:after="0"/>
        <w:jc w:val="left"/>
        <w:rPr>
          <w:sz w:val="20"/>
        </w:rPr>
        <w:sectPr>
          <w:pgSz w:w="12240" w:h="15840"/>
          <w:pgMar w:header="685" w:footer="1190" w:top="880" w:bottom="1380" w:left="280" w:right="1220"/>
        </w:sectPr>
      </w:pPr>
    </w:p>
    <w:p>
      <w:pPr>
        <w:pStyle w:val="BodyText"/>
        <w:rPr>
          <w:b/>
          <w:i/>
          <w:sz w:val="20"/>
        </w:rPr>
      </w:pPr>
    </w:p>
    <w:p>
      <w:pPr>
        <w:pStyle w:val="BodyText"/>
        <w:spacing w:before="9"/>
        <w:rPr>
          <w:b/>
          <w:i/>
          <w:sz w:val="19"/>
        </w:rPr>
      </w:pPr>
    </w:p>
    <w:p>
      <w:pPr>
        <w:pStyle w:val="ListParagraph"/>
        <w:numPr>
          <w:ilvl w:val="2"/>
          <w:numId w:val="16"/>
        </w:numPr>
        <w:tabs>
          <w:tab w:pos="1507" w:val="left" w:leader="none"/>
          <w:tab w:pos="1508" w:val="left" w:leader="none"/>
        </w:tabs>
        <w:spacing w:line="240" w:lineRule="auto" w:before="69" w:after="0"/>
        <w:ind w:left="1507" w:right="0" w:hanging="903"/>
        <w:jc w:val="left"/>
        <w:rPr>
          <w:i/>
          <w:sz w:val="24"/>
        </w:rPr>
      </w:pPr>
      <w:r>
        <w:rPr>
          <w:i/>
          <w:sz w:val="24"/>
        </w:rPr>
        <w:t>Análisis de</w:t>
      </w:r>
      <w:r>
        <w:rPr>
          <w:i/>
          <w:spacing w:val="-16"/>
          <w:sz w:val="24"/>
        </w:rPr>
        <w:t> </w:t>
      </w:r>
      <w:r>
        <w:rPr>
          <w:i/>
          <w:sz w:val="24"/>
        </w:rPr>
        <w:t>Objetivos</w:t>
      </w:r>
    </w:p>
    <w:p>
      <w:pPr>
        <w:pStyle w:val="BodyText"/>
        <w:spacing w:line="360" w:lineRule="auto" w:before="141"/>
        <w:ind w:left="796"/>
      </w:pPr>
      <w:r>
        <w:rPr/>
        <w:t>El árbol de objetivos se elaboró a partir del árbol de problemas, pero con un enfoque a solucionar los problemas identificados, generando así el diagrama 2.</w:t>
      </w:r>
    </w:p>
    <w:p>
      <w:pPr>
        <w:pStyle w:val="BodyText"/>
      </w:pPr>
    </w:p>
    <w:p>
      <w:pPr>
        <w:pStyle w:val="BodyText"/>
      </w:pPr>
    </w:p>
    <w:p>
      <w:pPr>
        <w:pStyle w:val="BodyText"/>
        <w:spacing w:before="11"/>
        <w:rPr>
          <w:sz w:val="23"/>
        </w:rPr>
      </w:pPr>
    </w:p>
    <w:p>
      <w:pPr>
        <w:spacing w:before="0"/>
        <w:ind w:left="2001" w:right="0" w:firstLine="0"/>
        <w:jc w:val="left"/>
        <w:rPr>
          <w:b/>
          <w:i/>
          <w:sz w:val="20"/>
        </w:rPr>
      </w:pPr>
      <w:r>
        <w:rPr/>
        <w:pict>
          <v:group style="position:absolute;margin-left:36.099998pt;margin-top:100.279907pt;width:163pt;height:40.5pt;mso-position-horizontal-relative:page;mso-position-vertical-relative:paragraph;z-index:-352864" coordorigin="722,2006" coordsize="3260,810">
            <v:shape style="position:absolute;left:754;top:2107;width:3197;height:605" type="#_x0000_t75" stroked="false">
              <v:imagedata r:id="rId94" o:title=""/>
            </v:shape>
            <v:shape style="position:absolute;left:737;top:2021;width:3230;height:780" type="#_x0000_t202" filled="false" stroked="true" strokeweight="1.5pt" strokecolor="#000000">
              <v:textbox inset="0,0,0,0">
                <w:txbxContent>
                  <w:p>
                    <w:pPr>
                      <w:spacing w:line="249" w:lineRule="auto" w:before="68"/>
                      <w:ind w:left="146" w:right="0" w:firstLine="0"/>
                      <w:jc w:val="left"/>
                      <w:rPr>
                        <w:sz w:val="22"/>
                      </w:rPr>
                    </w:pPr>
                    <w:r>
                      <w:rPr>
                        <w:sz w:val="22"/>
                      </w:rPr>
                      <w:t>Colocar contenedores para separar los desechos sólidos.</w:t>
                    </w:r>
                  </w:p>
                </w:txbxContent>
              </v:textbox>
              <w10:wrap type="none"/>
            </v:shape>
            <w10:wrap type="none"/>
          </v:group>
        </w:pict>
      </w:r>
      <w:r>
        <w:rPr/>
        <w:drawing>
          <wp:anchor distT="0" distB="0" distL="0" distR="0" allowOverlap="1" layoutInCell="1" locked="0" behindDoc="0" simplePos="0" relativeHeight="3016">
            <wp:simplePos x="0" y="0"/>
            <wp:positionH relativeFrom="page">
              <wp:posOffset>502919</wp:posOffset>
            </wp:positionH>
            <wp:positionV relativeFrom="paragraph">
              <wp:posOffset>2114929</wp:posOffset>
            </wp:positionV>
            <wp:extent cx="1991663" cy="635508"/>
            <wp:effectExtent l="0" t="0" r="0" b="0"/>
            <wp:wrapNone/>
            <wp:docPr id="59" name="image47.png" descr=""/>
            <wp:cNvGraphicFramePr>
              <a:graphicFrameLocks noChangeAspect="1"/>
            </wp:cNvGraphicFramePr>
            <a:graphic>
              <a:graphicData uri="http://schemas.openxmlformats.org/drawingml/2006/picture">
                <pic:pic>
                  <pic:nvPicPr>
                    <pic:cNvPr id="60" name="image47.png"/>
                    <pic:cNvPicPr/>
                  </pic:nvPicPr>
                  <pic:blipFill>
                    <a:blip r:embed="rId95" cstate="print"/>
                    <a:stretch>
                      <a:fillRect/>
                    </a:stretch>
                  </pic:blipFill>
                  <pic:spPr>
                    <a:xfrm>
                      <a:off x="0" y="0"/>
                      <a:ext cx="1991663" cy="635508"/>
                    </a:xfrm>
                    <a:prstGeom prst="rect">
                      <a:avLst/>
                    </a:prstGeom>
                  </pic:spPr>
                </pic:pic>
              </a:graphicData>
            </a:graphic>
          </wp:anchor>
        </w:drawing>
      </w:r>
      <w:r>
        <w:rPr/>
        <w:pict>
          <v:group style="position:absolute;margin-left:373.100006pt;margin-top:92.529907pt;width:166.5pt;height:42.5pt;mso-position-horizontal-relative:page;mso-position-vertical-relative:paragraph;z-index:-352792" coordorigin="7462,1851" coordsize="3330,850">
            <v:shape style="position:absolute;left:7493;top:1953;width:3269;height:643" type="#_x0000_t75" stroked="false">
              <v:imagedata r:id="rId96" o:title=""/>
            </v:shape>
            <v:shape style="position:absolute;left:7477;top:1866;width:3300;height:820" type="#_x0000_t202" filled="false" stroked="true" strokeweight="1.5pt" strokecolor="#000000">
              <v:textbox inset="0,0,0,0">
                <w:txbxContent>
                  <w:p>
                    <w:pPr>
                      <w:tabs>
                        <w:tab w:pos="1456" w:val="left" w:leader="none"/>
                        <w:tab w:pos="2885" w:val="left" w:leader="none"/>
                      </w:tabs>
                      <w:spacing w:line="249" w:lineRule="auto" w:before="69"/>
                      <w:ind w:left="147" w:right="139" w:firstLine="0"/>
                      <w:jc w:val="left"/>
                      <w:rPr>
                        <w:sz w:val="22"/>
                      </w:rPr>
                    </w:pPr>
                    <w:r>
                      <w:rPr>
                        <w:sz w:val="22"/>
                      </w:rPr>
                      <w:t>Promover</w:t>
                      <w:tab/>
                      <w:t>estrategias</w:t>
                      <w:tab/>
                      <w:t>de educación</w:t>
                    </w:r>
                    <w:r>
                      <w:rPr>
                        <w:spacing w:val="-10"/>
                        <w:sz w:val="22"/>
                      </w:rPr>
                      <w:t> </w:t>
                    </w:r>
                    <w:r>
                      <w:rPr>
                        <w:sz w:val="22"/>
                      </w:rPr>
                      <w:t>ambiental.</w:t>
                    </w:r>
                  </w:p>
                </w:txbxContent>
              </v:textbox>
              <w10:wrap type="none"/>
            </v:shape>
            <w10:wrap type="none"/>
          </v:group>
        </w:pict>
      </w:r>
      <w:r>
        <w:rPr/>
        <w:drawing>
          <wp:anchor distT="0" distB="0" distL="0" distR="0" allowOverlap="1" layoutInCell="1" locked="0" behindDoc="0" simplePos="0" relativeHeight="3088">
            <wp:simplePos x="0" y="0"/>
            <wp:positionH relativeFrom="page">
              <wp:posOffset>4757928</wp:posOffset>
            </wp:positionH>
            <wp:positionV relativeFrom="paragraph">
              <wp:posOffset>2063113</wp:posOffset>
            </wp:positionV>
            <wp:extent cx="2062467" cy="475488"/>
            <wp:effectExtent l="0" t="0" r="0" b="0"/>
            <wp:wrapNone/>
            <wp:docPr id="61" name="image49.png" descr=""/>
            <wp:cNvGraphicFramePr>
              <a:graphicFrameLocks noChangeAspect="1"/>
            </wp:cNvGraphicFramePr>
            <a:graphic>
              <a:graphicData uri="http://schemas.openxmlformats.org/drawingml/2006/picture">
                <pic:pic>
                  <pic:nvPicPr>
                    <pic:cNvPr id="62" name="image49.png"/>
                    <pic:cNvPicPr/>
                  </pic:nvPicPr>
                  <pic:blipFill>
                    <a:blip r:embed="rId97" cstate="print"/>
                    <a:stretch>
                      <a:fillRect/>
                    </a:stretch>
                  </pic:blipFill>
                  <pic:spPr>
                    <a:xfrm>
                      <a:off x="0" y="0"/>
                      <a:ext cx="2062467" cy="475488"/>
                    </a:xfrm>
                    <a:prstGeom prst="rect">
                      <a:avLst/>
                    </a:prstGeom>
                  </pic:spPr>
                </pic:pic>
              </a:graphicData>
            </a:graphic>
          </wp:anchor>
        </w:drawing>
      </w:r>
      <w:r>
        <w:rPr/>
        <w:pict>
          <v:group style="position:absolute;margin-left:108.099998pt;margin-top:187.979904pt;width:358.2pt;height:105.75pt;mso-position-horizontal-relative:page;mso-position-vertical-relative:paragraph;z-index:3136" coordorigin="2162,3760" coordsize="7164,2115">
            <v:shape style="position:absolute;left:4786;top:3863;width:1915;height:1910" type="#_x0000_t75" stroked="false">
              <v:imagedata r:id="rId98" o:title=""/>
            </v:shape>
            <v:shape style="position:absolute;left:2162;top:4691;width:7164;height:208" coordorigin="2162,4691" coordsize="7164,208" path="m4747,4812l4721,4797,4598,4725,4589,4727,4580,4742,4583,4751,4662,4797,2162,4797,2162,4827,4662,4827,4583,4873,4580,4882,4584,4890,4589,4897,4598,4899,4605,4895,4721,4827,4747,4812m9326,4763l6802,4763,6881,4717,6884,4708,6875,4694,6866,4691,6859,4695,6717,4778,6859,4861,6866,4866,6875,4863,6880,4856,6884,4849,6881,4840,6802,4793,9326,4793,9326,4763e" filled="true" fillcolor="#000000" stroked="false">
              <v:path arrowok="t"/>
              <v:fill type="solid"/>
            </v:shape>
            <v:shape style="position:absolute;left:4772;top:3775;width:1942;height:2085" type="#_x0000_t202" filled="false" stroked="true" strokeweight="1.5pt" strokecolor="#000000">
              <v:textbox inset="0,0,0,0">
                <w:txbxContent>
                  <w:p>
                    <w:pPr>
                      <w:spacing w:line="240" w:lineRule="auto" w:before="66"/>
                      <w:ind w:left="180" w:right="184" w:firstLine="0"/>
                      <w:jc w:val="center"/>
                      <w:rPr>
                        <w:b/>
                        <w:sz w:val="22"/>
                      </w:rPr>
                    </w:pPr>
                    <w:r>
                      <w:rPr>
                        <w:b/>
                        <w:sz w:val="22"/>
                      </w:rPr>
                      <w:t>Conservación y Restauración Ambiental</w:t>
                    </w:r>
                  </w:p>
                  <w:p>
                    <w:pPr>
                      <w:spacing w:line="244" w:lineRule="auto" w:before="1"/>
                      <w:ind w:left="283" w:right="287" w:hanging="3"/>
                      <w:jc w:val="center"/>
                      <w:rPr>
                        <w:b/>
                        <w:sz w:val="22"/>
                      </w:rPr>
                    </w:pPr>
                    <w:r>
                      <w:rPr>
                        <w:b/>
                        <w:sz w:val="22"/>
                      </w:rPr>
                      <w:t>del Parque Universitario “Las Orquídeas”</w:t>
                    </w:r>
                  </w:p>
                </w:txbxContent>
              </v:textbox>
              <w10:wrap type="none"/>
            </v:shape>
            <w10:wrap type="none"/>
          </v:group>
        </w:pict>
      </w:r>
      <w:r>
        <w:rPr/>
        <w:drawing>
          <wp:anchor distT="0" distB="0" distL="0" distR="0" allowOverlap="1" layoutInCell="1" locked="0" behindDoc="0" simplePos="0" relativeHeight="3448">
            <wp:simplePos x="0" y="0"/>
            <wp:positionH relativeFrom="page">
              <wp:posOffset>1304797</wp:posOffset>
            </wp:positionH>
            <wp:positionV relativeFrom="paragraph">
              <wp:posOffset>1797937</wp:posOffset>
            </wp:positionV>
            <wp:extent cx="110687" cy="247650"/>
            <wp:effectExtent l="0" t="0" r="0" b="0"/>
            <wp:wrapNone/>
            <wp:docPr id="63" name="image51.png" descr=""/>
            <wp:cNvGraphicFramePr>
              <a:graphicFrameLocks noChangeAspect="1"/>
            </wp:cNvGraphicFramePr>
            <a:graphic>
              <a:graphicData uri="http://schemas.openxmlformats.org/drawingml/2006/picture">
                <pic:pic>
                  <pic:nvPicPr>
                    <pic:cNvPr id="64" name="image51.png"/>
                    <pic:cNvPicPr/>
                  </pic:nvPicPr>
                  <pic:blipFill>
                    <a:blip r:embed="rId99" cstate="print"/>
                    <a:stretch>
                      <a:fillRect/>
                    </a:stretch>
                  </pic:blipFill>
                  <pic:spPr>
                    <a:xfrm>
                      <a:off x="0" y="0"/>
                      <a:ext cx="110687" cy="247650"/>
                    </a:xfrm>
                    <a:prstGeom prst="rect">
                      <a:avLst/>
                    </a:prstGeom>
                  </pic:spPr>
                </pic:pic>
              </a:graphicData>
            </a:graphic>
          </wp:anchor>
        </w:drawing>
      </w:r>
      <w:r>
        <w:rPr/>
        <w:drawing>
          <wp:anchor distT="0" distB="0" distL="0" distR="0" allowOverlap="1" layoutInCell="1" locked="0" behindDoc="1" simplePos="0" relativeHeight="268083071">
            <wp:simplePos x="0" y="0"/>
            <wp:positionH relativeFrom="page">
              <wp:posOffset>5775197</wp:posOffset>
            </wp:positionH>
            <wp:positionV relativeFrom="paragraph">
              <wp:posOffset>954403</wp:posOffset>
            </wp:positionV>
            <wp:extent cx="110743" cy="190500"/>
            <wp:effectExtent l="0" t="0" r="0" b="0"/>
            <wp:wrapNone/>
            <wp:docPr id="65" name="image52.png" descr=""/>
            <wp:cNvGraphicFramePr>
              <a:graphicFrameLocks noChangeAspect="1"/>
            </wp:cNvGraphicFramePr>
            <a:graphic>
              <a:graphicData uri="http://schemas.openxmlformats.org/drawingml/2006/picture">
                <pic:pic>
                  <pic:nvPicPr>
                    <pic:cNvPr id="66" name="image52.png"/>
                    <pic:cNvPicPr/>
                  </pic:nvPicPr>
                  <pic:blipFill>
                    <a:blip r:embed="rId100" cstate="print"/>
                    <a:stretch>
                      <a:fillRect/>
                    </a:stretch>
                  </pic:blipFill>
                  <pic:spPr>
                    <a:xfrm>
                      <a:off x="0" y="0"/>
                      <a:ext cx="110743" cy="190500"/>
                    </a:xfrm>
                    <a:prstGeom prst="rect">
                      <a:avLst/>
                    </a:prstGeom>
                  </pic:spPr>
                </pic:pic>
              </a:graphicData>
            </a:graphic>
          </wp:anchor>
        </w:drawing>
      </w:r>
      <w:r>
        <w:rPr/>
        <w:drawing>
          <wp:anchor distT="0" distB="0" distL="0" distR="0" allowOverlap="1" layoutInCell="1" locked="0" behindDoc="0" simplePos="0" relativeHeight="3496">
            <wp:simplePos x="0" y="0"/>
            <wp:positionH relativeFrom="page">
              <wp:posOffset>5775197</wp:posOffset>
            </wp:positionH>
            <wp:positionV relativeFrom="paragraph">
              <wp:posOffset>1754376</wp:posOffset>
            </wp:positionV>
            <wp:extent cx="110743" cy="209550"/>
            <wp:effectExtent l="0" t="0" r="0" b="0"/>
            <wp:wrapNone/>
            <wp:docPr id="67" name="image53.png" descr=""/>
            <wp:cNvGraphicFramePr>
              <a:graphicFrameLocks noChangeAspect="1"/>
            </wp:cNvGraphicFramePr>
            <a:graphic>
              <a:graphicData uri="http://schemas.openxmlformats.org/drawingml/2006/picture">
                <pic:pic>
                  <pic:nvPicPr>
                    <pic:cNvPr id="68" name="image53.png"/>
                    <pic:cNvPicPr/>
                  </pic:nvPicPr>
                  <pic:blipFill>
                    <a:blip r:embed="rId101" cstate="print"/>
                    <a:stretch>
                      <a:fillRect/>
                    </a:stretch>
                  </pic:blipFill>
                  <pic:spPr>
                    <a:xfrm>
                      <a:off x="0" y="0"/>
                      <a:ext cx="110743" cy="209550"/>
                    </a:xfrm>
                    <a:prstGeom prst="rect">
                      <a:avLst/>
                    </a:prstGeom>
                  </pic:spPr>
                </pic:pic>
              </a:graphicData>
            </a:graphic>
          </wp:anchor>
        </w:drawing>
      </w:r>
      <w:r>
        <w:rPr/>
        <w:pict>
          <v:shape style="position:absolute;margin-left:372.600006pt;margin-top:157.269913pt;width:167.75pt;height:162.75pt;mso-position-horizontal-relative:page;mso-position-vertical-relative:paragraph;z-index:3592"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870"/>
                    <w:gridCol w:w="1440"/>
                  </w:tblGrid>
                  <w:tr>
                    <w:trPr>
                      <w:trHeight w:val="930" w:hRule="exact"/>
                    </w:trPr>
                    <w:tc>
                      <w:tcPr>
                        <w:tcW w:w="3310" w:type="dxa"/>
                        <w:gridSpan w:val="2"/>
                      </w:tcPr>
                      <w:p>
                        <w:pPr>
                          <w:pStyle w:val="TableParagraph"/>
                          <w:spacing w:before="71"/>
                          <w:ind w:left="157" w:right="137"/>
                          <w:jc w:val="both"/>
                          <w:rPr>
                            <w:sz w:val="22"/>
                          </w:rPr>
                        </w:pPr>
                        <w:r>
                          <w:rPr>
                            <w:sz w:val="22"/>
                          </w:rPr>
                          <w:t>Establecer y gestionar el funcionamiento de un Jardín Botánico Regional.</w:t>
                        </w:r>
                      </w:p>
                    </w:tc>
                  </w:tr>
                  <w:tr>
                    <w:trPr>
                      <w:trHeight w:val="1390" w:hRule="exact"/>
                    </w:trPr>
                    <w:tc>
                      <w:tcPr>
                        <w:tcW w:w="1870" w:type="dxa"/>
                        <w:tcBorders>
                          <w:left w:val="nil"/>
                        </w:tcBorders>
                      </w:tcPr>
                      <w:p>
                        <w:pPr/>
                      </w:p>
                    </w:tc>
                    <w:tc>
                      <w:tcPr>
                        <w:tcW w:w="1440" w:type="dxa"/>
                        <w:tcBorders>
                          <w:right w:val="nil"/>
                        </w:tcBorders>
                      </w:tcPr>
                      <w:p>
                        <w:pPr/>
                      </w:p>
                    </w:tc>
                  </w:tr>
                  <w:tr>
                    <w:trPr>
                      <w:trHeight w:val="905" w:hRule="exact"/>
                    </w:trPr>
                    <w:tc>
                      <w:tcPr>
                        <w:tcW w:w="3310" w:type="dxa"/>
                        <w:gridSpan w:val="2"/>
                      </w:tcPr>
                      <w:p>
                        <w:pPr>
                          <w:pStyle w:val="TableParagraph"/>
                          <w:tabs>
                            <w:tab w:pos="1563" w:val="left" w:leader="none"/>
                            <w:tab w:pos="2556" w:val="left" w:leader="none"/>
                          </w:tabs>
                          <w:spacing w:before="70"/>
                          <w:ind w:left="138" w:right="137"/>
                          <w:jc w:val="both"/>
                          <w:rPr>
                            <w:sz w:val="22"/>
                          </w:rPr>
                        </w:pPr>
                        <w:r>
                          <w:rPr>
                            <w:sz w:val="22"/>
                          </w:rPr>
                          <w:t>Disminuir y controlar  </w:t>
                        </w:r>
                        <w:r>
                          <w:rPr>
                            <w:spacing w:val="-3"/>
                            <w:sz w:val="22"/>
                          </w:rPr>
                          <w:t>la </w:t>
                        </w:r>
                        <w:r>
                          <w:rPr>
                            <w:sz w:val="22"/>
                          </w:rPr>
                          <w:t>erosión</w:t>
                          <w:tab/>
                          <w:t>del</w:t>
                          <w:tab/>
                        </w:r>
                        <w:r>
                          <w:rPr>
                            <w:spacing w:val="-1"/>
                            <w:sz w:val="22"/>
                          </w:rPr>
                          <w:t>suelo. </w:t>
                        </w:r>
                        <w:r>
                          <w:rPr>
                            <w:sz w:val="22"/>
                          </w:rPr>
                          <w:t>Reforestación     con   </w:t>
                        </w:r>
                        <w:r>
                          <w:rPr>
                            <w:spacing w:val="19"/>
                            <w:sz w:val="22"/>
                          </w:rPr>
                          <w:t> </w:t>
                        </w:r>
                        <w:r>
                          <w:rPr>
                            <w:sz w:val="22"/>
                          </w:rPr>
                          <w:t>plantas</w:t>
                        </w:r>
                      </w:p>
                    </w:tc>
                  </w:tr>
                </w:tbl>
                <w:p>
                  <w:pPr>
                    <w:pStyle w:val="BodyText"/>
                  </w:pPr>
                </w:p>
              </w:txbxContent>
            </v:textbox>
            <w10:wrap type="none"/>
          </v:shape>
        </w:pict>
      </w:r>
      <w:r>
        <w:rPr/>
        <w:pict>
          <v:shape style="position:absolute;margin-left:37.075001pt;margin-top:161.299911pt;width:159.9pt;height:180.25pt;mso-position-horizontal-relative:page;mso-position-vertical-relative:paragraph;z-index:3616"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85"/>
                    <w:gridCol w:w="1767"/>
                  </w:tblGrid>
                  <w:tr>
                    <w:trPr>
                      <w:trHeight w:val="1180" w:hRule="exact"/>
                    </w:trPr>
                    <w:tc>
                      <w:tcPr>
                        <w:tcW w:w="3153" w:type="dxa"/>
                        <w:gridSpan w:val="2"/>
                      </w:tcPr>
                      <w:p>
                        <w:pPr>
                          <w:pStyle w:val="TableParagraph"/>
                          <w:tabs>
                            <w:tab w:pos="2180" w:val="left" w:leader="none"/>
                          </w:tabs>
                          <w:spacing w:line="251" w:lineRule="exact" w:before="72"/>
                          <w:ind w:left="164"/>
                          <w:jc w:val="both"/>
                          <w:rPr>
                            <w:sz w:val="22"/>
                          </w:rPr>
                        </w:pPr>
                        <w:r>
                          <w:rPr>
                            <w:sz w:val="22"/>
                          </w:rPr>
                          <w:t>Gestionar</w:t>
                          <w:tab/>
                          <w:t>recursos</w:t>
                        </w:r>
                      </w:p>
                      <w:p>
                        <w:pPr>
                          <w:pStyle w:val="TableParagraph"/>
                          <w:tabs>
                            <w:tab w:pos="2582" w:val="left" w:leader="none"/>
                          </w:tabs>
                          <w:ind w:left="164" w:right="98"/>
                          <w:jc w:val="both"/>
                          <w:rPr>
                            <w:sz w:val="22"/>
                          </w:rPr>
                        </w:pPr>
                        <w:r>
                          <w:rPr>
                            <w:sz w:val="22"/>
                          </w:rPr>
                          <w:t>financieros</w:t>
                          <w:tab/>
                        </w:r>
                        <w:r>
                          <w:rPr>
                            <w:spacing w:val="-1"/>
                            <w:sz w:val="22"/>
                          </w:rPr>
                          <w:t>para </w:t>
                        </w:r>
                        <w:r>
                          <w:rPr>
                            <w:sz w:val="22"/>
                          </w:rPr>
                          <w:t>mantenimiento del Parque y contratación de</w:t>
                        </w:r>
                        <w:r>
                          <w:rPr>
                            <w:spacing w:val="-10"/>
                            <w:sz w:val="22"/>
                          </w:rPr>
                          <w:t> </w:t>
                        </w:r>
                        <w:r>
                          <w:rPr>
                            <w:sz w:val="22"/>
                          </w:rPr>
                          <w:t>personal.</w:t>
                        </w:r>
                      </w:p>
                    </w:tc>
                  </w:tr>
                  <w:tr>
                    <w:trPr>
                      <w:trHeight w:val="814" w:hRule="exact"/>
                    </w:trPr>
                    <w:tc>
                      <w:tcPr>
                        <w:tcW w:w="1385" w:type="dxa"/>
                        <w:tcBorders>
                          <w:left w:val="nil"/>
                        </w:tcBorders>
                      </w:tcPr>
                      <w:p>
                        <w:pPr/>
                      </w:p>
                    </w:tc>
                    <w:tc>
                      <w:tcPr>
                        <w:tcW w:w="1767" w:type="dxa"/>
                        <w:tcBorders>
                          <w:right w:val="nil"/>
                        </w:tcBorders>
                      </w:tcPr>
                      <w:p>
                        <w:pPr/>
                      </w:p>
                    </w:tc>
                  </w:tr>
                  <w:tr>
                    <w:trPr>
                      <w:trHeight w:val="1580" w:hRule="exact"/>
                    </w:trPr>
                    <w:tc>
                      <w:tcPr>
                        <w:tcW w:w="3153" w:type="dxa"/>
                        <w:gridSpan w:val="2"/>
                      </w:tcPr>
                      <w:p>
                        <w:pPr>
                          <w:pStyle w:val="TableParagraph"/>
                          <w:spacing w:line="276" w:lineRule="auto" w:before="70"/>
                          <w:ind w:left="121" w:right="183"/>
                          <w:jc w:val="both"/>
                          <w:rPr>
                            <w:sz w:val="22"/>
                          </w:rPr>
                        </w:pPr>
                        <w:r>
                          <w:rPr>
                            <w:sz w:val="22"/>
                          </w:rPr>
                          <w:t>Reducir la  contaminación del Río Temascaltepec por las aguas negras y el arrastre de los desechos de la Posta Zootécnica.</w:t>
                        </w:r>
                      </w:p>
                    </w:tc>
                  </w:tr>
                </w:tbl>
                <w:p>
                  <w:pPr>
                    <w:pStyle w:val="BodyText"/>
                  </w:pPr>
                </w:p>
              </w:txbxContent>
            </v:textbox>
            <w10:wrap type="none"/>
          </v:shape>
        </w:pict>
      </w:r>
      <w:r>
        <w:rPr>
          <w:b/>
          <w:i/>
          <w:sz w:val="20"/>
        </w:rPr>
        <w:t>Diagrama 2. Árbol de objetivos del Parque Universitario “Las Orquídeas”.</w:t>
      </w:r>
    </w:p>
    <w:p>
      <w:pPr>
        <w:pStyle w:val="BodyText"/>
        <w:spacing w:before="1"/>
        <w:rPr>
          <w:b/>
          <w:i/>
          <w:sz w:val="14"/>
        </w:rPr>
      </w:pPr>
      <w:r>
        <w:rPr/>
        <w:pict>
          <v:group style="position:absolute;margin-left:36.099998pt;margin-top:10.070887pt;width:503.5pt;height:79.9pt;mso-position-horizontal-relative:page;mso-position-vertical-relative:paragraph;z-index:2944;mso-wrap-distance-left:0;mso-wrap-distance-right:0" coordorigin="722,201" coordsize="10070,1598">
            <v:shape style="position:absolute;left:754;top:360;width:3197;height:826" type="#_x0000_t75" stroked="false">
              <v:imagedata r:id="rId102" o:title=""/>
            </v:shape>
            <v:shape style="position:absolute;left:5122;top:1046;width:1406;height:278" type="#_x0000_t75" stroked="false">
              <v:imagedata r:id="rId74" o:title=""/>
            </v:shape>
            <v:shape style="position:absolute;left:6534;top:535;width:818;height:672" coordorigin="6534,535" coordsize="818,672" path="m6928,1177l6534,1177,6534,1207,6951,1207,6958,1200,6958,1192,6928,1192,6928,1177xm7267,607l6935,607,6928,613,6928,1192,6943,1177,6958,1177,6958,637,6943,637,6958,622,7293,622,7267,607xm6958,1177l6943,1177,6928,1192,6958,1192,6958,1177xm7293,622l7188,683,7185,692,7189,699,7194,706,7203,709,7326,637,7322,637,7322,635,7315,635,7293,622xm6958,622l6943,637,6958,637,6958,622xm7293,622l6958,622,6958,637,7267,637,7293,622,7293,622xm7326,607l7322,607,7322,637,7326,637,7352,622,7326,607xm7315,609l7293,622,7315,635,7315,609xm7322,609l7315,609,7315,635,7322,635,7322,609xm7203,535l7194,537,7189,544,7185,551,7188,560,7293,622,7315,609,7322,609,7322,607,7326,607,7203,535xe" filled="true" fillcolor="#000000" stroked="false">
              <v:path arrowok="t"/>
              <v:fill type="solid"/>
            </v:shape>
            <v:shape style="position:absolute;left:4002;top:624;width:1155;height:583" coordorigin="4002,624" coordsize="1155,583" path="m4564,711l4564,1200,4571,1206,5157,1206,5157,1191,4594,1191,4579,1176,4594,1176,4594,726,4579,726,4564,711xm4594,1176l4579,1176,4594,1191,4594,1176xm5157,1176l4594,1176,4594,1191,5157,1191,5157,1176xm4151,624l4144,628,4002,711,4144,794,4151,798,4160,796,4165,789,4169,782,4166,773,4087,726,4032,726,4032,696,4087,696,4159,654,4166,650,4169,641,4160,627,4151,624xm4087,696l4032,696,4032,726,4087,726,4083,724,4039,724,4039,698,4083,698,4087,696xm4588,696l4087,696,4061,711,4087,726,4564,726,4564,711,4594,711,4594,703,4588,696xm4594,711l4564,711,4579,726,4594,726,4594,711xm4039,698l4039,724,4061,711,4039,698xm4061,711l4039,724,4083,724,4061,711xm4083,698l4039,698,4061,711,4083,698xe" filled="true" fillcolor="#000000" stroked="false">
              <v:path arrowok="t"/>
              <v:fill type="solid"/>
            </v:shape>
            <v:shape style="position:absolute;left:2060;top:1334;width:175;height:465" coordorigin="2060,1334" coordsize="175,465" path="m2077,1632l2069,1636,2062,1640,2060,1650,2147,1799,2164,1769,2132,1769,2132,1714,2090,1642,2086,1635,2077,1632xm2132,1714l2132,1769,2162,1769,2162,1762,2134,1762,2147,1739,2132,1714xm2217,1632l2208,1635,2204,1642,2162,1714,2162,1769,2164,1769,2234,1650,2232,1640,2225,1636,2217,1632xm2147,1739l2134,1762,2160,1762,2147,1739xm2162,1714l2147,1739,2160,1762,2162,1762,2162,1714xm2162,1334l2132,1334,2132,1714,2147,1739,2162,1714,2162,1334xe" filled="true" fillcolor="#000000" stroked="false">
              <v:path arrowok="t"/>
              <v:fill type="solid"/>
            </v:shape>
            <v:shape style="position:absolute;left:7493;top:360;width:3269;height:754" type="#_x0000_t75" stroked="false">
              <v:imagedata r:id="rId97" o:title=""/>
            </v:shape>
            <v:shape style="position:absolute;left:4104;top:201;width:3355;height:235" type="#_x0000_t75" stroked="false">
              <v:imagedata r:id="rId86" o:title=""/>
            </v:shape>
            <v:shape style="position:absolute;left:4548;top:221;width:2470;height:221" type="#_x0000_t202" filled="false" stroked="false">
              <v:textbox inset="0,0,0,0">
                <w:txbxContent>
                  <w:p>
                    <w:pPr>
                      <w:spacing w:line="221" w:lineRule="exact" w:before="0"/>
                      <w:ind w:left="0" w:right="-20" w:firstLine="0"/>
                      <w:jc w:val="left"/>
                      <w:rPr>
                        <w:b/>
                        <w:sz w:val="22"/>
                      </w:rPr>
                    </w:pPr>
                    <w:r>
                      <w:rPr>
                        <w:b/>
                        <w:sz w:val="22"/>
                      </w:rPr>
                      <w:t>ÁRBOL DE OBJETIVOS</w:t>
                    </w:r>
                  </w:p>
                </w:txbxContent>
              </v:textbox>
              <w10:wrap type="none"/>
            </v:shape>
            <v:shape style="position:absolute;left:5359;top:1070;width:930;height:221" type="#_x0000_t202" filled="false" stroked="false">
              <v:textbox inset="0,0,0,0">
                <w:txbxContent>
                  <w:p>
                    <w:pPr>
                      <w:spacing w:line="221" w:lineRule="exact" w:before="0"/>
                      <w:ind w:left="0" w:right="-19" w:firstLine="0"/>
                      <w:jc w:val="left"/>
                      <w:rPr>
                        <w:b/>
                        <w:i/>
                        <w:sz w:val="22"/>
                      </w:rPr>
                    </w:pPr>
                    <w:r>
                      <w:rPr>
                        <w:b/>
                        <w:i/>
                        <w:sz w:val="22"/>
                      </w:rPr>
                      <w:t>CAUSAS</w:t>
                    </w:r>
                  </w:p>
                </w:txbxContent>
              </v:textbox>
              <w10:wrap type="none"/>
            </v:shape>
            <v:shape style="position:absolute;left:737;top:271;width:3230;height:1000" type="#_x0000_t202" filled="false" stroked="true" strokeweight="1.5pt" strokecolor="#000000">
              <v:textbox inset="0,0,0,0">
                <w:txbxContent>
                  <w:p>
                    <w:pPr>
                      <w:spacing w:before="66"/>
                      <w:ind w:left="146" w:right="134" w:firstLine="0"/>
                      <w:jc w:val="both"/>
                      <w:rPr>
                        <w:sz w:val="22"/>
                      </w:rPr>
                    </w:pPr>
                    <w:r>
                      <w:rPr>
                        <w:sz w:val="22"/>
                      </w:rPr>
                      <w:t>Disponer adecuadamente las aguas negras y desechos de la Posta Zootécnica.</w:t>
                    </w:r>
                  </w:p>
                </w:txbxContent>
              </v:textbox>
              <w10:wrap type="none"/>
            </v:shape>
            <v:shape style="position:absolute;left:7477;top:271;width:3300;height:930" type="#_x0000_t202" filled="false" stroked="true" strokeweight="1.5pt" strokecolor="#000000">
              <v:textbox inset="0,0,0,0">
                <w:txbxContent>
                  <w:p>
                    <w:pPr>
                      <w:spacing w:line="278" w:lineRule="auto" w:before="66"/>
                      <w:ind w:left="147" w:right="139" w:firstLine="0"/>
                      <w:jc w:val="left"/>
                      <w:rPr>
                        <w:sz w:val="22"/>
                      </w:rPr>
                    </w:pPr>
                    <w:r>
                      <w:rPr>
                        <w:sz w:val="22"/>
                      </w:rPr>
                      <w:t>Conservar las especies de plantas y recursos forestales.</w:t>
                    </w:r>
                  </w:p>
                </w:txbxContent>
              </v:textbox>
              <w10:wrap type="none"/>
            </v:shape>
            <w10:wrap type="topAndBottom"/>
          </v:group>
        </w:pic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5"/>
        </w:rPr>
      </w:pPr>
    </w:p>
    <w:p>
      <w:pPr>
        <w:spacing w:before="0"/>
        <w:ind w:left="796" w:right="0" w:firstLine="0"/>
        <w:jc w:val="left"/>
        <w:rPr>
          <w:b/>
          <w:i/>
          <w:sz w:val="20"/>
        </w:rPr>
      </w:pPr>
      <w:r>
        <w:rPr/>
        <w:drawing>
          <wp:anchor distT="0" distB="0" distL="0" distR="0" allowOverlap="1" layoutInCell="1" locked="0" behindDoc="0" simplePos="0" relativeHeight="3160">
            <wp:simplePos x="0" y="0"/>
            <wp:positionH relativeFrom="page">
              <wp:posOffset>475487</wp:posOffset>
            </wp:positionH>
            <wp:positionV relativeFrom="paragraph">
              <wp:posOffset>-3074925</wp:posOffset>
            </wp:positionV>
            <wp:extent cx="1965647" cy="891539"/>
            <wp:effectExtent l="0" t="0" r="0" b="0"/>
            <wp:wrapNone/>
            <wp:docPr id="69" name="image55.png" descr=""/>
            <wp:cNvGraphicFramePr>
              <a:graphicFrameLocks noChangeAspect="1"/>
            </wp:cNvGraphicFramePr>
            <a:graphic>
              <a:graphicData uri="http://schemas.openxmlformats.org/drawingml/2006/picture">
                <pic:pic>
                  <pic:nvPicPr>
                    <pic:cNvPr id="70" name="image55.png"/>
                    <pic:cNvPicPr/>
                  </pic:nvPicPr>
                  <pic:blipFill>
                    <a:blip r:embed="rId103" cstate="print"/>
                    <a:stretch>
                      <a:fillRect/>
                    </a:stretch>
                  </pic:blipFill>
                  <pic:spPr>
                    <a:xfrm>
                      <a:off x="0" y="0"/>
                      <a:ext cx="1965647" cy="891539"/>
                    </a:xfrm>
                    <a:prstGeom prst="rect">
                      <a:avLst/>
                    </a:prstGeom>
                  </pic:spPr>
                </pic:pic>
              </a:graphicData>
            </a:graphic>
          </wp:anchor>
        </w:drawing>
      </w:r>
      <w:r>
        <w:rPr/>
        <w:pict>
          <v:group style="position:absolute;margin-left:38.099998pt;margin-top:-148.980118pt;width:155.950pt;height:79.75pt;mso-position-horizontal-relative:page;mso-position-vertical-relative:paragraph;z-index:3208" coordorigin="762,-2980" coordsize="3119,1595">
            <v:shape style="position:absolute;left:792;top:-2879;width:3058;height:1090" type="#_x0000_t75" stroked="false">
              <v:imagedata r:id="rId104" o:title=""/>
            </v:shape>
            <v:shape style="position:absolute;left:2050;top:-1725;width:174;height:340" type="#_x0000_t75" stroked="false">
              <v:imagedata r:id="rId105" o:title=""/>
            </v:shape>
            <v:shape style="position:absolute;left:777;top:-2965;width:3089;height:1260" type="#_x0000_t202" filled="false" stroked="true" strokeweight="1.5pt" strokecolor="#000000">
              <v:textbox inset="0,0,0,0">
                <w:txbxContent>
                  <w:p>
                    <w:pPr>
                      <w:spacing w:before="69"/>
                      <w:ind w:left="144" w:right="141" w:firstLine="0"/>
                      <w:jc w:val="both"/>
                      <w:rPr>
                        <w:sz w:val="22"/>
                      </w:rPr>
                    </w:pPr>
                    <w:r>
                      <w:rPr>
                        <w:sz w:val="22"/>
                      </w:rPr>
                      <w:t>Reducir la contaminación del suelo, aire y agua por la mezcla de los desechos sólidos.</w:t>
                    </w:r>
                  </w:p>
                </w:txbxContent>
              </v:textbox>
              <w10:wrap type="none"/>
            </v:shape>
            <w10:wrap type="none"/>
          </v:group>
        </w:pict>
      </w:r>
      <w:r>
        <w:rPr/>
        <w:pict>
          <v:group style="position:absolute;margin-left:38.099998pt;margin-top:-67.99012pt;width:161.25pt;height:60.5pt;mso-position-horizontal-relative:page;mso-position-vertical-relative:paragraph;z-index:3256" coordorigin="762,-1360" coordsize="3225,1210">
            <v:shape style="position:absolute;left:792;top:-1257;width:3163;height:1003" type="#_x0000_t75" stroked="false">
              <v:imagedata r:id="rId106" o:title=""/>
            </v:shape>
            <v:shape style="position:absolute;left:777;top:-1345;width:3195;height:1180" type="#_x0000_t202" filled="false" stroked="true" strokeweight="1.5pt" strokecolor="#000000">
              <v:textbox inset="0,0,0,0">
                <w:txbxContent>
                  <w:p>
                    <w:pPr>
                      <w:tabs>
                        <w:tab w:pos="2178" w:val="left" w:leader="none"/>
                      </w:tabs>
                      <w:spacing w:line="240" w:lineRule="auto" w:before="72"/>
                      <w:ind w:left="144" w:right="139" w:firstLine="0"/>
                      <w:jc w:val="both"/>
                      <w:rPr>
                        <w:sz w:val="22"/>
                      </w:rPr>
                    </w:pPr>
                    <w:r>
                      <w:rPr>
                        <w:sz w:val="22"/>
                      </w:rPr>
                      <w:t>Gestionar</w:t>
                      <w:tab/>
                      <w:t>recursos financieros para realizar obras de mantenimiento y contratar</w:t>
                    </w:r>
                    <w:r>
                      <w:rPr>
                        <w:spacing w:val="-11"/>
                        <w:sz w:val="22"/>
                      </w:rPr>
                      <w:t> </w:t>
                    </w:r>
                    <w:r>
                      <w:rPr>
                        <w:sz w:val="22"/>
                      </w:rPr>
                      <w:t>personal.</w:t>
                    </w:r>
                  </w:p>
                </w:txbxContent>
              </v:textbox>
              <w10:wrap type="none"/>
            </v:shape>
            <w10:wrap type="none"/>
          </v:group>
        </w:pict>
      </w:r>
      <w:r>
        <w:rPr/>
        <w:drawing>
          <wp:anchor distT="0" distB="0" distL="0" distR="0" allowOverlap="1" layoutInCell="1" locked="0" behindDoc="0" simplePos="0" relativeHeight="3280">
            <wp:simplePos x="0" y="0"/>
            <wp:positionH relativeFrom="page">
              <wp:posOffset>4745735</wp:posOffset>
            </wp:positionH>
            <wp:positionV relativeFrom="paragraph">
              <wp:posOffset>-2919477</wp:posOffset>
            </wp:positionV>
            <wp:extent cx="2081011" cy="461772"/>
            <wp:effectExtent l="0" t="0" r="0" b="0"/>
            <wp:wrapNone/>
            <wp:docPr id="71" name="image59.png" descr=""/>
            <wp:cNvGraphicFramePr>
              <a:graphicFrameLocks noChangeAspect="1"/>
            </wp:cNvGraphicFramePr>
            <a:graphic>
              <a:graphicData uri="http://schemas.openxmlformats.org/drawingml/2006/picture">
                <pic:pic>
                  <pic:nvPicPr>
                    <pic:cNvPr id="72" name="image59.png"/>
                    <pic:cNvPicPr/>
                  </pic:nvPicPr>
                  <pic:blipFill>
                    <a:blip r:embed="rId107" cstate="print"/>
                    <a:stretch>
                      <a:fillRect/>
                    </a:stretch>
                  </pic:blipFill>
                  <pic:spPr>
                    <a:xfrm>
                      <a:off x="0" y="0"/>
                      <a:ext cx="2081011" cy="461772"/>
                    </a:xfrm>
                    <a:prstGeom prst="rect">
                      <a:avLst/>
                    </a:prstGeom>
                  </pic:spPr>
                </pic:pic>
              </a:graphicData>
            </a:graphic>
          </wp:anchor>
        </w:drawing>
      </w:r>
      <w:r>
        <w:rPr/>
        <w:pict>
          <v:group style="position:absolute;margin-left:377.100006pt;margin-top:-59.090122pt;width:162.5pt;height:47.8pt;mso-position-horizontal-relative:page;mso-position-vertical-relative:paragraph;z-index:3328" coordorigin="7542,-1182" coordsize="3250,956">
            <v:shape style="position:absolute;left:7574;top:-1079;width:3187;height:754" type="#_x0000_t75" stroked="false">
              <v:imagedata r:id="rId108" o:title=""/>
            </v:shape>
            <v:shape style="position:absolute;left:7557;top:-1167;width:3220;height:926" type="#_x0000_t202" filled="false" stroked="true" strokeweight="1.5pt" strokecolor="#000000">
              <v:textbox inset="0,0,0,0">
                <w:txbxContent>
                  <w:p>
                    <w:pPr>
                      <w:tabs>
                        <w:tab w:pos="2184" w:val="left" w:leader="none"/>
                      </w:tabs>
                      <w:spacing w:line="240" w:lineRule="auto" w:before="71"/>
                      <w:ind w:left="149" w:right="135" w:firstLine="0"/>
                      <w:jc w:val="both"/>
                      <w:rPr>
                        <w:sz w:val="22"/>
                      </w:rPr>
                    </w:pPr>
                    <w:r>
                      <w:rPr>
                        <w:sz w:val="22"/>
                      </w:rPr>
                      <w:t>Reforestar y/o promover la reproducción</w:t>
                      <w:tab/>
                      <w:t>especies nativas.</w:t>
                    </w:r>
                  </w:p>
                </w:txbxContent>
              </v:textbox>
              <w10:wrap type="none"/>
            </v:shape>
            <w10:wrap type="none"/>
          </v:group>
        </w:pict>
      </w:r>
      <w:r>
        <w:rPr/>
        <w:pict>
          <v:group style="position:absolute;margin-left:202.850006pt;margin-top:-76.520119pt;width:171.9pt;height:45.85pt;mso-position-horizontal-relative:page;mso-position-vertical-relative:paragraph;z-index:3376" coordorigin="4057,-1530" coordsize="3438,917">
            <v:shape style="position:absolute;left:5069;top:-1530;width:1416;height:274" type="#_x0000_t75" stroked="false">
              <v:imagedata r:id="rId109" o:title=""/>
            </v:shape>
            <v:shape style="position:absolute;left:4057;top:-1409;width:3438;height:795" coordorigin="4057,-1409" coordsize="3438,795" path="m5117,-1381l4579,-1381,4572,-1374,4572,-716,4142,-716,4214,-758,4221,-762,4224,-771,4215,-786,4206,-788,4199,-784,4057,-701,4199,-618,4206,-614,4215,-616,4220,-623,4224,-630,4221,-640,4142,-686,4595,-686,4602,-693,4602,-701,4602,-716,4602,-1351,5117,-1351,5117,-1366,5117,-1381m7495,-869l7469,-884,7346,-956,7337,-954,7328,-939,7331,-930,7338,-926,7410,-884,7003,-884,7003,-1379,7003,-1394,7003,-1402,6997,-1409,6482,-1409,6482,-1379,6973,-1379,6973,-861,6980,-854,7410,-854,7331,-808,7328,-798,7332,-791,7337,-784,7346,-782,7469,-854,7495,-869e" filled="true" fillcolor="#000000" stroked="false">
              <v:path arrowok="t"/>
              <v:fill type="solid"/>
            </v:shape>
            <v:shape style="position:absolute;left:4057;top:-1530;width:3438;height:917" type="#_x0000_t202" filled="false" stroked="false">
              <v:textbox inset="0,0,0,0">
                <w:txbxContent>
                  <w:p>
                    <w:pPr>
                      <w:spacing w:line="252" w:lineRule="exact" w:before="0"/>
                      <w:ind w:left="1181" w:right="1178" w:firstLine="0"/>
                      <w:jc w:val="center"/>
                      <w:rPr>
                        <w:b/>
                        <w:i/>
                        <w:sz w:val="22"/>
                      </w:rPr>
                    </w:pPr>
                    <w:r>
                      <w:rPr>
                        <w:b/>
                        <w:i/>
                        <w:sz w:val="22"/>
                      </w:rPr>
                      <w:t>EFECTOS</w:t>
                    </w:r>
                  </w:p>
                </w:txbxContent>
              </v:textbox>
              <w10:wrap type="none"/>
            </v:shape>
            <w10:wrap type="none"/>
          </v:group>
        </w:pict>
      </w:r>
      <w:r>
        <w:rPr/>
        <w:pict>
          <v:group style="position:absolute;margin-left:373.75pt;margin-top:-155.92012pt;width:167.5pt;height:70.5pt;mso-position-horizontal-relative:page;mso-position-vertical-relative:paragraph;z-index:3424" coordorigin="7475,-3118" coordsize="3350,1410">
            <v:shape style="position:absolute;left:7507;top:-3018;width:3288;height:1210" type="#_x0000_t75" stroked="false">
              <v:imagedata r:id="rId110" o:title=""/>
            </v:shape>
            <v:shape style="position:absolute;left:7490;top:-3103;width:3320;height:1380" type="#_x0000_t202" filled="false" stroked="true" strokeweight="1.5pt" strokecolor="#000000">
              <v:textbox inset="0,0,0,0">
                <w:txbxContent>
                  <w:p>
                    <w:pPr>
                      <w:spacing w:line="240" w:lineRule="auto" w:before="68"/>
                      <w:ind w:left="148" w:right="132" w:firstLine="0"/>
                      <w:jc w:val="both"/>
                      <w:rPr>
                        <w:sz w:val="22"/>
                      </w:rPr>
                    </w:pPr>
                    <w:r>
                      <w:rPr>
                        <w:sz w:val="22"/>
                      </w:rPr>
                      <w:t>Colocar contenedores de basura en los senderos y vigilar que sean dispersadas Realizar la propagación </w:t>
                    </w:r>
                    <w:r>
                      <w:rPr>
                        <w:spacing w:val="-3"/>
                        <w:sz w:val="22"/>
                      </w:rPr>
                      <w:t>de </w:t>
                    </w:r>
                    <w:r>
                      <w:rPr>
                        <w:sz w:val="22"/>
                      </w:rPr>
                      <w:t>especies</w:t>
                    </w:r>
                    <w:r>
                      <w:rPr>
                        <w:spacing w:val="-9"/>
                        <w:sz w:val="22"/>
                      </w:rPr>
                      <w:t> </w:t>
                    </w:r>
                    <w:r>
                      <w:rPr>
                        <w:sz w:val="22"/>
                      </w:rPr>
                      <w:t>silvestres.</w:t>
                    </w:r>
                  </w:p>
                </w:txbxContent>
              </v:textbox>
              <w10:wrap type="none"/>
            </v:shape>
            <w10:wrap type="none"/>
          </v:group>
        </w:pict>
      </w:r>
      <w:r>
        <w:rPr/>
        <w:drawing>
          <wp:anchor distT="0" distB="0" distL="0" distR="0" allowOverlap="1" layoutInCell="1" locked="0" behindDoc="0" simplePos="0" relativeHeight="3520">
            <wp:simplePos x="0" y="0"/>
            <wp:positionH relativeFrom="page">
              <wp:posOffset>1301622</wp:posOffset>
            </wp:positionH>
            <wp:positionV relativeFrom="paragraph">
              <wp:posOffset>-2115440</wp:posOffset>
            </wp:positionV>
            <wp:extent cx="110673" cy="200025"/>
            <wp:effectExtent l="0" t="0" r="0" b="0"/>
            <wp:wrapNone/>
            <wp:docPr id="73" name="image63.png" descr=""/>
            <wp:cNvGraphicFramePr>
              <a:graphicFrameLocks noChangeAspect="1"/>
            </wp:cNvGraphicFramePr>
            <a:graphic>
              <a:graphicData uri="http://schemas.openxmlformats.org/drawingml/2006/picture">
                <pic:pic>
                  <pic:nvPicPr>
                    <pic:cNvPr id="74" name="image63.png"/>
                    <pic:cNvPicPr/>
                  </pic:nvPicPr>
                  <pic:blipFill>
                    <a:blip r:embed="rId111" cstate="print"/>
                    <a:stretch>
                      <a:fillRect/>
                    </a:stretch>
                  </pic:blipFill>
                  <pic:spPr>
                    <a:xfrm>
                      <a:off x="0" y="0"/>
                      <a:ext cx="110673" cy="200025"/>
                    </a:xfrm>
                    <a:prstGeom prst="rect">
                      <a:avLst/>
                    </a:prstGeom>
                  </pic:spPr>
                </pic:pic>
              </a:graphicData>
            </a:graphic>
          </wp:anchor>
        </w:drawing>
      </w:r>
      <w:r>
        <w:rPr/>
        <w:pict>
          <v:shape style="position:absolute;margin-left:455.48999pt;margin-top:-179.400116pt;width:8.75pt;height:20.75pt;mso-position-horizontal-relative:page;mso-position-vertical-relative:paragraph;z-index:3544" coordorigin="9110,-3588" coordsize="175,415" path="m9197,-3528l9182,-3503,9182,-3173,9212,-3173,9212,-3503,9197,-3528xm9197,-3588l9110,-3439,9112,-3429,9127,-3421,9136,-3424,9140,-3431,9182,-3503,9182,-3558,9214,-3558,9197,-3588xm9214,-3558l9212,-3558,9212,-3503,9254,-3431,9258,-3424,9267,-3421,9282,-3429,9284,-3439,9214,-3558xm9212,-3558l9182,-3558,9182,-3503,9197,-3528,9184,-3551,9212,-3551,9212,-3558xm9212,-3551l9210,-3551,9197,-3528,9212,-3503,9212,-3551xm9210,-3551l9184,-3551,9197,-3528,9210,-3551xe" filled="true" fillcolor="#000000" stroked="false">
            <v:path arrowok="t"/>
            <v:fill type="solid"/>
            <w10:wrap type="none"/>
          </v:shape>
        </w:pict>
      </w:r>
      <w:r>
        <w:rPr/>
        <w:drawing>
          <wp:anchor distT="0" distB="0" distL="0" distR="0" allowOverlap="1" layoutInCell="1" locked="0" behindDoc="0" simplePos="0" relativeHeight="3568">
            <wp:simplePos x="0" y="0"/>
            <wp:positionH relativeFrom="page">
              <wp:posOffset>5775197</wp:posOffset>
            </wp:positionH>
            <wp:positionV relativeFrom="paragraph">
              <wp:posOffset>-1023494</wp:posOffset>
            </wp:positionV>
            <wp:extent cx="110743" cy="247650"/>
            <wp:effectExtent l="0" t="0" r="0" b="0"/>
            <wp:wrapNone/>
            <wp:docPr id="75" name="image64.png" descr=""/>
            <wp:cNvGraphicFramePr>
              <a:graphicFrameLocks noChangeAspect="1"/>
            </wp:cNvGraphicFramePr>
            <a:graphic>
              <a:graphicData uri="http://schemas.openxmlformats.org/drawingml/2006/picture">
                <pic:pic>
                  <pic:nvPicPr>
                    <pic:cNvPr id="76" name="image64.png"/>
                    <pic:cNvPicPr/>
                  </pic:nvPicPr>
                  <pic:blipFill>
                    <a:blip r:embed="rId112" cstate="print"/>
                    <a:stretch>
                      <a:fillRect/>
                    </a:stretch>
                  </pic:blipFill>
                  <pic:spPr>
                    <a:xfrm>
                      <a:off x="0" y="0"/>
                      <a:ext cx="110743" cy="247650"/>
                    </a:xfrm>
                    <a:prstGeom prst="rect">
                      <a:avLst/>
                    </a:prstGeom>
                  </pic:spPr>
                </pic:pic>
              </a:graphicData>
            </a:graphic>
          </wp:anchor>
        </w:drawing>
      </w:r>
      <w:r>
        <w:rPr>
          <w:b/>
          <w:i/>
          <w:sz w:val="20"/>
        </w:rPr>
        <w:t>Fuente: Elaboración propia, a partir de Camacho, 2001 y Gutiérrez, 2013.</w:t>
      </w:r>
    </w:p>
    <w:p>
      <w:pPr>
        <w:spacing w:after="0"/>
        <w:jc w:val="left"/>
        <w:rPr>
          <w:sz w:val="20"/>
        </w:rPr>
        <w:sectPr>
          <w:pgSz w:w="12240" w:h="15840"/>
          <w:pgMar w:header="685" w:footer="1190" w:top="880" w:bottom="1380" w:left="620" w:right="1300"/>
        </w:sectPr>
      </w:pPr>
    </w:p>
    <w:p>
      <w:pPr>
        <w:pStyle w:val="BodyText"/>
        <w:rPr>
          <w:b/>
          <w:i/>
          <w:sz w:val="20"/>
        </w:rPr>
      </w:pPr>
    </w:p>
    <w:p>
      <w:pPr>
        <w:pStyle w:val="BodyText"/>
        <w:spacing w:before="9"/>
        <w:rPr>
          <w:b/>
          <w:i/>
          <w:sz w:val="19"/>
        </w:rPr>
      </w:pPr>
    </w:p>
    <w:p>
      <w:pPr>
        <w:pStyle w:val="ListParagraph"/>
        <w:numPr>
          <w:ilvl w:val="2"/>
          <w:numId w:val="16"/>
        </w:numPr>
        <w:tabs>
          <w:tab w:pos="1007" w:val="left" w:leader="none"/>
          <w:tab w:pos="1008" w:val="left" w:leader="none"/>
        </w:tabs>
        <w:spacing w:line="240" w:lineRule="auto" w:before="69" w:after="0"/>
        <w:ind w:left="1007" w:right="0" w:hanging="903"/>
        <w:jc w:val="left"/>
        <w:rPr>
          <w:i/>
          <w:sz w:val="24"/>
        </w:rPr>
      </w:pPr>
      <w:r>
        <w:rPr>
          <w:i/>
          <w:sz w:val="24"/>
        </w:rPr>
        <w:t>Análisis de la</w:t>
      </w:r>
      <w:r>
        <w:rPr>
          <w:i/>
          <w:spacing w:val="-17"/>
          <w:sz w:val="24"/>
        </w:rPr>
        <w:t> </w:t>
      </w:r>
      <w:r>
        <w:rPr>
          <w:i/>
          <w:sz w:val="24"/>
        </w:rPr>
        <w:t>participación</w:t>
      </w:r>
    </w:p>
    <w:p>
      <w:pPr>
        <w:pStyle w:val="BodyText"/>
        <w:rPr>
          <w:i/>
        </w:rPr>
      </w:pPr>
    </w:p>
    <w:p>
      <w:pPr>
        <w:pStyle w:val="BodyText"/>
        <w:spacing w:before="3"/>
        <w:rPr>
          <w:i/>
        </w:rPr>
      </w:pPr>
    </w:p>
    <w:p>
      <w:pPr>
        <w:pStyle w:val="BodyText"/>
        <w:spacing w:line="360" w:lineRule="auto"/>
        <w:ind w:left="464" w:right="302"/>
      </w:pPr>
      <w:r>
        <w:rPr/>
        <w:t>En este análisis, se trata de tener una visión precisa de la realidad social sobre la que el Proyecto del Jardín Botánico Regional pretende incidir (Cuadro 15).</w:t>
      </w:r>
    </w:p>
    <w:p>
      <w:pPr>
        <w:pStyle w:val="BodyText"/>
        <w:rPr>
          <w:sz w:val="20"/>
        </w:rPr>
      </w:pPr>
    </w:p>
    <w:p>
      <w:pPr>
        <w:pStyle w:val="BodyText"/>
        <w:spacing w:before="10"/>
        <w:rPr>
          <w:sz w:val="16"/>
        </w:rPr>
      </w:pPr>
    </w:p>
    <w:tbl>
      <w:tblPr>
        <w:tblW w:w="0" w:type="auto"/>
        <w:jc w:val="left"/>
        <w:tblInd w:w="15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964"/>
        <w:gridCol w:w="2069"/>
        <w:gridCol w:w="2386"/>
        <w:gridCol w:w="3208"/>
      </w:tblGrid>
      <w:tr>
        <w:trPr>
          <w:trHeight w:val="389" w:hRule="exact"/>
        </w:trPr>
        <w:tc>
          <w:tcPr>
            <w:tcW w:w="9628" w:type="dxa"/>
            <w:gridSpan w:val="4"/>
            <w:tcBorders>
              <w:bottom w:val="thinThickMediumGap" w:sz="12" w:space="0" w:color="000000"/>
              <w:right w:val="thinThickMediumGap" w:sz="12" w:space="0" w:color="000000"/>
            </w:tcBorders>
          </w:tcPr>
          <w:p>
            <w:pPr>
              <w:pStyle w:val="TableParagraph"/>
              <w:spacing w:line="220" w:lineRule="exact"/>
              <w:ind w:left="2943"/>
              <w:rPr>
                <w:b/>
                <w:i/>
                <w:sz w:val="20"/>
              </w:rPr>
            </w:pPr>
            <w:r>
              <w:rPr>
                <w:b/>
                <w:i/>
                <w:sz w:val="20"/>
              </w:rPr>
              <w:t>Cuadro 15. Análisis de la Participación</w:t>
            </w:r>
          </w:p>
        </w:tc>
      </w:tr>
      <w:tr>
        <w:trPr>
          <w:trHeight w:val="821" w:hRule="exact"/>
        </w:trPr>
        <w:tc>
          <w:tcPr>
            <w:tcW w:w="1964" w:type="dxa"/>
            <w:tcBorders>
              <w:bottom w:val="thinThickMediumGap" w:sz="12" w:space="0" w:color="000000"/>
              <w:right w:val="thinThickMediumGap" w:sz="12" w:space="0" w:color="000000"/>
            </w:tcBorders>
            <w:shd w:val="clear" w:color="auto" w:fill="D9D9D9"/>
          </w:tcPr>
          <w:p>
            <w:pPr>
              <w:pStyle w:val="TableParagraph"/>
              <w:spacing w:line="364" w:lineRule="auto" w:before="9"/>
              <w:ind w:left="523" w:right="241" w:hanging="260"/>
              <w:rPr>
                <w:b/>
                <w:sz w:val="22"/>
              </w:rPr>
            </w:pPr>
            <w:r>
              <w:rPr>
                <w:b/>
                <w:sz w:val="22"/>
              </w:rPr>
              <w:t>Beneficiarios directos</w:t>
            </w:r>
          </w:p>
        </w:tc>
        <w:tc>
          <w:tcPr>
            <w:tcW w:w="2069" w:type="dxa"/>
            <w:tcBorders>
              <w:bottom w:val="thinThickMediumGap" w:sz="12" w:space="0" w:color="000000"/>
              <w:right w:val="thinThickMediumGap" w:sz="12" w:space="0" w:color="000000"/>
            </w:tcBorders>
            <w:shd w:val="clear" w:color="auto" w:fill="D9D9D9"/>
          </w:tcPr>
          <w:p>
            <w:pPr>
              <w:pStyle w:val="TableParagraph"/>
              <w:spacing w:line="364" w:lineRule="auto" w:before="9"/>
              <w:ind w:left="480" w:right="294" w:hanging="164"/>
              <w:rPr>
                <w:b/>
                <w:sz w:val="22"/>
              </w:rPr>
            </w:pPr>
            <w:r>
              <w:rPr>
                <w:b/>
                <w:sz w:val="22"/>
              </w:rPr>
              <w:t>Beneficiarios indirectos</w:t>
            </w:r>
          </w:p>
        </w:tc>
        <w:tc>
          <w:tcPr>
            <w:tcW w:w="2386" w:type="dxa"/>
            <w:tcBorders>
              <w:bottom w:val="thinThickMediumGap" w:sz="12" w:space="0" w:color="000000"/>
              <w:right w:val="thinThickMediumGap" w:sz="12" w:space="0" w:color="000000"/>
            </w:tcBorders>
            <w:shd w:val="clear" w:color="auto" w:fill="D9D9D9"/>
          </w:tcPr>
          <w:p>
            <w:pPr>
              <w:pStyle w:val="TableParagraph"/>
              <w:spacing w:line="364" w:lineRule="auto" w:before="9"/>
              <w:ind w:left="648" w:right="70" w:hanging="15"/>
              <w:rPr>
                <w:b/>
                <w:sz w:val="22"/>
              </w:rPr>
            </w:pPr>
            <w:r>
              <w:rPr>
                <w:b/>
                <w:sz w:val="22"/>
              </w:rPr>
              <w:t>Neutrales/ Excluidos</w:t>
            </w:r>
          </w:p>
        </w:tc>
        <w:tc>
          <w:tcPr>
            <w:tcW w:w="3208" w:type="dxa"/>
            <w:tcBorders>
              <w:bottom w:val="thinThickMediumGap" w:sz="12" w:space="0" w:color="000000"/>
              <w:right w:val="thinThickMediumGap" w:sz="12" w:space="0" w:color="000000"/>
            </w:tcBorders>
            <w:shd w:val="clear" w:color="auto" w:fill="D9D9D9"/>
          </w:tcPr>
          <w:p>
            <w:pPr>
              <w:pStyle w:val="TableParagraph"/>
              <w:spacing w:line="364" w:lineRule="auto" w:before="9"/>
              <w:ind w:left="998" w:right="838" w:hanging="149"/>
              <w:rPr>
                <w:b/>
                <w:sz w:val="22"/>
              </w:rPr>
            </w:pPr>
            <w:r>
              <w:rPr>
                <w:b/>
                <w:sz w:val="22"/>
              </w:rPr>
              <w:t>Perjudicados/ Oponentes</w:t>
            </w:r>
          </w:p>
        </w:tc>
      </w:tr>
      <w:tr>
        <w:trPr>
          <w:trHeight w:val="3111" w:hRule="exact"/>
        </w:trPr>
        <w:tc>
          <w:tcPr>
            <w:tcW w:w="1964" w:type="dxa"/>
            <w:tcBorders>
              <w:bottom w:val="thinThickMediumGap" w:sz="12" w:space="0" w:color="000000"/>
              <w:right w:val="thinThickMediumGap" w:sz="12" w:space="0" w:color="000000"/>
            </w:tcBorders>
          </w:tcPr>
          <w:p>
            <w:pPr>
              <w:pStyle w:val="TableParagraph"/>
              <w:tabs>
                <w:tab w:pos="1655" w:val="left" w:leader="none"/>
                <w:tab w:pos="1702" w:val="left" w:leader="none"/>
              </w:tabs>
              <w:spacing w:line="360" w:lineRule="auto" w:before="14"/>
              <w:ind w:left="81" w:right="75"/>
              <w:rPr>
                <w:sz w:val="22"/>
              </w:rPr>
            </w:pPr>
            <w:r>
              <w:rPr>
                <w:sz w:val="22"/>
              </w:rPr>
              <w:t>Alumnos, profesores</w:t>
              <w:tab/>
              <w:tab/>
              <w:t>e investigadores adscritos</w:t>
              <w:tab/>
              <w:t>al Centro Universitario UAEM</w:t>
            </w:r>
          </w:p>
          <w:p>
            <w:pPr>
              <w:pStyle w:val="TableParagraph"/>
              <w:spacing w:before="8"/>
              <w:ind w:left="81" w:right="241"/>
              <w:rPr>
                <w:sz w:val="22"/>
              </w:rPr>
            </w:pPr>
            <w:r>
              <w:rPr>
                <w:sz w:val="22"/>
              </w:rPr>
              <w:t>Temascaltepec</w:t>
            </w:r>
          </w:p>
        </w:tc>
        <w:tc>
          <w:tcPr>
            <w:tcW w:w="2069" w:type="dxa"/>
            <w:tcBorders>
              <w:bottom w:val="thinThickMediumGap" w:sz="12" w:space="0" w:color="000000"/>
              <w:right w:val="thinThickMediumGap" w:sz="12" w:space="0" w:color="000000"/>
            </w:tcBorders>
          </w:tcPr>
          <w:p>
            <w:pPr>
              <w:pStyle w:val="TableParagraph"/>
              <w:spacing w:line="360" w:lineRule="auto" w:before="14"/>
              <w:ind w:left="81" w:right="73"/>
              <w:jc w:val="both"/>
              <w:rPr>
                <w:sz w:val="22"/>
              </w:rPr>
            </w:pPr>
            <w:r>
              <w:rPr>
                <w:sz w:val="22"/>
              </w:rPr>
              <w:t>Visitantes, turistas y vecinos que visiten el Jardín botánico.</w:t>
            </w:r>
          </w:p>
        </w:tc>
        <w:tc>
          <w:tcPr>
            <w:tcW w:w="2386" w:type="dxa"/>
            <w:tcBorders>
              <w:bottom w:val="thinThickMediumGap" w:sz="12" w:space="0" w:color="000000"/>
              <w:right w:val="thinThickMediumGap" w:sz="12" w:space="0" w:color="000000"/>
            </w:tcBorders>
          </w:tcPr>
          <w:p>
            <w:pPr>
              <w:pStyle w:val="TableParagraph"/>
              <w:tabs>
                <w:tab w:pos="1428" w:val="left" w:leader="none"/>
                <w:tab w:pos="1956" w:val="left" w:leader="none"/>
              </w:tabs>
              <w:spacing w:line="360" w:lineRule="auto" w:before="14"/>
              <w:ind w:left="81" w:right="70"/>
              <w:rPr>
                <w:sz w:val="22"/>
              </w:rPr>
            </w:pPr>
            <w:r>
              <w:rPr>
                <w:sz w:val="22"/>
              </w:rPr>
              <w:t>Habitantes</w:t>
              <w:tab/>
              <w:t>de</w:t>
              <w:tab/>
              <w:t>las comunidades</w:t>
              <w:tab/>
              <w:tab/>
              <w:t>del</w:t>
            </w:r>
          </w:p>
          <w:p>
            <w:pPr>
              <w:pStyle w:val="TableParagraph"/>
              <w:tabs>
                <w:tab w:pos="2005" w:val="left" w:leader="none"/>
              </w:tabs>
              <w:spacing w:line="360" w:lineRule="auto" w:before="3"/>
              <w:ind w:left="81" w:right="74"/>
              <w:rPr>
                <w:sz w:val="22"/>
              </w:rPr>
            </w:pPr>
            <w:r>
              <w:rPr>
                <w:sz w:val="22"/>
              </w:rPr>
              <w:t>municipio</w:t>
              <w:tab/>
              <w:t>de Temascaltepec.</w:t>
            </w:r>
          </w:p>
        </w:tc>
        <w:tc>
          <w:tcPr>
            <w:tcW w:w="3208" w:type="dxa"/>
            <w:tcBorders>
              <w:bottom w:val="thinThickMediumGap" w:sz="12" w:space="0" w:color="000000"/>
              <w:right w:val="thinThickMediumGap" w:sz="12" w:space="0" w:color="000000"/>
            </w:tcBorders>
          </w:tcPr>
          <w:p>
            <w:pPr>
              <w:pStyle w:val="TableParagraph"/>
              <w:spacing w:line="360" w:lineRule="auto" w:before="14"/>
              <w:ind w:left="76" w:right="80"/>
              <w:jc w:val="both"/>
              <w:rPr>
                <w:sz w:val="22"/>
              </w:rPr>
            </w:pPr>
            <w:r>
              <w:rPr>
                <w:sz w:val="22"/>
              </w:rPr>
              <w:t>Aquellas personas que requieran extraer recursos naturales del Parque.</w:t>
            </w:r>
          </w:p>
        </w:tc>
      </w:tr>
    </w:tbl>
    <w:p>
      <w:pPr>
        <w:spacing w:line="220" w:lineRule="exact" w:before="0"/>
        <w:ind w:left="464" w:right="302" w:firstLine="0"/>
        <w:jc w:val="left"/>
        <w:rPr>
          <w:b/>
          <w:i/>
          <w:sz w:val="20"/>
        </w:rPr>
      </w:pPr>
      <w:r>
        <w:rPr>
          <w:b/>
          <w:i/>
          <w:sz w:val="20"/>
        </w:rPr>
        <w:t>Fuente: Elaboración propia, a partir de Camacho, 2001.</w:t>
      </w:r>
    </w:p>
    <w:p>
      <w:pPr>
        <w:spacing w:after="0" w:line="220" w:lineRule="exact"/>
        <w:jc w:val="left"/>
        <w:rPr>
          <w:sz w:val="20"/>
        </w:rPr>
        <w:sectPr>
          <w:pgSz w:w="12240" w:h="15840"/>
          <w:pgMar w:header="685" w:footer="1190" w:top="880" w:bottom="1380" w:left="1120" w:right="1140"/>
        </w:sectPr>
      </w:pPr>
    </w:p>
    <w:p>
      <w:pPr>
        <w:pStyle w:val="BodyText"/>
        <w:rPr>
          <w:b/>
          <w:i/>
          <w:sz w:val="20"/>
        </w:rPr>
      </w:pPr>
    </w:p>
    <w:p>
      <w:pPr>
        <w:pStyle w:val="BodyText"/>
        <w:rPr>
          <w:b/>
          <w:i/>
          <w:sz w:val="20"/>
        </w:rPr>
      </w:pPr>
    </w:p>
    <w:p>
      <w:pPr>
        <w:pStyle w:val="BodyText"/>
        <w:rPr>
          <w:b/>
          <w:i/>
          <w:sz w:val="20"/>
        </w:rPr>
      </w:pPr>
    </w:p>
    <w:p>
      <w:pPr>
        <w:pStyle w:val="BodyText"/>
        <w:spacing w:before="1"/>
        <w:rPr>
          <w:b/>
          <w:i/>
          <w:sz w:val="16"/>
        </w:rPr>
      </w:pPr>
    </w:p>
    <w:p>
      <w:pPr>
        <w:pStyle w:val="ListParagraph"/>
        <w:numPr>
          <w:ilvl w:val="2"/>
          <w:numId w:val="16"/>
        </w:numPr>
        <w:tabs>
          <w:tab w:pos="1067" w:val="left" w:leader="none"/>
          <w:tab w:pos="1068" w:val="left" w:leader="none"/>
        </w:tabs>
        <w:spacing w:line="240" w:lineRule="auto" w:before="70" w:after="0"/>
        <w:ind w:left="1067" w:right="0" w:hanging="903"/>
        <w:jc w:val="left"/>
        <w:rPr>
          <w:i/>
          <w:sz w:val="24"/>
        </w:rPr>
      </w:pPr>
      <w:r>
        <w:rPr>
          <w:i/>
          <w:sz w:val="24"/>
        </w:rPr>
        <w:t>Análisis de</w:t>
      </w:r>
      <w:r>
        <w:rPr>
          <w:i/>
          <w:spacing w:val="-16"/>
          <w:sz w:val="24"/>
        </w:rPr>
        <w:t> </w:t>
      </w:r>
      <w:r>
        <w:rPr>
          <w:i/>
          <w:sz w:val="24"/>
        </w:rPr>
        <w:t>Alternativas</w:t>
      </w:r>
    </w:p>
    <w:p>
      <w:pPr>
        <w:pStyle w:val="BodyText"/>
        <w:spacing w:line="360" w:lineRule="auto" w:before="137"/>
        <w:ind w:left="356" w:right="177"/>
        <w:jc w:val="both"/>
      </w:pPr>
      <w:r>
        <w:rPr/>
        <w:t>Las alternativas fueron elaboradas a partir de la identificación de los tipos de relaciones presentes entre los componentes del árbol de objetivos; obteniendo el diagrama 3. Posteriormente, las alternativas fueron evaluadas por criterios cualitativos y cuantitativos.</w:t>
      </w:r>
    </w:p>
    <w:p>
      <w:pPr>
        <w:spacing w:line="227" w:lineRule="exact" w:before="0"/>
        <w:ind w:left="3170" w:right="0" w:firstLine="0"/>
        <w:jc w:val="left"/>
        <w:rPr>
          <w:b/>
          <w:i/>
          <w:sz w:val="20"/>
        </w:rPr>
      </w:pPr>
      <w:r>
        <w:rPr/>
        <w:pict>
          <v:group style="position:absolute;margin-left:58.224998pt;margin-top:112.568901pt;width:111pt;height:102pt;mso-position-horizontal-relative:page;mso-position-vertical-relative:paragraph;z-index:-352000" coordorigin="1164,2251" coordsize="2220,2040">
            <v:shape style="position:absolute;left:1210;top:2368;width:2131;height:1805" type="#_x0000_t75" stroked="false">
              <v:imagedata r:id="rId113" o:title=""/>
            </v:shape>
            <v:shape style="position:absolute;left:1187;top:2274;width:2175;height:1995" type="#_x0000_t202" filled="false" stroked="true" strokeweight="2.25pt" strokecolor="#0d0d0d">
              <v:textbox inset="0,0,0,0">
                <w:txbxContent>
                  <w:p>
                    <w:pPr>
                      <w:spacing w:line="240" w:lineRule="auto" w:before="0"/>
                      <w:rPr>
                        <w:b/>
                        <w:i/>
                        <w:sz w:val="20"/>
                      </w:rPr>
                    </w:pPr>
                  </w:p>
                  <w:p>
                    <w:pPr>
                      <w:spacing w:line="240" w:lineRule="auto" w:before="9"/>
                      <w:rPr>
                        <w:b/>
                        <w:i/>
                        <w:sz w:val="21"/>
                      </w:rPr>
                    </w:pPr>
                  </w:p>
                  <w:p>
                    <w:pPr>
                      <w:spacing w:line="276" w:lineRule="auto" w:before="1"/>
                      <w:ind w:left="298" w:right="295" w:firstLine="76"/>
                      <w:jc w:val="both"/>
                      <w:rPr>
                        <w:sz w:val="20"/>
                      </w:rPr>
                    </w:pPr>
                    <w:r>
                      <w:rPr>
                        <w:sz w:val="20"/>
                      </w:rPr>
                      <w:t>Conservación y propagación de especies nativas.</w:t>
                    </w:r>
                  </w:p>
                </w:txbxContent>
              </v:textbox>
              <w10:wrap type="none"/>
            </v:shape>
            <w10:wrap type="none"/>
          </v:group>
        </w:pict>
      </w:r>
      <w:r>
        <w:rPr>
          <w:b/>
          <w:i/>
          <w:sz w:val="20"/>
        </w:rPr>
        <w:t>Diagrama 3. Diagrama de las alternativa</w:t>
      </w:r>
    </w:p>
    <w:p>
      <w:pPr>
        <w:pStyle w:val="BodyText"/>
        <w:rPr>
          <w:b/>
          <w:i/>
          <w:sz w:val="20"/>
        </w:rPr>
      </w:pPr>
    </w:p>
    <w:p>
      <w:pPr>
        <w:pStyle w:val="BodyText"/>
        <w:rPr>
          <w:b/>
          <w:i/>
          <w:sz w:val="26"/>
        </w:rPr>
      </w:pPr>
      <w:r>
        <w:rPr/>
        <w:pict>
          <v:group style="position:absolute;margin-left:111.849998pt;margin-top:16.946829pt;width:432.4pt;height:301.45pt;mso-position-horizontal-relative:page;mso-position-vertical-relative:paragraph;z-index:3808;mso-wrap-distance-left:0;mso-wrap-distance-right:0" coordorigin="2237,339" coordsize="8648,6029">
            <v:rect style="position:absolute;left:4281;top:361;width:3600;height:840" filled="false" stroked="true" strokeweight="2.25pt" strokecolor="#0d0d0d"/>
            <v:shape style="position:absolute;left:4301;top:456;width:3557;height:653" type="#_x0000_t75" stroked="false">
              <v:imagedata r:id="rId114" o:title=""/>
            </v:shape>
            <v:line style="position:absolute" from="6122,1196" to="6122,1481" stroked="true" strokeweight="1.5pt" strokecolor="#0d0d0d"/>
            <v:line style="position:absolute" from="2252,1481" to="10112,1481" stroked="true" strokeweight="1.5pt" strokecolor="#0d0d0d"/>
            <v:line style="position:absolute" from="2252,1481" to="2252,1766" stroked="true" strokeweight="1.5pt" strokecolor="#0d0d0d"/>
            <v:line style="position:absolute" from="10112,1481" to="10112,1766" stroked="true" strokeweight="1.5pt" strokecolor="#0d0d0d"/>
            <v:line style="position:absolute" from="7727,1496" to="7727,1781" stroked="true" strokeweight="1.5pt" strokecolor="#0d0d0d"/>
            <v:line style="position:absolute" from="5177,1481" to="5177,1766" stroked="true" strokeweight="1.5pt" strokecolor="#0d0d0d"/>
            <v:line style="position:absolute" from="6407,1481" to="6407,4331" stroked="true" strokeweight="1.5pt" strokecolor="#0d0d0d"/>
            <v:line style="position:absolute" from="3647,1481" to="3647,4331" stroked="true" strokeweight="1.5pt" strokecolor="#0d0d0d"/>
            <v:line style="position:absolute" from="8792,1466" to="8792,4316" stroked="true" strokeweight="1.5pt" strokecolor="#0d0d0d"/>
            <v:rect style="position:absolute;left:3917;top:1805;width:2280;height:2265" filled="false" stroked="true" strokeweight="2.25pt" strokecolor="#0d0d0d"/>
            <v:shape style="position:absolute;left:3941;top:1901;width:2232;height:2074" type="#_x0000_t75" stroked="false">
              <v:imagedata r:id="rId115" o:title=""/>
            </v:shape>
            <v:rect style="position:absolute;left:6692;top:1801;width:1920;height:2010" filled="false" stroked="true" strokeweight="2.25pt" strokecolor="#0d0d0d"/>
            <v:shape style="position:absolute;left:6715;top:1896;width:1877;height:1819" type="#_x0000_t75" stroked="false">
              <v:imagedata r:id="rId116" o:title=""/>
            </v:shape>
            <v:rect style="position:absolute;left:8957;top:1801;width:1905;height:2010" filled="false" stroked="true" strokeweight="2.25pt" strokecolor="#0d0d0d"/>
            <v:shape style="position:absolute;left:8981;top:1896;width:1858;height:1819" type="#_x0000_t75" stroked="false">
              <v:imagedata r:id="rId117" o:title=""/>
            </v:shape>
            <v:rect style="position:absolute;left:8117;top:4303;width:1920;height:2010" filled="false" stroked="true" strokeweight="2.25pt" strokecolor="#0d0d0d"/>
            <v:shape style="position:absolute;left:8141;top:4397;width:1872;height:1824" type="#_x0000_t75" stroked="false">
              <v:imagedata r:id="rId118" o:title=""/>
            </v:shape>
            <v:rect style="position:absolute;left:5357;top:4332;width:1920;height:2010" filled="false" stroked="true" strokeweight="2.25pt" strokecolor="#0d0d0d"/>
            <v:shape style="position:absolute;left:5381;top:4425;width:1872;height:1824" type="#_x0000_t75" stroked="false">
              <v:imagedata r:id="rId118" o:title=""/>
            </v:shape>
            <v:rect style="position:absolute;left:2732;top:4335;width:1920;height:2010" filled="false" stroked="true" strokeweight="2.25pt" strokecolor="#0d0d0d"/>
            <v:shape style="position:absolute;left:2755;top:4430;width:1877;height:1819" type="#_x0000_t75" stroked="false">
              <v:imagedata r:id="rId116" o:title=""/>
            </v:shape>
            <v:shape style="position:absolute;left:4281;top:361;width:3600;height:840" type="#_x0000_t202" filled="false" stroked="false">
              <v:textbox inset="0,0,0,0">
                <w:txbxContent>
                  <w:p>
                    <w:pPr>
                      <w:spacing w:line="276" w:lineRule="auto" w:before="97"/>
                      <w:ind w:left="458" w:right="0" w:firstLine="139"/>
                      <w:jc w:val="left"/>
                      <w:rPr>
                        <w:rFonts w:ascii="Calibri" w:hAnsi="Calibri"/>
                        <w:b/>
                        <w:i/>
                        <w:sz w:val="22"/>
                      </w:rPr>
                    </w:pPr>
                    <w:r>
                      <w:rPr>
                        <w:rFonts w:ascii="Calibri" w:hAnsi="Calibri"/>
                        <w:b/>
                        <w:i/>
                        <w:sz w:val="22"/>
                      </w:rPr>
                      <w:t>PROPUESTA DE MANEJO Y </w:t>
                    </w:r>
                    <w:r>
                      <w:rPr>
                        <w:rFonts w:ascii="Calibri" w:hAnsi="Calibri"/>
                        <w:b/>
                        <w:i/>
                        <w:sz w:val="22"/>
                      </w:rPr>
                      <w:t>CONSERVACIÓN DEL PARQUE</w:t>
                    </w:r>
                  </w:p>
                </w:txbxContent>
              </v:textbox>
              <w10:wrap type="none"/>
            </v:shape>
            <v:shape style="position:absolute;left:3917;top:1803;width:2243;height:2268" type="#_x0000_t202" filled="false" stroked="false">
              <v:textbox inset="0,0,0,0">
                <w:txbxContent>
                  <w:p>
                    <w:pPr>
                      <w:spacing w:line="276" w:lineRule="auto" w:before="109"/>
                      <w:ind w:left="221" w:right="174" w:firstLine="0"/>
                      <w:jc w:val="center"/>
                      <w:rPr>
                        <w:sz w:val="20"/>
                      </w:rPr>
                    </w:pPr>
                    <w:r>
                      <w:rPr>
                        <w:sz w:val="20"/>
                      </w:rPr>
                      <w:t>Manejo de los residuos orgánicos e inorgánicos, conforme a la Legislación Municipal, Estatal y Federal.</w:t>
                    </w:r>
                  </w:p>
                </w:txbxContent>
              </v:textbox>
              <w10:wrap type="none"/>
            </v:shape>
            <v:shape style="position:absolute;left:6692;top:1803;width:1920;height:2009" type="#_x0000_t202" filled="false" stroked="false">
              <v:textbox inset="0,0,0,0">
                <w:txbxContent>
                  <w:p>
                    <w:pPr>
                      <w:spacing w:line="240" w:lineRule="auto" w:before="1"/>
                      <w:rPr>
                        <w:b/>
                        <w:i/>
                        <w:sz w:val="21"/>
                      </w:rPr>
                    </w:pPr>
                  </w:p>
                  <w:p>
                    <w:pPr>
                      <w:spacing w:line="273" w:lineRule="auto" w:before="1"/>
                      <w:ind w:left="222" w:right="212" w:hanging="5"/>
                      <w:jc w:val="center"/>
                      <w:rPr>
                        <w:sz w:val="20"/>
                      </w:rPr>
                    </w:pPr>
                    <w:r>
                      <w:rPr>
                        <w:sz w:val="20"/>
                      </w:rPr>
                      <w:t>Disminución y control de la erosión, a través de técnicas agroecológicas.</w:t>
                    </w:r>
                  </w:p>
                </w:txbxContent>
              </v:textbox>
              <w10:wrap type="none"/>
            </v:shape>
            <v:shape style="position:absolute;left:8957;top:1803;width:1905;height:2009" type="#_x0000_t202" filled="false" stroked="false">
              <v:textbox inset="0,0,0,0">
                <w:txbxContent>
                  <w:p>
                    <w:pPr>
                      <w:spacing w:line="273" w:lineRule="auto" w:before="128"/>
                      <w:ind w:left="267" w:right="251" w:firstLine="0"/>
                      <w:jc w:val="center"/>
                      <w:rPr>
                        <w:sz w:val="20"/>
                      </w:rPr>
                    </w:pPr>
                    <w:r>
                      <w:rPr>
                        <w:sz w:val="20"/>
                      </w:rPr>
                      <w:t>Gestión de recursos financieros o materiales para el manejo del parque.</w:t>
                    </w:r>
                  </w:p>
                </w:txbxContent>
              </v:textbox>
              <w10:wrap type="none"/>
            </v:shape>
            <v:shape style="position:absolute;left:2732;top:4322;width:1920;height:2023" type="#_x0000_t202" filled="false" stroked="false">
              <v:textbox inset="0,0,0,0">
                <w:txbxContent>
                  <w:p>
                    <w:pPr>
                      <w:spacing w:line="240" w:lineRule="auto" w:before="0"/>
                      <w:rPr>
                        <w:b/>
                        <w:i/>
                        <w:sz w:val="20"/>
                      </w:rPr>
                    </w:pPr>
                  </w:p>
                  <w:p>
                    <w:pPr>
                      <w:spacing w:line="278" w:lineRule="auto" w:before="158"/>
                      <w:ind w:left="336" w:right="327" w:firstLine="3"/>
                      <w:jc w:val="center"/>
                      <w:rPr>
                        <w:sz w:val="20"/>
                      </w:rPr>
                    </w:pPr>
                    <w:r>
                      <w:rPr>
                        <w:sz w:val="20"/>
                      </w:rPr>
                      <w:t>Promover estrategias de Educación Ambiental.</w:t>
                    </w:r>
                  </w:p>
                </w:txbxContent>
              </v:textbox>
              <w10:wrap type="none"/>
            </v:shape>
            <v:shape style="position:absolute;left:5357;top:4322;width:1920;height:2023" type="#_x0000_t202" filled="false" stroked="false">
              <v:textbox inset="0,0,0,0">
                <w:txbxContent>
                  <w:p>
                    <w:pPr>
                      <w:spacing w:line="273" w:lineRule="auto" w:before="124"/>
                      <w:ind w:left="179" w:right="165" w:firstLine="2"/>
                      <w:jc w:val="center"/>
                      <w:rPr>
                        <w:sz w:val="20"/>
                      </w:rPr>
                    </w:pPr>
                    <w:r>
                      <w:rPr>
                        <w:sz w:val="20"/>
                      </w:rPr>
                      <w:t>Manejo de las aguas residuales, conforme a la Legislación Municipal, Estatal y Federal.</w:t>
                    </w:r>
                  </w:p>
                </w:txbxContent>
              </v:textbox>
              <w10:wrap type="none"/>
            </v:shape>
            <v:shape style="position:absolute;left:8117;top:4322;width:1958;height:2023" type="#_x0000_t202" filled="false" stroked="false">
              <v:textbox inset="0,0,0,0">
                <w:txbxContent>
                  <w:p>
                    <w:pPr>
                      <w:spacing w:line="240" w:lineRule="auto" w:before="0"/>
                      <w:rPr>
                        <w:b/>
                        <w:i/>
                        <w:sz w:val="20"/>
                      </w:rPr>
                    </w:pPr>
                  </w:p>
                  <w:p>
                    <w:pPr>
                      <w:spacing w:line="276" w:lineRule="auto" w:before="130"/>
                      <w:ind w:left="267" w:right="294" w:hanging="1"/>
                      <w:jc w:val="center"/>
                      <w:rPr>
                        <w:sz w:val="20"/>
                      </w:rPr>
                    </w:pPr>
                    <w:r>
                      <w:rPr>
                        <w:sz w:val="20"/>
                      </w:rPr>
                      <w:t>Establecer y promover un Jardín Botánico Regional</w:t>
                    </w:r>
                  </w:p>
                </w:txbxContent>
              </v:textbox>
              <w10:wrap type="none"/>
            </v:shape>
            <w10:wrap type="topAndBottom"/>
          </v:group>
        </w:pict>
      </w:r>
    </w:p>
    <w:p>
      <w:pPr>
        <w:pStyle w:val="BodyText"/>
        <w:rPr>
          <w:b/>
          <w:i/>
          <w:sz w:val="20"/>
        </w:rPr>
      </w:pPr>
    </w:p>
    <w:p>
      <w:pPr>
        <w:pStyle w:val="BodyText"/>
        <w:spacing w:before="4"/>
        <w:rPr>
          <w:b/>
          <w:i/>
          <w:sz w:val="18"/>
        </w:rPr>
      </w:pPr>
    </w:p>
    <w:p>
      <w:pPr>
        <w:spacing w:before="0"/>
        <w:ind w:left="846" w:right="0" w:firstLine="0"/>
        <w:jc w:val="left"/>
        <w:rPr>
          <w:b/>
          <w:i/>
          <w:sz w:val="20"/>
        </w:rPr>
      </w:pPr>
      <w:r>
        <w:rPr>
          <w:b/>
          <w:i/>
          <w:sz w:val="20"/>
        </w:rPr>
        <w:t>Fuente: Elaboración propia, a partir de Camacho, 2001 y Gutiérrez, 2013.</w:t>
      </w:r>
    </w:p>
    <w:p>
      <w:pPr>
        <w:spacing w:after="0"/>
        <w:jc w:val="left"/>
        <w:rPr>
          <w:sz w:val="20"/>
        </w:rPr>
        <w:sectPr>
          <w:pgSz w:w="12240" w:h="15840"/>
          <w:pgMar w:header="685" w:footer="1190" w:top="880" w:bottom="1380" w:left="1060" w:right="1240"/>
        </w:sectPr>
      </w:pPr>
    </w:p>
    <w:p>
      <w:pPr>
        <w:pStyle w:val="BodyText"/>
        <w:rPr>
          <w:b/>
          <w:i/>
          <w:sz w:val="20"/>
        </w:rPr>
      </w:pPr>
    </w:p>
    <w:p>
      <w:pPr>
        <w:pStyle w:val="BodyText"/>
        <w:spacing w:before="9"/>
        <w:rPr>
          <w:b/>
          <w:i/>
          <w:sz w:val="19"/>
        </w:rPr>
      </w:pPr>
    </w:p>
    <w:p>
      <w:pPr>
        <w:pStyle w:val="ListParagraph"/>
        <w:numPr>
          <w:ilvl w:val="3"/>
          <w:numId w:val="16"/>
        </w:numPr>
        <w:tabs>
          <w:tab w:pos="1532" w:val="left" w:leader="none"/>
          <w:tab w:pos="1533" w:val="left" w:leader="none"/>
        </w:tabs>
        <w:spacing w:line="240" w:lineRule="auto" w:before="69" w:after="0"/>
        <w:ind w:left="1533" w:right="0" w:hanging="1076"/>
        <w:jc w:val="left"/>
        <w:rPr>
          <w:i/>
          <w:sz w:val="24"/>
        </w:rPr>
      </w:pPr>
      <w:r>
        <w:rPr>
          <w:i/>
          <w:sz w:val="24"/>
        </w:rPr>
        <w:t>Análisis Cualitativo de las</w:t>
      </w:r>
      <w:r>
        <w:rPr>
          <w:i/>
          <w:spacing w:val="-18"/>
          <w:sz w:val="24"/>
        </w:rPr>
        <w:t> </w:t>
      </w:r>
      <w:r>
        <w:rPr>
          <w:i/>
          <w:sz w:val="24"/>
        </w:rPr>
        <w:t>Alternativas</w:t>
      </w:r>
    </w:p>
    <w:p>
      <w:pPr>
        <w:pStyle w:val="BodyText"/>
        <w:spacing w:line="360" w:lineRule="auto" w:before="141"/>
        <w:ind w:left="116" w:right="125"/>
        <w:jc w:val="both"/>
      </w:pPr>
      <w:r>
        <w:rPr/>
        <w:t>La valoración cualitativa de las alternativas se realizó considerando seis criterios: económico, social, ambiental, viabilidad, tiempo y legal (Gutiérrez, 2013); asignando a cada criterio y alternativa una cualidad, estableciendo tres expresiones: alto, medio y bajo, incluyendo las siete alternativas del anterior diagrama 3 (Cuadro 16).</w:t>
      </w:r>
    </w:p>
    <w:p>
      <w:pPr>
        <w:spacing w:after="0" w:line="360" w:lineRule="auto"/>
        <w:jc w:val="both"/>
        <w:sectPr>
          <w:pgSz w:w="12240" w:h="15840"/>
          <w:pgMar w:header="685" w:footer="1190" w:top="880" w:bottom="1380" w:left="1300" w:right="1300"/>
        </w:sectPr>
      </w:pPr>
    </w:p>
    <w:p>
      <w:pPr>
        <w:pStyle w:val="BodyText"/>
        <w:rPr>
          <w:sz w:val="20"/>
        </w:rPr>
      </w:pPr>
    </w:p>
    <w:p>
      <w:pPr>
        <w:pStyle w:val="BodyText"/>
        <w:rPr>
          <w:sz w:val="20"/>
        </w:rPr>
      </w:pPr>
    </w:p>
    <w:p>
      <w:pPr>
        <w:pStyle w:val="BodyText"/>
        <w:rPr>
          <w:sz w:val="20"/>
        </w:rPr>
      </w:pPr>
    </w:p>
    <w:p>
      <w:pPr>
        <w:pStyle w:val="BodyText"/>
        <w:spacing w:before="9"/>
        <w:rPr>
          <w:sz w:val="28"/>
        </w:rPr>
      </w:pPr>
    </w:p>
    <w:p>
      <w:pPr>
        <w:spacing w:after="0"/>
        <w:rPr>
          <w:sz w:val="28"/>
        </w:rPr>
        <w:sectPr>
          <w:footerReference w:type="default" r:id="rId119"/>
          <w:pgSz w:w="12240" w:h="15840"/>
          <w:pgMar w:footer="1190" w:header="685" w:top="880" w:bottom="1380" w:left="1120" w:right="0"/>
        </w:sectPr>
      </w:pPr>
    </w:p>
    <w:p>
      <w:pPr>
        <w:spacing w:before="76"/>
        <w:ind w:left="2486" w:right="0" w:firstLine="0"/>
        <w:jc w:val="left"/>
        <w:rPr>
          <w:b/>
          <w:i/>
          <w:sz w:val="20"/>
        </w:rPr>
      </w:pPr>
      <w:r>
        <w:rPr/>
        <w:pict>
          <v:group style="position:absolute;margin-left:61.938999pt;margin-top:-1.945117pt;width:487.9pt;height:516.4500pt;mso-position-horizontal-relative:page;mso-position-vertical-relative:paragraph;z-index:-351976" coordorigin="1239,-39" coordsize="9758,10329">
            <v:line style="position:absolute" from="1268,-24" to="1268,81" stroked="true" strokeweight="1.44pt" strokecolor="#000000"/>
            <v:line style="position:absolute" from="1253,-10" to="1354,-10" stroked="true" strokeweight="1.44pt" strokecolor="#000000"/>
            <v:line style="position:absolute" from="1354,-10" to="10881,-10" stroked="true" strokeweight="1.44pt" strokecolor="#000000"/>
            <v:line style="position:absolute" from="1354,69" to="10881,69" stroked="true" strokeweight=".72pt" strokecolor="#000000"/>
            <v:line style="position:absolute" from="10975,-24" to="10975,81" stroked="true" strokeweight=".71997pt" strokecolor="#000000"/>
            <v:line style="position:absolute" from="10881,-10" to="10982,-10" stroked="true" strokeweight="1.44pt" strokecolor="#000000"/>
            <v:line style="position:absolute" from="1347,62" to="1347,346" stroked="true" strokeweight=".72pt" strokecolor="#000000"/>
            <v:line style="position:absolute" from="1268,81" to="1268,316" stroked="true" strokeweight="1.44pt" strokecolor="#000000"/>
            <v:line style="position:absolute" from="10975,81" to="10975,316" stroked="true" strokeweight=".71997pt" strokecolor="#000000"/>
            <v:line style="position:absolute" from="10896,62" to="10896,346" stroked="true" strokeweight="1.44pt" strokecolor="#000000"/>
            <v:line style="position:absolute" from="1354,331" to="1839,331" stroked="true" strokeweight="1.464pt" strokecolor="#000000"/>
            <v:line style="position:absolute" from="1354,411" to="1839,411" stroked="true" strokeweight=".72pt" strokecolor="#000000"/>
            <v:line style="position:absolute" from="1839,331" to="1940,331" stroked="true" strokeweight="1.464pt" strokecolor="#000000"/>
            <v:line style="position:absolute" from="1940,331" to="4000,331" stroked="true" strokeweight="1.464pt" strokecolor="#000000"/>
            <v:line style="position:absolute" from="4000,331" to="4101,331" stroked="true" strokeweight="1.464pt" strokecolor="#000000"/>
            <v:line style="position:absolute" from="4101,331" to="10881,331" stroked="true" strokeweight="1.464pt" strokecolor="#000000"/>
            <v:line style="position:absolute" from="4101,411" to="10881,411" stroked="true" strokeweight=".72pt" strokecolor="#000000"/>
            <v:line style="position:absolute" from="4093,403" to="4093,682" stroked="true" strokeweight=".72pt" strokecolor="#000000"/>
            <v:line style="position:absolute" from="10896,403" to="10896,682" stroked="true" strokeweight="1.44pt" strokecolor="#000000"/>
            <v:line style="position:absolute" from="4101,667" to="5459,667" stroked="true" strokeweight="1.44pt" strokecolor="#000000"/>
            <v:line style="position:absolute" from="4101,747" to="5459,747" stroked="true" strokeweight=".72pt" strokecolor="#000000"/>
            <v:line style="position:absolute" from="5460,667" to="5561,667" stroked="true" strokeweight="1.44pt" strokecolor="#000000"/>
            <v:line style="position:absolute" from="5561,667" to="6358,667" stroked="true" strokeweight="1.44pt" strokecolor="#000000"/>
            <v:line style="position:absolute" from="6358,667" to="6458,667" stroked="true" strokeweight="1.44pt" strokecolor="#000000"/>
            <v:line style="position:absolute" from="6458,667" to="7683,667" stroked="true" strokeweight="1.44pt" strokecolor="#000000"/>
            <v:line style="position:absolute" from="7683,667" to="7784,667" stroked="true" strokeweight="1.44pt" strokecolor="#000000"/>
            <v:line style="position:absolute" from="7784,667" to="8989,667" stroked="true" strokeweight="1.44pt" strokecolor="#000000"/>
            <v:line style="position:absolute" from="8989,667" to="9090,667" stroked="true" strokeweight="1.44pt" strokecolor="#000000"/>
            <v:line style="position:absolute" from="9090,667" to="9834,667" stroked="true" strokeweight="1.44pt" strokecolor="#000000"/>
            <v:line style="position:absolute" from="9834,667" to="9935,667" stroked="true" strokeweight="1.44pt" strokecolor="#000000"/>
            <v:line style="position:absolute" from="9935,667" to="10881,667" stroked="true" strokeweight="1.44pt" strokecolor="#000000"/>
            <v:line style="position:absolute" from="9935,747" to="10881,747" stroked="true" strokeweight=".72pt" strokecolor="#000000"/>
            <v:line style="position:absolute" from="1347,403" to="1347,1018" stroked="true" strokeweight=".72pt" strokecolor="#000000"/>
            <v:line style="position:absolute" from="1854,403" to="1854,1018" stroked="true" strokeweight="1.44pt" strokecolor="#000000"/>
            <v:line style="position:absolute" from="4093,739" to="4093,1018" stroked="true" strokeweight=".72pt" strokecolor="#000000"/>
            <v:line style="position:absolute" from="5474,739" to="5474,1018" stroked="true" strokeweight="1.44pt" strokecolor="#000000"/>
            <v:line style="position:absolute" from="9928,739" to="9928,1018" stroked="true" strokeweight=".72pt" strokecolor="#000000"/>
            <v:line style="position:absolute" from="10896,739" to="10896,1018" stroked="true" strokeweight="1.44pt" strokecolor="#000000"/>
            <v:line style="position:absolute" from="1354,1003" to="1839,1003" stroked="true" strokeweight="1.44pt" strokecolor="#000000"/>
            <v:line style="position:absolute" from="1354,1083" to="1839,1083" stroked="true" strokeweight=".72pt" strokecolor="#000000"/>
            <v:line style="position:absolute" from="4101,1003" to="5459,1003" stroked="true" strokeweight="1.44pt" strokecolor="#000000"/>
            <v:line style="position:absolute" from="4101,1083" to="5459,1083" stroked="true" strokeweight=".72pt" strokecolor="#000000"/>
            <v:line style="position:absolute" from="9935,1003" to="10881,1003" stroked="true" strokeweight="1.44pt" strokecolor="#000000"/>
            <v:line style="position:absolute" from="9935,1083" to="10881,1083" stroked="true" strokeweight=".72pt" strokecolor="#000000"/>
            <v:line style="position:absolute" from="1347,1075" to="1347,2257" stroked="true" strokeweight=".72pt" strokecolor="#000000"/>
            <v:line style="position:absolute" from="1854,1075" to="1854,2257" stroked="true" strokeweight="1.44pt" strokecolor="#000000"/>
            <v:line style="position:absolute" from="4093,1075" to="4093,2257" stroked="true" strokeweight=".72pt" strokecolor="#000000"/>
            <v:line style="position:absolute" from="5474,1075" to="5474,2257" stroked="true" strokeweight="1.44pt" strokecolor="#000000"/>
            <v:line style="position:absolute" from="9928,1075" to="9928,2257" stroked="true" strokeweight=".72pt" strokecolor="#000000"/>
            <v:line style="position:absolute" from="10896,1075" to="10896,2257" stroked="true" strokeweight="1.44pt" strokecolor="#000000"/>
            <v:line style="position:absolute" from="1354,2242" to="1839,2242" stroked="true" strokeweight="1.44pt" strokecolor="#000000"/>
            <v:line style="position:absolute" from="1354,2321" to="1839,2321" stroked="true" strokeweight=".72pt" strokecolor="#000000"/>
            <v:line style="position:absolute" from="4101,2242" to="5459,2242" stroked="true" strokeweight="1.44pt" strokecolor="#000000"/>
            <v:line style="position:absolute" from="4101,2321" to="5459,2321" stroked="true" strokeweight=".72pt" strokecolor="#000000"/>
            <v:line style="position:absolute" from="9935,2242" to="10881,2242" stroked="true" strokeweight="1.44pt" strokecolor="#000000"/>
            <v:line style="position:absolute" from="9935,2321" to="10881,2321" stroked="true" strokeweight=".72pt" strokecolor="#000000"/>
            <v:line style="position:absolute" from="1347,2314" to="1347,3971" stroked="true" strokeweight=".72pt" strokecolor="#000000"/>
            <v:line style="position:absolute" from="1854,2314" to="1854,3971" stroked="true" strokeweight="1.44pt" strokecolor="#000000"/>
            <v:line style="position:absolute" from="4093,2314" to="4093,3971" stroked="true" strokeweight=".72pt" strokecolor="#000000"/>
            <v:line style="position:absolute" from="5474,2314" to="5474,3971" stroked="true" strokeweight="1.44pt" strokecolor="#000000"/>
            <v:line style="position:absolute" from="9928,2314" to="9928,3971" stroked="true" strokeweight=".72pt" strokecolor="#000000"/>
            <v:line style="position:absolute" from="10896,2314" to="10896,3971" stroked="true" strokeweight="1.44pt" strokecolor="#000000"/>
            <v:line style="position:absolute" from="1354,3956" to="1839,3956" stroked="true" strokeweight="1.44pt" strokecolor="#000000"/>
            <v:line style="position:absolute" from="1354,4036" to="1839,4036" stroked="true" strokeweight=".72pt" strokecolor="#000000"/>
            <v:line style="position:absolute" from="4101,3956" to="5459,3956" stroked="true" strokeweight="1.44pt" strokecolor="#000000"/>
            <v:line style="position:absolute" from="4101,4036" to="5459,4036" stroked="true" strokeweight=".72pt" strokecolor="#000000"/>
            <v:line style="position:absolute" from="9935,3956" to="10881,3956" stroked="true" strokeweight="1.44pt" strokecolor="#000000"/>
            <v:line style="position:absolute" from="9935,4036" to="10881,4036" stroked="true" strokeweight=".72pt" strokecolor="#000000"/>
            <v:line style="position:absolute" from="1347,4028" to="1347,5229" stroked="true" strokeweight=".72pt" strokecolor="#000000"/>
            <v:line style="position:absolute" from="1854,4028" to="1854,5229" stroked="true" strokeweight="1.44pt" strokecolor="#000000"/>
            <v:line style="position:absolute" from="4093,4028" to="4093,5229" stroked="true" strokeweight=".72pt" strokecolor="#000000"/>
            <v:line style="position:absolute" from="5474,4028" to="5474,5229" stroked="true" strokeweight="1.44pt" strokecolor="#000000"/>
            <v:line style="position:absolute" from="9928,4028" to="9928,5229" stroked="true" strokeweight=".72pt" strokecolor="#000000"/>
            <v:line style="position:absolute" from="10896,4028" to="10896,5229" stroked="true" strokeweight="1.44pt" strokecolor="#000000"/>
            <v:line style="position:absolute" from="1354,5214" to="1839,5214" stroked="true" strokeweight="1.44pt" strokecolor="#000000"/>
            <v:line style="position:absolute" from="1354,5294" to="1839,5294" stroked="true" strokeweight=".72pt" strokecolor="#000000"/>
            <v:line style="position:absolute" from="4101,5214" to="5459,5214" stroked="true" strokeweight="1.44pt" strokecolor="#000000"/>
            <v:line style="position:absolute" from="4101,5294" to="5459,5294" stroked="true" strokeweight=".72pt" strokecolor="#000000"/>
            <v:line style="position:absolute" from="9935,5214" to="10881,5214" stroked="true" strokeweight="1.44pt" strokecolor="#000000"/>
            <v:line style="position:absolute" from="9935,5294" to="10881,5294" stroked="true" strokeweight=".72pt" strokecolor="#000000"/>
            <v:line style="position:absolute" from="1347,5286" to="1347,6468" stroked="true" strokeweight=".72pt" strokecolor="#000000"/>
            <v:line style="position:absolute" from="1854,5286" to="1854,6468" stroked="true" strokeweight="1.44pt" strokecolor="#000000"/>
            <v:line style="position:absolute" from="4093,5286" to="4093,6468" stroked="true" strokeweight=".72pt" strokecolor="#000000"/>
            <v:line style="position:absolute" from="5474,5286" to="5474,6468" stroked="true" strokeweight="1.44pt" strokecolor="#000000"/>
            <v:line style="position:absolute" from="9928,5286" to="9928,6468" stroked="true" strokeweight=".72pt" strokecolor="#000000"/>
            <v:line style="position:absolute" from="10896,5286" to="10896,6468" stroked="true" strokeweight="1.44pt" strokecolor="#000000"/>
            <v:line style="position:absolute" from="1354,6453" to="1839,6453" stroked="true" strokeweight="1.44pt" strokecolor="#000000"/>
            <v:line style="position:absolute" from="1354,6532" to="1839,6532" stroked="true" strokeweight=".72pt" strokecolor="#000000"/>
            <v:line style="position:absolute" from="4101,6453" to="5459,6453" stroked="true" strokeweight="1.44pt" strokecolor="#000000"/>
            <v:line style="position:absolute" from="4101,6532" to="5459,6532" stroked="true" strokeweight=".72pt" strokecolor="#000000"/>
            <v:line style="position:absolute" from="9935,6453" to="10881,6453" stroked="true" strokeweight="1.44pt" strokecolor="#000000"/>
            <v:line style="position:absolute" from="9935,6532" to="10881,6532" stroked="true" strokeweight=".72pt" strokecolor="#000000"/>
            <v:line style="position:absolute" from="1347,6525" to="1347,7706" stroked="true" strokeweight=".72pt" strokecolor="#000000"/>
            <v:line style="position:absolute" from="1854,6525" to="1854,7706" stroked="true" strokeweight="1.44pt" strokecolor="#000000"/>
            <v:line style="position:absolute" from="4093,6525" to="4093,7706" stroked="true" strokeweight=".72pt" strokecolor="#000000"/>
            <v:line style="position:absolute" from="5474,6525" to="5474,7706" stroked="true" strokeweight="1.44pt" strokecolor="#000000"/>
            <v:line style="position:absolute" from="9928,6525" to="9928,7706" stroked="true" strokeweight=".72pt" strokecolor="#000000"/>
            <v:line style="position:absolute" from="10896,6525" to="10896,7706" stroked="true" strokeweight="1.44pt" strokecolor="#000000"/>
            <v:line style="position:absolute" from="1354,7692" to="1839,7692" stroked="true" strokeweight="1.44pt" strokecolor="#000000"/>
            <v:line style="position:absolute" from="1354,7771" to="1839,7771" stroked="true" strokeweight=".72pt" strokecolor="#000000"/>
            <v:line style="position:absolute" from="4101,7692" to="5459,7692" stroked="true" strokeweight="1.44pt" strokecolor="#000000"/>
            <v:line style="position:absolute" from="4101,7771" to="5459,7771" stroked="true" strokeweight=".72pt" strokecolor="#000000"/>
            <v:line style="position:absolute" from="9935,7692" to="10881,7692" stroked="true" strokeweight="1.44pt" strokecolor="#000000"/>
            <v:line style="position:absolute" from="9935,7771" to="10881,7771" stroked="true" strokeweight=".72pt" strokecolor="#000000"/>
            <v:line style="position:absolute" from="10881,7780" to="10910,7780" stroked="true" strokeweight=".23999pt" strokecolor="#000000"/>
            <v:line style="position:absolute" from="10881,7771" to="10910,7771" stroked="true" strokeweight=".72pt" strokecolor="#000000"/>
            <v:line style="position:absolute" from="1347,7764" to="1347,8959" stroked="true" strokeweight=".72pt" strokecolor="#000000"/>
            <v:line style="position:absolute" from="1854,7764" to="1854,8959" stroked="true" strokeweight="1.44pt" strokecolor="#000000"/>
            <v:line style="position:absolute" from="4093,7764" to="4093,8959" stroked="true" strokeweight=".72pt" strokecolor="#000000"/>
            <v:line style="position:absolute" from="5474,7764" to="5474,8959" stroked="true" strokeweight="1.44pt" strokecolor="#000000"/>
            <v:line style="position:absolute" from="9928,7764" to="9928,8959" stroked="true" strokeweight=".72pt" strokecolor="#000000"/>
            <v:line style="position:absolute" from="10896,7783" to="10896,8959" stroked="true" strokeweight="1.44pt" strokecolor="#000000"/>
            <v:line style="position:absolute" from="1354,8945" to="1839,8945" stroked="true" strokeweight="1.44pt" strokecolor="#000000"/>
            <v:line style="position:absolute" from="1354,9024" to="1839,9024" stroked="true" strokeweight=".72003pt" strokecolor="#000000"/>
            <v:line style="position:absolute" from="4101,8945" to="5459,8945" stroked="true" strokeweight="1.44pt" strokecolor="#000000"/>
            <v:line style="position:absolute" from="4101,9024" to="5459,9024" stroked="true" strokeweight=".72003pt" strokecolor="#000000"/>
            <v:line style="position:absolute" from="9935,8945" to="10881,8945" stroked="true" strokeweight="1.44pt" strokecolor="#000000"/>
            <v:line style="position:absolute" from="9935,9024" to="10881,9024" stroked="true" strokeweight=".72003pt" strokecolor="#000000"/>
            <v:line style="position:absolute" from="1347,9017" to="1347,10203" stroked="true" strokeweight=".72pt" strokecolor="#000000"/>
            <v:line style="position:absolute" from="1268,317" to="1268,10275" stroked="true" strokeweight="1.44pt" strokecolor="#000000"/>
            <v:line style="position:absolute" from="1253,10268" to="1354,10268" stroked="true" strokeweight=".71997pt" strokecolor="#000000"/>
            <v:line style="position:absolute" from="1354,10268" to="1839,10268" stroked="true" strokeweight=".71997pt" strokecolor="#000000"/>
            <v:line style="position:absolute" from="1354,10189" to="1839,10189" stroked="true" strokeweight="1.44pt" strokecolor="#000000"/>
            <v:line style="position:absolute" from="1854,9017" to="1854,10203" stroked="true" strokeweight="1.44pt" strokecolor="#000000"/>
            <v:line style="position:absolute" from="1839,10268" to="1940,10268" stroked="true" strokeweight=".71997pt" strokecolor="#000000"/>
            <v:line style="position:absolute" from="1940,10268" to="4000,10268" stroked="true" strokeweight=".71997pt" strokecolor="#000000"/>
            <v:line style="position:absolute" from="4093,9017" to="4093,10203" stroked="true" strokeweight=".72pt" strokecolor="#000000"/>
            <v:line style="position:absolute" from="4000,10268" to="4101,10268" stroked="true" strokeweight=".71997pt" strokecolor="#000000"/>
            <v:line style="position:absolute" from="4101,10268" to="5459,10268" stroked="true" strokeweight=".71997pt" strokecolor="#000000"/>
            <v:line style="position:absolute" from="4101,10189" to="5459,10189" stroked="true" strokeweight="1.44pt" strokecolor="#000000"/>
            <v:line style="position:absolute" from="5474,9017" to="5474,10203" stroked="true" strokeweight="1.44pt" strokecolor="#000000"/>
            <v:line style="position:absolute" from="5460,10268" to="5561,10268" stroked="true" strokeweight=".71997pt" strokecolor="#000000"/>
            <v:line style="position:absolute" from="5561,10268" to="6358,10268" stroked="true" strokeweight=".71997pt" strokecolor="#000000"/>
            <v:line style="position:absolute" from="6358,10268" to="6458,10268" stroked="true" strokeweight=".71997pt" strokecolor="#000000"/>
            <v:line style="position:absolute" from="6458,10268" to="7683,10268" stroked="true" strokeweight=".71997pt" strokecolor="#000000"/>
            <v:line style="position:absolute" from="7683,10268" to="7784,10268" stroked="true" strokeweight=".71997pt" strokecolor="#000000"/>
            <v:line style="position:absolute" from="7784,10268" to="8989,10268" stroked="true" strokeweight=".71997pt" strokecolor="#000000"/>
            <v:line style="position:absolute" from="8989,10268" to="9090,10268" stroked="true" strokeweight=".71997pt" strokecolor="#000000"/>
            <v:line style="position:absolute" from="9090,10268" to="9834,10268" stroked="true" strokeweight=".71997pt" strokecolor="#000000"/>
            <v:line style="position:absolute" from="9928,9017" to="9928,10203" stroked="true" strokeweight=".72pt" strokecolor="#000000"/>
            <v:line style="position:absolute" from="9834,10268" to="9935,10268" stroked="true" strokeweight=".71997pt" strokecolor="#000000"/>
            <v:line style="position:absolute" from="9935,10268" to="10881,10268" stroked="true" strokeweight=".71997pt" strokecolor="#000000"/>
            <v:line style="position:absolute" from="9935,10189" to="10881,10189" stroked="true" strokeweight="1.44pt" strokecolor="#000000"/>
            <v:line style="position:absolute" from="10896,9017" to="10896,10203" stroked="true" strokeweight="1.44pt" strokecolor="#000000"/>
            <v:line style="position:absolute" from="10975,317" to="10975,10275" stroked="true" strokeweight=".71997pt" strokecolor="#000000"/>
            <v:line style="position:absolute" from="10881,10268" to="10982,10268" stroked="true" strokeweight=".71997pt" strokecolor="#000000"/>
            <w10:wrap type="none"/>
          </v:group>
        </w:pict>
      </w:r>
      <w:r>
        <w:rPr>
          <w:b/>
          <w:i/>
          <w:sz w:val="20"/>
        </w:rPr>
        <w:t>Cuadro 16. Evaluación cualitativa de las</w:t>
      </w:r>
      <w:r>
        <w:rPr>
          <w:b/>
          <w:i/>
          <w:spacing w:val="-26"/>
          <w:sz w:val="20"/>
        </w:rPr>
        <w:t> </w:t>
      </w:r>
      <w:r>
        <w:rPr>
          <w:b/>
          <w:i/>
          <w:sz w:val="20"/>
        </w:rPr>
        <w:t>alternativas.</w:t>
      </w:r>
    </w:p>
    <w:p>
      <w:pPr>
        <w:spacing w:before="106"/>
        <w:ind w:left="0" w:right="580" w:firstLine="0"/>
        <w:jc w:val="right"/>
        <w:rPr>
          <w:b/>
          <w:sz w:val="20"/>
        </w:rPr>
      </w:pPr>
      <w:r>
        <w:rPr/>
        <w:pict>
          <v:shape style="position:absolute;margin-left:74.37603pt;margin-top:10.892757pt;width:12.1pt;height:18.25pt;mso-position-horizontal-relative:page;mso-position-vertical-relative:paragraph;z-index:4072" type="#_x0000_t202" filled="false" stroked="false">
            <v:textbox inset="0,0,0,0" style="layout-flow:vertical;mso-layout-flow-alt:bottom-to-top">
              <w:txbxContent>
                <w:p>
                  <w:pPr>
                    <w:spacing w:line="226" w:lineRule="exact" w:before="0"/>
                    <w:ind w:left="20" w:right="-122" w:firstLine="0"/>
                    <w:jc w:val="left"/>
                    <w:rPr>
                      <w:b/>
                      <w:sz w:val="20"/>
                    </w:rPr>
                  </w:pPr>
                  <w:r>
                    <w:rPr>
                      <w:b/>
                      <w:spacing w:val="-2"/>
                      <w:w w:val="100"/>
                      <w:sz w:val="20"/>
                    </w:rPr>
                    <w:t>N</w:t>
                  </w:r>
                  <w:r>
                    <w:rPr>
                      <w:b/>
                      <w:spacing w:val="1"/>
                      <w:w w:val="100"/>
                      <w:sz w:val="20"/>
                    </w:rPr>
                    <w:t>o</w:t>
                  </w:r>
                  <w:r>
                    <w:rPr>
                      <w:b/>
                      <w:w w:val="100"/>
                      <w:sz w:val="20"/>
                    </w:rPr>
                    <w:t>.</w:t>
                  </w:r>
                </w:p>
              </w:txbxContent>
            </v:textbox>
            <w10:wrap type="none"/>
          </v:shape>
        </w:pict>
      </w:r>
      <w:r>
        <w:rPr/>
        <w:pict>
          <v:shape style="position:absolute;margin-left:96.288002pt;margin-top:4.839866pt;width:105.9pt;height:490pt;mso-position-horizontal-relative:page;mso-position-vertical-relative:paragraph;z-index:4096"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81"/>
                  </w:tblGrid>
                  <w:tr>
                    <w:trPr>
                      <w:trHeight w:val="629" w:hRule="exact"/>
                    </w:trPr>
                    <w:tc>
                      <w:tcPr>
                        <w:tcW w:w="2081" w:type="dxa"/>
                        <w:tcBorders>
                          <w:bottom w:val="thinThickMediumGap" w:sz="20" w:space="0" w:color="000000"/>
                          <w:right w:val="single" w:sz="12" w:space="0" w:color="000000"/>
                        </w:tcBorders>
                      </w:tcPr>
                      <w:p>
                        <w:pPr>
                          <w:pStyle w:val="TableParagraph"/>
                          <w:spacing w:before="163"/>
                          <w:ind w:left="388"/>
                          <w:rPr>
                            <w:b/>
                            <w:sz w:val="20"/>
                          </w:rPr>
                        </w:pPr>
                        <w:r>
                          <w:rPr>
                            <w:b/>
                            <w:sz w:val="20"/>
                          </w:rPr>
                          <w:t>ESTRATEGIA</w:t>
                        </w:r>
                      </w:p>
                    </w:tc>
                  </w:tr>
                  <w:tr>
                    <w:trPr>
                      <w:trHeight w:val="1239" w:hRule="exact"/>
                    </w:trPr>
                    <w:tc>
                      <w:tcPr>
                        <w:tcW w:w="2081" w:type="dxa"/>
                        <w:tcBorders>
                          <w:top w:val="thickThinMediumGap" w:sz="20" w:space="0" w:color="000000"/>
                          <w:bottom w:val="thinThickMediumGap" w:sz="20" w:space="0" w:color="000000"/>
                          <w:right w:val="single" w:sz="12" w:space="0" w:color="000000"/>
                        </w:tcBorders>
                      </w:tcPr>
                      <w:p>
                        <w:pPr>
                          <w:pStyle w:val="TableParagraph"/>
                          <w:spacing w:before="1"/>
                          <w:rPr>
                            <w:b/>
                            <w:i/>
                            <w:sz w:val="19"/>
                          </w:rPr>
                        </w:pPr>
                      </w:p>
                      <w:p>
                        <w:pPr>
                          <w:pStyle w:val="TableParagraph"/>
                          <w:tabs>
                            <w:tab w:pos="1905" w:val="left" w:leader="none"/>
                          </w:tabs>
                          <w:spacing w:before="1"/>
                          <w:ind w:left="62"/>
                          <w:rPr>
                            <w:sz w:val="20"/>
                          </w:rPr>
                        </w:pPr>
                        <w:r>
                          <w:rPr>
                            <w:sz w:val="20"/>
                          </w:rPr>
                          <w:t>Conservación</w:t>
                          <w:tab/>
                          <w:t>y</w:t>
                        </w:r>
                      </w:p>
                      <w:p>
                        <w:pPr>
                          <w:pStyle w:val="TableParagraph"/>
                          <w:tabs>
                            <w:tab w:pos="1781" w:val="left" w:leader="none"/>
                          </w:tabs>
                          <w:ind w:left="62" w:right="53"/>
                          <w:rPr>
                            <w:sz w:val="20"/>
                          </w:rPr>
                        </w:pPr>
                        <w:r>
                          <w:rPr>
                            <w:sz w:val="20"/>
                          </w:rPr>
                          <w:t>propagación</w:t>
                          <w:tab/>
                          <w:t>de especies</w:t>
                        </w:r>
                        <w:r>
                          <w:rPr>
                            <w:spacing w:val="-5"/>
                            <w:sz w:val="20"/>
                          </w:rPr>
                          <w:t> </w:t>
                        </w:r>
                        <w:r>
                          <w:rPr>
                            <w:sz w:val="20"/>
                          </w:rPr>
                          <w:t>nativas.</w:t>
                        </w:r>
                      </w:p>
                    </w:tc>
                  </w:tr>
                  <w:tr>
                    <w:trPr>
                      <w:trHeight w:val="1714" w:hRule="exact"/>
                    </w:trPr>
                    <w:tc>
                      <w:tcPr>
                        <w:tcW w:w="2081" w:type="dxa"/>
                        <w:tcBorders>
                          <w:top w:val="thickThinMediumGap" w:sz="20" w:space="0" w:color="000000"/>
                          <w:bottom w:val="thinThickMediumGap" w:sz="20" w:space="0" w:color="000000"/>
                          <w:right w:val="single" w:sz="12" w:space="0" w:color="000000"/>
                        </w:tcBorders>
                      </w:tcPr>
                      <w:p>
                        <w:pPr>
                          <w:pStyle w:val="TableParagraph"/>
                          <w:tabs>
                            <w:tab w:pos="1122" w:val="left" w:leader="none"/>
                            <w:tab w:pos="1324" w:val="left" w:leader="none"/>
                            <w:tab w:pos="1746" w:val="left" w:leader="none"/>
                            <w:tab w:pos="1852" w:val="left" w:leader="none"/>
                          </w:tabs>
                          <w:ind w:left="62" w:right="45"/>
                          <w:rPr>
                            <w:sz w:val="20"/>
                          </w:rPr>
                        </w:pPr>
                        <w:r>
                          <w:rPr>
                            <w:sz w:val="20"/>
                          </w:rPr>
                          <w:t>Manejo</w:t>
                          <w:tab/>
                          <w:t>de</w:t>
                          <w:tab/>
                          <w:t>los residuos orgánicos e inorgánicos, conforme</w:t>
                          <w:tab/>
                          <w:tab/>
                          <w:t>a</w:t>
                          <w:tab/>
                          <w:tab/>
                          <w:t>la Legislación Municipal, Estatal y Federal.</w:t>
                        </w:r>
                      </w:p>
                    </w:tc>
                  </w:tr>
                  <w:tr>
                    <w:trPr>
                      <w:trHeight w:val="1258" w:hRule="exact"/>
                    </w:trPr>
                    <w:tc>
                      <w:tcPr>
                        <w:tcW w:w="2081" w:type="dxa"/>
                        <w:tcBorders>
                          <w:top w:val="thickThinMediumGap" w:sz="20" w:space="0" w:color="000000"/>
                          <w:bottom w:val="thinThickMediumGap" w:sz="20" w:space="0" w:color="000000"/>
                          <w:right w:val="single" w:sz="12" w:space="0" w:color="000000"/>
                        </w:tcBorders>
                      </w:tcPr>
                      <w:p>
                        <w:pPr>
                          <w:pStyle w:val="TableParagraph"/>
                          <w:ind w:left="62" w:right="46"/>
                          <w:jc w:val="both"/>
                          <w:rPr>
                            <w:sz w:val="20"/>
                          </w:rPr>
                        </w:pPr>
                        <w:r>
                          <w:rPr>
                            <w:sz w:val="20"/>
                          </w:rPr>
                          <w:t>Disminución,  control y restauración de los suelos   erosionados, a través de técnicas agroecológicas.</w:t>
                        </w:r>
                      </w:p>
                    </w:tc>
                  </w:tr>
                  <w:tr>
                    <w:trPr>
                      <w:trHeight w:val="1239" w:hRule="exact"/>
                    </w:trPr>
                    <w:tc>
                      <w:tcPr>
                        <w:tcW w:w="2081" w:type="dxa"/>
                        <w:tcBorders>
                          <w:top w:val="thickThinMediumGap" w:sz="20" w:space="0" w:color="000000"/>
                          <w:bottom w:val="thinThickMediumGap" w:sz="20" w:space="0" w:color="000000"/>
                          <w:right w:val="single" w:sz="12" w:space="0" w:color="000000"/>
                        </w:tcBorders>
                      </w:tcPr>
                      <w:p>
                        <w:pPr>
                          <w:pStyle w:val="TableParagraph"/>
                          <w:tabs>
                            <w:tab w:pos="1891" w:val="left" w:leader="none"/>
                          </w:tabs>
                          <w:spacing w:before="105"/>
                          <w:ind w:left="62" w:right="51"/>
                          <w:jc w:val="both"/>
                          <w:rPr>
                            <w:sz w:val="20"/>
                          </w:rPr>
                        </w:pPr>
                        <w:r>
                          <w:rPr>
                            <w:sz w:val="20"/>
                          </w:rPr>
                          <w:t>Gestión de recursos financieros</w:t>
                          <w:tab/>
                          <w:t>o materiales para el manejo del</w:t>
                        </w:r>
                        <w:r>
                          <w:rPr>
                            <w:spacing w:val="-6"/>
                            <w:sz w:val="20"/>
                          </w:rPr>
                          <w:t> </w:t>
                        </w:r>
                        <w:r>
                          <w:rPr>
                            <w:sz w:val="20"/>
                          </w:rPr>
                          <w:t>parque.</w:t>
                        </w:r>
                      </w:p>
                    </w:tc>
                  </w:tr>
                  <w:tr>
                    <w:trPr>
                      <w:trHeight w:val="1238" w:hRule="exact"/>
                    </w:trPr>
                    <w:tc>
                      <w:tcPr>
                        <w:tcW w:w="2081" w:type="dxa"/>
                        <w:tcBorders>
                          <w:top w:val="thickThinMediumGap" w:sz="20" w:space="0" w:color="000000"/>
                          <w:bottom w:val="thinThickMediumGap" w:sz="20" w:space="0" w:color="000000"/>
                          <w:right w:val="single" w:sz="12" w:space="0" w:color="000000"/>
                        </w:tcBorders>
                      </w:tcPr>
                      <w:p>
                        <w:pPr>
                          <w:pStyle w:val="TableParagraph"/>
                          <w:spacing w:before="1"/>
                          <w:rPr>
                            <w:b/>
                            <w:i/>
                            <w:sz w:val="19"/>
                          </w:rPr>
                        </w:pPr>
                      </w:p>
                      <w:p>
                        <w:pPr>
                          <w:pStyle w:val="TableParagraph"/>
                          <w:spacing w:before="1"/>
                          <w:ind w:left="62" w:right="46"/>
                          <w:jc w:val="both"/>
                          <w:rPr>
                            <w:sz w:val="20"/>
                          </w:rPr>
                        </w:pPr>
                        <w:r>
                          <w:rPr>
                            <w:sz w:val="20"/>
                          </w:rPr>
                          <w:t>Promover estrategias de cultura y Educación Ambiental.</w:t>
                        </w:r>
                      </w:p>
                    </w:tc>
                  </w:tr>
                  <w:tr>
                    <w:trPr>
                      <w:trHeight w:val="1253" w:hRule="exact"/>
                    </w:trPr>
                    <w:tc>
                      <w:tcPr>
                        <w:tcW w:w="2081" w:type="dxa"/>
                        <w:tcBorders>
                          <w:top w:val="thickThinMediumGap" w:sz="20" w:space="0" w:color="000000"/>
                          <w:bottom w:val="thinThickMediumGap" w:sz="20" w:space="0" w:color="000000"/>
                          <w:right w:val="single" w:sz="12" w:space="0" w:color="000000"/>
                        </w:tcBorders>
                      </w:tcPr>
                      <w:p>
                        <w:pPr>
                          <w:pStyle w:val="TableParagraph"/>
                          <w:ind w:left="62" w:right="45"/>
                          <w:jc w:val="both"/>
                          <w:rPr>
                            <w:sz w:val="20"/>
                          </w:rPr>
                        </w:pPr>
                        <w:r>
                          <w:rPr>
                            <w:sz w:val="20"/>
                          </w:rPr>
                          <w:t>Manejo de las aguas residuales, conforme a la Legislación Municipal, Estatal y Federal.</w:t>
                        </w:r>
                      </w:p>
                    </w:tc>
                  </w:tr>
                  <w:tr>
                    <w:trPr>
                      <w:trHeight w:val="1208" w:hRule="exact"/>
                    </w:trPr>
                    <w:tc>
                      <w:tcPr>
                        <w:tcW w:w="2081" w:type="dxa"/>
                        <w:tcBorders>
                          <w:top w:val="thickThinMediumGap" w:sz="20" w:space="0" w:color="000000"/>
                          <w:bottom w:val="single" w:sz="12" w:space="0" w:color="000000"/>
                          <w:right w:val="single" w:sz="12" w:space="0" w:color="000000"/>
                        </w:tcBorders>
                      </w:tcPr>
                      <w:p>
                        <w:pPr>
                          <w:pStyle w:val="TableParagraph"/>
                          <w:tabs>
                            <w:tab w:pos="1910" w:val="left" w:leader="none"/>
                          </w:tabs>
                          <w:spacing w:before="105"/>
                          <w:ind w:left="62"/>
                          <w:jc w:val="both"/>
                          <w:rPr>
                            <w:sz w:val="20"/>
                          </w:rPr>
                        </w:pPr>
                        <w:r>
                          <w:rPr>
                            <w:sz w:val="20"/>
                          </w:rPr>
                          <w:t>Promover</w:t>
                          <w:tab/>
                          <w:t>y</w:t>
                        </w:r>
                      </w:p>
                      <w:p>
                        <w:pPr>
                          <w:pStyle w:val="TableParagraph"/>
                          <w:spacing w:before="1"/>
                          <w:ind w:left="62" w:right="49"/>
                          <w:jc w:val="both"/>
                          <w:rPr>
                            <w:sz w:val="20"/>
                          </w:rPr>
                        </w:pPr>
                        <w:r>
                          <w:rPr>
                            <w:sz w:val="20"/>
                          </w:rPr>
                          <w:t>establecer que el Parque opere como un Jardín Botánico</w:t>
                        </w:r>
                      </w:p>
                    </w:tc>
                  </w:tr>
                </w:tbl>
                <w:p>
                  <w:pPr>
                    <w:pStyle w:val="BodyText"/>
                  </w:pPr>
                </w:p>
              </w:txbxContent>
            </v:textbox>
            <w10:wrap type="none"/>
          </v:shape>
        </w:pict>
      </w:r>
      <w:r>
        <w:rPr>
          <w:b/>
          <w:sz w:val="20"/>
        </w:rPr>
        <w:t>CRITERIOS</w:t>
      </w:r>
    </w:p>
    <w:p>
      <w:pPr>
        <w:spacing w:before="106"/>
        <w:ind w:left="3108" w:right="3278" w:firstLine="0"/>
        <w:jc w:val="center"/>
        <w:rPr>
          <w:b/>
          <w:sz w:val="20"/>
        </w:rPr>
      </w:pPr>
      <w:r>
        <w:rPr/>
        <w:pict>
          <v:shape style="position:absolute;margin-left:277.299988pt;margin-top:4.839878pt;width:42.75pt;height:473.2pt;mso-position-horizontal-relative:page;mso-position-vertical-relative:paragraph;z-index:412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19"/>
                  </w:tblGrid>
                  <w:tr>
                    <w:trPr>
                      <w:trHeight w:val="293" w:hRule="exact"/>
                    </w:trPr>
                    <w:tc>
                      <w:tcPr>
                        <w:tcW w:w="819" w:type="dxa"/>
                        <w:tcBorders>
                          <w:left w:val="single" w:sz="6" w:space="0" w:color="000000"/>
                          <w:bottom w:val="thinThickMediumGap" w:sz="20" w:space="0" w:color="000000"/>
                          <w:right w:val="single" w:sz="12" w:space="0" w:color="000000"/>
                        </w:tcBorders>
                      </w:tcPr>
                      <w:p>
                        <w:pPr>
                          <w:pStyle w:val="TableParagraph"/>
                          <w:spacing w:line="225" w:lineRule="exact"/>
                          <w:ind w:left="87" w:right="80"/>
                          <w:jc w:val="center"/>
                          <w:rPr>
                            <w:b/>
                            <w:sz w:val="20"/>
                          </w:rPr>
                        </w:pPr>
                        <w:r>
                          <w:rPr>
                            <w:b/>
                            <w:sz w:val="20"/>
                          </w:rPr>
                          <w:t>Social</w:t>
                        </w:r>
                      </w:p>
                    </w:tc>
                  </w:tr>
                  <w:tr>
                    <w:trPr>
                      <w:trHeight w:val="1239"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6"/>
                          <w:jc w:val="center"/>
                          <w:rPr>
                            <w:sz w:val="20"/>
                          </w:rPr>
                        </w:pPr>
                        <w:r>
                          <w:rPr>
                            <w:sz w:val="20"/>
                          </w:rPr>
                          <w:t>Medio</w:t>
                        </w:r>
                      </w:p>
                    </w:tc>
                  </w:tr>
                  <w:tr>
                    <w:trPr>
                      <w:trHeight w:val="1714"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rPr>
                            <w:b/>
                            <w:i/>
                            <w:sz w:val="20"/>
                          </w:rPr>
                        </w:pPr>
                      </w:p>
                      <w:p>
                        <w:pPr>
                          <w:pStyle w:val="TableParagraph"/>
                          <w:spacing w:before="1"/>
                          <w:ind w:left="87" w:right="76"/>
                          <w:jc w:val="center"/>
                          <w:rPr>
                            <w:sz w:val="20"/>
                          </w:rPr>
                        </w:pPr>
                        <w:r>
                          <w:rPr>
                            <w:sz w:val="20"/>
                          </w:rPr>
                          <w:t>Medio</w:t>
                        </w:r>
                      </w:p>
                    </w:tc>
                  </w:tr>
                  <w:tr>
                    <w:trPr>
                      <w:trHeight w:val="1258"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ind w:left="87" w:right="76"/>
                          <w:jc w:val="center"/>
                          <w:rPr>
                            <w:sz w:val="20"/>
                          </w:rPr>
                        </w:pPr>
                        <w:r>
                          <w:rPr>
                            <w:sz w:val="20"/>
                          </w:rPr>
                          <w:t>Medio</w:t>
                        </w:r>
                      </w:p>
                    </w:tc>
                  </w:tr>
                  <w:tr>
                    <w:trPr>
                      <w:trHeight w:val="1239"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7"/>
                          <w:jc w:val="center"/>
                          <w:rPr>
                            <w:sz w:val="20"/>
                          </w:rPr>
                        </w:pPr>
                        <w:r>
                          <w:rPr>
                            <w:sz w:val="20"/>
                          </w:rPr>
                          <w:t>Bajo</w:t>
                        </w:r>
                      </w:p>
                    </w:tc>
                  </w:tr>
                  <w:tr>
                    <w:trPr>
                      <w:trHeight w:val="1238"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2"/>
                          <w:jc w:val="center"/>
                          <w:rPr>
                            <w:sz w:val="20"/>
                          </w:rPr>
                        </w:pPr>
                        <w:r>
                          <w:rPr>
                            <w:sz w:val="20"/>
                          </w:rPr>
                          <w:t>Alto</w:t>
                        </w:r>
                      </w:p>
                    </w:tc>
                  </w:tr>
                  <w:tr>
                    <w:trPr>
                      <w:trHeight w:val="1253" w:hRule="exact"/>
                    </w:trPr>
                    <w:tc>
                      <w:tcPr>
                        <w:tcW w:w="819" w:type="dxa"/>
                        <w:tcBorders>
                          <w:top w:val="thickThinMediumGap" w:sz="20" w:space="0" w:color="000000"/>
                          <w:left w:val="single" w:sz="6" w:space="0" w:color="000000"/>
                          <w:bottom w:val="thinThickMediumGap" w:sz="20" w:space="0" w:color="000000"/>
                          <w:right w:val="single" w:sz="12" w:space="0" w:color="000000"/>
                        </w:tcBorders>
                      </w:tcPr>
                      <w:p>
                        <w:pPr>
                          <w:pStyle w:val="TableParagraph"/>
                          <w:rPr>
                            <w:b/>
                            <w:i/>
                            <w:sz w:val="20"/>
                          </w:rPr>
                        </w:pPr>
                      </w:p>
                      <w:p>
                        <w:pPr>
                          <w:pStyle w:val="TableParagraph"/>
                          <w:spacing w:before="1"/>
                          <w:rPr>
                            <w:b/>
                            <w:i/>
                            <w:sz w:val="20"/>
                          </w:rPr>
                        </w:pPr>
                      </w:p>
                      <w:p>
                        <w:pPr>
                          <w:pStyle w:val="TableParagraph"/>
                          <w:ind w:left="87" w:right="76"/>
                          <w:jc w:val="center"/>
                          <w:rPr>
                            <w:sz w:val="20"/>
                          </w:rPr>
                        </w:pPr>
                        <w:r>
                          <w:rPr>
                            <w:sz w:val="20"/>
                          </w:rPr>
                          <w:t>Medio</w:t>
                        </w:r>
                      </w:p>
                    </w:tc>
                  </w:tr>
                  <w:tr>
                    <w:trPr>
                      <w:trHeight w:val="1208" w:hRule="exact"/>
                    </w:trPr>
                    <w:tc>
                      <w:tcPr>
                        <w:tcW w:w="819" w:type="dxa"/>
                        <w:tcBorders>
                          <w:top w:val="thickThinMediumGap" w:sz="20" w:space="0" w:color="000000"/>
                          <w:left w:val="single" w:sz="6" w:space="0" w:color="000000"/>
                          <w:bottom w:val="single" w:sz="12"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7"/>
                          <w:jc w:val="center"/>
                          <w:rPr>
                            <w:sz w:val="20"/>
                          </w:rPr>
                        </w:pPr>
                        <w:r>
                          <w:rPr>
                            <w:sz w:val="20"/>
                          </w:rPr>
                          <w:t>Bajo</w:t>
                        </w:r>
                      </w:p>
                    </w:tc>
                  </w:tr>
                </w:tbl>
                <w:p>
                  <w:pPr>
                    <w:pStyle w:val="BodyText"/>
                  </w:pPr>
                </w:p>
              </w:txbxContent>
            </v:textbox>
            <w10:wrap type="none"/>
          </v:shape>
        </w:pict>
      </w:r>
      <w:r>
        <w:rPr/>
        <w:pict>
          <v:shape style="position:absolute;margin-left:322.200012pt;margin-top:4.839878pt;width:64.1pt;height:473.2pt;mso-position-horizontal-relative:page;mso-position-vertical-relative:paragraph;z-index:414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46"/>
                  </w:tblGrid>
                  <w:tr>
                    <w:trPr>
                      <w:trHeight w:val="293" w:hRule="exact"/>
                    </w:trPr>
                    <w:tc>
                      <w:tcPr>
                        <w:tcW w:w="1246" w:type="dxa"/>
                        <w:tcBorders>
                          <w:bottom w:val="thinThickMediumGap" w:sz="20" w:space="0" w:color="000000"/>
                          <w:right w:val="single" w:sz="12" w:space="0" w:color="000000"/>
                        </w:tcBorders>
                      </w:tcPr>
                      <w:p>
                        <w:pPr>
                          <w:pStyle w:val="TableParagraph"/>
                          <w:spacing w:line="225" w:lineRule="exact"/>
                          <w:ind w:left="114" w:right="103"/>
                          <w:jc w:val="center"/>
                          <w:rPr>
                            <w:b/>
                            <w:sz w:val="20"/>
                          </w:rPr>
                        </w:pPr>
                        <w:r>
                          <w:rPr>
                            <w:b/>
                            <w:sz w:val="20"/>
                          </w:rPr>
                          <w:t>Ambiental</w:t>
                        </w:r>
                      </w:p>
                    </w:tc>
                  </w:tr>
                  <w:tr>
                    <w:trPr>
                      <w:trHeight w:val="1239"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4" w:right="103"/>
                          <w:jc w:val="center"/>
                          <w:rPr>
                            <w:sz w:val="20"/>
                          </w:rPr>
                        </w:pPr>
                        <w:r>
                          <w:rPr>
                            <w:sz w:val="20"/>
                          </w:rPr>
                          <w:t>Alto</w:t>
                        </w:r>
                      </w:p>
                    </w:tc>
                  </w:tr>
                  <w:tr>
                    <w:trPr>
                      <w:trHeight w:val="1714"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rPr>
                            <w:b/>
                            <w:i/>
                            <w:sz w:val="20"/>
                          </w:rPr>
                        </w:pPr>
                      </w:p>
                      <w:p>
                        <w:pPr>
                          <w:pStyle w:val="TableParagraph"/>
                          <w:spacing w:before="1"/>
                          <w:ind w:left="114" w:right="98"/>
                          <w:jc w:val="center"/>
                          <w:rPr>
                            <w:sz w:val="20"/>
                          </w:rPr>
                        </w:pPr>
                        <w:r>
                          <w:rPr>
                            <w:sz w:val="20"/>
                          </w:rPr>
                          <w:t>Medio</w:t>
                        </w:r>
                      </w:p>
                    </w:tc>
                  </w:tr>
                  <w:tr>
                    <w:trPr>
                      <w:trHeight w:val="1258"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ind w:left="114" w:right="103"/>
                          <w:jc w:val="center"/>
                          <w:rPr>
                            <w:sz w:val="20"/>
                          </w:rPr>
                        </w:pPr>
                        <w:r>
                          <w:rPr>
                            <w:sz w:val="20"/>
                          </w:rPr>
                          <w:t>Alto</w:t>
                        </w:r>
                      </w:p>
                    </w:tc>
                  </w:tr>
                  <w:tr>
                    <w:trPr>
                      <w:trHeight w:val="1239"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4" w:right="98"/>
                          <w:jc w:val="center"/>
                          <w:rPr>
                            <w:sz w:val="20"/>
                          </w:rPr>
                        </w:pPr>
                        <w:r>
                          <w:rPr>
                            <w:sz w:val="20"/>
                          </w:rPr>
                          <w:t>Medio</w:t>
                        </w:r>
                      </w:p>
                    </w:tc>
                  </w:tr>
                  <w:tr>
                    <w:trPr>
                      <w:trHeight w:val="1238"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4" w:right="98"/>
                          <w:jc w:val="center"/>
                          <w:rPr>
                            <w:sz w:val="20"/>
                          </w:rPr>
                        </w:pPr>
                        <w:r>
                          <w:rPr>
                            <w:sz w:val="20"/>
                          </w:rPr>
                          <w:t>Medio</w:t>
                        </w:r>
                      </w:p>
                    </w:tc>
                  </w:tr>
                  <w:tr>
                    <w:trPr>
                      <w:trHeight w:val="1253" w:hRule="exact"/>
                    </w:trPr>
                    <w:tc>
                      <w:tcPr>
                        <w:tcW w:w="124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1"/>
                          <w:rPr>
                            <w:b/>
                            <w:i/>
                            <w:sz w:val="20"/>
                          </w:rPr>
                        </w:pPr>
                      </w:p>
                      <w:p>
                        <w:pPr>
                          <w:pStyle w:val="TableParagraph"/>
                          <w:ind w:left="114" w:right="103"/>
                          <w:jc w:val="center"/>
                          <w:rPr>
                            <w:sz w:val="20"/>
                          </w:rPr>
                        </w:pPr>
                        <w:r>
                          <w:rPr>
                            <w:sz w:val="20"/>
                          </w:rPr>
                          <w:t>Alto</w:t>
                        </w:r>
                      </w:p>
                    </w:tc>
                  </w:tr>
                  <w:tr>
                    <w:trPr>
                      <w:trHeight w:val="1208" w:hRule="exact"/>
                    </w:trPr>
                    <w:tc>
                      <w:tcPr>
                        <w:tcW w:w="1246" w:type="dxa"/>
                        <w:tcBorders>
                          <w:top w:val="thickThinMediumGap" w:sz="20" w:space="0" w:color="000000"/>
                          <w:bottom w:val="single" w:sz="12"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4" w:right="103"/>
                          <w:jc w:val="center"/>
                          <w:rPr>
                            <w:sz w:val="20"/>
                          </w:rPr>
                        </w:pPr>
                        <w:r>
                          <w:rPr>
                            <w:sz w:val="20"/>
                          </w:rPr>
                          <w:t>Alto</w:t>
                        </w:r>
                      </w:p>
                    </w:tc>
                  </w:tr>
                </w:tbl>
                <w:p>
                  <w:pPr>
                    <w:pStyle w:val="BodyText"/>
                  </w:pPr>
                </w:p>
              </w:txbxContent>
            </v:textbox>
            <w10:wrap type="none"/>
          </v:shape>
        </w:pict>
      </w:r>
      <w:r>
        <w:rPr/>
        <w:pict>
          <v:shape style="position:absolute;margin-left:388.459991pt;margin-top:4.839878pt;width:63.15pt;height:473.2pt;mso-position-horizontal-relative:page;mso-position-vertical-relative:paragraph;z-index:416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27"/>
                  </w:tblGrid>
                  <w:tr>
                    <w:trPr>
                      <w:trHeight w:val="293" w:hRule="exact"/>
                    </w:trPr>
                    <w:tc>
                      <w:tcPr>
                        <w:tcW w:w="1227" w:type="dxa"/>
                        <w:tcBorders>
                          <w:bottom w:val="thinThickMediumGap" w:sz="20" w:space="0" w:color="000000"/>
                          <w:right w:val="single" w:sz="12" w:space="0" w:color="000000"/>
                        </w:tcBorders>
                      </w:tcPr>
                      <w:p>
                        <w:pPr>
                          <w:pStyle w:val="TableParagraph"/>
                          <w:spacing w:line="225" w:lineRule="exact"/>
                          <w:ind w:left="110" w:right="109"/>
                          <w:jc w:val="center"/>
                          <w:rPr>
                            <w:b/>
                            <w:sz w:val="20"/>
                          </w:rPr>
                        </w:pPr>
                        <w:r>
                          <w:rPr>
                            <w:b/>
                            <w:sz w:val="20"/>
                          </w:rPr>
                          <w:t>Viabilidad</w:t>
                        </w:r>
                      </w:p>
                    </w:tc>
                  </w:tr>
                  <w:tr>
                    <w:trPr>
                      <w:trHeight w:val="1239"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0" w:right="99"/>
                          <w:jc w:val="center"/>
                          <w:rPr>
                            <w:sz w:val="20"/>
                          </w:rPr>
                        </w:pPr>
                        <w:r>
                          <w:rPr>
                            <w:sz w:val="20"/>
                          </w:rPr>
                          <w:t>Alto</w:t>
                        </w:r>
                      </w:p>
                    </w:tc>
                  </w:tr>
                  <w:tr>
                    <w:trPr>
                      <w:trHeight w:val="1714"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rPr>
                            <w:b/>
                            <w:i/>
                            <w:sz w:val="20"/>
                          </w:rPr>
                        </w:pPr>
                      </w:p>
                      <w:p>
                        <w:pPr>
                          <w:pStyle w:val="TableParagraph"/>
                          <w:spacing w:before="1"/>
                          <w:ind w:left="110" w:right="99"/>
                          <w:jc w:val="center"/>
                          <w:rPr>
                            <w:sz w:val="20"/>
                          </w:rPr>
                        </w:pPr>
                        <w:r>
                          <w:rPr>
                            <w:sz w:val="20"/>
                          </w:rPr>
                          <w:t>Alto</w:t>
                        </w:r>
                      </w:p>
                    </w:tc>
                  </w:tr>
                  <w:tr>
                    <w:trPr>
                      <w:trHeight w:val="1258"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ind w:left="110" w:right="99"/>
                          <w:jc w:val="center"/>
                          <w:rPr>
                            <w:sz w:val="20"/>
                          </w:rPr>
                        </w:pPr>
                        <w:r>
                          <w:rPr>
                            <w:sz w:val="20"/>
                          </w:rPr>
                          <w:t>Alto</w:t>
                        </w:r>
                      </w:p>
                    </w:tc>
                  </w:tr>
                  <w:tr>
                    <w:trPr>
                      <w:trHeight w:val="1239"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0" w:right="99"/>
                          <w:jc w:val="center"/>
                          <w:rPr>
                            <w:sz w:val="20"/>
                          </w:rPr>
                        </w:pPr>
                        <w:r>
                          <w:rPr>
                            <w:sz w:val="20"/>
                          </w:rPr>
                          <w:t>Alto</w:t>
                        </w:r>
                      </w:p>
                    </w:tc>
                  </w:tr>
                  <w:tr>
                    <w:trPr>
                      <w:trHeight w:val="1238"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0" w:right="104"/>
                          <w:jc w:val="center"/>
                          <w:rPr>
                            <w:sz w:val="20"/>
                          </w:rPr>
                        </w:pPr>
                        <w:r>
                          <w:rPr>
                            <w:sz w:val="20"/>
                          </w:rPr>
                          <w:t>Medio</w:t>
                        </w:r>
                      </w:p>
                    </w:tc>
                  </w:tr>
                  <w:tr>
                    <w:trPr>
                      <w:trHeight w:val="1253" w:hRule="exact"/>
                    </w:trPr>
                    <w:tc>
                      <w:tcPr>
                        <w:tcW w:w="1227"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1"/>
                          <w:rPr>
                            <w:b/>
                            <w:i/>
                            <w:sz w:val="20"/>
                          </w:rPr>
                        </w:pPr>
                      </w:p>
                      <w:p>
                        <w:pPr>
                          <w:pStyle w:val="TableParagraph"/>
                          <w:ind w:left="110" w:right="99"/>
                          <w:jc w:val="center"/>
                          <w:rPr>
                            <w:sz w:val="20"/>
                          </w:rPr>
                        </w:pPr>
                        <w:r>
                          <w:rPr>
                            <w:sz w:val="20"/>
                          </w:rPr>
                          <w:t>Alto</w:t>
                        </w:r>
                      </w:p>
                    </w:tc>
                  </w:tr>
                  <w:tr>
                    <w:trPr>
                      <w:trHeight w:val="1208" w:hRule="exact"/>
                    </w:trPr>
                    <w:tc>
                      <w:tcPr>
                        <w:tcW w:w="1227" w:type="dxa"/>
                        <w:tcBorders>
                          <w:top w:val="thickThinMediumGap" w:sz="20" w:space="0" w:color="000000"/>
                          <w:bottom w:val="single" w:sz="12"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110" w:right="99"/>
                          <w:jc w:val="center"/>
                          <w:rPr>
                            <w:sz w:val="20"/>
                          </w:rPr>
                        </w:pPr>
                        <w:r>
                          <w:rPr>
                            <w:sz w:val="20"/>
                          </w:rPr>
                          <w:t>Alto</w:t>
                        </w:r>
                      </w:p>
                    </w:tc>
                  </w:tr>
                </w:tbl>
                <w:p>
                  <w:pPr>
                    <w:pStyle w:val="BodyText"/>
                  </w:pPr>
                </w:p>
              </w:txbxContent>
            </v:textbox>
            <w10:wrap type="none"/>
          </v:shape>
        </w:pict>
      </w:r>
      <w:r>
        <w:rPr>
          <w:b/>
          <w:sz w:val="20"/>
        </w:rPr>
        <w:t>Económico</w:t>
      </w:r>
    </w:p>
    <w:p>
      <w:pPr>
        <w:pStyle w:val="BodyText"/>
        <w:rPr>
          <w:b/>
          <w:sz w:val="20"/>
        </w:rPr>
      </w:pPr>
      <w:r>
        <w:rPr/>
        <w:br w:type="column"/>
      </w:r>
      <w:r>
        <w:rPr>
          <w:b/>
          <w:sz w:val="20"/>
        </w:rPr>
      </w:r>
    </w:p>
    <w:p>
      <w:pPr>
        <w:pStyle w:val="BodyText"/>
        <w:rPr>
          <w:b/>
          <w:sz w:val="20"/>
        </w:rPr>
      </w:pPr>
    </w:p>
    <w:p>
      <w:pPr>
        <w:pStyle w:val="BodyText"/>
        <w:spacing w:before="1"/>
        <w:rPr>
          <w:b/>
          <w:sz w:val="25"/>
        </w:rPr>
      </w:pPr>
    </w:p>
    <w:p>
      <w:pPr>
        <w:spacing w:before="1"/>
        <w:ind w:left="1372" w:right="1451" w:firstLine="0"/>
        <w:jc w:val="center"/>
        <w:rPr>
          <w:b/>
          <w:sz w:val="20"/>
        </w:rPr>
      </w:pPr>
      <w:r>
        <w:rPr/>
        <w:pict>
          <v:shape style="position:absolute;margin-left:453.769989pt;margin-top:-.410122pt;width:40.1pt;height:473.2pt;mso-position-horizontal-relative:page;mso-position-vertical-relative:paragraph;z-index:419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66"/>
                  </w:tblGrid>
                  <w:tr>
                    <w:trPr>
                      <w:trHeight w:val="293" w:hRule="exact"/>
                    </w:trPr>
                    <w:tc>
                      <w:tcPr>
                        <w:tcW w:w="766" w:type="dxa"/>
                        <w:tcBorders>
                          <w:bottom w:val="thinThickMediumGap" w:sz="20" w:space="0" w:color="000000"/>
                          <w:right w:val="single" w:sz="12" w:space="0" w:color="000000"/>
                        </w:tcBorders>
                      </w:tcPr>
                      <w:p>
                        <w:pPr>
                          <w:pStyle w:val="TableParagraph"/>
                          <w:spacing w:line="225" w:lineRule="exact"/>
                          <w:ind w:left="84" w:right="72"/>
                          <w:jc w:val="center"/>
                          <w:rPr>
                            <w:b/>
                            <w:sz w:val="20"/>
                          </w:rPr>
                        </w:pPr>
                        <w:r>
                          <w:rPr>
                            <w:b/>
                            <w:sz w:val="20"/>
                          </w:rPr>
                          <w:t>Legal</w:t>
                        </w:r>
                      </w:p>
                    </w:tc>
                  </w:tr>
                  <w:tr>
                    <w:trPr>
                      <w:trHeight w:val="1239"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2"/>
                          <w:jc w:val="center"/>
                          <w:rPr>
                            <w:sz w:val="20"/>
                          </w:rPr>
                        </w:pPr>
                        <w:r>
                          <w:rPr>
                            <w:sz w:val="20"/>
                          </w:rPr>
                          <w:t>Medio</w:t>
                        </w:r>
                      </w:p>
                    </w:tc>
                  </w:tr>
                  <w:tr>
                    <w:trPr>
                      <w:trHeight w:val="1714"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rPr>
                            <w:b/>
                            <w:i/>
                            <w:sz w:val="20"/>
                          </w:rPr>
                        </w:pPr>
                      </w:p>
                      <w:p>
                        <w:pPr>
                          <w:pStyle w:val="TableParagraph"/>
                          <w:spacing w:before="1"/>
                          <w:ind w:left="83" w:right="72"/>
                          <w:jc w:val="center"/>
                          <w:rPr>
                            <w:sz w:val="20"/>
                          </w:rPr>
                        </w:pPr>
                        <w:r>
                          <w:rPr>
                            <w:sz w:val="20"/>
                          </w:rPr>
                          <w:t>Alto</w:t>
                        </w:r>
                      </w:p>
                    </w:tc>
                  </w:tr>
                  <w:tr>
                    <w:trPr>
                      <w:trHeight w:val="1258"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rPr>
                            <w:b/>
                            <w:i/>
                            <w:sz w:val="20"/>
                          </w:rPr>
                        </w:pPr>
                      </w:p>
                      <w:p>
                        <w:pPr>
                          <w:pStyle w:val="TableParagraph"/>
                          <w:ind w:left="87" w:right="72"/>
                          <w:jc w:val="center"/>
                          <w:rPr>
                            <w:sz w:val="20"/>
                          </w:rPr>
                        </w:pPr>
                        <w:r>
                          <w:rPr>
                            <w:sz w:val="20"/>
                          </w:rPr>
                          <w:t>Bajo</w:t>
                        </w:r>
                      </w:p>
                    </w:tc>
                  </w:tr>
                  <w:tr>
                    <w:trPr>
                      <w:trHeight w:val="1239"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7" w:right="72"/>
                          <w:jc w:val="center"/>
                          <w:rPr>
                            <w:sz w:val="20"/>
                          </w:rPr>
                        </w:pPr>
                        <w:r>
                          <w:rPr>
                            <w:sz w:val="20"/>
                          </w:rPr>
                          <w:t>Bajo</w:t>
                        </w:r>
                      </w:p>
                    </w:tc>
                  </w:tr>
                  <w:tr>
                    <w:trPr>
                      <w:trHeight w:val="1238"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3" w:right="72"/>
                          <w:jc w:val="center"/>
                          <w:rPr>
                            <w:sz w:val="20"/>
                          </w:rPr>
                        </w:pPr>
                        <w:r>
                          <w:rPr>
                            <w:sz w:val="20"/>
                          </w:rPr>
                          <w:t>Alto</w:t>
                        </w:r>
                      </w:p>
                    </w:tc>
                  </w:tr>
                  <w:tr>
                    <w:trPr>
                      <w:trHeight w:val="1253" w:hRule="exact"/>
                    </w:trPr>
                    <w:tc>
                      <w:tcPr>
                        <w:tcW w:w="766" w:type="dxa"/>
                        <w:tcBorders>
                          <w:top w:val="thickThinMediumGap" w:sz="20" w:space="0" w:color="000000"/>
                          <w:bottom w:val="thinThickMediumGap" w:sz="20" w:space="0" w:color="000000"/>
                          <w:right w:val="single" w:sz="12" w:space="0" w:color="000000"/>
                        </w:tcBorders>
                      </w:tcPr>
                      <w:p>
                        <w:pPr>
                          <w:pStyle w:val="TableParagraph"/>
                          <w:rPr>
                            <w:b/>
                            <w:i/>
                            <w:sz w:val="20"/>
                          </w:rPr>
                        </w:pPr>
                      </w:p>
                      <w:p>
                        <w:pPr>
                          <w:pStyle w:val="TableParagraph"/>
                          <w:spacing w:before="1"/>
                          <w:rPr>
                            <w:b/>
                            <w:i/>
                            <w:sz w:val="20"/>
                          </w:rPr>
                        </w:pPr>
                      </w:p>
                      <w:p>
                        <w:pPr>
                          <w:pStyle w:val="TableParagraph"/>
                          <w:ind w:left="83" w:right="72"/>
                          <w:jc w:val="center"/>
                          <w:rPr>
                            <w:sz w:val="20"/>
                          </w:rPr>
                        </w:pPr>
                        <w:r>
                          <w:rPr>
                            <w:sz w:val="20"/>
                          </w:rPr>
                          <w:t>Alto</w:t>
                        </w:r>
                      </w:p>
                    </w:tc>
                  </w:tr>
                  <w:tr>
                    <w:trPr>
                      <w:trHeight w:val="1208" w:hRule="exact"/>
                    </w:trPr>
                    <w:tc>
                      <w:tcPr>
                        <w:tcW w:w="766" w:type="dxa"/>
                        <w:tcBorders>
                          <w:top w:val="thickThinMediumGap" w:sz="20" w:space="0" w:color="000000"/>
                          <w:bottom w:val="single" w:sz="12" w:space="0" w:color="000000"/>
                          <w:right w:val="single" w:sz="12" w:space="0" w:color="000000"/>
                        </w:tcBorders>
                      </w:tcPr>
                      <w:p>
                        <w:pPr>
                          <w:pStyle w:val="TableParagraph"/>
                          <w:rPr>
                            <w:b/>
                            <w:i/>
                            <w:sz w:val="20"/>
                          </w:rPr>
                        </w:pPr>
                      </w:p>
                      <w:p>
                        <w:pPr>
                          <w:pStyle w:val="TableParagraph"/>
                          <w:spacing w:before="2"/>
                          <w:rPr>
                            <w:b/>
                            <w:i/>
                            <w:sz w:val="19"/>
                          </w:rPr>
                        </w:pPr>
                      </w:p>
                      <w:p>
                        <w:pPr>
                          <w:pStyle w:val="TableParagraph"/>
                          <w:ind w:left="83" w:right="72"/>
                          <w:jc w:val="center"/>
                          <w:rPr>
                            <w:sz w:val="20"/>
                          </w:rPr>
                        </w:pPr>
                        <w:r>
                          <w:rPr>
                            <w:sz w:val="20"/>
                          </w:rPr>
                          <w:t>Alto</w:t>
                        </w:r>
                      </w:p>
                    </w:tc>
                  </w:tr>
                </w:tbl>
                <w:p>
                  <w:pPr>
                    <w:pStyle w:val="BodyText"/>
                  </w:pPr>
                </w:p>
              </w:txbxContent>
            </v:textbox>
            <w10:wrap type="none"/>
          </v:shape>
        </w:pict>
      </w:r>
      <w:r>
        <w:rPr>
          <w:b/>
          <w:sz w:val="20"/>
        </w:rPr>
        <w:t>Tiempo</w:t>
      </w:r>
    </w:p>
    <w:p>
      <w:pPr>
        <w:spacing w:after="0"/>
        <w:jc w:val="center"/>
        <w:rPr>
          <w:sz w:val="20"/>
        </w:rPr>
        <w:sectPr>
          <w:type w:val="continuous"/>
          <w:pgSz w:w="12240" w:h="15840"/>
          <w:pgMar w:top="880" w:bottom="280" w:left="1120" w:right="0"/>
          <w:cols w:num="2" w:equalWidth="0">
            <w:col w:w="7505" w:space="40"/>
            <w:col w:w="3575"/>
          </w:cols>
        </w:sectPr>
      </w:pPr>
    </w:p>
    <w:p>
      <w:pPr>
        <w:pStyle w:val="BodyText"/>
        <w:rPr>
          <w:b/>
          <w:sz w:val="20"/>
        </w:rPr>
      </w:pPr>
    </w:p>
    <w:p>
      <w:pPr>
        <w:pStyle w:val="BodyText"/>
        <w:spacing w:before="3"/>
        <w:rPr>
          <w:b/>
          <w:sz w:val="22"/>
        </w:rPr>
      </w:pPr>
    </w:p>
    <w:p>
      <w:pPr>
        <w:tabs>
          <w:tab w:pos="9117" w:val="left" w:leader="none"/>
        </w:tabs>
        <w:spacing w:before="76"/>
        <w:ind w:left="3490" w:right="0" w:firstLine="0"/>
        <w:jc w:val="left"/>
        <w:rPr>
          <w:sz w:val="20"/>
        </w:rPr>
      </w:pPr>
      <w:r>
        <w:rPr/>
        <w:pict>
          <v:shape style="position:absolute;margin-left:74.37603pt;margin-top:5.855422pt;width:12.1pt;height:7.65pt;mso-position-horizontal-relative:page;mso-position-vertical-relative:paragraph;z-index:4048"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1</w:t>
                  </w:r>
                </w:p>
              </w:txbxContent>
            </v:textbox>
            <w10:wrap type="none"/>
          </v:shape>
        </w:pict>
      </w:r>
      <w:r>
        <w:rPr>
          <w:sz w:val="20"/>
        </w:rPr>
        <w:t>Alto</w:t>
        <w:tab/>
        <w:t>Alto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tabs>
          <w:tab w:pos="9088" w:val="left" w:leader="none"/>
        </w:tabs>
        <w:spacing w:before="76"/>
        <w:ind w:left="3466" w:right="0" w:firstLine="0"/>
        <w:jc w:val="left"/>
        <w:rPr>
          <w:sz w:val="20"/>
        </w:rPr>
      </w:pPr>
      <w:r>
        <w:rPr/>
        <w:pict>
          <v:shape style="position:absolute;margin-left:74.37603pt;margin-top:5.855419pt;width:12.1pt;height:7.65pt;mso-position-horizontal-relative:page;mso-position-vertical-relative:paragraph;z-index:4024"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2</w:t>
                  </w:r>
                </w:p>
              </w:txbxContent>
            </v:textbox>
            <w10:wrap type="none"/>
          </v:shape>
        </w:pict>
      </w:r>
      <w:r>
        <w:rPr>
          <w:sz w:val="20"/>
        </w:rPr>
        <w:t>Bajo</w:t>
        <w:tab/>
        <w:t>Bajo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tabs>
          <w:tab w:pos="9088" w:val="left" w:leader="none"/>
        </w:tabs>
        <w:spacing w:before="76"/>
        <w:ind w:left="3490" w:right="0" w:firstLine="0"/>
        <w:jc w:val="left"/>
        <w:rPr>
          <w:sz w:val="20"/>
        </w:rPr>
      </w:pPr>
      <w:r>
        <w:rPr/>
        <w:pict>
          <v:shape style="position:absolute;margin-left:74.37603pt;margin-top:6.095417pt;width:12.1pt;height:7.65pt;mso-position-horizontal-relative:page;mso-position-vertical-relative:paragraph;z-index:4000"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3</w:t>
                  </w:r>
                </w:p>
              </w:txbxContent>
            </v:textbox>
            <w10:wrap type="none"/>
          </v:shape>
        </w:pict>
      </w:r>
      <w:r>
        <w:rPr>
          <w:sz w:val="20"/>
        </w:rPr>
        <w:t>Alto</w:t>
        <w:tab/>
        <w:t>Bajo</w:t>
      </w:r>
    </w:p>
    <w:p>
      <w:pPr>
        <w:pStyle w:val="BodyText"/>
        <w:rPr>
          <w:sz w:val="20"/>
        </w:rPr>
      </w:pPr>
    </w:p>
    <w:p>
      <w:pPr>
        <w:pStyle w:val="BodyText"/>
        <w:rPr>
          <w:sz w:val="20"/>
        </w:rPr>
      </w:pPr>
    </w:p>
    <w:p>
      <w:pPr>
        <w:pStyle w:val="BodyText"/>
        <w:rPr>
          <w:sz w:val="20"/>
        </w:rPr>
      </w:pPr>
    </w:p>
    <w:p>
      <w:pPr>
        <w:pStyle w:val="BodyText"/>
        <w:spacing w:before="11"/>
        <w:rPr>
          <w:sz w:val="21"/>
        </w:rPr>
      </w:pPr>
    </w:p>
    <w:p>
      <w:pPr>
        <w:tabs>
          <w:tab w:pos="9016" w:val="left" w:leader="none"/>
        </w:tabs>
        <w:spacing w:before="76"/>
        <w:ind w:left="3394" w:right="0" w:firstLine="0"/>
        <w:jc w:val="left"/>
        <w:rPr>
          <w:sz w:val="20"/>
        </w:rPr>
      </w:pPr>
      <w:r>
        <w:rPr/>
        <w:pict>
          <v:shape style="position:absolute;margin-left:74.37603pt;margin-top:5.855403pt;width:12.1pt;height:7.65pt;mso-position-horizontal-relative:page;mso-position-vertical-relative:paragraph;z-index:3976"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4</w:t>
                  </w:r>
                </w:p>
              </w:txbxContent>
            </v:textbox>
            <w10:wrap type="none"/>
          </v:shape>
        </w:pict>
      </w:r>
      <w:r>
        <w:rPr>
          <w:sz w:val="20"/>
        </w:rPr>
        <w:t>Medio</w:t>
        <w:tab/>
        <w:t>Medio</w:t>
      </w:r>
    </w:p>
    <w:p>
      <w:pPr>
        <w:pStyle w:val="BodyText"/>
        <w:rPr>
          <w:sz w:val="20"/>
        </w:rPr>
      </w:pPr>
    </w:p>
    <w:p>
      <w:pPr>
        <w:pStyle w:val="BodyText"/>
        <w:rPr>
          <w:sz w:val="20"/>
        </w:rPr>
      </w:pPr>
    </w:p>
    <w:p>
      <w:pPr>
        <w:pStyle w:val="BodyText"/>
        <w:rPr>
          <w:sz w:val="20"/>
        </w:rPr>
      </w:pPr>
    </w:p>
    <w:p>
      <w:pPr>
        <w:pStyle w:val="BodyText"/>
        <w:spacing w:before="1"/>
        <w:rPr>
          <w:sz w:val="21"/>
        </w:rPr>
      </w:pPr>
    </w:p>
    <w:p>
      <w:pPr>
        <w:tabs>
          <w:tab w:pos="9016" w:val="left" w:leader="none"/>
        </w:tabs>
        <w:spacing w:before="76"/>
        <w:ind w:left="3461" w:right="0" w:firstLine="0"/>
        <w:jc w:val="left"/>
        <w:rPr>
          <w:sz w:val="20"/>
        </w:rPr>
      </w:pPr>
      <w:r>
        <w:rPr/>
        <w:pict>
          <v:shape style="position:absolute;margin-left:74.37603pt;margin-top:5.855401pt;width:12.1pt;height:7.65pt;mso-position-horizontal-relative:page;mso-position-vertical-relative:paragraph;z-index:3952"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5</w:t>
                  </w:r>
                </w:p>
              </w:txbxContent>
            </v:textbox>
            <w10:wrap type="none"/>
          </v:shape>
        </w:pict>
      </w:r>
      <w:r>
        <w:rPr>
          <w:sz w:val="20"/>
        </w:rPr>
        <w:t>Bajo</w:t>
        <w:tab/>
        <w:t>Medio</w:t>
      </w:r>
    </w:p>
    <w:p>
      <w:pPr>
        <w:pStyle w:val="BodyText"/>
        <w:rPr>
          <w:sz w:val="20"/>
        </w:rPr>
      </w:pPr>
    </w:p>
    <w:p>
      <w:pPr>
        <w:pStyle w:val="BodyText"/>
        <w:rPr>
          <w:sz w:val="20"/>
        </w:rPr>
      </w:pPr>
    </w:p>
    <w:p>
      <w:pPr>
        <w:pStyle w:val="BodyText"/>
        <w:rPr>
          <w:sz w:val="20"/>
        </w:rPr>
      </w:pPr>
    </w:p>
    <w:p>
      <w:pPr>
        <w:pStyle w:val="BodyText"/>
        <w:spacing w:before="11"/>
        <w:rPr>
          <w:sz w:val="21"/>
        </w:rPr>
      </w:pPr>
    </w:p>
    <w:p>
      <w:pPr>
        <w:tabs>
          <w:tab w:pos="9117" w:val="left" w:leader="none"/>
        </w:tabs>
        <w:spacing w:before="76"/>
        <w:ind w:left="3490" w:right="0" w:firstLine="0"/>
        <w:jc w:val="left"/>
        <w:rPr>
          <w:sz w:val="20"/>
        </w:rPr>
      </w:pPr>
      <w:r>
        <w:rPr/>
        <w:pict>
          <v:shape style="position:absolute;margin-left:74.37603pt;margin-top:5.855408pt;width:12.1pt;height:7.65pt;mso-position-horizontal-relative:page;mso-position-vertical-relative:paragraph;z-index:3928"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6</w:t>
                  </w:r>
                </w:p>
              </w:txbxContent>
            </v:textbox>
            <w10:wrap type="none"/>
          </v:shape>
        </w:pict>
      </w:r>
      <w:r>
        <w:rPr>
          <w:sz w:val="20"/>
        </w:rPr>
        <w:t>Alto</w:t>
        <w:tab/>
        <w:t>Alto</w:t>
      </w:r>
    </w:p>
    <w:p>
      <w:pPr>
        <w:pStyle w:val="BodyText"/>
        <w:rPr>
          <w:sz w:val="20"/>
        </w:rPr>
      </w:pPr>
    </w:p>
    <w:p>
      <w:pPr>
        <w:pStyle w:val="BodyText"/>
        <w:rPr>
          <w:sz w:val="20"/>
        </w:rPr>
      </w:pPr>
    </w:p>
    <w:p>
      <w:pPr>
        <w:pStyle w:val="BodyText"/>
        <w:rPr>
          <w:sz w:val="20"/>
        </w:rPr>
      </w:pPr>
    </w:p>
    <w:p>
      <w:pPr>
        <w:pStyle w:val="BodyText"/>
        <w:spacing w:before="6"/>
        <w:rPr>
          <w:sz w:val="21"/>
        </w:rPr>
      </w:pPr>
    </w:p>
    <w:p>
      <w:pPr>
        <w:tabs>
          <w:tab w:pos="9117" w:val="left" w:leader="none"/>
        </w:tabs>
        <w:spacing w:before="76"/>
        <w:ind w:left="3490" w:right="0" w:firstLine="0"/>
        <w:jc w:val="left"/>
        <w:rPr>
          <w:sz w:val="20"/>
        </w:rPr>
      </w:pPr>
      <w:r>
        <w:rPr/>
        <w:pict>
          <v:shape style="position:absolute;margin-left:74.37603pt;margin-top:5.855401pt;width:12.1pt;height:7.65pt;mso-position-horizontal-relative:page;mso-position-vertical-relative:paragraph;z-index:3904" type="#_x0000_t202" filled="false" stroked="false">
            <v:textbox inset="0,0,0,0" style="layout-flow:vertical;mso-layout-flow-alt:bottom-to-top">
              <w:txbxContent>
                <w:p>
                  <w:pPr>
                    <w:spacing w:line="226" w:lineRule="exact" w:before="0"/>
                    <w:ind w:left="20" w:right="0" w:firstLine="0"/>
                    <w:jc w:val="left"/>
                    <w:rPr>
                      <w:sz w:val="20"/>
                    </w:rPr>
                  </w:pPr>
                  <w:r>
                    <w:rPr>
                      <w:w w:val="100"/>
                      <w:sz w:val="20"/>
                    </w:rPr>
                    <w:t>7</w:t>
                  </w:r>
                </w:p>
              </w:txbxContent>
            </v:textbox>
            <w10:wrap type="none"/>
          </v:shape>
        </w:pict>
      </w:r>
      <w:r>
        <w:rPr>
          <w:sz w:val="20"/>
        </w:rPr>
        <w:t>Alto</w:t>
        <w:tab/>
        <w:t>Alto</w:t>
      </w:r>
    </w:p>
    <w:p>
      <w:pPr>
        <w:pStyle w:val="BodyText"/>
        <w:rPr>
          <w:sz w:val="20"/>
        </w:rPr>
      </w:pPr>
    </w:p>
    <w:p>
      <w:pPr>
        <w:pStyle w:val="BodyText"/>
        <w:spacing w:before="5"/>
        <w:rPr>
          <w:sz w:val="21"/>
        </w:rPr>
      </w:pPr>
    </w:p>
    <w:p>
      <w:pPr>
        <w:spacing w:before="76"/>
        <w:ind w:left="296" w:right="0" w:firstLine="0"/>
        <w:jc w:val="left"/>
        <w:rPr>
          <w:b/>
          <w:i/>
          <w:sz w:val="20"/>
        </w:rPr>
      </w:pPr>
      <w:r>
        <w:rPr>
          <w:b/>
          <w:i/>
          <w:sz w:val="20"/>
        </w:rPr>
        <w:t>Fuente: Elaboración propia, a partir de Camacho, 2001 y Gutiérrez, 2013.</w:t>
      </w:r>
    </w:p>
    <w:p>
      <w:pPr>
        <w:spacing w:after="0"/>
        <w:jc w:val="left"/>
        <w:rPr>
          <w:sz w:val="20"/>
        </w:rPr>
        <w:sectPr>
          <w:type w:val="continuous"/>
          <w:pgSz w:w="12240" w:h="15840"/>
          <w:pgMar w:top="880" w:bottom="280" w:left="1120" w:right="0"/>
        </w:sectPr>
      </w:pPr>
    </w:p>
    <w:p>
      <w:pPr>
        <w:pStyle w:val="BodyText"/>
        <w:rPr>
          <w:b/>
          <w:i/>
          <w:sz w:val="20"/>
        </w:rPr>
      </w:pPr>
    </w:p>
    <w:p>
      <w:pPr>
        <w:pStyle w:val="BodyText"/>
        <w:spacing w:before="9"/>
        <w:rPr>
          <w:b/>
          <w:i/>
          <w:sz w:val="19"/>
        </w:rPr>
      </w:pPr>
    </w:p>
    <w:p>
      <w:pPr>
        <w:pStyle w:val="ListParagraph"/>
        <w:numPr>
          <w:ilvl w:val="3"/>
          <w:numId w:val="16"/>
        </w:numPr>
        <w:tabs>
          <w:tab w:pos="1712" w:val="left" w:leader="none"/>
          <w:tab w:pos="1713" w:val="left" w:leader="none"/>
        </w:tabs>
        <w:spacing w:line="240" w:lineRule="auto" w:before="69" w:after="0"/>
        <w:ind w:left="1713" w:right="0" w:hanging="1076"/>
        <w:jc w:val="left"/>
        <w:rPr>
          <w:i/>
          <w:sz w:val="24"/>
        </w:rPr>
      </w:pPr>
      <w:r>
        <w:rPr>
          <w:i/>
          <w:sz w:val="24"/>
        </w:rPr>
        <w:t>Análisis Cuantitativo de las</w:t>
      </w:r>
      <w:r>
        <w:rPr>
          <w:i/>
          <w:spacing w:val="-21"/>
          <w:sz w:val="24"/>
        </w:rPr>
        <w:t> </w:t>
      </w:r>
      <w:r>
        <w:rPr>
          <w:i/>
          <w:sz w:val="24"/>
        </w:rPr>
        <w:t>Alternativas</w:t>
      </w:r>
    </w:p>
    <w:p>
      <w:pPr>
        <w:pStyle w:val="BodyText"/>
        <w:spacing w:line="360" w:lineRule="auto" w:before="141"/>
        <w:ind w:left="296" w:right="273"/>
        <w:jc w:val="both"/>
      </w:pPr>
      <w:r>
        <w:rPr/>
        <w:t>De forma específica, la evaluación cuantitativa, se generó por medio de la asignación  de un número en una escala de 1 a 5, a cada una de las evaluaciones cualitativas previamente realizadas, integrando posteriormente un coeficiente a cada criterio (económico, social, ambiental, viabilidad, legal y tiempo) a partir de la importancia que presenta cada uno en el desarrollo de las alternativas. La escala de valoración corresponde para el valor 1, los criterios de menor importancia y el número 5, aquellos de mayor importancia. Posteriormente se multiplicó el valor asignado a cada alternativa por el coeficiente para obtener una valoración general de cada alternativa (Cuadro 17) (Gutiérrez,</w:t>
      </w:r>
      <w:r>
        <w:rPr>
          <w:spacing w:val="-6"/>
        </w:rPr>
        <w:t> </w:t>
      </w:r>
      <w:r>
        <w:rPr/>
        <w:t>2013).</w:t>
      </w:r>
    </w:p>
    <w:p>
      <w:pPr>
        <w:pStyle w:val="BodyText"/>
        <w:rPr>
          <w:sz w:val="20"/>
        </w:rPr>
      </w:pPr>
    </w:p>
    <w:p>
      <w:pPr>
        <w:pStyle w:val="BodyText"/>
        <w:spacing w:before="4"/>
        <w:rPr>
          <w:sz w:val="27"/>
        </w:rPr>
      </w:pPr>
    </w:p>
    <w:tbl>
      <w:tblPr>
        <w:tblW w:w="0" w:type="auto"/>
        <w:jc w:val="left"/>
        <w:tblInd w:w="2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470"/>
        <w:gridCol w:w="618"/>
        <w:gridCol w:w="414"/>
        <w:gridCol w:w="507"/>
        <w:gridCol w:w="299"/>
        <w:gridCol w:w="638"/>
        <w:gridCol w:w="438"/>
        <w:gridCol w:w="547"/>
        <w:gridCol w:w="342"/>
        <w:gridCol w:w="486"/>
        <w:gridCol w:w="283"/>
        <w:gridCol w:w="446"/>
        <w:gridCol w:w="444"/>
        <w:gridCol w:w="617"/>
      </w:tblGrid>
      <w:tr>
        <w:trPr>
          <w:trHeight w:val="252" w:hRule="exact"/>
        </w:trPr>
        <w:tc>
          <w:tcPr>
            <w:tcW w:w="9549" w:type="dxa"/>
            <w:gridSpan w:val="14"/>
            <w:tcBorders>
              <w:bottom w:val="thickThinMediumGap" w:sz="20" w:space="0" w:color="000000"/>
              <w:right w:val="single" w:sz="6" w:space="0" w:color="000000"/>
            </w:tcBorders>
          </w:tcPr>
          <w:p>
            <w:pPr>
              <w:pStyle w:val="TableParagraph"/>
              <w:spacing w:line="220" w:lineRule="exact"/>
              <w:ind w:left="2184"/>
              <w:rPr>
                <w:b/>
                <w:i/>
                <w:sz w:val="20"/>
              </w:rPr>
            </w:pPr>
            <w:r>
              <w:rPr>
                <w:b/>
                <w:i/>
                <w:sz w:val="20"/>
              </w:rPr>
              <w:t>Cuadro 17. Evaluación cuantitativa de las alternativas.</w:t>
            </w:r>
          </w:p>
        </w:tc>
      </w:tr>
      <w:tr>
        <w:trPr>
          <w:trHeight w:val="610" w:hRule="exact"/>
        </w:trPr>
        <w:tc>
          <w:tcPr>
            <w:tcW w:w="3470" w:type="dxa"/>
            <w:vMerge w:val="restart"/>
            <w:tcBorders>
              <w:top w:val="thinThickMediumGap" w:sz="20" w:space="0" w:color="000000"/>
              <w:right w:val="single" w:sz="6" w:space="0" w:color="000000"/>
            </w:tcBorders>
          </w:tcPr>
          <w:p>
            <w:pPr>
              <w:pStyle w:val="TableParagraph"/>
              <w:rPr>
                <w:sz w:val="20"/>
              </w:rPr>
            </w:pPr>
          </w:p>
          <w:p>
            <w:pPr>
              <w:pStyle w:val="TableParagraph"/>
              <w:spacing w:before="6"/>
              <w:rPr>
                <w:sz w:val="22"/>
              </w:rPr>
            </w:pPr>
          </w:p>
          <w:p>
            <w:pPr>
              <w:pStyle w:val="TableParagraph"/>
              <w:ind w:left="1085" w:right="4"/>
              <w:rPr>
                <w:b/>
                <w:sz w:val="20"/>
              </w:rPr>
            </w:pPr>
            <w:r>
              <w:rPr>
                <w:b/>
                <w:sz w:val="20"/>
              </w:rPr>
              <w:t>ESTRATEGIA</w:t>
            </w:r>
          </w:p>
        </w:tc>
        <w:tc>
          <w:tcPr>
            <w:tcW w:w="1032" w:type="dxa"/>
            <w:gridSpan w:val="2"/>
            <w:tcBorders>
              <w:top w:val="single" w:sz="6" w:space="0" w:color="000000"/>
              <w:left w:val="single" w:sz="6" w:space="0" w:color="000000"/>
              <w:bottom w:val="nil"/>
              <w:right w:val="nil"/>
            </w:tcBorders>
          </w:tcPr>
          <w:p>
            <w:pPr/>
          </w:p>
        </w:tc>
        <w:tc>
          <w:tcPr>
            <w:tcW w:w="806" w:type="dxa"/>
            <w:gridSpan w:val="2"/>
            <w:tcBorders>
              <w:top w:val="single" w:sz="6" w:space="0" w:color="000000"/>
              <w:left w:val="nil"/>
              <w:bottom w:val="nil"/>
              <w:right w:val="nil"/>
            </w:tcBorders>
          </w:tcPr>
          <w:p>
            <w:pPr/>
          </w:p>
        </w:tc>
        <w:tc>
          <w:tcPr>
            <w:tcW w:w="1076" w:type="dxa"/>
            <w:gridSpan w:val="2"/>
            <w:tcBorders>
              <w:top w:val="single" w:sz="6" w:space="0" w:color="000000"/>
              <w:left w:val="nil"/>
              <w:bottom w:val="nil"/>
              <w:right w:val="nil"/>
            </w:tcBorders>
          </w:tcPr>
          <w:p>
            <w:pPr/>
          </w:p>
        </w:tc>
        <w:tc>
          <w:tcPr>
            <w:tcW w:w="889" w:type="dxa"/>
            <w:gridSpan w:val="2"/>
            <w:tcBorders>
              <w:top w:val="single" w:sz="6" w:space="0" w:color="000000"/>
              <w:left w:val="nil"/>
              <w:bottom w:val="nil"/>
              <w:right w:val="nil"/>
            </w:tcBorders>
          </w:tcPr>
          <w:p>
            <w:pPr/>
          </w:p>
        </w:tc>
        <w:tc>
          <w:tcPr>
            <w:tcW w:w="768" w:type="dxa"/>
            <w:gridSpan w:val="2"/>
            <w:tcBorders>
              <w:top w:val="single" w:sz="6" w:space="0" w:color="000000"/>
              <w:left w:val="nil"/>
              <w:bottom w:val="nil"/>
              <w:right w:val="nil"/>
            </w:tcBorders>
          </w:tcPr>
          <w:p>
            <w:pPr/>
          </w:p>
        </w:tc>
        <w:tc>
          <w:tcPr>
            <w:tcW w:w="890" w:type="dxa"/>
            <w:gridSpan w:val="2"/>
            <w:tcBorders>
              <w:top w:val="single" w:sz="6" w:space="0" w:color="000000"/>
              <w:left w:val="nil"/>
              <w:bottom w:val="nil"/>
            </w:tcBorders>
          </w:tcPr>
          <w:p>
            <w:pPr/>
          </w:p>
        </w:tc>
        <w:tc>
          <w:tcPr>
            <w:tcW w:w="617" w:type="dxa"/>
            <w:vMerge w:val="restart"/>
            <w:tcBorders>
              <w:top w:val="thinThickMediumGap" w:sz="20" w:space="0" w:color="000000"/>
              <w:right w:val="single" w:sz="6" w:space="0" w:color="000000"/>
            </w:tcBorders>
          </w:tcPr>
          <w:p>
            <w:pPr>
              <w:pStyle w:val="TableParagraph"/>
              <w:rPr>
                <w:sz w:val="20"/>
              </w:rPr>
            </w:pPr>
          </w:p>
          <w:p>
            <w:pPr>
              <w:pStyle w:val="TableParagraph"/>
              <w:spacing w:before="6"/>
              <w:rPr>
                <w:sz w:val="22"/>
              </w:rPr>
            </w:pPr>
          </w:p>
          <w:p>
            <w:pPr>
              <w:pStyle w:val="TableParagraph"/>
              <w:ind w:left="62"/>
              <w:rPr>
                <w:b/>
                <w:sz w:val="20"/>
              </w:rPr>
            </w:pPr>
            <w:r>
              <w:rPr>
                <w:b/>
                <w:sz w:val="20"/>
              </w:rPr>
              <w:t>Total</w:t>
            </w:r>
          </w:p>
        </w:tc>
      </w:tr>
      <w:tr>
        <w:trPr>
          <w:trHeight w:val="336" w:hRule="exact"/>
        </w:trPr>
        <w:tc>
          <w:tcPr>
            <w:tcW w:w="3470" w:type="dxa"/>
            <w:vMerge/>
            <w:tcBorders>
              <w:right w:val="single" w:sz="6" w:space="0" w:color="000000"/>
            </w:tcBorders>
          </w:tcPr>
          <w:p>
            <w:pPr/>
          </w:p>
        </w:tc>
        <w:tc>
          <w:tcPr>
            <w:tcW w:w="1032" w:type="dxa"/>
            <w:gridSpan w:val="2"/>
            <w:tcBorders>
              <w:top w:val="nil"/>
              <w:left w:val="single" w:sz="6" w:space="0" w:color="000000"/>
              <w:bottom w:val="nil"/>
              <w:right w:val="nil"/>
            </w:tcBorders>
          </w:tcPr>
          <w:p>
            <w:pPr/>
          </w:p>
        </w:tc>
        <w:tc>
          <w:tcPr>
            <w:tcW w:w="806" w:type="dxa"/>
            <w:gridSpan w:val="2"/>
            <w:tcBorders>
              <w:top w:val="nil"/>
              <w:left w:val="nil"/>
              <w:bottom w:val="nil"/>
              <w:right w:val="nil"/>
            </w:tcBorders>
          </w:tcPr>
          <w:p>
            <w:pPr/>
          </w:p>
        </w:tc>
        <w:tc>
          <w:tcPr>
            <w:tcW w:w="1076" w:type="dxa"/>
            <w:gridSpan w:val="2"/>
            <w:tcBorders>
              <w:top w:val="nil"/>
              <w:left w:val="nil"/>
              <w:bottom w:val="nil"/>
              <w:right w:val="nil"/>
            </w:tcBorders>
          </w:tcPr>
          <w:p>
            <w:pPr/>
          </w:p>
        </w:tc>
        <w:tc>
          <w:tcPr>
            <w:tcW w:w="889" w:type="dxa"/>
            <w:gridSpan w:val="2"/>
            <w:tcBorders>
              <w:top w:val="nil"/>
              <w:left w:val="nil"/>
              <w:bottom w:val="nil"/>
              <w:right w:val="nil"/>
            </w:tcBorders>
          </w:tcPr>
          <w:p>
            <w:pPr/>
          </w:p>
        </w:tc>
        <w:tc>
          <w:tcPr>
            <w:tcW w:w="768" w:type="dxa"/>
            <w:gridSpan w:val="2"/>
            <w:tcBorders>
              <w:top w:val="nil"/>
              <w:left w:val="nil"/>
              <w:bottom w:val="nil"/>
              <w:right w:val="nil"/>
            </w:tcBorders>
          </w:tcPr>
          <w:p>
            <w:pPr/>
          </w:p>
        </w:tc>
        <w:tc>
          <w:tcPr>
            <w:tcW w:w="890" w:type="dxa"/>
            <w:gridSpan w:val="2"/>
            <w:tcBorders>
              <w:top w:val="nil"/>
              <w:left w:val="nil"/>
              <w:bottom w:val="nil"/>
            </w:tcBorders>
          </w:tcPr>
          <w:p>
            <w:pPr/>
          </w:p>
        </w:tc>
        <w:tc>
          <w:tcPr>
            <w:tcW w:w="617" w:type="dxa"/>
            <w:vMerge/>
            <w:tcBorders>
              <w:right w:val="single" w:sz="6" w:space="0" w:color="000000"/>
            </w:tcBorders>
          </w:tcPr>
          <w:p>
            <w:pPr/>
          </w:p>
        </w:tc>
      </w:tr>
      <w:tr>
        <w:trPr>
          <w:trHeight w:val="336" w:hRule="exact"/>
        </w:trPr>
        <w:tc>
          <w:tcPr>
            <w:tcW w:w="3470" w:type="dxa"/>
            <w:vMerge/>
            <w:tcBorders>
              <w:bottom w:val="thickThinMediumGap" w:sz="20" w:space="0" w:color="000000"/>
              <w:right w:val="single" w:sz="6" w:space="0" w:color="000000"/>
            </w:tcBorders>
          </w:tcPr>
          <w:p>
            <w:pP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890" w:type="dxa"/>
            <w:gridSpan w:val="2"/>
            <w:tcBorders>
              <w:top w:val="nil"/>
              <w:left w:val="nil"/>
              <w:bottom w:val="nil"/>
            </w:tcBorders>
          </w:tcPr>
          <w:p>
            <w:pPr/>
          </w:p>
        </w:tc>
        <w:tc>
          <w:tcPr>
            <w:tcW w:w="617" w:type="dxa"/>
            <w:vMerge/>
            <w:tcBorders>
              <w:bottom w:val="thickThinMediumGap" w:sz="20" w:space="0" w:color="000000"/>
              <w:right w:val="single" w:sz="6" w:space="0" w:color="000000"/>
            </w:tcBorders>
          </w:tcPr>
          <w:p>
            <w:pPr/>
          </w:p>
        </w:tc>
      </w:tr>
      <w:tr>
        <w:trPr>
          <w:trHeight w:val="643" w:hRule="exact"/>
        </w:trPr>
        <w:tc>
          <w:tcPr>
            <w:tcW w:w="3470" w:type="dxa"/>
            <w:tcBorders>
              <w:top w:val="thinThickMediumGap" w:sz="20" w:space="0" w:color="000000"/>
              <w:bottom w:val="thickThinMediumGap" w:sz="20" w:space="0" w:color="000000"/>
              <w:right w:val="single" w:sz="6" w:space="0" w:color="000000"/>
            </w:tcBorders>
          </w:tcPr>
          <w:p>
            <w:pPr>
              <w:pStyle w:val="TableParagraph"/>
              <w:tabs>
                <w:tab w:pos="1511" w:val="left" w:leader="none"/>
                <w:tab w:pos="1837" w:val="left" w:leader="none"/>
                <w:tab w:pos="3162" w:val="left" w:leader="none"/>
              </w:tabs>
              <w:spacing w:before="38"/>
              <w:ind w:left="62" w:right="56"/>
              <w:rPr>
                <w:sz w:val="20"/>
              </w:rPr>
            </w:pPr>
            <w:r>
              <w:rPr>
                <w:sz w:val="20"/>
              </w:rPr>
              <w:t>Conservación</w:t>
              <w:tab/>
              <w:t>y</w:t>
              <w:tab/>
              <w:t>propagación</w:t>
              <w:tab/>
              <w:t>de especies</w:t>
            </w:r>
            <w:r>
              <w:rPr>
                <w:spacing w:val="-5"/>
                <w:sz w:val="20"/>
              </w:rPr>
              <w:t> </w:t>
            </w:r>
            <w:r>
              <w:rPr>
                <w:sz w:val="20"/>
              </w:rPr>
              <w:t>nativas.</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spacing w:before="153"/>
              <w:ind w:right="181"/>
              <w:jc w:val="right"/>
              <w:rPr>
                <w:sz w:val="20"/>
              </w:rPr>
            </w:pPr>
            <w:r>
              <w:rPr>
                <w:sz w:val="20"/>
              </w:rPr>
              <w:t>58</w:t>
            </w:r>
          </w:p>
        </w:tc>
      </w:tr>
      <w:tr>
        <w:trPr>
          <w:trHeight w:val="792" w:hRule="exact"/>
        </w:trPr>
        <w:tc>
          <w:tcPr>
            <w:tcW w:w="3470" w:type="dxa"/>
            <w:tcBorders>
              <w:top w:val="thinThickMediumGap" w:sz="20" w:space="0" w:color="000000"/>
              <w:bottom w:val="thickThinMediumGap" w:sz="20" w:space="0" w:color="000000"/>
              <w:right w:val="single" w:sz="6" w:space="0" w:color="000000"/>
            </w:tcBorders>
          </w:tcPr>
          <w:p>
            <w:pPr>
              <w:pStyle w:val="TableParagraph"/>
              <w:ind w:left="62" w:right="51"/>
              <w:jc w:val="both"/>
              <w:rPr>
                <w:sz w:val="20"/>
              </w:rPr>
            </w:pPr>
            <w:r>
              <w:rPr>
                <w:sz w:val="20"/>
              </w:rPr>
              <w:t>Manejo de los residuos orgánicos e inorgánicos, conforme a la Legislación aplicable en la materia.</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rPr>
                <w:sz w:val="20"/>
              </w:rPr>
            </w:pPr>
          </w:p>
          <w:p>
            <w:pPr>
              <w:pStyle w:val="TableParagraph"/>
              <w:ind w:right="181"/>
              <w:jc w:val="right"/>
              <w:rPr>
                <w:sz w:val="20"/>
              </w:rPr>
            </w:pPr>
            <w:r>
              <w:rPr>
                <w:sz w:val="20"/>
              </w:rPr>
              <w:t>77</w:t>
            </w:r>
          </w:p>
        </w:tc>
      </w:tr>
      <w:tr>
        <w:trPr>
          <w:trHeight w:val="797" w:hRule="exact"/>
        </w:trPr>
        <w:tc>
          <w:tcPr>
            <w:tcW w:w="3470" w:type="dxa"/>
            <w:tcBorders>
              <w:top w:val="thinThickMediumGap" w:sz="20" w:space="0" w:color="000000"/>
              <w:bottom w:val="thickThinMediumGap" w:sz="20" w:space="0" w:color="000000"/>
              <w:right w:val="single" w:sz="6" w:space="0" w:color="000000"/>
            </w:tcBorders>
          </w:tcPr>
          <w:p>
            <w:pPr>
              <w:pStyle w:val="TableParagraph"/>
              <w:ind w:left="62" w:right="49"/>
              <w:jc w:val="both"/>
              <w:rPr>
                <w:sz w:val="20"/>
              </w:rPr>
            </w:pPr>
            <w:r>
              <w:rPr>
                <w:sz w:val="20"/>
              </w:rPr>
              <w:t>Disminución, control y restauración de los suelos erosionados, a través de técnicas</w:t>
            </w:r>
            <w:r>
              <w:rPr>
                <w:spacing w:val="-4"/>
                <w:sz w:val="20"/>
              </w:rPr>
              <w:t> </w:t>
            </w:r>
            <w:r>
              <w:rPr>
                <w:sz w:val="20"/>
              </w:rPr>
              <w:t>agroecológicas.</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rPr>
                <w:sz w:val="20"/>
              </w:rPr>
            </w:pPr>
          </w:p>
          <w:p>
            <w:pPr>
              <w:pStyle w:val="TableParagraph"/>
              <w:ind w:right="181"/>
              <w:jc w:val="right"/>
              <w:rPr>
                <w:sz w:val="20"/>
              </w:rPr>
            </w:pPr>
            <w:r>
              <w:rPr>
                <w:sz w:val="20"/>
              </w:rPr>
              <w:t>68</w:t>
            </w:r>
          </w:p>
        </w:tc>
      </w:tr>
      <w:tr>
        <w:trPr>
          <w:trHeight w:val="797" w:hRule="exact"/>
        </w:trPr>
        <w:tc>
          <w:tcPr>
            <w:tcW w:w="3470" w:type="dxa"/>
            <w:tcBorders>
              <w:top w:val="thinThickMediumGap" w:sz="20" w:space="0" w:color="000000"/>
              <w:bottom w:val="thickThinMediumGap" w:sz="20" w:space="0" w:color="000000"/>
              <w:right w:val="single" w:sz="6" w:space="0" w:color="000000"/>
            </w:tcBorders>
          </w:tcPr>
          <w:p>
            <w:pPr>
              <w:pStyle w:val="TableParagraph"/>
              <w:ind w:left="62" w:right="54"/>
              <w:jc w:val="both"/>
              <w:rPr>
                <w:sz w:val="20"/>
              </w:rPr>
            </w:pPr>
            <w:r>
              <w:rPr>
                <w:sz w:val="20"/>
              </w:rPr>
              <w:t>Gestión de recursos financieros o materiales para el manejo del parque.</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rPr>
                <w:sz w:val="20"/>
              </w:rPr>
            </w:pPr>
          </w:p>
          <w:p>
            <w:pPr>
              <w:pStyle w:val="TableParagraph"/>
              <w:ind w:right="181"/>
              <w:jc w:val="right"/>
              <w:rPr>
                <w:sz w:val="20"/>
              </w:rPr>
            </w:pPr>
            <w:r>
              <w:rPr>
                <w:sz w:val="20"/>
              </w:rPr>
              <w:t>56</w:t>
            </w:r>
          </w:p>
        </w:tc>
      </w:tr>
      <w:tr>
        <w:trPr>
          <w:trHeight w:val="562" w:hRule="exact"/>
        </w:trPr>
        <w:tc>
          <w:tcPr>
            <w:tcW w:w="3470" w:type="dxa"/>
            <w:tcBorders>
              <w:top w:val="thinThickMediumGap" w:sz="20" w:space="0" w:color="000000"/>
              <w:bottom w:val="thickThinMediumGap" w:sz="20" w:space="0" w:color="000000"/>
              <w:right w:val="single" w:sz="6" w:space="0" w:color="000000"/>
            </w:tcBorders>
          </w:tcPr>
          <w:p>
            <w:pPr>
              <w:pStyle w:val="TableParagraph"/>
              <w:spacing w:line="226" w:lineRule="exact" w:before="6"/>
              <w:ind w:left="62" w:right="4"/>
              <w:rPr>
                <w:sz w:val="20"/>
              </w:rPr>
            </w:pPr>
            <w:r>
              <w:rPr>
                <w:sz w:val="20"/>
              </w:rPr>
              <w:t>Promover estrategias de cultura y educación ambiental.</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spacing w:before="115"/>
              <w:ind w:right="181"/>
              <w:jc w:val="right"/>
              <w:rPr>
                <w:sz w:val="20"/>
              </w:rPr>
            </w:pPr>
            <w:r>
              <w:rPr>
                <w:sz w:val="20"/>
              </w:rPr>
              <w:t>63</w:t>
            </w:r>
          </w:p>
        </w:tc>
      </w:tr>
      <w:tr>
        <w:trPr>
          <w:trHeight w:val="797" w:hRule="exact"/>
        </w:trPr>
        <w:tc>
          <w:tcPr>
            <w:tcW w:w="3470" w:type="dxa"/>
            <w:tcBorders>
              <w:top w:val="thinThickMediumGap" w:sz="20" w:space="0" w:color="000000"/>
              <w:bottom w:val="thickThinMediumGap" w:sz="20" w:space="0" w:color="000000"/>
              <w:right w:val="single" w:sz="6" w:space="0" w:color="000000"/>
            </w:tcBorders>
          </w:tcPr>
          <w:p>
            <w:pPr>
              <w:pStyle w:val="TableParagraph"/>
              <w:ind w:left="62" w:right="49"/>
              <w:jc w:val="both"/>
              <w:rPr>
                <w:sz w:val="20"/>
              </w:rPr>
            </w:pPr>
            <w:r>
              <w:rPr>
                <w:sz w:val="20"/>
              </w:rPr>
              <w:t>Manejo de las aguas residuales, conforme a la Legislación aplicable en la</w:t>
            </w:r>
            <w:r>
              <w:rPr>
                <w:spacing w:val="-4"/>
                <w:sz w:val="20"/>
              </w:rPr>
              <w:t> </w:t>
            </w:r>
            <w:r>
              <w:rPr>
                <w:sz w:val="20"/>
              </w:rPr>
              <w:t>materia.</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thickThinMediumGap" w:sz="20" w:space="0" w:color="000000"/>
              <w:right w:val="single" w:sz="6" w:space="0" w:color="000000"/>
            </w:tcBorders>
          </w:tcPr>
          <w:p>
            <w:pPr>
              <w:pStyle w:val="TableParagraph"/>
              <w:rPr>
                <w:sz w:val="20"/>
              </w:rPr>
            </w:pPr>
          </w:p>
          <w:p>
            <w:pPr>
              <w:pStyle w:val="TableParagraph"/>
              <w:ind w:right="181"/>
              <w:jc w:val="right"/>
              <w:rPr>
                <w:sz w:val="20"/>
              </w:rPr>
            </w:pPr>
            <w:r>
              <w:rPr>
                <w:sz w:val="20"/>
              </w:rPr>
              <w:t>81</w:t>
            </w:r>
          </w:p>
        </w:tc>
      </w:tr>
      <w:tr>
        <w:trPr>
          <w:trHeight w:val="528" w:hRule="exact"/>
        </w:trPr>
        <w:tc>
          <w:tcPr>
            <w:tcW w:w="3470" w:type="dxa"/>
            <w:tcBorders>
              <w:top w:val="thinThickMediumGap" w:sz="20" w:space="0" w:color="000000"/>
              <w:bottom w:val="single" w:sz="6" w:space="0" w:color="000000"/>
              <w:right w:val="single" w:sz="6" w:space="0" w:color="000000"/>
            </w:tcBorders>
          </w:tcPr>
          <w:p>
            <w:pPr>
              <w:pStyle w:val="TableParagraph"/>
              <w:ind w:left="62" w:right="4"/>
              <w:rPr>
                <w:sz w:val="20"/>
              </w:rPr>
            </w:pPr>
            <w:r>
              <w:rPr>
                <w:sz w:val="20"/>
              </w:rPr>
              <w:t>Establecer y promover al Parque como un Jardín Botánico</w:t>
            </w:r>
          </w:p>
        </w:tc>
        <w:tc>
          <w:tcPr>
            <w:tcW w:w="618" w:type="dxa"/>
            <w:tcBorders>
              <w:top w:val="nil"/>
              <w:left w:val="single" w:sz="6" w:space="0" w:color="000000"/>
              <w:bottom w:val="nil"/>
              <w:right w:val="nil"/>
            </w:tcBorders>
          </w:tcPr>
          <w:p>
            <w:pPr/>
          </w:p>
        </w:tc>
        <w:tc>
          <w:tcPr>
            <w:tcW w:w="414" w:type="dxa"/>
            <w:tcBorders>
              <w:top w:val="nil"/>
              <w:left w:val="nil"/>
              <w:bottom w:val="nil"/>
              <w:right w:val="nil"/>
            </w:tcBorders>
          </w:tcPr>
          <w:p>
            <w:pPr/>
          </w:p>
        </w:tc>
        <w:tc>
          <w:tcPr>
            <w:tcW w:w="507" w:type="dxa"/>
            <w:tcBorders>
              <w:top w:val="nil"/>
              <w:left w:val="nil"/>
              <w:bottom w:val="nil"/>
              <w:right w:val="nil"/>
            </w:tcBorders>
          </w:tcPr>
          <w:p>
            <w:pPr/>
          </w:p>
        </w:tc>
        <w:tc>
          <w:tcPr>
            <w:tcW w:w="299" w:type="dxa"/>
            <w:tcBorders>
              <w:top w:val="nil"/>
              <w:left w:val="nil"/>
              <w:bottom w:val="nil"/>
              <w:right w:val="nil"/>
            </w:tcBorders>
          </w:tcPr>
          <w:p>
            <w:pPr/>
          </w:p>
        </w:tc>
        <w:tc>
          <w:tcPr>
            <w:tcW w:w="638" w:type="dxa"/>
            <w:tcBorders>
              <w:top w:val="nil"/>
              <w:left w:val="nil"/>
              <w:bottom w:val="nil"/>
              <w:right w:val="nil"/>
            </w:tcBorders>
          </w:tcPr>
          <w:p>
            <w:pPr/>
          </w:p>
        </w:tc>
        <w:tc>
          <w:tcPr>
            <w:tcW w:w="438" w:type="dxa"/>
            <w:tcBorders>
              <w:top w:val="nil"/>
              <w:left w:val="nil"/>
              <w:bottom w:val="nil"/>
              <w:right w:val="nil"/>
            </w:tcBorders>
          </w:tcPr>
          <w:p>
            <w:pPr/>
          </w:p>
        </w:tc>
        <w:tc>
          <w:tcPr>
            <w:tcW w:w="547" w:type="dxa"/>
            <w:tcBorders>
              <w:top w:val="nil"/>
              <w:left w:val="nil"/>
              <w:bottom w:val="nil"/>
              <w:right w:val="nil"/>
            </w:tcBorders>
          </w:tcPr>
          <w:p>
            <w:pPr/>
          </w:p>
        </w:tc>
        <w:tc>
          <w:tcPr>
            <w:tcW w:w="342" w:type="dxa"/>
            <w:tcBorders>
              <w:top w:val="nil"/>
              <w:left w:val="nil"/>
              <w:bottom w:val="nil"/>
              <w:right w:val="nil"/>
            </w:tcBorders>
          </w:tcPr>
          <w:p>
            <w:pPr/>
          </w:p>
        </w:tc>
        <w:tc>
          <w:tcPr>
            <w:tcW w:w="486" w:type="dxa"/>
            <w:tcBorders>
              <w:top w:val="nil"/>
              <w:left w:val="nil"/>
              <w:bottom w:val="nil"/>
              <w:right w:val="nil"/>
            </w:tcBorders>
          </w:tcPr>
          <w:p>
            <w:pPr/>
          </w:p>
        </w:tc>
        <w:tc>
          <w:tcPr>
            <w:tcW w:w="283" w:type="dxa"/>
            <w:tcBorders>
              <w:top w:val="nil"/>
              <w:left w:val="nil"/>
              <w:bottom w:val="nil"/>
              <w:right w:val="nil"/>
            </w:tcBorders>
          </w:tcPr>
          <w:p>
            <w:pPr/>
          </w:p>
        </w:tc>
        <w:tc>
          <w:tcPr>
            <w:tcW w:w="446" w:type="dxa"/>
            <w:tcBorders>
              <w:top w:val="nil"/>
              <w:left w:val="nil"/>
              <w:bottom w:val="nil"/>
              <w:right w:val="nil"/>
            </w:tcBorders>
          </w:tcPr>
          <w:p>
            <w:pPr/>
          </w:p>
        </w:tc>
        <w:tc>
          <w:tcPr>
            <w:tcW w:w="444" w:type="dxa"/>
            <w:tcBorders>
              <w:top w:val="nil"/>
              <w:left w:val="nil"/>
              <w:bottom w:val="nil"/>
            </w:tcBorders>
          </w:tcPr>
          <w:p>
            <w:pPr/>
          </w:p>
        </w:tc>
        <w:tc>
          <w:tcPr>
            <w:tcW w:w="617" w:type="dxa"/>
            <w:tcBorders>
              <w:top w:val="thinThickMediumGap" w:sz="20" w:space="0" w:color="000000"/>
              <w:bottom w:val="single" w:sz="6" w:space="0" w:color="000000"/>
              <w:right w:val="single" w:sz="6" w:space="0" w:color="000000"/>
            </w:tcBorders>
          </w:tcPr>
          <w:p>
            <w:pPr>
              <w:pStyle w:val="TableParagraph"/>
              <w:spacing w:before="115"/>
              <w:ind w:right="181"/>
              <w:jc w:val="right"/>
              <w:rPr>
                <w:sz w:val="20"/>
              </w:rPr>
            </w:pPr>
            <w:r>
              <w:rPr>
                <w:sz w:val="20"/>
              </w:rPr>
              <w:t>84</w:t>
            </w:r>
          </w:p>
        </w:tc>
      </w:tr>
    </w:tbl>
    <w:p>
      <w:pPr>
        <w:spacing w:before="76"/>
        <w:ind w:left="296" w:right="302" w:firstLine="0"/>
        <w:jc w:val="left"/>
        <w:rPr>
          <w:b/>
          <w:i/>
          <w:sz w:val="20"/>
        </w:rPr>
      </w:pPr>
      <w:r>
        <w:rPr/>
        <w:pict>
          <v:group style="position:absolute;margin-left:61.938999pt;margin-top:-327.955139pt;width:487.9pt;height:333pt;mso-position-horizontal-relative:page;mso-position-vertical-relative:paragraph;z-index:-351640" coordorigin="1239,-6559" coordsize="9758,6660">
            <v:line style="position:absolute" from="1260,-6545" to="1260,-6439" stroked="true" strokeweight=".72pt" strokecolor="#000000"/>
            <v:line style="position:absolute" from="1253,-6537" to="1354,-6537" stroked="true" strokeweight=".72pt" strokecolor="#000000"/>
            <v:line style="position:absolute" from="1354,-6537" to="10881,-6537" stroked="true" strokeweight=".72pt" strokecolor="#000000"/>
            <v:line style="position:absolute" from="10968,-6545" to="10968,-6439" stroked="true" strokeweight="1.44pt" strokecolor="#000000"/>
            <v:line style="position:absolute" from="10881,-6537" to="10982,-6537" stroked="true" strokeweight=".72pt" strokecolor="#000000"/>
            <v:line style="position:absolute" from="1260,-6439" to="1260,-6213" stroked="true" strokeweight=".72pt" strokecolor="#000000"/>
            <v:line style="position:absolute" from="10968,-6439" to="10968,-6213" stroked="true" strokeweight="1.44pt" strokecolor="#000000"/>
            <v:line style="position:absolute" from="1260,-6213" to="1260,86" stroked="true" strokeweight=".72pt" strokecolor="#000000"/>
            <v:line style="position:absolute" from="1253,72" to="1354,72" stroked="true" strokeweight="1.44pt" strokecolor="#000000"/>
            <v:line style="position:absolute" from="1354,72" to="4802,72" stroked="true" strokeweight="1.44pt" strokecolor="#000000"/>
            <v:line style="position:absolute" from="4802,72" to="4903,72" stroked="true" strokeweight="1.44pt" strokecolor="#000000"/>
            <v:line style="position:absolute" from="4903,72" to="5244,72" stroked="true" strokeweight="1.44pt" strokecolor="#000000"/>
            <v:line style="position:absolute" from="5244,72" to="5344,72" stroked="true" strokeweight="1.44pt" strokecolor="#000000"/>
            <v:line style="position:absolute" from="5344,72" to="5834,72" stroked="true" strokeweight="1.44pt" strokecolor="#000000"/>
            <v:line style="position:absolute" from="5834,72" to="5935,72" stroked="true" strokeweight="1.44pt" strokecolor="#000000"/>
            <v:line style="position:absolute" from="5935,72" to="6180,72" stroked="true" strokeweight="1.44pt" strokecolor="#000000"/>
            <v:line style="position:absolute" from="6180,72" to="6281,72" stroked="true" strokeweight="1.44pt" strokecolor="#000000"/>
            <v:line style="position:absolute" from="6281,72" to="6641,72" stroked="true" strokeweight="1.44pt" strokecolor="#000000"/>
            <v:line style="position:absolute" from="6641,72" to="6742,72" stroked="true" strokeweight="1.44pt" strokecolor="#000000"/>
            <v:line style="position:absolute" from="6742,72" to="7097,72" stroked="true" strokeweight="1.44pt" strokecolor="#000000"/>
            <v:line style="position:absolute" from="7097,72" to="7198,72" stroked="true" strokeweight="1.44pt" strokecolor="#000000"/>
            <v:line style="position:absolute" from="7198,72" to="7716,72" stroked="true" strokeweight="1.44pt" strokecolor="#000000"/>
            <v:line style="position:absolute" from="7716,72" to="7817,72" stroked="true" strokeweight="1.44pt" strokecolor="#000000"/>
            <v:line style="position:absolute" from="7817,72" to="8096,72" stroked="true" strokeweight="1.44pt" strokecolor="#000000"/>
            <v:line style="position:absolute" from="8096,72" to="8197,72" stroked="true" strokeweight="1.44pt" strokecolor="#000000"/>
            <v:line style="position:absolute" from="8197,72" to="8605,72" stroked="true" strokeweight="1.44pt" strokecolor="#000000"/>
            <v:line style="position:absolute" from="8605,72" to="8706,72" stroked="true" strokeweight="1.44pt" strokecolor="#000000"/>
            <v:line style="position:absolute" from="8706,72" to="8931,72" stroked="true" strokeweight="1.44pt" strokecolor="#000000"/>
            <v:line style="position:absolute" from="8931,72" to="9032,72" stroked="true" strokeweight="1.44pt" strokecolor="#000000"/>
            <v:line style="position:absolute" from="9032,72" to="9373,72" stroked="true" strokeweight="1.44pt" strokecolor="#000000"/>
            <v:line style="position:absolute" from="9373,72" to="9474,72" stroked="true" strokeweight="1.44pt" strokecolor="#000000"/>
            <v:line style="position:absolute" from="9474,72" to="9777,72" stroked="true" strokeweight="1.44pt" strokecolor="#000000"/>
            <v:line style="position:absolute" from="9777,72" to="9877,72" stroked="true" strokeweight="1.44pt" strokecolor="#000000"/>
            <v:line style="position:absolute" from="9877,72" to="10185,72" stroked="true" strokeweight="1.44pt" strokecolor="#000000"/>
            <v:line style="position:absolute" from="10185,72" to="10285,72" stroked="true" strokeweight="1.44pt" strokecolor="#000000"/>
            <v:line style="position:absolute" from="10285,72" to="10881,72" stroked="true" strokeweight="1.44pt" strokecolor="#000000"/>
            <v:line style="position:absolute" from="10968,-6213" to="10968,86" stroked="true" strokeweight="1.44pt" strokecolor="#000000"/>
            <v:line style="position:absolute" from="10881,72" to="10982,72" stroked="true" strokeweight="1.44pt" strokecolor="#000000"/>
            <w10:wrap type="none"/>
          </v:group>
        </w:pict>
      </w:r>
      <w:r>
        <w:rPr/>
        <w:pict>
          <v:shape style="position:absolute;margin-left:243.699997pt;margin-top:-307.070129pt;width:49.1pt;height:307.05pt;mso-position-horizontal-relative:page;mso-position-vertical-relative:paragraph;z-index:424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6"/>
                    <w:gridCol w:w="548"/>
                  </w:tblGrid>
                  <w:tr>
                    <w:trPr>
                      <w:trHeight w:val="531" w:hRule="exact"/>
                    </w:trPr>
                    <w:tc>
                      <w:tcPr>
                        <w:tcW w:w="953" w:type="dxa"/>
                        <w:gridSpan w:val="2"/>
                        <w:tcBorders>
                          <w:bottom w:val="thickThinMediumGap" w:sz="20" w:space="0" w:color="000000"/>
                          <w:right w:val="single" w:sz="6" w:space="0" w:color="000000"/>
                        </w:tcBorders>
                      </w:tcPr>
                      <w:p>
                        <w:pPr>
                          <w:pStyle w:val="TableParagraph"/>
                          <w:ind w:left="235" w:right="104" w:hanging="106"/>
                          <w:rPr>
                            <w:b/>
                            <w:sz w:val="20"/>
                          </w:rPr>
                        </w:pPr>
                        <w:r>
                          <w:rPr>
                            <w:b/>
                            <w:sz w:val="20"/>
                          </w:rPr>
                          <w:t>Econó- mico</w:t>
                        </w:r>
                      </w:p>
                    </w:tc>
                  </w:tr>
                  <w:tr>
                    <w:trPr>
                      <w:trHeight w:val="336" w:hRule="exact"/>
                    </w:trPr>
                    <w:tc>
                      <w:tcPr>
                        <w:tcW w:w="953"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230" w:right="104"/>
                          <w:rPr>
                            <w:sz w:val="20"/>
                          </w:rPr>
                        </w:pPr>
                        <w:r>
                          <w:rPr>
                            <w:sz w:val="20"/>
                          </w:rPr>
                          <w:t>Coef.</w:t>
                        </w:r>
                      </w:p>
                    </w:tc>
                  </w:tr>
                  <w:tr>
                    <w:trPr>
                      <w:trHeight w:val="346" w:hRule="exact"/>
                    </w:trPr>
                    <w:tc>
                      <w:tcPr>
                        <w:tcW w:w="953"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6"/>
                          <w:jc w:val="center"/>
                          <w:rPr>
                            <w:sz w:val="20"/>
                          </w:rPr>
                        </w:pPr>
                        <w:r>
                          <w:rPr>
                            <w:w w:val="100"/>
                            <w:sz w:val="20"/>
                          </w:rPr>
                          <w:t>4</w:t>
                        </w:r>
                      </w:p>
                    </w:tc>
                  </w:tr>
                  <w:tr>
                    <w:trPr>
                      <w:trHeight w:val="610"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spacing w:before="143"/>
                          <w:ind w:left="11"/>
                          <w:jc w:val="center"/>
                          <w:rPr>
                            <w:sz w:val="20"/>
                          </w:rPr>
                        </w:pPr>
                        <w:r>
                          <w:rPr>
                            <w:w w:val="100"/>
                            <w:sz w:val="20"/>
                          </w:rPr>
                          <w:t>2</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right="183"/>
                          <w:jc w:val="right"/>
                          <w:rPr>
                            <w:sz w:val="20"/>
                          </w:rPr>
                        </w:pPr>
                        <w:r>
                          <w:rPr>
                            <w:w w:val="100"/>
                            <w:sz w:val="20"/>
                          </w:rPr>
                          <w:t>8</w:t>
                        </w:r>
                      </w:p>
                    </w:tc>
                  </w:tr>
                  <w:tr>
                    <w:trPr>
                      <w:trHeight w:val="792"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3</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128"/>
                          <w:jc w:val="right"/>
                          <w:rPr>
                            <w:sz w:val="20"/>
                          </w:rPr>
                        </w:pPr>
                        <w:r>
                          <w:rPr>
                            <w:sz w:val="20"/>
                          </w:rPr>
                          <w:t>12</w:t>
                        </w:r>
                      </w:p>
                    </w:tc>
                  </w:tr>
                  <w:tr>
                    <w:trPr>
                      <w:trHeight w:val="797"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3</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128"/>
                          <w:jc w:val="right"/>
                          <w:rPr>
                            <w:sz w:val="20"/>
                          </w:rPr>
                        </w:pPr>
                        <w:r>
                          <w:rPr>
                            <w:sz w:val="20"/>
                          </w:rPr>
                          <w:t>12</w:t>
                        </w:r>
                      </w:p>
                    </w:tc>
                  </w:tr>
                  <w:tr>
                    <w:trPr>
                      <w:trHeight w:val="797"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3</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128"/>
                          <w:jc w:val="right"/>
                          <w:rPr>
                            <w:sz w:val="20"/>
                          </w:rPr>
                        </w:pPr>
                        <w:r>
                          <w:rPr>
                            <w:sz w:val="20"/>
                          </w:rPr>
                          <w:t>12</w:t>
                        </w:r>
                      </w:p>
                    </w:tc>
                  </w:tr>
                  <w:tr>
                    <w:trPr>
                      <w:trHeight w:val="562"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spacing w:before="138"/>
                          <w:ind w:left="11"/>
                          <w:jc w:val="center"/>
                          <w:rPr>
                            <w:sz w:val="20"/>
                          </w:rPr>
                        </w:pPr>
                        <w:r>
                          <w:rPr>
                            <w:w w:val="100"/>
                            <w:sz w:val="20"/>
                          </w:rPr>
                          <w:t>2</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right="183"/>
                          <w:jc w:val="right"/>
                          <w:rPr>
                            <w:sz w:val="20"/>
                          </w:rPr>
                        </w:pPr>
                        <w:r>
                          <w:rPr>
                            <w:w w:val="100"/>
                            <w:sz w:val="20"/>
                          </w:rPr>
                          <w:t>8</w:t>
                        </w:r>
                      </w:p>
                    </w:tc>
                  </w:tr>
                  <w:tr>
                    <w:trPr>
                      <w:trHeight w:val="797" w:hRule="exact"/>
                    </w:trPr>
                    <w:tc>
                      <w:tcPr>
                        <w:tcW w:w="406"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11"/>
                          <w:jc w:val="center"/>
                          <w:rPr>
                            <w:sz w:val="20"/>
                          </w:rPr>
                        </w:pPr>
                        <w:r>
                          <w:rPr>
                            <w:w w:val="100"/>
                            <w:sz w:val="20"/>
                          </w:rPr>
                          <w:t>4</w:t>
                        </w:r>
                      </w:p>
                    </w:tc>
                    <w:tc>
                      <w:tcPr>
                        <w:tcW w:w="54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right="128"/>
                          <w:jc w:val="right"/>
                          <w:rPr>
                            <w:sz w:val="20"/>
                          </w:rPr>
                        </w:pPr>
                        <w:r>
                          <w:rPr>
                            <w:sz w:val="20"/>
                          </w:rPr>
                          <w:t>16</w:t>
                        </w:r>
                      </w:p>
                    </w:tc>
                  </w:tr>
                  <w:tr>
                    <w:trPr>
                      <w:trHeight w:val="551" w:hRule="exact"/>
                    </w:trPr>
                    <w:tc>
                      <w:tcPr>
                        <w:tcW w:w="406" w:type="dxa"/>
                        <w:tcBorders>
                          <w:top w:val="thinThickMediumGap" w:sz="20" w:space="0" w:color="000000"/>
                          <w:bottom w:val="single" w:sz="6" w:space="0" w:color="000000"/>
                          <w:right w:val="thickThinMediumGap" w:sz="20" w:space="0" w:color="000000"/>
                        </w:tcBorders>
                      </w:tcPr>
                      <w:p>
                        <w:pPr>
                          <w:pStyle w:val="TableParagraph"/>
                          <w:spacing w:before="138"/>
                          <w:ind w:left="11"/>
                          <w:jc w:val="center"/>
                          <w:rPr>
                            <w:sz w:val="20"/>
                          </w:rPr>
                        </w:pPr>
                        <w:r>
                          <w:rPr>
                            <w:w w:val="100"/>
                            <w:sz w:val="20"/>
                          </w:rPr>
                          <w:t>4</w:t>
                        </w:r>
                      </w:p>
                    </w:tc>
                    <w:tc>
                      <w:tcPr>
                        <w:tcW w:w="548"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right="128"/>
                          <w:jc w:val="right"/>
                          <w:rPr>
                            <w:sz w:val="20"/>
                          </w:rPr>
                        </w:pPr>
                        <w:r>
                          <w:rPr>
                            <w:sz w:val="20"/>
                          </w:rPr>
                          <w:t>16</w:t>
                        </w:r>
                      </w:p>
                    </w:tc>
                  </w:tr>
                </w:tbl>
                <w:p>
                  <w:pPr>
                    <w:pStyle w:val="BodyText"/>
                  </w:pPr>
                </w:p>
              </w:txbxContent>
            </v:textbox>
            <w10:wrap type="none"/>
          </v:shape>
        </w:pict>
      </w:r>
      <w:r>
        <w:rPr/>
        <w:pict>
          <v:shape style="position:absolute;margin-left:295.320007pt;margin-top:-307.070129pt;width:37.8pt;height:307.05pt;mso-position-horizontal-relative:page;mso-position-vertical-relative:paragraph;z-index:4264"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10"/>
                    <w:gridCol w:w="418"/>
                  </w:tblGrid>
                  <w:tr>
                    <w:trPr>
                      <w:trHeight w:val="531" w:hRule="exact"/>
                    </w:trPr>
                    <w:tc>
                      <w:tcPr>
                        <w:tcW w:w="727" w:type="dxa"/>
                        <w:gridSpan w:val="2"/>
                        <w:tcBorders>
                          <w:bottom w:val="thickThinMediumGap" w:sz="20" w:space="0" w:color="000000"/>
                          <w:right w:val="single" w:sz="6" w:space="0" w:color="000000"/>
                        </w:tcBorders>
                      </w:tcPr>
                      <w:p>
                        <w:pPr>
                          <w:pStyle w:val="TableParagraph"/>
                          <w:spacing w:line="225" w:lineRule="exact"/>
                          <w:ind w:left="62"/>
                          <w:rPr>
                            <w:b/>
                            <w:sz w:val="20"/>
                          </w:rPr>
                        </w:pPr>
                        <w:r>
                          <w:rPr>
                            <w:b/>
                            <w:sz w:val="20"/>
                          </w:rPr>
                          <w:t>Social</w:t>
                        </w:r>
                      </w:p>
                    </w:tc>
                  </w:tr>
                  <w:tr>
                    <w:trPr>
                      <w:trHeight w:val="336" w:hRule="exact"/>
                    </w:trPr>
                    <w:tc>
                      <w:tcPr>
                        <w:tcW w:w="727"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115"/>
                          <w:rPr>
                            <w:sz w:val="20"/>
                          </w:rPr>
                        </w:pPr>
                        <w:r>
                          <w:rPr>
                            <w:sz w:val="20"/>
                          </w:rPr>
                          <w:t>Coef.</w:t>
                        </w:r>
                      </w:p>
                    </w:tc>
                  </w:tr>
                  <w:tr>
                    <w:trPr>
                      <w:trHeight w:val="346" w:hRule="exact"/>
                    </w:trPr>
                    <w:tc>
                      <w:tcPr>
                        <w:tcW w:w="727"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11"/>
                          <w:jc w:val="center"/>
                          <w:rPr>
                            <w:sz w:val="20"/>
                          </w:rPr>
                        </w:pPr>
                        <w:r>
                          <w:rPr>
                            <w:w w:val="100"/>
                            <w:sz w:val="20"/>
                          </w:rPr>
                          <w:t>5</w:t>
                        </w:r>
                      </w:p>
                    </w:tc>
                  </w:tr>
                  <w:tr>
                    <w:trPr>
                      <w:trHeight w:val="610"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spacing w:before="143"/>
                          <w:ind w:left="72"/>
                          <w:rPr>
                            <w:sz w:val="20"/>
                          </w:rPr>
                        </w:pPr>
                        <w:r>
                          <w:rPr>
                            <w:w w:val="100"/>
                            <w:sz w:val="20"/>
                          </w:rPr>
                          <w:t>3</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left="47" w:right="49"/>
                          <w:jc w:val="center"/>
                          <w:rPr>
                            <w:sz w:val="20"/>
                          </w:rPr>
                        </w:pPr>
                        <w:r>
                          <w:rPr>
                            <w:sz w:val="20"/>
                          </w:rPr>
                          <w:t>15</w:t>
                        </w:r>
                      </w:p>
                    </w:tc>
                  </w:tr>
                  <w:tr>
                    <w:trPr>
                      <w:trHeight w:val="792"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72"/>
                          <w:rPr>
                            <w:sz w:val="20"/>
                          </w:rPr>
                        </w:pPr>
                        <w:r>
                          <w:rPr>
                            <w:w w:val="100"/>
                            <w:sz w:val="20"/>
                          </w:rPr>
                          <w:t>4</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47" w:right="49"/>
                          <w:jc w:val="center"/>
                          <w:rPr>
                            <w:sz w:val="20"/>
                          </w:rPr>
                        </w:pPr>
                        <w:r>
                          <w:rPr>
                            <w:sz w:val="20"/>
                          </w:rPr>
                          <w:t>20</w:t>
                        </w:r>
                      </w:p>
                    </w:tc>
                  </w:tr>
                  <w:tr>
                    <w:trPr>
                      <w:trHeight w:val="797"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72"/>
                          <w:rPr>
                            <w:sz w:val="20"/>
                          </w:rPr>
                        </w:pPr>
                        <w:r>
                          <w:rPr>
                            <w:w w:val="100"/>
                            <w:sz w:val="20"/>
                          </w:rPr>
                          <w:t>3</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47" w:right="49"/>
                          <w:jc w:val="center"/>
                          <w:rPr>
                            <w:sz w:val="20"/>
                          </w:rPr>
                        </w:pPr>
                        <w:r>
                          <w:rPr>
                            <w:sz w:val="20"/>
                          </w:rPr>
                          <w:t>15</w:t>
                        </w:r>
                      </w:p>
                    </w:tc>
                  </w:tr>
                  <w:tr>
                    <w:trPr>
                      <w:trHeight w:val="797"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72"/>
                          <w:rPr>
                            <w:sz w:val="20"/>
                          </w:rPr>
                        </w:pPr>
                        <w:r>
                          <w:rPr>
                            <w:w w:val="100"/>
                            <w:sz w:val="20"/>
                          </w:rPr>
                          <w:t>3</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47" w:right="49"/>
                          <w:jc w:val="center"/>
                          <w:rPr>
                            <w:sz w:val="20"/>
                          </w:rPr>
                        </w:pPr>
                        <w:r>
                          <w:rPr>
                            <w:sz w:val="20"/>
                          </w:rPr>
                          <w:t>15</w:t>
                        </w:r>
                      </w:p>
                    </w:tc>
                  </w:tr>
                  <w:tr>
                    <w:trPr>
                      <w:trHeight w:val="562"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spacing w:before="138"/>
                          <w:ind w:left="72"/>
                          <w:rPr>
                            <w:sz w:val="20"/>
                          </w:rPr>
                        </w:pPr>
                        <w:r>
                          <w:rPr>
                            <w:w w:val="100"/>
                            <w:sz w:val="20"/>
                          </w:rPr>
                          <w:t>4</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left="47" w:right="49"/>
                          <w:jc w:val="center"/>
                          <w:rPr>
                            <w:sz w:val="20"/>
                          </w:rPr>
                        </w:pPr>
                        <w:r>
                          <w:rPr>
                            <w:sz w:val="20"/>
                          </w:rPr>
                          <w:t>20</w:t>
                        </w:r>
                      </w:p>
                    </w:tc>
                  </w:tr>
                  <w:tr>
                    <w:trPr>
                      <w:trHeight w:val="797" w:hRule="exact"/>
                    </w:trPr>
                    <w:tc>
                      <w:tcPr>
                        <w:tcW w:w="31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72"/>
                          <w:rPr>
                            <w:sz w:val="20"/>
                          </w:rPr>
                        </w:pPr>
                        <w:r>
                          <w:rPr>
                            <w:w w:val="100"/>
                            <w:sz w:val="20"/>
                          </w:rPr>
                          <w:t>4</w:t>
                        </w:r>
                      </w:p>
                    </w:tc>
                    <w:tc>
                      <w:tcPr>
                        <w:tcW w:w="418"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left="47" w:right="49"/>
                          <w:jc w:val="center"/>
                          <w:rPr>
                            <w:sz w:val="20"/>
                          </w:rPr>
                        </w:pPr>
                        <w:r>
                          <w:rPr>
                            <w:sz w:val="20"/>
                          </w:rPr>
                          <w:t>20</w:t>
                        </w:r>
                      </w:p>
                    </w:tc>
                  </w:tr>
                  <w:tr>
                    <w:trPr>
                      <w:trHeight w:val="551" w:hRule="exact"/>
                    </w:trPr>
                    <w:tc>
                      <w:tcPr>
                        <w:tcW w:w="310" w:type="dxa"/>
                        <w:tcBorders>
                          <w:top w:val="thinThickMediumGap" w:sz="20" w:space="0" w:color="000000"/>
                          <w:bottom w:val="single" w:sz="6" w:space="0" w:color="000000"/>
                          <w:right w:val="thickThinMediumGap" w:sz="20" w:space="0" w:color="000000"/>
                        </w:tcBorders>
                      </w:tcPr>
                      <w:p>
                        <w:pPr>
                          <w:pStyle w:val="TableParagraph"/>
                          <w:spacing w:before="138"/>
                          <w:ind w:left="72"/>
                          <w:rPr>
                            <w:sz w:val="20"/>
                          </w:rPr>
                        </w:pPr>
                        <w:r>
                          <w:rPr>
                            <w:w w:val="100"/>
                            <w:sz w:val="20"/>
                          </w:rPr>
                          <w:t>4</w:t>
                        </w:r>
                      </w:p>
                    </w:tc>
                    <w:tc>
                      <w:tcPr>
                        <w:tcW w:w="418"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left="47" w:right="49"/>
                          <w:jc w:val="center"/>
                          <w:rPr>
                            <w:sz w:val="20"/>
                          </w:rPr>
                        </w:pPr>
                        <w:r>
                          <w:rPr>
                            <w:sz w:val="20"/>
                          </w:rPr>
                          <w:t>20</w:t>
                        </w:r>
                      </w:p>
                    </w:tc>
                  </w:tr>
                </w:tbl>
                <w:p>
                  <w:pPr>
                    <w:pStyle w:val="BodyText"/>
                  </w:pPr>
                </w:p>
              </w:txbxContent>
            </v:textbox>
            <w10:wrap type="none"/>
          </v:shape>
        </w:pict>
      </w:r>
      <w:r>
        <w:rPr/>
        <w:pict>
          <v:shape style="position:absolute;margin-left:335.640015pt;margin-top:-307.070129pt;width:51.3pt;height:307.05pt;mso-position-horizontal-relative:page;mso-position-vertical-relative:paragraph;z-index:4288"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0"/>
                    <w:gridCol w:w="576"/>
                  </w:tblGrid>
                  <w:tr>
                    <w:trPr>
                      <w:trHeight w:val="531" w:hRule="exact"/>
                    </w:trPr>
                    <w:tc>
                      <w:tcPr>
                        <w:tcW w:w="996" w:type="dxa"/>
                        <w:gridSpan w:val="2"/>
                        <w:tcBorders>
                          <w:bottom w:val="thickThinMediumGap" w:sz="20" w:space="0" w:color="000000"/>
                          <w:right w:val="single" w:sz="6" w:space="0" w:color="000000"/>
                        </w:tcBorders>
                      </w:tcPr>
                      <w:p>
                        <w:pPr>
                          <w:pStyle w:val="TableParagraph"/>
                          <w:ind w:left="369" w:right="69" w:hanging="284"/>
                          <w:rPr>
                            <w:b/>
                            <w:sz w:val="20"/>
                          </w:rPr>
                        </w:pPr>
                        <w:r>
                          <w:rPr>
                            <w:b/>
                            <w:sz w:val="20"/>
                          </w:rPr>
                          <w:t>Ambien- tal</w:t>
                        </w:r>
                      </w:p>
                    </w:tc>
                  </w:tr>
                  <w:tr>
                    <w:trPr>
                      <w:trHeight w:val="336" w:hRule="exact"/>
                    </w:trPr>
                    <w:tc>
                      <w:tcPr>
                        <w:tcW w:w="996"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245" w:right="69"/>
                          <w:rPr>
                            <w:sz w:val="20"/>
                          </w:rPr>
                        </w:pPr>
                        <w:r>
                          <w:rPr>
                            <w:sz w:val="20"/>
                          </w:rPr>
                          <w:t>Coef.</w:t>
                        </w:r>
                      </w:p>
                    </w:tc>
                  </w:tr>
                  <w:tr>
                    <w:trPr>
                      <w:trHeight w:val="346" w:hRule="exact"/>
                    </w:trPr>
                    <w:tc>
                      <w:tcPr>
                        <w:tcW w:w="996"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2"/>
                          <w:jc w:val="center"/>
                          <w:rPr>
                            <w:sz w:val="20"/>
                          </w:rPr>
                        </w:pPr>
                        <w:r>
                          <w:rPr>
                            <w:w w:val="100"/>
                            <w:sz w:val="20"/>
                          </w:rPr>
                          <w:t>4</w:t>
                        </w:r>
                      </w:p>
                    </w:tc>
                  </w:tr>
                  <w:tr>
                    <w:trPr>
                      <w:trHeight w:val="610"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spacing w:before="143"/>
                          <w:ind w:left="6"/>
                          <w:jc w:val="center"/>
                          <w:rPr>
                            <w:sz w:val="20"/>
                          </w:rPr>
                        </w:pPr>
                        <w:r>
                          <w:rPr>
                            <w:w w:val="100"/>
                            <w:sz w:val="20"/>
                          </w:rPr>
                          <w:t>3</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left="132" w:right="123"/>
                          <w:jc w:val="center"/>
                          <w:rPr>
                            <w:sz w:val="20"/>
                          </w:rPr>
                        </w:pPr>
                        <w:r>
                          <w:rPr>
                            <w:sz w:val="20"/>
                          </w:rPr>
                          <w:t>12</w:t>
                        </w:r>
                      </w:p>
                    </w:tc>
                  </w:tr>
                  <w:tr>
                    <w:trPr>
                      <w:trHeight w:val="792"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6"/>
                          <w:jc w:val="center"/>
                          <w:rPr>
                            <w:sz w:val="20"/>
                          </w:rPr>
                        </w:pPr>
                        <w:r>
                          <w:rPr>
                            <w:w w:val="100"/>
                            <w:sz w:val="20"/>
                          </w:rPr>
                          <w:t>4</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132" w:right="123"/>
                          <w:jc w:val="center"/>
                          <w:rPr>
                            <w:sz w:val="20"/>
                          </w:rPr>
                        </w:pPr>
                        <w:r>
                          <w:rPr>
                            <w:sz w:val="20"/>
                          </w:rPr>
                          <w:t>16</w:t>
                        </w:r>
                      </w:p>
                    </w:tc>
                  </w:tr>
                  <w:tr>
                    <w:trPr>
                      <w:trHeight w:val="797"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6"/>
                          <w:jc w:val="center"/>
                          <w:rPr>
                            <w:sz w:val="20"/>
                          </w:rPr>
                        </w:pPr>
                        <w:r>
                          <w:rPr>
                            <w:w w:val="100"/>
                            <w:sz w:val="20"/>
                          </w:rPr>
                          <w:t>4</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132" w:right="123"/>
                          <w:jc w:val="center"/>
                          <w:rPr>
                            <w:sz w:val="20"/>
                          </w:rPr>
                        </w:pPr>
                        <w:r>
                          <w:rPr>
                            <w:sz w:val="20"/>
                          </w:rPr>
                          <w:t>16</w:t>
                        </w:r>
                      </w:p>
                    </w:tc>
                  </w:tr>
                  <w:tr>
                    <w:trPr>
                      <w:trHeight w:val="797"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6"/>
                          <w:jc w:val="center"/>
                          <w:rPr>
                            <w:sz w:val="20"/>
                          </w:rPr>
                        </w:pPr>
                        <w:r>
                          <w:rPr>
                            <w:w w:val="100"/>
                            <w:sz w:val="20"/>
                          </w:rPr>
                          <w:t>2</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6"/>
                          <w:jc w:val="center"/>
                          <w:rPr>
                            <w:sz w:val="20"/>
                          </w:rPr>
                        </w:pPr>
                        <w:r>
                          <w:rPr>
                            <w:w w:val="100"/>
                            <w:sz w:val="20"/>
                          </w:rPr>
                          <w:t>8</w:t>
                        </w:r>
                      </w:p>
                    </w:tc>
                  </w:tr>
                  <w:tr>
                    <w:trPr>
                      <w:trHeight w:val="562"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spacing w:before="138"/>
                          <w:ind w:left="6"/>
                          <w:jc w:val="center"/>
                          <w:rPr>
                            <w:sz w:val="20"/>
                          </w:rPr>
                        </w:pPr>
                        <w:r>
                          <w:rPr>
                            <w:w w:val="100"/>
                            <w:sz w:val="20"/>
                          </w:rPr>
                          <w:t>3</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left="132" w:right="123"/>
                          <w:jc w:val="center"/>
                          <w:rPr>
                            <w:sz w:val="20"/>
                          </w:rPr>
                        </w:pPr>
                        <w:r>
                          <w:rPr>
                            <w:sz w:val="20"/>
                          </w:rPr>
                          <w:t>12</w:t>
                        </w:r>
                      </w:p>
                    </w:tc>
                  </w:tr>
                  <w:tr>
                    <w:trPr>
                      <w:trHeight w:val="797" w:hRule="exact"/>
                    </w:trPr>
                    <w:tc>
                      <w:tcPr>
                        <w:tcW w:w="42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6"/>
                          <w:jc w:val="center"/>
                          <w:rPr>
                            <w:sz w:val="20"/>
                          </w:rPr>
                        </w:pPr>
                        <w:r>
                          <w:rPr>
                            <w:w w:val="100"/>
                            <w:sz w:val="20"/>
                          </w:rPr>
                          <w:t>4</w:t>
                        </w:r>
                      </w:p>
                    </w:tc>
                    <w:tc>
                      <w:tcPr>
                        <w:tcW w:w="57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left="132" w:right="123"/>
                          <w:jc w:val="center"/>
                          <w:rPr>
                            <w:sz w:val="20"/>
                          </w:rPr>
                        </w:pPr>
                        <w:r>
                          <w:rPr>
                            <w:sz w:val="20"/>
                          </w:rPr>
                          <w:t>16</w:t>
                        </w:r>
                      </w:p>
                    </w:tc>
                  </w:tr>
                  <w:tr>
                    <w:trPr>
                      <w:trHeight w:val="551" w:hRule="exact"/>
                    </w:trPr>
                    <w:tc>
                      <w:tcPr>
                        <w:tcW w:w="420" w:type="dxa"/>
                        <w:tcBorders>
                          <w:top w:val="thinThickMediumGap" w:sz="20" w:space="0" w:color="000000"/>
                          <w:bottom w:val="single" w:sz="6" w:space="0" w:color="000000"/>
                          <w:right w:val="thickThinMediumGap" w:sz="20" w:space="0" w:color="000000"/>
                        </w:tcBorders>
                      </w:tcPr>
                      <w:p>
                        <w:pPr>
                          <w:pStyle w:val="TableParagraph"/>
                          <w:spacing w:before="138"/>
                          <w:ind w:left="6"/>
                          <w:jc w:val="center"/>
                          <w:rPr>
                            <w:sz w:val="20"/>
                          </w:rPr>
                        </w:pPr>
                        <w:r>
                          <w:rPr>
                            <w:w w:val="100"/>
                            <w:sz w:val="20"/>
                          </w:rPr>
                          <w:t>5</w:t>
                        </w:r>
                      </w:p>
                    </w:tc>
                    <w:tc>
                      <w:tcPr>
                        <w:tcW w:w="576"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left="132" w:right="123"/>
                          <w:jc w:val="center"/>
                          <w:rPr>
                            <w:sz w:val="20"/>
                          </w:rPr>
                        </w:pPr>
                        <w:r>
                          <w:rPr>
                            <w:sz w:val="20"/>
                          </w:rPr>
                          <w:t>20</w:t>
                        </w:r>
                      </w:p>
                    </w:tc>
                  </w:tr>
                </w:tbl>
                <w:p>
                  <w:pPr>
                    <w:pStyle w:val="BodyText"/>
                  </w:pPr>
                </w:p>
              </w:txbxContent>
            </v:textbox>
            <w10:wrap type="none"/>
          </v:shape>
        </w:pict>
      </w:r>
      <w:r>
        <w:rPr/>
        <w:pict>
          <v:shape style="position:absolute;margin-left:389.420013pt;margin-top:-307.070129pt;width:41.95pt;height:307.05pt;mso-position-horizontal-relative:page;mso-position-vertical-relative:paragraph;z-index:4312"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44"/>
                    <w:gridCol w:w="466"/>
                  </w:tblGrid>
                  <w:tr>
                    <w:trPr>
                      <w:trHeight w:val="531" w:hRule="exact"/>
                    </w:trPr>
                    <w:tc>
                      <w:tcPr>
                        <w:tcW w:w="809" w:type="dxa"/>
                        <w:gridSpan w:val="2"/>
                        <w:tcBorders>
                          <w:bottom w:val="thickThinMediumGap" w:sz="20" w:space="0" w:color="000000"/>
                          <w:right w:val="single" w:sz="6" w:space="0" w:color="000000"/>
                        </w:tcBorders>
                      </w:tcPr>
                      <w:p>
                        <w:pPr>
                          <w:pStyle w:val="TableParagraph"/>
                          <w:ind w:left="163" w:right="99" w:hanging="39"/>
                          <w:rPr>
                            <w:b/>
                            <w:sz w:val="20"/>
                          </w:rPr>
                        </w:pPr>
                        <w:r>
                          <w:rPr>
                            <w:b/>
                            <w:sz w:val="20"/>
                          </w:rPr>
                          <w:t>Viabi- lidad</w:t>
                        </w:r>
                      </w:p>
                    </w:tc>
                  </w:tr>
                  <w:tr>
                    <w:trPr>
                      <w:trHeight w:val="336" w:hRule="exact"/>
                    </w:trPr>
                    <w:tc>
                      <w:tcPr>
                        <w:tcW w:w="809"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158" w:right="99"/>
                          <w:rPr>
                            <w:sz w:val="20"/>
                          </w:rPr>
                        </w:pPr>
                        <w:r>
                          <w:rPr>
                            <w:sz w:val="20"/>
                          </w:rPr>
                          <w:t>Coef.</w:t>
                        </w:r>
                      </w:p>
                    </w:tc>
                  </w:tr>
                  <w:tr>
                    <w:trPr>
                      <w:trHeight w:val="346" w:hRule="exact"/>
                    </w:trPr>
                    <w:tc>
                      <w:tcPr>
                        <w:tcW w:w="809"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7"/>
                          <w:jc w:val="center"/>
                          <w:rPr>
                            <w:sz w:val="20"/>
                          </w:rPr>
                        </w:pPr>
                        <w:r>
                          <w:rPr>
                            <w:w w:val="100"/>
                            <w:sz w:val="20"/>
                          </w:rPr>
                          <w:t>3</w:t>
                        </w:r>
                      </w:p>
                    </w:tc>
                  </w:tr>
                  <w:tr>
                    <w:trPr>
                      <w:trHeight w:val="610"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spacing w:before="143"/>
                          <w:ind w:left="86"/>
                          <w:rPr>
                            <w:sz w:val="20"/>
                          </w:rPr>
                        </w:pPr>
                        <w:r>
                          <w:rPr>
                            <w:w w:val="100"/>
                            <w:sz w:val="20"/>
                          </w:rPr>
                          <w:t>3</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left="11"/>
                          <w:jc w:val="center"/>
                          <w:rPr>
                            <w:sz w:val="20"/>
                          </w:rPr>
                        </w:pPr>
                        <w:r>
                          <w:rPr>
                            <w:w w:val="100"/>
                            <w:sz w:val="20"/>
                          </w:rPr>
                          <w:t>9</w:t>
                        </w:r>
                      </w:p>
                    </w:tc>
                  </w:tr>
                  <w:tr>
                    <w:trPr>
                      <w:trHeight w:val="792"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86"/>
                          <w:rPr>
                            <w:sz w:val="20"/>
                          </w:rPr>
                        </w:pPr>
                        <w:r>
                          <w:rPr>
                            <w:w w:val="100"/>
                            <w:sz w:val="20"/>
                          </w:rPr>
                          <w:t>5</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74" w:right="70"/>
                          <w:jc w:val="center"/>
                          <w:rPr>
                            <w:sz w:val="20"/>
                          </w:rPr>
                        </w:pPr>
                        <w:r>
                          <w:rPr>
                            <w:sz w:val="20"/>
                          </w:rPr>
                          <w:t>15</w:t>
                        </w:r>
                      </w:p>
                    </w:tc>
                  </w:tr>
                  <w:tr>
                    <w:trPr>
                      <w:trHeight w:val="797"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86"/>
                          <w:rPr>
                            <w:sz w:val="20"/>
                          </w:rPr>
                        </w:pPr>
                        <w:r>
                          <w:rPr>
                            <w:w w:val="100"/>
                            <w:sz w:val="20"/>
                          </w:rPr>
                          <w:t>5</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74" w:right="70"/>
                          <w:jc w:val="center"/>
                          <w:rPr>
                            <w:sz w:val="20"/>
                          </w:rPr>
                        </w:pPr>
                        <w:r>
                          <w:rPr>
                            <w:sz w:val="20"/>
                          </w:rPr>
                          <w:t>15</w:t>
                        </w:r>
                      </w:p>
                    </w:tc>
                  </w:tr>
                  <w:tr>
                    <w:trPr>
                      <w:trHeight w:val="797"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86"/>
                          <w:rPr>
                            <w:sz w:val="20"/>
                          </w:rPr>
                        </w:pPr>
                        <w:r>
                          <w:rPr>
                            <w:w w:val="100"/>
                            <w:sz w:val="20"/>
                          </w:rPr>
                          <w:t>3</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left="11"/>
                          <w:jc w:val="center"/>
                          <w:rPr>
                            <w:sz w:val="20"/>
                          </w:rPr>
                        </w:pPr>
                        <w:r>
                          <w:rPr>
                            <w:w w:val="100"/>
                            <w:sz w:val="20"/>
                          </w:rPr>
                          <w:t>9</w:t>
                        </w:r>
                      </w:p>
                    </w:tc>
                  </w:tr>
                  <w:tr>
                    <w:trPr>
                      <w:trHeight w:val="562"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spacing w:before="138"/>
                          <w:ind w:left="86"/>
                          <w:rPr>
                            <w:sz w:val="20"/>
                          </w:rPr>
                        </w:pPr>
                        <w:r>
                          <w:rPr>
                            <w:w w:val="100"/>
                            <w:sz w:val="20"/>
                          </w:rPr>
                          <w:t>3</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left="11"/>
                          <w:jc w:val="center"/>
                          <w:rPr>
                            <w:sz w:val="20"/>
                          </w:rPr>
                        </w:pPr>
                        <w:r>
                          <w:rPr>
                            <w:w w:val="100"/>
                            <w:sz w:val="20"/>
                          </w:rPr>
                          <w:t>9</w:t>
                        </w:r>
                      </w:p>
                    </w:tc>
                  </w:tr>
                  <w:tr>
                    <w:trPr>
                      <w:trHeight w:val="797" w:hRule="exact"/>
                    </w:trPr>
                    <w:tc>
                      <w:tcPr>
                        <w:tcW w:w="344"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86"/>
                          <w:rPr>
                            <w:sz w:val="20"/>
                          </w:rPr>
                        </w:pPr>
                        <w:r>
                          <w:rPr>
                            <w:w w:val="100"/>
                            <w:sz w:val="20"/>
                          </w:rPr>
                          <w:t>5</w:t>
                        </w:r>
                      </w:p>
                    </w:tc>
                    <w:tc>
                      <w:tcPr>
                        <w:tcW w:w="466"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left="74" w:right="70"/>
                          <w:jc w:val="center"/>
                          <w:rPr>
                            <w:sz w:val="20"/>
                          </w:rPr>
                        </w:pPr>
                        <w:r>
                          <w:rPr>
                            <w:sz w:val="20"/>
                          </w:rPr>
                          <w:t>15</w:t>
                        </w:r>
                      </w:p>
                    </w:tc>
                  </w:tr>
                  <w:tr>
                    <w:trPr>
                      <w:trHeight w:val="551" w:hRule="exact"/>
                    </w:trPr>
                    <w:tc>
                      <w:tcPr>
                        <w:tcW w:w="344" w:type="dxa"/>
                        <w:tcBorders>
                          <w:top w:val="thinThickMediumGap" w:sz="20" w:space="0" w:color="000000"/>
                          <w:bottom w:val="single" w:sz="6" w:space="0" w:color="000000"/>
                          <w:right w:val="thickThinMediumGap" w:sz="20" w:space="0" w:color="000000"/>
                        </w:tcBorders>
                      </w:tcPr>
                      <w:p>
                        <w:pPr>
                          <w:pStyle w:val="TableParagraph"/>
                          <w:spacing w:before="138"/>
                          <w:ind w:left="86"/>
                          <w:rPr>
                            <w:sz w:val="20"/>
                          </w:rPr>
                        </w:pPr>
                        <w:r>
                          <w:rPr>
                            <w:w w:val="100"/>
                            <w:sz w:val="20"/>
                          </w:rPr>
                          <w:t>4</w:t>
                        </w:r>
                      </w:p>
                    </w:tc>
                    <w:tc>
                      <w:tcPr>
                        <w:tcW w:w="466"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left="74" w:right="70"/>
                          <w:jc w:val="center"/>
                          <w:rPr>
                            <w:sz w:val="20"/>
                          </w:rPr>
                        </w:pPr>
                        <w:r>
                          <w:rPr>
                            <w:sz w:val="20"/>
                          </w:rPr>
                          <w:t>12</w:t>
                        </w:r>
                      </w:p>
                    </w:tc>
                  </w:tr>
                </w:tbl>
                <w:p>
                  <w:pPr>
                    <w:pStyle w:val="BodyText"/>
                  </w:pPr>
                </w:p>
              </w:txbxContent>
            </v:textbox>
            <w10:wrap type="none"/>
          </v:shape>
        </w:pict>
      </w:r>
      <w:r>
        <w:rPr/>
        <w:pict>
          <v:shape style="position:absolute;margin-left:433.850006pt;margin-top:-307.070129pt;width:35.9pt;height:307.05pt;mso-position-horizontal-relative:page;mso-position-vertical-relative:paragraph;z-index:4336"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0"/>
                    <w:gridCol w:w="399"/>
                  </w:tblGrid>
                  <w:tr>
                    <w:trPr>
                      <w:trHeight w:val="531" w:hRule="exact"/>
                    </w:trPr>
                    <w:tc>
                      <w:tcPr>
                        <w:tcW w:w="689" w:type="dxa"/>
                        <w:gridSpan w:val="2"/>
                        <w:tcBorders>
                          <w:bottom w:val="thickThinMediumGap" w:sz="20" w:space="0" w:color="000000"/>
                          <w:right w:val="single" w:sz="6" w:space="0" w:color="000000"/>
                        </w:tcBorders>
                      </w:tcPr>
                      <w:p>
                        <w:pPr>
                          <w:pStyle w:val="TableParagraph"/>
                          <w:spacing w:line="225" w:lineRule="exact"/>
                          <w:ind w:left="76"/>
                          <w:rPr>
                            <w:b/>
                            <w:sz w:val="20"/>
                          </w:rPr>
                        </w:pPr>
                        <w:r>
                          <w:rPr>
                            <w:b/>
                            <w:sz w:val="20"/>
                          </w:rPr>
                          <w:t>Legal</w:t>
                        </w:r>
                      </w:p>
                    </w:tc>
                  </w:tr>
                  <w:tr>
                    <w:trPr>
                      <w:trHeight w:val="336" w:hRule="exact"/>
                    </w:trPr>
                    <w:tc>
                      <w:tcPr>
                        <w:tcW w:w="689"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95"/>
                          <w:rPr>
                            <w:sz w:val="20"/>
                          </w:rPr>
                        </w:pPr>
                        <w:r>
                          <w:rPr>
                            <w:sz w:val="20"/>
                          </w:rPr>
                          <w:t>Coef.</w:t>
                        </w:r>
                      </w:p>
                    </w:tc>
                  </w:tr>
                  <w:tr>
                    <w:trPr>
                      <w:trHeight w:val="346" w:hRule="exact"/>
                    </w:trPr>
                    <w:tc>
                      <w:tcPr>
                        <w:tcW w:w="689"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10"/>
                          <w:jc w:val="center"/>
                          <w:rPr>
                            <w:sz w:val="20"/>
                          </w:rPr>
                        </w:pPr>
                        <w:r>
                          <w:rPr>
                            <w:w w:val="100"/>
                            <w:sz w:val="20"/>
                          </w:rPr>
                          <w:t>2</w:t>
                        </w:r>
                      </w:p>
                    </w:tc>
                  </w:tr>
                  <w:tr>
                    <w:trPr>
                      <w:trHeight w:val="610"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spacing w:before="143"/>
                          <w:ind w:left="11"/>
                          <w:jc w:val="center"/>
                          <w:rPr>
                            <w:sz w:val="20"/>
                          </w:rPr>
                        </w:pPr>
                        <w:r>
                          <w:rPr>
                            <w:w w:val="100"/>
                            <w:sz w:val="20"/>
                          </w:rPr>
                          <w:t>3</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right="111"/>
                          <w:jc w:val="right"/>
                          <w:rPr>
                            <w:sz w:val="20"/>
                          </w:rPr>
                        </w:pPr>
                        <w:r>
                          <w:rPr>
                            <w:w w:val="100"/>
                            <w:sz w:val="20"/>
                          </w:rPr>
                          <w:t>6</w:t>
                        </w:r>
                      </w:p>
                    </w:tc>
                  </w:tr>
                  <w:tr>
                    <w:trPr>
                      <w:trHeight w:val="792"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5</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56"/>
                          <w:jc w:val="right"/>
                          <w:rPr>
                            <w:sz w:val="20"/>
                          </w:rPr>
                        </w:pPr>
                        <w:r>
                          <w:rPr>
                            <w:sz w:val="20"/>
                          </w:rPr>
                          <w:t>10</w:t>
                        </w:r>
                      </w:p>
                    </w:tc>
                  </w:tr>
                  <w:tr>
                    <w:trPr>
                      <w:trHeight w:val="797"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4</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111"/>
                          <w:jc w:val="right"/>
                          <w:rPr>
                            <w:sz w:val="20"/>
                          </w:rPr>
                        </w:pPr>
                        <w:r>
                          <w:rPr>
                            <w:w w:val="100"/>
                            <w:sz w:val="20"/>
                          </w:rPr>
                          <w:t>8</w:t>
                        </w:r>
                      </w:p>
                    </w:tc>
                  </w:tr>
                  <w:tr>
                    <w:trPr>
                      <w:trHeight w:val="797"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1"/>
                          <w:jc w:val="center"/>
                          <w:rPr>
                            <w:sz w:val="20"/>
                          </w:rPr>
                        </w:pPr>
                        <w:r>
                          <w:rPr>
                            <w:w w:val="100"/>
                            <w:sz w:val="20"/>
                          </w:rPr>
                          <w:t>3</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111"/>
                          <w:jc w:val="right"/>
                          <w:rPr>
                            <w:sz w:val="20"/>
                          </w:rPr>
                        </w:pPr>
                        <w:r>
                          <w:rPr>
                            <w:w w:val="100"/>
                            <w:sz w:val="20"/>
                          </w:rPr>
                          <w:t>6</w:t>
                        </w:r>
                      </w:p>
                    </w:tc>
                  </w:tr>
                  <w:tr>
                    <w:trPr>
                      <w:trHeight w:val="562"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spacing w:before="138"/>
                          <w:ind w:left="11"/>
                          <w:jc w:val="center"/>
                          <w:rPr>
                            <w:sz w:val="20"/>
                          </w:rPr>
                        </w:pPr>
                        <w:r>
                          <w:rPr>
                            <w:w w:val="100"/>
                            <w:sz w:val="20"/>
                          </w:rPr>
                          <w:t>4</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right="111"/>
                          <w:jc w:val="right"/>
                          <w:rPr>
                            <w:sz w:val="20"/>
                          </w:rPr>
                        </w:pPr>
                        <w:r>
                          <w:rPr>
                            <w:w w:val="100"/>
                            <w:sz w:val="20"/>
                          </w:rPr>
                          <w:t>8</w:t>
                        </w:r>
                      </w:p>
                    </w:tc>
                  </w:tr>
                  <w:tr>
                    <w:trPr>
                      <w:trHeight w:val="797" w:hRule="exact"/>
                    </w:trPr>
                    <w:tc>
                      <w:tcPr>
                        <w:tcW w:w="290"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11"/>
                          <w:jc w:val="center"/>
                          <w:rPr>
                            <w:sz w:val="20"/>
                          </w:rPr>
                        </w:pPr>
                        <w:r>
                          <w:rPr>
                            <w:w w:val="100"/>
                            <w:sz w:val="20"/>
                          </w:rPr>
                          <w:t>5</w:t>
                        </w:r>
                      </w:p>
                    </w:tc>
                    <w:tc>
                      <w:tcPr>
                        <w:tcW w:w="399"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right="56"/>
                          <w:jc w:val="right"/>
                          <w:rPr>
                            <w:sz w:val="20"/>
                          </w:rPr>
                        </w:pPr>
                        <w:r>
                          <w:rPr>
                            <w:sz w:val="20"/>
                          </w:rPr>
                          <w:t>10</w:t>
                        </w:r>
                      </w:p>
                    </w:tc>
                  </w:tr>
                  <w:tr>
                    <w:trPr>
                      <w:trHeight w:val="551" w:hRule="exact"/>
                    </w:trPr>
                    <w:tc>
                      <w:tcPr>
                        <w:tcW w:w="290" w:type="dxa"/>
                        <w:tcBorders>
                          <w:top w:val="thinThickMediumGap" w:sz="20" w:space="0" w:color="000000"/>
                          <w:bottom w:val="single" w:sz="6" w:space="0" w:color="000000"/>
                          <w:right w:val="thickThinMediumGap" w:sz="20" w:space="0" w:color="000000"/>
                        </w:tcBorders>
                      </w:tcPr>
                      <w:p>
                        <w:pPr>
                          <w:pStyle w:val="TableParagraph"/>
                          <w:spacing w:before="138"/>
                          <w:ind w:left="11"/>
                          <w:jc w:val="center"/>
                          <w:rPr>
                            <w:sz w:val="20"/>
                          </w:rPr>
                        </w:pPr>
                        <w:r>
                          <w:rPr>
                            <w:w w:val="100"/>
                            <w:sz w:val="20"/>
                          </w:rPr>
                          <w:t>5</w:t>
                        </w:r>
                      </w:p>
                    </w:tc>
                    <w:tc>
                      <w:tcPr>
                        <w:tcW w:w="399"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right="56"/>
                          <w:jc w:val="right"/>
                          <w:rPr>
                            <w:sz w:val="20"/>
                          </w:rPr>
                        </w:pPr>
                        <w:r>
                          <w:rPr>
                            <w:sz w:val="20"/>
                          </w:rPr>
                          <w:t>10</w:t>
                        </w:r>
                      </w:p>
                    </w:tc>
                  </w:tr>
                </w:tbl>
                <w:p>
                  <w:pPr>
                    <w:pStyle w:val="BodyText"/>
                  </w:pPr>
                </w:p>
              </w:txbxContent>
            </v:textbox>
            <w10:wrap type="none"/>
          </v:shape>
        </w:pict>
      </w:r>
      <w:r>
        <w:rPr/>
        <w:pict>
          <v:shape style="position:absolute;margin-left:472.269989pt;margin-top:-307.070129pt;width:38.050pt;height:307.05pt;mso-position-horizontal-relative:page;mso-position-vertical-relative:paragraph;z-index:436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67"/>
                    <w:gridCol w:w="365"/>
                  </w:tblGrid>
                  <w:tr>
                    <w:trPr>
                      <w:trHeight w:val="531" w:hRule="exact"/>
                    </w:trPr>
                    <w:tc>
                      <w:tcPr>
                        <w:tcW w:w="732" w:type="dxa"/>
                        <w:gridSpan w:val="2"/>
                        <w:tcBorders>
                          <w:bottom w:val="thickThinMediumGap" w:sz="20" w:space="0" w:color="000000"/>
                          <w:right w:val="single" w:sz="6" w:space="0" w:color="000000"/>
                        </w:tcBorders>
                      </w:tcPr>
                      <w:p>
                        <w:pPr>
                          <w:pStyle w:val="TableParagraph"/>
                          <w:ind w:left="235" w:right="66" w:hanging="144"/>
                          <w:rPr>
                            <w:b/>
                            <w:sz w:val="20"/>
                          </w:rPr>
                        </w:pPr>
                        <w:r>
                          <w:rPr>
                            <w:b/>
                            <w:sz w:val="20"/>
                          </w:rPr>
                          <w:t>Tiem- po</w:t>
                        </w:r>
                      </w:p>
                    </w:tc>
                  </w:tr>
                  <w:tr>
                    <w:trPr>
                      <w:trHeight w:val="336" w:hRule="exact"/>
                    </w:trPr>
                    <w:tc>
                      <w:tcPr>
                        <w:tcW w:w="732"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115" w:right="66"/>
                          <w:rPr>
                            <w:sz w:val="20"/>
                          </w:rPr>
                        </w:pPr>
                        <w:r>
                          <w:rPr>
                            <w:sz w:val="20"/>
                          </w:rPr>
                          <w:t>Coef.</w:t>
                        </w:r>
                      </w:p>
                    </w:tc>
                  </w:tr>
                  <w:tr>
                    <w:trPr>
                      <w:trHeight w:val="346" w:hRule="exact"/>
                    </w:trPr>
                    <w:tc>
                      <w:tcPr>
                        <w:tcW w:w="732" w:type="dxa"/>
                        <w:gridSpan w:val="2"/>
                        <w:tcBorders>
                          <w:top w:val="thinThickMediumGap" w:sz="20" w:space="0" w:color="000000"/>
                          <w:bottom w:val="thickThinMediumGap" w:sz="20" w:space="0" w:color="000000"/>
                          <w:right w:val="single" w:sz="6" w:space="0" w:color="000000"/>
                        </w:tcBorders>
                      </w:tcPr>
                      <w:p>
                        <w:pPr>
                          <w:pStyle w:val="TableParagraph"/>
                          <w:spacing w:line="230" w:lineRule="exact"/>
                          <w:ind w:left="6"/>
                          <w:jc w:val="center"/>
                          <w:rPr>
                            <w:sz w:val="20"/>
                          </w:rPr>
                        </w:pPr>
                        <w:r>
                          <w:rPr>
                            <w:w w:val="100"/>
                            <w:sz w:val="20"/>
                          </w:rPr>
                          <w:t>2</w:t>
                        </w:r>
                      </w:p>
                    </w:tc>
                  </w:tr>
                  <w:tr>
                    <w:trPr>
                      <w:trHeight w:val="610"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spacing w:before="143"/>
                          <w:ind w:left="1"/>
                          <w:jc w:val="center"/>
                          <w:rPr>
                            <w:sz w:val="20"/>
                          </w:rPr>
                        </w:pPr>
                        <w:r>
                          <w:rPr>
                            <w:w w:val="100"/>
                            <w:sz w:val="20"/>
                          </w:rPr>
                          <w:t>4</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43"/>
                          <w:ind w:right="92"/>
                          <w:jc w:val="right"/>
                          <w:rPr>
                            <w:sz w:val="20"/>
                          </w:rPr>
                        </w:pPr>
                        <w:r>
                          <w:rPr>
                            <w:w w:val="100"/>
                            <w:sz w:val="20"/>
                          </w:rPr>
                          <w:t>8</w:t>
                        </w:r>
                      </w:p>
                    </w:tc>
                  </w:tr>
                  <w:tr>
                    <w:trPr>
                      <w:trHeight w:val="792"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
                          <w:jc w:val="center"/>
                          <w:rPr>
                            <w:sz w:val="20"/>
                          </w:rPr>
                        </w:pPr>
                        <w:r>
                          <w:rPr>
                            <w:w w:val="100"/>
                            <w:sz w:val="20"/>
                          </w:rPr>
                          <w:t>2</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92"/>
                          <w:jc w:val="right"/>
                          <w:rPr>
                            <w:sz w:val="20"/>
                          </w:rPr>
                        </w:pPr>
                        <w:r>
                          <w:rPr>
                            <w:w w:val="100"/>
                            <w:sz w:val="20"/>
                          </w:rPr>
                          <w:t>4</w:t>
                        </w:r>
                      </w:p>
                    </w:tc>
                  </w:tr>
                  <w:tr>
                    <w:trPr>
                      <w:trHeight w:val="797"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
                          <w:jc w:val="center"/>
                          <w:rPr>
                            <w:sz w:val="20"/>
                          </w:rPr>
                        </w:pPr>
                        <w:r>
                          <w:rPr>
                            <w:w w:val="100"/>
                            <w:sz w:val="20"/>
                          </w:rPr>
                          <w:t>1</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92"/>
                          <w:jc w:val="right"/>
                          <w:rPr>
                            <w:sz w:val="20"/>
                          </w:rPr>
                        </w:pPr>
                        <w:r>
                          <w:rPr>
                            <w:w w:val="100"/>
                            <w:sz w:val="20"/>
                          </w:rPr>
                          <w:t>2</w:t>
                        </w:r>
                      </w:p>
                    </w:tc>
                  </w:tr>
                  <w:tr>
                    <w:trPr>
                      <w:trHeight w:val="797"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ind w:left="1"/>
                          <w:jc w:val="center"/>
                          <w:rPr>
                            <w:sz w:val="20"/>
                          </w:rPr>
                        </w:pPr>
                        <w:r>
                          <w:rPr>
                            <w:w w:val="100"/>
                            <w:sz w:val="20"/>
                          </w:rPr>
                          <w:t>3</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ind w:right="92"/>
                          <w:jc w:val="right"/>
                          <w:rPr>
                            <w:sz w:val="20"/>
                          </w:rPr>
                        </w:pPr>
                        <w:r>
                          <w:rPr>
                            <w:w w:val="100"/>
                            <w:sz w:val="20"/>
                          </w:rPr>
                          <w:t>6</w:t>
                        </w:r>
                      </w:p>
                    </w:tc>
                  </w:tr>
                  <w:tr>
                    <w:trPr>
                      <w:trHeight w:val="562"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spacing w:before="138"/>
                          <w:ind w:left="1"/>
                          <w:jc w:val="center"/>
                          <w:rPr>
                            <w:sz w:val="20"/>
                          </w:rPr>
                        </w:pPr>
                        <w:r>
                          <w:rPr>
                            <w:w w:val="100"/>
                            <w:sz w:val="20"/>
                          </w:rPr>
                          <w:t>3</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spacing w:before="138"/>
                          <w:ind w:right="92"/>
                          <w:jc w:val="right"/>
                          <w:rPr>
                            <w:sz w:val="20"/>
                          </w:rPr>
                        </w:pPr>
                        <w:r>
                          <w:rPr>
                            <w:w w:val="100"/>
                            <w:sz w:val="20"/>
                          </w:rPr>
                          <w:t>6</w:t>
                        </w:r>
                      </w:p>
                    </w:tc>
                  </w:tr>
                  <w:tr>
                    <w:trPr>
                      <w:trHeight w:val="797" w:hRule="exact"/>
                    </w:trPr>
                    <w:tc>
                      <w:tcPr>
                        <w:tcW w:w="367" w:type="dxa"/>
                        <w:tcBorders>
                          <w:top w:val="thinThickMediumGap" w:sz="20" w:space="0" w:color="000000"/>
                          <w:bottom w:val="thickThinMediumGap" w:sz="20" w:space="0" w:color="000000"/>
                          <w:right w:val="thickThinMediumGap" w:sz="20" w:space="0" w:color="000000"/>
                        </w:tcBorders>
                      </w:tcPr>
                      <w:p>
                        <w:pPr>
                          <w:pStyle w:val="TableParagraph"/>
                          <w:rPr>
                            <w:b/>
                            <w:i/>
                            <w:sz w:val="22"/>
                          </w:rPr>
                        </w:pPr>
                      </w:p>
                      <w:p>
                        <w:pPr>
                          <w:pStyle w:val="TableParagraph"/>
                          <w:spacing w:before="1"/>
                          <w:ind w:left="1"/>
                          <w:jc w:val="center"/>
                          <w:rPr>
                            <w:sz w:val="20"/>
                          </w:rPr>
                        </w:pPr>
                        <w:r>
                          <w:rPr>
                            <w:w w:val="100"/>
                            <w:sz w:val="20"/>
                          </w:rPr>
                          <w:t>2</w:t>
                        </w:r>
                      </w:p>
                    </w:tc>
                    <w:tc>
                      <w:tcPr>
                        <w:tcW w:w="365" w:type="dxa"/>
                        <w:tcBorders>
                          <w:top w:val="thinThickMediumGap" w:sz="20" w:space="0" w:color="000000"/>
                          <w:left w:val="thinThickMediumGap" w:sz="20" w:space="0" w:color="000000"/>
                          <w:bottom w:val="thickThinMediumGap" w:sz="20" w:space="0" w:color="000000"/>
                          <w:right w:val="single" w:sz="6" w:space="0" w:color="000000"/>
                        </w:tcBorders>
                      </w:tcPr>
                      <w:p>
                        <w:pPr>
                          <w:pStyle w:val="TableParagraph"/>
                          <w:rPr>
                            <w:b/>
                            <w:i/>
                            <w:sz w:val="22"/>
                          </w:rPr>
                        </w:pPr>
                      </w:p>
                      <w:p>
                        <w:pPr>
                          <w:pStyle w:val="TableParagraph"/>
                          <w:spacing w:before="1"/>
                          <w:ind w:right="92"/>
                          <w:jc w:val="right"/>
                          <w:rPr>
                            <w:sz w:val="20"/>
                          </w:rPr>
                        </w:pPr>
                        <w:r>
                          <w:rPr>
                            <w:w w:val="100"/>
                            <w:sz w:val="20"/>
                          </w:rPr>
                          <w:t>4</w:t>
                        </w:r>
                      </w:p>
                    </w:tc>
                  </w:tr>
                  <w:tr>
                    <w:trPr>
                      <w:trHeight w:val="551" w:hRule="exact"/>
                    </w:trPr>
                    <w:tc>
                      <w:tcPr>
                        <w:tcW w:w="367" w:type="dxa"/>
                        <w:tcBorders>
                          <w:top w:val="thinThickMediumGap" w:sz="20" w:space="0" w:color="000000"/>
                          <w:bottom w:val="single" w:sz="6" w:space="0" w:color="000000"/>
                          <w:right w:val="thickThinMediumGap" w:sz="20" w:space="0" w:color="000000"/>
                        </w:tcBorders>
                      </w:tcPr>
                      <w:p>
                        <w:pPr>
                          <w:pStyle w:val="TableParagraph"/>
                          <w:spacing w:before="138"/>
                          <w:ind w:left="1"/>
                          <w:jc w:val="center"/>
                          <w:rPr>
                            <w:sz w:val="20"/>
                          </w:rPr>
                        </w:pPr>
                        <w:r>
                          <w:rPr>
                            <w:w w:val="100"/>
                            <w:sz w:val="20"/>
                          </w:rPr>
                          <w:t>3</w:t>
                        </w:r>
                      </w:p>
                    </w:tc>
                    <w:tc>
                      <w:tcPr>
                        <w:tcW w:w="365" w:type="dxa"/>
                        <w:tcBorders>
                          <w:top w:val="thinThickMediumGap" w:sz="20" w:space="0" w:color="000000"/>
                          <w:left w:val="thinThickMediumGap" w:sz="20" w:space="0" w:color="000000"/>
                          <w:bottom w:val="single" w:sz="6" w:space="0" w:color="000000"/>
                          <w:right w:val="single" w:sz="6" w:space="0" w:color="000000"/>
                        </w:tcBorders>
                      </w:tcPr>
                      <w:p>
                        <w:pPr>
                          <w:pStyle w:val="TableParagraph"/>
                          <w:spacing w:before="138"/>
                          <w:ind w:right="92"/>
                          <w:jc w:val="right"/>
                          <w:rPr>
                            <w:sz w:val="20"/>
                          </w:rPr>
                        </w:pPr>
                        <w:r>
                          <w:rPr>
                            <w:w w:val="100"/>
                            <w:sz w:val="20"/>
                          </w:rPr>
                          <w:t>6</w:t>
                        </w:r>
                      </w:p>
                    </w:tc>
                  </w:tr>
                </w:tbl>
                <w:p>
                  <w:pPr>
                    <w:pStyle w:val="BodyText"/>
                  </w:pPr>
                </w:p>
              </w:txbxContent>
            </v:textbox>
            <w10:wrap type="none"/>
          </v:shape>
        </w:pict>
      </w:r>
      <w:r>
        <w:rPr>
          <w:b/>
          <w:i/>
          <w:sz w:val="20"/>
        </w:rPr>
        <w:t>Fuente: Elaboración propia, a partir de Camacho, 2001 y Gutiérrez, 2013.</w:t>
      </w:r>
    </w:p>
    <w:p>
      <w:pPr>
        <w:spacing w:after="0"/>
        <w:jc w:val="left"/>
        <w:rPr>
          <w:sz w:val="20"/>
        </w:rPr>
        <w:sectPr>
          <w:footerReference w:type="default" r:id="rId120"/>
          <w:pgSz w:w="12240" w:h="15840"/>
          <w:pgMar w:footer="1190" w:header="685" w:top="880" w:bottom="1380" w:left="1120" w:right="1140"/>
          <w:pgNumType w:start="101"/>
        </w:sectPr>
      </w:pPr>
    </w:p>
    <w:p>
      <w:pPr>
        <w:pStyle w:val="BodyText"/>
        <w:rPr>
          <w:b/>
          <w:i/>
          <w:sz w:val="20"/>
        </w:rPr>
      </w:pPr>
    </w:p>
    <w:p>
      <w:pPr>
        <w:pStyle w:val="BodyText"/>
        <w:spacing w:before="9"/>
        <w:rPr>
          <w:b/>
          <w:i/>
          <w:sz w:val="19"/>
        </w:rPr>
      </w:pPr>
    </w:p>
    <w:p>
      <w:pPr>
        <w:pStyle w:val="ListParagraph"/>
        <w:numPr>
          <w:ilvl w:val="2"/>
          <w:numId w:val="16"/>
        </w:numPr>
        <w:tabs>
          <w:tab w:pos="1111" w:val="left" w:leader="none"/>
        </w:tabs>
        <w:spacing w:line="240" w:lineRule="auto" w:before="69" w:after="0"/>
        <w:ind w:left="1110" w:right="0" w:hanging="711"/>
        <w:jc w:val="left"/>
        <w:rPr>
          <w:i/>
          <w:sz w:val="24"/>
        </w:rPr>
      </w:pPr>
      <w:r>
        <w:rPr>
          <w:i/>
          <w:sz w:val="24"/>
        </w:rPr>
        <w:t>Propuesta de Conservación y Manejo Ambiental: Matriz de</w:t>
      </w:r>
      <w:r>
        <w:rPr>
          <w:i/>
          <w:spacing w:val="-43"/>
          <w:sz w:val="24"/>
        </w:rPr>
        <w:t> </w:t>
      </w:r>
      <w:r>
        <w:rPr>
          <w:i/>
          <w:sz w:val="24"/>
        </w:rPr>
        <w:t>Planificación</w:t>
      </w:r>
    </w:p>
    <w:p>
      <w:pPr>
        <w:pStyle w:val="BodyText"/>
        <w:rPr>
          <w:i/>
        </w:rPr>
      </w:pPr>
    </w:p>
    <w:p>
      <w:pPr>
        <w:pStyle w:val="BodyText"/>
        <w:spacing w:before="3"/>
        <w:rPr>
          <w:i/>
        </w:rPr>
      </w:pPr>
    </w:p>
    <w:p>
      <w:pPr>
        <w:pStyle w:val="BodyText"/>
        <w:spacing w:line="360" w:lineRule="auto"/>
        <w:ind w:left="116" w:right="119"/>
        <w:jc w:val="both"/>
      </w:pPr>
      <w:r>
        <w:rPr/>
        <w:t>La propuesta de conservación y manejo ambiental, constituye el aporte o la parte propositiva de la presente investigación.</w:t>
      </w:r>
    </w:p>
    <w:p>
      <w:pPr>
        <w:pStyle w:val="BodyText"/>
      </w:pPr>
    </w:p>
    <w:p>
      <w:pPr>
        <w:pStyle w:val="BodyText"/>
        <w:spacing w:line="360" w:lineRule="auto" w:before="144"/>
        <w:ind w:left="116" w:right="110"/>
        <w:jc w:val="both"/>
      </w:pPr>
      <w:r>
        <w:rPr/>
        <w:t>Con base en lo expuesto, se establecieron las relaciones entre los  resultados  numéricos obtenidos y la potencialidad de cada alternativa de ser aplicada, para posteriormente integrar la matriz de planificación. La matriz se elaboró partiendo de lo general a lo particular, presentando al inicio, el objetivo general que se busca con la aplicación de las propuestas y posteriormente las diversas alternativas  planteadas como objetivos específicos (Cuadro</w:t>
      </w:r>
      <w:r>
        <w:rPr>
          <w:spacing w:val="-8"/>
        </w:rPr>
        <w:t> </w:t>
      </w:r>
      <w:r>
        <w:rPr/>
        <w:t>18).</w:t>
      </w:r>
    </w:p>
    <w:p>
      <w:pPr>
        <w:pStyle w:val="BodyText"/>
      </w:pPr>
    </w:p>
    <w:p>
      <w:pPr>
        <w:pStyle w:val="BodyText"/>
        <w:spacing w:line="360" w:lineRule="auto" w:before="139"/>
        <w:ind w:left="116" w:right="120"/>
        <w:jc w:val="both"/>
      </w:pPr>
      <w:r>
        <w:rPr/>
        <w:t>Cada objetivo se ordenó en función de la potencialidad identificada, teniendo cada alternativa un indicador para valorar el nivel de desarrollo, una fuente de verificación y los supuestos más importantes que pueden determinar la realización o fracaso de las alternativas.</w:t>
      </w:r>
    </w:p>
    <w:p>
      <w:pPr>
        <w:spacing w:after="0" w:line="360" w:lineRule="auto"/>
        <w:jc w:val="both"/>
        <w:sectPr>
          <w:pgSz w:w="12240" w:h="15840"/>
          <w:pgMar w:header="685" w:footer="1190" w:top="880" w:bottom="1380" w:left="1300" w:right="1300"/>
        </w:sectPr>
      </w:pPr>
    </w:p>
    <w:p>
      <w:pPr>
        <w:pStyle w:val="BodyText"/>
        <w:rPr>
          <w:sz w:val="20"/>
        </w:rPr>
      </w:pPr>
    </w:p>
    <w:p>
      <w:pPr>
        <w:pStyle w:val="BodyText"/>
        <w:spacing w:before="5"/>
        <w:rPr>
          <w:sz w:val="27"/>
        </w:rPr>
      </w:pPr>
    </w:p>
    <w:tbl>
      <w:tblPr>
        <w:tblW w:w="0" w:type="auto"/>
        <w:jc w:val="left"/>
        <w:tblInd w:w="110" w:type="dxa"/>
        <w:tblBorders>
          <w:top w:val="single" w:sz="23" w:space="0" w:color="5F5F5F"/>
          <w:left w:val="single" w:sz="23" w:space="0" w:color="5F5F5F"/>
          <w:bottom w:val="single" w:sz="23" w:space="0" w:color="5F5F5F"/>
          <w:right w:val="single" w:sz="23" w:space="0" w:color="5F5F5F"/>
          <w:insideH w:val="single" w:sz="23" w:space="0" w:color="5F5F5F"/>
          <w:insideV w:val="single" w:sz="23" w:space="0" w:color="5F5F5F"/>
        </w:tblBorders>
        <w:tblLayout w:type="fixed"/>
        <w:tblCellMar>
          <w:top w:w="0" w:type="dxa"/>
          <w:left w:w="0" w:type="dxa"/>
          <w:bottom w:w="0" w:type="dxa"/>
          <w:right w:w="0" w:type="dxa"/>
        </w:tblCellMar>
        <w:tblLook w:val="01E0"/>
      </w:tblPr>
      <w:tblGrid>
        <w:gridCol w:w="518"/>
        <w:gridCol w:w="2171"/>
        <w:gridCol w:w="2103"/>
        <w:gridCol w:w="2670"/>
        <w:gridCol w:w="2187"/>
      </w:tblGrid>
      <w:tr>
        <w:trPr>
          <w:trHeight w:val="286" w:hRule="exact"/>
        </w:trPr>
        <w:tc>
          <w:tcPr>
            <w:tcW w:w="9650" w:type="dxa"/>
            <w:gridSpan w:val="5"/>
            <w:tcBorders>
              <w:top w:val="single" w:sz="12" w:space="0" w:color="5F5F5F"/>
              <w:left w:val="single" w:sz="12" w:space="0" w:color="5F5F5F"/>
            </w:tcBorders>
          </w:tcPr>
          <w:p>
            <w:pPr>
              <w:pStyle w:val="TableParagraph"/>
              <w:spacing w:before="9"/>
              <w:ind w:left="2763"/>
              <w:rPr>
                <w:b/>
                <w:i/>
                <w:sz w:val="20"/>
              </w:rPr>
            </w:pPr>
            <w:r>
              <w:rPr>
                <w:b/>
                <w:i/>
                <w:sz w:val="20"/>
              </w:rPr>
              <w:t>Cuadro 18. Matriz de planificación del EML.</w:t>
            </w:r>
          </w:p>
        </w:tc>
      </w:tr>
      <w:tr>
        <w:trPr>
          <w:trHeight w:val="519" w:hRule="exact"/>
        </w:trPr>
        <w:tc>
          <w:tcPr>
            <w:tcW w:w="2689" w:type="dxa"/>
            <w:gridSpan w:val="2"/>
            <w:tcBorders>
              <w:top w:val="single" w:sz="12" w:space="0" w:color="5F5F5F"/>
              <w:left w:val="single" w:sz="12" w:space="0" w:color="5F5F5F"/>
              <w:bottom w:val="single" w:sz="23" w:space="0" w:color="5F5F5F"/>
              <w:right w:val="single" w:sz="12" w:space="0" w:color="5F5F5F"/>
            </w:tcBorders>
          </w:tcPr>
          <w:p>
            <w:pPr>
              <w:pStyle w:val="TableParagraph"/>
              <w:spacing w:before="11"/>
              <w:ind w:left="569" w:right="504" w:firstLine="235"/>
              <w:rPr>
                <w:b/>
                <w:sz w:val="20"/>
              </w:rPr>
            </w:pPr>
            <w:r>
              <w:rPr>
                <w:b/>
                <w:sz w:val="20"/>
              </w:rPr>
              <w:t>MATRIZ DE PLANIFICACIÓN</w:t>
            </w:r>
          </w:p>
        </w:tc>
        <w:tc>
          <w:tcPr>
            <w:tcW w:w="2103" w:type="dxa"/>
            <w:tcBorders>
              <w:top w:val="single" w:sz="12" w:space="0" w:color="5F5F5F"/>
              <w:left w:val="single" w:sz="12" w:space="0" w:color="5F5F5F"/>
              <w:bottom w:val="single" w:sz="23" w:space="0" w:color="5F5F5F"/>
            </w:tcBorders>
          </w:tcPr>
          <w:p>
            <w:pPr>
              <w:pStyle w:val="TableParagraph"/>
              <w:spacing w:before="11"/>
              <w:ind w:left="358" w:right="47"/>
              <w:rPr>
                <w:b/>
                <w:sz w:val="20"/>
              </w:rPr>
            </w:pPr>
            <w:r>
              <w:rPr>
                <w:b/>
                <w:sz w:val="20"/>
              </w:rPr>
              <w:t>INDICADORES</w:t>
            </w:r>
          </w:p>
        </w:tc>
        <w:tc>
          <w:tcPr>
            <w:tcW w:w="2670" w:type="dxa"/>
            <w:tcBorders>
              <w:top w:val="single" w:sz="12" w:space="0" w:color="5F5F5F"/>
              <w:bottom w:val="single" w:sz="23" w:space="0" w:color="5F5F5F"/>
            </w:tcBorders>
          </w:tcPr>
          <w:p>
            <w:pPr>
              <w:pStyle w:val="TableParagraph"/>
              <w:spacing w:before="11"/>
              <w:ind w:left="611" w:right="547" w:firstLine="86"/>
              <w:rPr>
                <w:b/>
                <w:sz w:val="20"/>
              </w:rPr>
            </w:pPr>
            <w:r>
              <w:rPr>
                <w:b/>
                <w:sz w:val="20"/>
              </w:rPr>
              <w:t>FUENTES DE VERIFICACIÓN</w:t>
            </w:r>
          </w:p>
        </w:tc>
        <w:tc>
          <w:tcPr>
            <w:tcW w:w="2187" w:type="dxa"/>
            <w:tcBorders>
              <w:top w:val="single" w:sz="12" w:space="0" w:color="5F5F5F"/>
              <w:bottom w:val="single" w:sz="23" w:space="0" w:color="5F5F5F"/>
            </w:tcBorders>
          </w:tcPr>
          <w:p>
            <w:pPr>
              <w:pStyle w:val="TableParagraph"/>
              <w:spacing w:before="11"/>
              <w:ind w:left="540" w:right="458" w:hanging="44"/>
              <w:rPr>
                <w:b/>
                <w:sz w:val="20"/>
              </w:rPr>
            </w:pPr>
            <w:r>
              <w:rPr>
                <w:b/>
                <w:sz w:val="20"/>
              </w:rPr>
              <w:t>SUPUESTO/ HIPÓTESIS</w:t>
            </w:r>
          </w:p>
        </w:tc>
      </w:tr>
      <w:tr>
        <w:trPr>
          <w:trHeight w:val="1440" w:hRule="exact"/>
        </w:trPr>
        <w:tc>
          <w:tcPr>
            <w:tcW w:w="518" w:type="dxa"/>
            <w:tcBorders>
              <w:top w:val="single" w:sz="23" w:space="0" w:color="5F5F5F"/>
              <w:left w:val="single" w:sz="12" w:space="0" w:color="5F5F5F"/>
              <w:right w:val="single" w:sz="12" w:space="0" w:color="5F5F5F"/>
            </w:tcBorders>
            <w:textDirection w:val="btLr"/>
          </w:tcPr>
          <w:p>
            <w:pPr>
              <w:pStyle w:val="TableParagraph"/>
              <w:spacing w:line="244" w:lineRule="auto" w:before="31"/>
              <w:ind w:left="328" w:hanging="15"/>
              <w:rPr>
                <w:sz w:val="20"/>
              </w:rPr>
            </w:pPr>
            <w:r>
              <w:rPr>
                <w:spacing w:val="1"/>
                <w:w w:val="100"/>
                <w:sz w:val="20"/>
              </w:rPr>
              <w:t>O</w:t>
            </w:r>
            <w:r>
              <w:rPr>
                <w:spacing w:val="-2"/>
                <w:w w:val="100"/>
                <w:sz w:val="20"/>
              </w:rPr>
              <w:t>b</w:t>
            </w:r>
            <w:r>
              <w:rPr>
                <w:spacing w:val="-2"/>
                <w:w w:val="100"/>
                <w:sz w:val="20"/>
              </w:rPr>
              <w:t>j</w:t>
            </w:r>
            <w:r>
              <w:rPr>
                <w:spacing w:val="-2"/>
                <w:w w:val="100"/>
                <w:sz w:val="20"/>
              </w:rPr>
              <w:t>e</w:t>
            </w:r>
            <w:r>
              <w:rPr>
                <w:spacing w:val="1"/>
                <w:w w:val="100"/>
                <w:sz w:val="20"/>
              </w:rPr>
              <w:t>t</w:t>
            </w:r>
            <w:r>
              <w:rPr>
                <w:spacing w:val="-2"/>
                <w:w w:val="100"/>
                <w:sz w:val="20"/>
              </w:rPr>
              <w:t>i</w:t>
            </w:r>
            <w:r>
              <w:rPr>
                <w:w w:val="100"/>
                <w:sz w:val="20"/>
              </w:rPr>
              <w:t>vo </w:t>
            </w:r>
            <w:r>
              <w:rPr>
                <w:spacing w:val="1"/>
                <w:w w:val="100"/>
                <w:sz w:val="20"/>
              </w:rPr>
              <w:t>G</w:t>
            </w:r>
            <w:r>
              <w:rPr>
                <w:spacing w:val="-2"/>
                <w:w w:val="100"/>
                <w:sz w:val="20"/>
              </w:rPr>
              <w:t>ene</w:t>
            </w:r>
            <w:r>
              <w:rPr>
                <w:w w:val="100"/>
                <w:sz w:val="20"/>
              </w:rPr>
              <w:t>r</w:t>
            </w:r>
            <w:r>
              <w:rPr>
                <w:spacing w:val="-2"/>
                <w:w w:val="100"/>
                <w:sz w:val="20"/>
              </w:rPr>
              <w:t>a</w:t>
            </w:r>
            <w:r>
              <w:rPr>
                <w:w w:val="100"/>
                <w:sz w:val="20"/>
              </w:rPr>
              <w:t>l</w:t>
            </w:r>
          </w:p>
        </w:tc>
        <w:tc>
          <w:tcPr>
            <w:tcW w:w="2171" w:type="dxa"/>
            <w:tcBorders>
              <w:top w:val="single" w:sz="23" w:space="0" w:color="5F5F5F"/>
              <w:left w:val="single" w:sz="12" w:space="0" w:color="5F5F5F"/>
              <w:right w:val="single" w:sz="12" w:space="0" w:color="5F5F5F"/>
            </w:tcBorders>
          </w:tcPr>
          <w:p>
            <w:pPr>
              <w:pStyle w:val="TableParagraph"/>
              <w:spacing w:line="237" w:lineRule="auto" w:before="8"/>
              <w:ind w:left="113" w:right="129"/>
              <w:rPr>
                <w:sz w:val="20"/>
              </w:rPr>
            </w:pPr>
            <w:r>
              <w:rPr>
                <w:sz w:val="20"/>
              </w:rPr>
              <w:t>1. Realizar una propuesta de manejo y conservación ambiental</w:t>
            </w:r>
          </w:p>
        </w:tc>
        <w:tc>
          <w:tcPr>
            <w:tcW w:w="2103" w:type="dxa"/>
            <w:tcBorders>
              <w:top w:val="single" w:sz="23" w:space="0" w:color="5F5F5F"/>
              <w:left w:val="single" w:sz="12" w:space="0" w:color="5F5F5F"/>
            </w:tcBorders>
          </w:tcPr>
          <w:p>
            <w:pPr>
              <w:pStyle w:val="TableParagraph"/>
              <w:tabs>
                <w:tab w:pos="828" w:val="left" w:leader="none"/>
              </w:tabs>
              <w:spacing w:before="122"/>
              <w:ind w:left="117" w:right="47"/>
              <w:jc w:val="both"/>
              <w:rPr>
                <w:sz w:val="20"/>
              </w:rPr>
            </w:pPr>
            <w:r>
              <w:rPr>
                <w:sz w:val="20"/>
              </w:rPr>
              <w:t>Evaluación de la propuesta de manejo y</w:t>
              <w:tab/>
            </w:r>
            <w:r>
              <w:rPr>
                <w:spacing w:val="-1"/>
                <w:sz w:val="20"/>
              </w:rPr>
              <w:t>conservación </w:t>
            </w:r>
            <w:r>
              <w:rPr>
                <w:sz w:val="20"/>
              </w:rPr>
              <w:t>ambiental por parte de</w:t>
            </w:r>
            <w:r>
              <w:rPr>
                <w:spacing w:val="-6"/>
                <w:sz w:val="20"/>
              </w:rPr>
              <w:t> </w:t>
            </w:r>
            <w:r>
              <w:rPr>
                <w:sz w:val="20"/>
              </w:rPr>
              <w:t>especialistas.</w:t>
            </w:r>
          </w:p>
        </w:tc>
        <w:tc>
          <w:tcPr>
            <w:tcW w:w="2670" w:type="dxa"/>
            <w:tcBorders>
              <w:top w:val="single" w:sz="23" w:space="0" w:color="5F5F5F"/>
            </w:tcBorders>
          </w:tcPr>
          <w:p>
            <w:pPr>
              <w:pStyle w:val="TableParagraph"/>
              <w:spacing w:before="7"/>
              <w:ind w:left="103" w:right="45"/>
              <w:jc w:val="both"/>
              <w:rPr>
                <w:sz w:val="20"/>
              </w:rPr>
            </w:pPr>
            <w:r>
              <w:rPr>
                <w:sz w:val="20"/>
              </w:rPr>
              <w:t>Documento escrito de la propuesta de manejo y conservación ambiental  y el documento de la evaluación realizada por especialistas en la materia.</w:t>
            </w:r>
          </w:p>
        </w:tc>
        <w:tc>
          <w:tcPr>
            <w:tcW w:w="2187" w:type="dxa"/>
            <w:tcBorders>
              <w:top w:val="single" w:sz="23" w:space="0" w:color="5F5F5F"/>
            </w:tcBorders>
          </w:tcPr>
          <w:p>
            <w:pPr>
              <w:pStyle w:val="TableParagraph"/>
              <w:tabs>
                <w:tab w:pos="631" w:val="left" w:leader="none"/>
                <w:tab w:pos="1821" w:val="left" w:leader="none"/>
                <w:tab w:pos="1951" w:val="left" w:leader="none"/>
              </w:tabs>
              <w:spacing w:before="7"/>
              <w:ind w:left="103" w:right="75"/>
              <w:rPr>
                <w:sz w:val="20"/>
              </w:rPr>
            </w:pPr>
            <w:r>
              <w:rPr>
                <w:sz w:val="20"/>
              </w:rPr>
              <w:t>La</w:t>
              <w:tab/>
              <w:t>propuesta</w:t>
              <w:tab/>
              <w:t>de manejo</w:t>
              <w:tab/>
              <w:tab/>
              <w:t>y</w:t>
            </w:r>
          </w:p>
          <w:p>
            <w:pPr>
              <w:pStyle w:val="TableParagraph"/>
              <w:tabs>
                <w:tab w:pos="535" w:val="left" w:leader="none"/>
                <w:tab w:pos="904" w:val="left" w:leader="none"/>
              </w:tabs>
              <w:ind w:left="103" w:right="74"/>
              <w:rPr>
                <w:sz w:val="20"/>
              </w:rPr>
            </w:pPr>
            <w:r>
              <w:rPr>
                <w:sz w:val="20"/>
              </w:rPr>
              <w:t>conservación ambiental contribuirá en</w:t>
              <w:tab/>
              <w:t>la</w:t>
              <w:tab/>
            </w:r>
            <w:r>
              <w:rPr>
                <w:spacing w:val="-1"/>
                <w:sz w:val="20"/>
              </w:rPr>
              <w:t>preservación </w:t>
            </w:r>
            <w:r>
              <w:rPr>
                <w:sz w:val="20"/>
              </w:rPr>
              <w:t>del</w:t>
            </w:r>
            <w:r>
              <w:rPr>
                <w:spacing w:val="-1"/>
                <w:sz w:val="20"/>
              </w:rPr>
              <w:t> </w:t>
            </w:r>
            <w:r>
              <w:rPr>
                <w:sz w:val="20"/>
              </w:rPr>
              <w:t>Parque.</w:t>
            </w:r>
          </w:p>
        </w:tc>
      </w:tr>
      <w:tr>
        <w:trPr>
          <w:trHeight w:val="2363" w:hRule="exact"/>
        </w:trPr>
        <w:tc>
          <w:tcPr>
            <w:tcW w:w="518" w:type="dxa"/>
            <w:vMerge w:val="restart"/>
            <w:tcBorders>
              <w:left w:val="single" w:sz="12" w:space="0" w:color="5F5F5F"/>
              <w:right w:val="single" w:sz="12" w:space="0" w:color="5F5F5F"/>
            </w:tcBorders>
            <w:textDirection w:val="btLr"/>
          </w:tcPr>
          <w:p>
            <w:pPr>
              <w:pStyle w:val="TableParagraph"/>
              <w:spacing w:before="151"/>
              <w:ind w:left="3634" w:right="3656"/>
              <w:jc w:val="center"/>
              <w:rPr>
                <w:sz w:val="20"/>
              </w:rPr>
            </w:pPr>
            <w:r>
              <w:rPr>
                <w:spacing w:val="1"/>
                <w:w w:val="100"/>
                <w:sz w:val="20"/>
              </w:rPr>
              <w:t>O</w:t>
            </w:r>
            <w:r>
              <w:rPr>
                <w:spacing w:val="-2"/>
                <w:w w:val="100"/>
                <w:sz w:val="20"/>
              </w:rPr>
              <w:t>b</w:t>
            </w:r>
            <w:r>
              <w:rPr>
                <w:spacing w:val="-2"/>
                <w:w w:val="100"/>
                <w:sz w:val="20"/>
              </w:rPr>
              <w:t>j</w:t>
            </w:r>
            <w:r>
              <w:rPr>
                <w:spacing w:val="-2"/>
                <w:w w:val="100"/>
                <w:sz w:val="20"/>
              </w:rPr>
              <w:t>e</w:t>
            </w:r>
            <w:r>
              <w:rPr>
                <w:spacing w:val="1"/>
                <w:w w:val="100"/>
                <w:sz w:val="20"/>
              </w:rPr>
              <w:t>t</w:t>
            </w:r>
            <w:r>
              <w:rPr>
                <w:spacing w:val="-2"/>
                <w:w w:val="100"/>
                <w:sz w:val="20"/>
              </w:rPr>
              <w:t>i</w:t>
            </w:r>
            <w:r>
              <w:rPr>
                <w:w w:val="100"/>
                <w:sz w:val="20"/>
              </w:rPr>
              <w:t>v</w:t>
            </w:r>
            <w:r>
              <w:rPr>
                <w:spacing w:val="-2"/>
                <w:w w:val="100"/>
                <w:sz w:val="20"/>
              </w:rPr>
              <w:t>o</w:t>
            </w:r>
            <w:r>
              <w:rPr>
                <w:w w:val="100"/>
                <w:sz w:val="20"/>
              </w:rPr>
              <w:t>s</w:t>
            </w:r>
            <w:r>
              <w:rPr>
                <w:spacing w:val="1"/>
                <w:sz w:val="20"/>
              </w:rPr>
              <w:t> </w:t>
            </w:r>
            <w:r>
              <w:rPr>
                <w:spacing w:val="-2"/>
                <w:w w:val="100"/>
                <w:sz w:val="20"/>
              </w:rPr>
              <w:t>e</w:t>
            </w:r>
            <w:r>
              <w:rPr>
                <w:w w:val="100"/>
                <w:sz w:val="20"/>
              </w:rPr>
              <w:t>s</w:t>
            </w:r>
            <w:r>
              <w:rPr>
                <w:spacing w:val="-2"/>
                <w:w w:val="100"/>
                <w:sz w:val="20"/>
              </w:rPr>
              <w:t>p</w:t>
            </w:r>
            <w:r>
              <w:rPr>
                <w:spacing w:val="-2"/>
                <w:w w:val="100"/>
                <w:sz w:val="20"/>
              </w:rPr>
              <w:t>e</w:t>
            </w:r>
            <w:r>
              <w:rPr>
                <w:w w:val="100"/>
                <w:sz w:val="20"/>
              </w:rPr>
              <w:t>c</w:t>
            </w:r>
            <w:r>
              <w:rPr>
                <w:spacing w:val="1"/>
                <w:w w:val="100"/>
                <w:sz w:val="20"/>
              </w:rPr>
              <w:t>í</w:t>
            </w:r>
            <w:r>
              <w:rPr>
                <w:spacing w:val="1"/>
                <w:w w:val="100"/>
                <w:sz w:val="20"/>
              </w:rPr>
              <w:t>f</w:t>
            </w:r>
            <w:r>
              <w:rPr>
                <w:spacing w:val="-2"/>
                <w:w w:val="100"/>
                <w:sz w:val="20"/>
              </w:rPr>
              <w:t>i</w:t>
            </w:r>
            <w:r>
              <w:rPr>
                <w:w w:val="100"/>
                <w:sz w:val="20"/>
              </w:rPr>
              <w:t>c</w:t>
            </w:r>
            <w:r>
              <w:rPr>
                <w:spacing w:val="-2"/>
                <w:w w:val="100"/>
                <w:sz w:val="20"/>
              </w:rPr>
              <w:t>o</w:t>
            </w:r>
            <w:r>
              <w:rPr>
                <w:w w:val="100"/>
                <w:sz w:val="20"/>
              </w:rPr>
              <w:t>s</w:t>
            </w:r>
          </w:p>
        </w:tc>
        <w:tc>
          <w:tcPr>
            <w:tcW w:w="2171" w:type="dxa"/>
            <w:tcBorders>
              <w:left w:val="single" w:sz="12" w:space="0" w:color="5F5F5F"/>
              <w:right w:val="single" w:sz="12" w:space="0" w:color="5F5F5F"/>
            </w:tcBorders>
          </w:tcPr>
          <w:p>
            <w:pPr>
              <w:pStyle w:val="TableParagraph"/>
              <w:spacing w:line="237" w:lineRule="auto" w:before="9"/>
              <w:ind w:left="113" w:right="252"/>
              <w:rPr>
                <w:sz w:val="20"/>
              </w:rPr>
            </w:pPr>
            <w:r>
              <w:rPr>
                <w:sz w:val="20"/>
              </w:rPr>
              <w:t>2. Establecer y promover al Parque como un Jardín Botánico</w:t>
            </w:r>
          </w:p>
        </w:tc>
        <w:tc>
          <w:tcPr>
            <w:tcW w:w="2103" w:type="dxa"/>
            <w:tcBorders>
              <w:left w:val="single" w:sz="12" w:space="0" w:color="5F5F5F"/>
            </w:tcBorders>
          </w:tcPr>
          <w:p>
            <w:pPr>
              <w:pStyle w:val="TableParagraph"/>
              <w:tabs>
                <w:tab w:pos="1519" w:val="left" w:leader="none"/>
              </w:tabs>
              <w:spacing w:line="237" w:lineRule="auto" w:before="9"/>
              <w:ind w:left="117" w:right="52"/>
              <w:jc w:val="both"/>
              <w:rPr>
                <w:sz w:val="20"/>
              </w:rPr>
            </w:pPr>
            <w:r>
              <w:rPr>
                <w:sz w:val="20"/>
              </w:rPr>
              <w:t>Funcionamiento de un Jardín Botánico Regional</w:t>
              <w:tab/>
            </w:r>
            <w:r>
              <w:rPr>
                <w:spacing w:val="-1"/>
                <w:sz w:val="20"/>
              </w:rPr>
              <w:t>“José </w:t>
            </w:r>
            <w:r>
              <w:rPr>
                <w:sz w:val="20"/>
              </w:rPr>
              <w:t>Mariano Mociño”</w:t>
            </w:r>
          </w:p>
          <w:p>
            <w:pPr>
              <w:pStyle w:val="TableParagraph"/>
              <w:tabs>
                <w:tab w:pos="1245" w:val="left" w:leader="none"/>
              </w:tabs>
              <w:spacing w:before="1"/>
              <w:ind w:left="117" w:right="47"/>
              <w:jc w:val="both"/>
              <w:rPr>
                <w:sz w:val="20"/>
              </w:rPr>
            </w:pPr>
            <w:r>
              <w:rPr>
                <w:sz w:val="20"/>
              </w:rPr>
              <w:t>El Jardín  Botánico es miembro de la Asociación Mexicana de</w:t>
              <w:tab/>
              <w:t>Jardines Botánicos, A. C. (AMJB).</w:t>
            </w:r>
          </w:p>
        </w:tc>
        <w:tc>
          <w:tcPr>
            <w:tcW w:w="2670" w:type="dxa"/>
          </w:tcPr>
          <w:p>
            <w:pPr>
              <w:pStyle w:val="TableParagraph"/>
              <w:tabs>
                <w:tab w:pos="1115" w:val="left" w:leader="none"/>
                <w:tab w:pos="1508" w:val="left" w:leader="none"/>
                <w:tab w:pos="2335" w:val="left" w:leader="none"/>
              </w:tabs>
              <w:spacing w:line="226" w:lineRule="exact" w:before="129"/>
              <w:ind w:left="103" w:right="52"/>
              <w:rPr>
                <w:sz w:val="20"/>
              </w:rPr>
            </w:pPr>
            <w:r>
              <w:rPr>
                <w:sz w:val="20"/>
              </w:rPr>
              <w:t>Número</w:t>
              <w:tab/>
              <w:t>y</w:t>
              <w:tab/>
              <w:t>líneas</w:t>
              <w:tab/>
              <w:t>de investigación</w:t>
            </w:r>
            <w:r>
              <w:rPr>
                <w:spacing w:val="-9"/>
                <w:sz w:val="20"/>
              </w:rPr>
              <w:t> </w:t>
            </w:r>
            <w:r>
              <w:rPr>
                <w:sz w:val="20"/>
              </w:rPr>
              <w:t>realizadas.</w:t>
            </w:r>
          </w:p>
          <w:p>
            <w:pPr>
              <w:pStyle w:val="TableParagraph"/>
              <w:tabs>
                <w:tab w:pos="1278" w:val="left" w:leader="none"/>
                <w:tab w:pos="2338" w:val="left" w:leader="none"/>
              </w:tabs>
              <w:ind w:left="103" w:right="48"/>
              <w:rPr>
                <w:sz w:val="20"/>
              </w:rPr>
            </w:pPr>
            <w:r>
              <w:rPr>
                <w:sz w:val="20"/>
              </w:rPr>
              <w:t>Registro de visitantes. Temario,</w:t>
              <w:tab/>
              <w:t>número</w:t>
              <w:tab/>
              <w:t>de asistentes y evaluaciones de los cursos, talleres y conferencias.</w:t>
            </w:r>
          </w:p>
          <w:p>
            <w:pPr>
              <w:pStyle w:val="TableParagraph"/>
              <w:ind w:left="103" w:right="43"/>
              <w:rPr>
                <w:sz w:val="20"/>
              </w:rPr>
            </w:pPr>
            <w:r>
              <w:rPr>
                <w:sz w:val="20"/>
              </w:rPr>
              <w:t>Documento que indique ser parte de la AMJB.</w:t>
            </w:r>
          </w:p>
        </w:tc>
        <w:tc>
          <w:tcPr>
            <w:tcW w:w="2187" w:type="dxa"/>
          </w:tcPr>
          <w:p>
            <w:pPr>
              <w:pStyle w:val="TableParagraph"/>
              <w:rPr>
                <w:sz w:val="20"/>
              </w:rPr>
            </w:pPr>
          </w:p>
          <w:p>
            <w:pPr>
              <w:pStyle w:val="TableParagraph"/>
              <w:tabs>
                <w:tab w:pos="1269" w:val="left" w:leader="none"/>
                <w:tab w:pos="1562" w:val="left" w:leader="none"/>
              </w:tabs>
              <w:spacing w:before="118"/>
              <w:ind w:left="103" w:right="74"/>
              <w:jc w:val="both"/>
              <w:rPr>
                <w:sz w:val="20"/>
              </w:rPr>
            </w:pPr>
            <w:r>
              <w:rPr>
                <w:sz w:val="20"/>
              </w:rPr>
              <w:t>El funcionamiento del Jardín</w:t>
              <w:tab/>
              <w:t>Botánico Regional</w:t>
              <w:tab/>
              <w:tab/>
            </w:r>
            <w:r>
              <w:rPr>
                <w:spacing w:val="-1"/>
                <w:sz w:val="20"/>
              </w:rPr>
              <w:t>“José</w:t>
            </w:r>
          </w:p>
          <w:p>
            <w:pPr>
              <w:pStyle w:val="TableParagraph"/>
              <w:tabs>
                <w:tab w:pos="1336" w:val="left" w:leader="none"/>
                <w:tab w:pos="1892" w:val="left" w:leader="none"/>
              </w:tabs>
              <w:ind w:left="103" w:right="75"/>
              <w:rPr>
                <w:sz w:val="20"/>
              </w:rPr>
            </w:pPr>
            <w:r>
              <w:rPr>
                <w:sz w:val="20"/>
              </w:rPr>
              <w:t>Mariano</w:t>
              <w:tab/>
              <w:t>Mociño” contribuirá</w:t>
              <w:tab/>
              <w:t>en</w:t>
              <w:tab/>
              <w:t>la conservación ambiental.</w:t>
            </w:r>
          </w:p>
        </w:tc>
      </w:tr>
      <w:tr>
        <w:trPr>
          <w:trHeight w:val="1440" w:hRule="exact"/>
        </w:trPr>
        <w:tc>
          <w:tcPr>
            <w:tcW w:w="518" w:type="dxa"/>
            <w:vMerge/>
            <w:tcBorders>
              <w:left w:val="single" w:sz="12" w:space="0" w:color="5F5F5F"/>
              <w:right w:val="single" w:sz="12" w:space="0" w:color="5F5F5F"/>
            </w:tcBorders>
            <w:textDirection w:val="btLr"/>
          </w:tcPr>
          <w:p>
            <w:pPr/>
          </w:p>
        </w:tc>
        <w:tc>
          <w:tcPr>
            <w:tcW w:w="2171" w:type="dxa"/>
            <w:tcBorders>
              <w:left w:val="single" w:sz="12" w:space="0" w:color="5F5F5F"/>
              <w:right w:val="single" w:sz="12" w:space="0" w:color="5F5F5F"/>
            </w:tcBorders>
          </w:tcPr>
          <w:p>
            <w:pPr>
              <w:pStyle w:val="TableParagraph"/>
              <w:spacing w:before="2"/>
              <w:ind w:left="113" w:right="151"/>
              <w:rPr>
                <w:sz w:val="20"/>
              </w:rPr>
            </w:pPr>
            <w:r>
              <w:rPr>
                <w:sz w:val="20"/>
              </w:rPr>
              <w:t>3. Manejar las aguas residuales, conforme a la Legislación aplicable vigente.</w:t>
            </w:r>
          </w:p>
        </w:tc>
        <w:tc>
          <w:tcPr>
            <w:tcW w:w="2103" w:type="dxa"/>
            <w:tcBorders>
              <w:left w:val="single" w:sz="12" w:space="0" w:color="5F5F5F"/>
            </w:tcBorders>
          </w:tcPr>
          <w:p>
            <w:pPr>
              <w:pStyle w:val="TableParagraph"/>
              <w:spacing w:before="2"/>
              <w:rPr>
                <w:sz w:val="20"/>
              </w:rPr>
            </w:pPr>
          </w:p>
          <w:p>
            <w:pPr>
              <w:pStyle w:val="TableParagraph"/>
              <w:tabs>
                <w:tab w:pos="1005" w:val="left" w:leader="none"/>
              </w:tabs>
              <w:ind w:left="117" w:right="47"/>
              <w:jc w:val="both"/>
              <w:rPr>
                <w:sz w:val="20"/>
              </w:rPr>
            </w:pPr>
            <w:r>
              <w:rPr>
                <w:sz w:val="20"/>
              </w:rPr>
              <w:t>Calidad del agua tratada conforme a  la</w:t>
              <w:tab/>
            </w:r>
            <w:r>
              <w:rPr>
                <w:spacing w:val="-1"/>
                <w:sz w:val="20"/>
              </w:rPr>
              <w:t>Legislación </w:t>
            </w:r>
            <w:r>
              <w:rPr>
                <w:sz w:val="20"/>
              </w:rPr>
              <w:t>aplicable</w:t>
            </w:r>
            <w:r>
              <w:rPr>
                <w:spacing w:val="-3"/>
                <w:sz w:val="20"/>
              </w:rPr>
              <w:t> </w:t>
            </w:r>
            <w:r>
              <w:rPr>
                <w:sz w:val="20"/>
              </w:rPr>
              <w:t>vigente.</w:t>
            </w:r>
          </w:p>
        </w:tc>
        <w:tc>
          <w:tcPr>
            <w:tcW w:w="2670" w:type="dxa"/>
          </w:tcPr>
          <w:p>
            <w:pPr>
              <w:pStyle w:val="TableParagraph"/>
              <w:tabs>
                <w:tab w:pos="1418" w:val="left" w:leader="none"/>
                <w:tab w:pos="2402" w:val="left" w:leader="none"/>
              </w:tabs>
              <w:spacing w:before="2"/>
              <w:ind w:left="103" w:right="46"/>
              <w:jc w:val="both"/>
              <w:rPr>
                <w:sz w:val="20"/>
              </w:rPr>
            </w:pPr>
            <w:r>
              <w:rPr>
                <w:sz w:val="20"/>
              </w:rPr>
              <w:t>Bitácora de  registro, reporte de análisis de laboratorio que indiquen que el agua residual cumple</w:t>
              <w:tab/>
              <w:t>con</w:t>
              <w:tab/>
              <w:t>la normatividad.</w:t>
            </w:r>
          </w:p>
        </w:tc>
        <w:tc>
          <w:tcPr>
            <w:tcW w:w="2187" w:type="dxa"/>
          </w:tcPr>
          <w:p>
            <w:pPr>
              <w:pStyle w:val="TableParagraph"/>
              <w:spacing w:before="2"/>
              <w:rPr>
                <w:sz w:val="20"/>
              </w:rPr>
            </w:pPr>
          </w:p>
          <w:p>
            <w:pPr>
              <w:pStyle w:val="TableParagraph"/>
              <w:ind w:left="103" w:right="74"/>
              <w:jc w:val="both"/>
              <w:rPr>
                <w:sz w:val="20"/>
              </w:rPr>
            </w:pPr>
            <w:r>
              <w:rPr>
                <w:sz w:val="20"/>
              </w:rPr>
              <w:t>El manejo de aguas residuales coadyuva en la restauración ambiental.</w:t>
            </w:r>
          </w:p>
        </w:tc>
      </w:tr>
      <w:tr>
        <w:trPr>
          <w:trHeight w:val="2134" w:hRule="exact"/>
        </w:trPr>
        <w:tc>
          <w:tcPr>
            <w:tcW w:w="518" w:type="dxa"/>
            <w:vMerge/>
            <w:tcBorders>
              <w:left w:val="single" w:sz="12" w:space="0" w:color="5F5F5F"/>
              <w:right w:val="single" w:sz="12" w:space="0" w:color="5F5F5F"/>
            </w:tcBorders>
            <w:textDirection w:val="btLr"/>
          </w:tcPr>
          <w:p>
            <w:pPr/>
          </w:p>
        </w:tc>
        <w:tc>
          <w:tcPr>
            <w:tcW w:w="2171" w:type="dxa"/>
            <w:tcBorders>
              <w:left w:val="single" w:sz="12" w:space="0" w:color="5F5F5F"/>
              <w:right w:val="single" w:sz="12" w:space="0" w:color="5F5F5F"/>
            </w:tcBorders>
          </w:tcPr>
          <w:p>
            <w:pPr>
              <w:pStyle w:val="TableParagraph"/>
              <w:spacing w:before="2"/>
              <w:ind w:left="113" w:right="162"/>
              <w:rPr>
                <w:sz w:val="20"/>
              </w:rPr>
            </w:pPr>
            <w:r>
              <w:rPr>
                <w:sz w:val="20"/>
              </w:rPr>
              <w:t>4. Manejar los residuos orgánicos e inorgánicos, conforme a la Legislación Municipal, Estatal y Federal aplicable</w:t>
            </w:r>
          </w:p>
        </w:tc>
        <w:tc>
          <w:tcPr>
            <w:tcW w:w="2103" w:type="dxa"/>
            <w:tcBorders>
              <w:left w:val="single" w:sz="12" w:space="0" w:color="5F5F5F"/>
            </w:tcBorders>
          </w:tcPr>
          <w:p>
            <w:pPr>
              <w:pStyle w:val="TableParagraph"/>
              <w:rPr>
                <w:sz w:val="20"/>
              </w:rPr>
            </w:pPr>
          </w:p>
          <w:p>
            <w:pPr>
              <w:pStyle w:val="TableParagraph"/>
              <w:tabs>
                <w:tab w:pos="1245" w:val="left" w:leader="none"/>
                <w:tab w:pos="1341" w:val="left" w:leader="none"/>
                <w:tab w:pos="1845" w:val="left" w:leader="none"/>
                <w:tab w:pos="1888" w:val="left" w:leader="none"/>
              </w:tabs>
              <w:spacing w:before="117"/>
              <w:ind w:left="117" w:right="54"/>
              <w:rPr>
                <w:sz w:val="20"/>
              </w:rPr>
            </w:pPr>
            <w:r>
              <w:rPr>
                <w:sz w:val="20"/>
              </w:rPr>
              <w:t>Cantidad</w:t>
              <w:tab/>
            </w:r>
            <w:r>
              <w:rPr>
                <w:spacing w:val="-1"/>
                <w:sz w:val="20"/>
              </w:rPr>
              <w:t>mensual </w:t>
            </w:r>
            <w:r>
              <w:rPr>
                <w:sz w:val="20"/>
              </w:rPr>
              <w:t>de</w:t>
              <w:tab/>
            </w:r>
            <w:r>
              <w:rPr>
                <w:spacing w:val="-1"/>
                <w:sz w:val="20"/>
              </w:rPr>
              <w:t>residuos </w:t>
            </w:r>
            <w:r>
              <w:rPr>
                <w:sz w:val="20"/>
              </w:rPr>
              <w:t>orgánicos</w:t>
              <w:tab/>
              <w:tab/>
              <w:tab/>
              <w:tab/>
              <w:t>e inorgánicos generados</w:t>
              <w:tab/>
              <w:tab/>
              <w:t>en</w:t>
              <w:tab/>
              <w:t>el Parque.</w:t>
            </w:r>
          </w:p>
        </w:tc>
        <w:tc>
          <w:tcPr>
            <w:tcW w:w="2670" w:type="dxa"/>
          </w:tcPr>
          <w:p>
            <w:pPr>
              <w:pStyle w:val="TableParagraph"/>
              <w:spacing w:before="2"/>
              <w:rPr>
                <w:sz w:val="20"/>
              </w:rPr>
            </w:pPr>
          </w:p>
          <w:p>
            <w:pPr>
              <w:pStyle w:val="TableParagraph"/>
              <w:ind w:left="103" w:right="48"/>
              <w:jc w:val="both"/>
              <w:rPr>
                <w:sz w:val="20"/>
              </w:rPr>
            </w:pPr>
            <w:r>
              <w:rPr>
                <w:sz w:val="20"/>
              </w:rPr>
              <w:t>Bitácora de campo, registro mensual de la cantidad generada de residuos orgánicos e inorgánicos; contenedores de basura rotulados conforme a la clasificación.</w:t>
            </w:r>
          </w:p>
        </w:tc>
        <w:tc>
          <w:tcPr>
            <w:tcW w:w="2187" w:type="dxa"/>
          </w:tcPr>
          <w:p>
            <w:pPr>
              <w:pStyle w:val="TableParagraph"/>
              <w:tabs>
                <w:tab w:pos="1932" w:val="left" w:leader="none"/>
              </w:tabs>
              <w:spacing w:before="2"/>
              <w:ind w:left="103" w:right="74"/>
              <w:jc w:val="both"/>
              <w:rPr>
                <w:sz w:val="20"/>
              </w:rPr>
            </w:pPr>
            <w:r>
              <w:rPr>
                <w:sz w:val="20"/>
              </w:rPr>
              <w:t>La administración, personal  académico y alumnos realizan el manejo de residuos orgánicos</w:t>
              <w:tab/>
              <w:t>e inorgánicos conforme a la Legislación Municipal, Estatal y Federal.</w:t>
            </w:r>
          </w:p>
        </w:tc>
      </w:tr>
      <w:tr>
        <w:trPr>
          <w:trHeight w:val="1441" w:hRule="exact"/>
        </w:trPr>
        <w:tc>
          <w:tcPr>
            <w:tcW w:w="518" w:type="dxa"/>
            <w:vMerge/>
            <w:tcBorders>
              <w:left w:val="single" w:sz="12" w:space="0" w:color="5F5F5F"/>
              <w:right w:val="single" w:sz="12" w:space="0" w:color="5F5F5F"/>
            </w:tcBorders>
            <w:textDirection w:val="btLr"/>
          </w:tcPr>
          <w:p>
            <w:pPr/>
          </w:p>
        </w:tc>
        <w:tc>
          <w:tcPr>
            <w:tcW w:w="2171" w:type="dxa"/>
            <w:tcBorders>
              <w:left w:val="single" w:sz="12" w:space="0" w:color="5F5F5F"/>
              <w:right w:val="single" w:sz="12" w:space="0" w:color="5F5F5F"/>
            </w:tcBorders>
          </w:tcPr>
          <w:p>
            <w:pPr>
              <w:pStyle w:val="TableParagraph"/>
              <w:ind w:left="113" w:right="80"/>
              <w:jc w:val="both"/>
              <w:rPr>
                <w:sz w:val="20"/>
              </w:rPr>
            </w:pPr>
            <w:r>
              <w:rPr>
                <w:sz w:val="20"/>
              </w:rPr>
              <w:t>5. Disminuir, controlar y restaurar los suelos erosionados.</w:t>
            </w:r>
          </w:p>
        </w:tc>
        <w:tc>
          <w:tcPr>
            <w:tcW w:w="2103" w:type="dxa"/>
            <w:tcBorders>
              <w:left w:val="single" w:sz="12" w:space="0" w:color="5F5F5F"/>
            </w:tcBorders>
          </w:tcPr>
          <w:p>
            <w:pPr>
              <w:pStyle w:val="TableParagraph"/>
              <w:rPr>
                <w:sz w:val="20"/>
              </w:rPr>
            </w:pPr>
          </w:p>
          <w:p>
            <w:pPr>
              <w:pStyle w:val="TableParagraph"/>
              <w:tabs>
                <w:tab w:pos="1898" w:val="left" w:leader="none"/>
              </w:tabs>
              <w:spacing w:before="116"/>
              <w:ind w:left="117" w:right="53"/>
              <w:jc w:val="both"/>
              <w:rPr>
                <w:sz w:val="20"/>
              </w:rPr>
            </w:pPr>
            <w:r>
              <w:rPr>
                <w:sz w:val="20"/>
              </w:rPr>
              <w:t>Superficie de suelo restaurada</w:t>
              <w:tab/>
              <w:t>y controlada</w:t>
            </w:r>
          </w:p>
        </w:tc>
        <w:tc>
          <w:tcPr>
            <w:tcW w:w="2670" w:type="dxa"/>
          </w:tcPr>
          <w:p>
            <w:pPr>
              <w:pStyle w:val="TableParagraph"/>
              <w:tabs>
                <w:tab w:pos="1154" w:val="left" w:leader="none"/>
                <w:tab w:pos="1748" w:val="left" w:leader="none"/>
                <w:tab w:pos="1821" w:val="left" w:leader="none"/>
                <w:tab w:pos="2300" w:val="left" w:leader="none"/>
                <w:tab w:pos="2460" w:val="left" w:leader="none"/>
              </w:tabs>
              <w:spacing w:before="115"/>
              <w:ind w:left="103" w:right="49"/>
              <w:rPr>
                <w:sz w:val="20"/>
              </w:rPr>
            </w:pPr>
            <w:r>
              <w:rPr>
                <w:sz w:val="20"/>
              </w:rPr>
              <w:t>Establecimiento, funcionamiento</w:t>
              <w:tab/>
              <w:tab/>
              <w:tab/>
              <w:tab/>
              <w:t>y mantenimiento</w:t>
              <w:tab/>
              <w:t>de</w:t>
              <w:tab/>
              <w:t>las obras</w:t>
              <w:tab/>
              <w:t>o</w:t>
              <w:tab/>
              <w:tab/>
              <w:t>técnicas agroecológicas.</w:t>
            </w:r>
          </w:p>
        </w:tc>
        <w:tc>
          <w:tcPr>
            <w:tcW w:w="2187" w:type="dxa"/>
          </w:tcPr>
          <w:p>
            <w:pPr>
              <w:pStyle w:val="TableParagraph"/>
              <w:ind w:left="103" w:right="76"/>
              <w:jc w:val="both"/>
              <w:rPr>
                <w:sz w:val="20"/>
              </w:rPr>
            </w:pPr>
            <w:r>
              <w:rPr>
                <w:sz w:val="20"/>
              </w:rPr>
              <w:t>En el Parque se realizan        acciones</w:t>
            </w:r>
          </w:p>
          <w:p>
            <w:pPr>
              <w:pStyle w:val="TableParagraph"/>
              <w:tabs>
                <w:tab w:pos="1193" w:val="left" w:leader="none"/>
                <w:tab w:pos="1471" w:val="left" w:leader="none"/>
              </w:tabs>
              <w:ind w:left="103" w:right="77"/>
              <w:jc w:val="both"/>
              <w:rPr>
                <w:sz w:val="20"/>
              </w:rPr>
            </w:pPr>
            <w:r>
              <w:rPr>
                <w:sz w:val="20"/>
              </w:rPr>
              <w:t>para</w:t>
              <w:tab/>
            </w:r>
            <w:r>
              <w:rPr>
                <w:spacing w:val="-1"/>
                <w:sz w:val="20"/>
              </w:rPr>
              <w:t>disminuir, </w:t>
            </w:r>
            <w:r>
              <w:rPr>
                <w:sz w:val="20"/>
              </w:rPr>
              <w:t>controlar y restaurar los</w:t>
              <w:tab/>
              <w:tab/>
            </w:r>
            <w:r>
              <w:rPr>
                <w:spacing w:val="-1"/>
                <w:sz w:val="20"/>
              </w:rPr>
              <w:t>suelos</w:t>
            </w:r>
          </w:p>
          <w:p>
            <w:pPr>
              <w:pStyle w:val="TableParagraph"/>
              <w:ind w:left="103"/>
              <w:jc w:val="both"/>
              <w:rPr>
                <w:sz w:val="20"/>
              </w:rPr>
            </w:pPr>
            <w:r>
              <w:rPr>
                <w:sz w:val="20"/>
              </w:rPr>
              <w:t>erosionados.</w:t>
            </w:r>
          </w:p>
        </w:tc>
      </w:tr>
      <w:tr>
        <w:trPr>
          <w:trHeight w:val="1885" w:hRule="exact"/>
        </w:trPr>
        <w:tc>
          <w:tcPr>
            <w:tcW w:w="518" w:type="dxa"/>
            <w:vMerge/>
            <w:tcBorders>
              <w:left w:val="single" w:sz="12" w:space="0" w:color="5F5F5F"/>
              <w:right w:val="single" w:sz="12" w:space="0" w:color="5F5F5F"/>
            </w:tcBorders>
            <w:textDirection w:val="btLr"/>
          </w:tcPr>
          <w:p>
            <w:pPr/>
          </w:p>
        </w:tc>
        <w:tc>
          <w:tcPr>
            <w:tcW w:w="2171" w:type="dxa"/>
            <w:tcBorders>
              <w:left w:val="single" w:sz="12" w:space="0" w:color="5F5F5F"/>
              <w:right w:val="single" w:sz="12" w:space="0" w:color="5F5F5F"/>
            </w:tcBorders>
          </w:tcPr>
          <w:p>
            <w:pPr>
              <w:pStyle w:val="TableParagraph"/>
              <w:ind w:left="113" w:right="96"/>
              <w:rPr>
                <w:sz w:val="20"/>
              </w:rPr>
            </w:pPr>
            <w:r>
              <w:rPr>
                <w:sz w:val="20"/>
              </w:rPr>
              <w:t>6. Promover estrategias de cultura y educación ambiental.</w:t>
            </w:r>
          </w:p>
        </w:tc>
        <w:tc>
          <w:tcPr>
            <w:tcW w:w="2103" w:type="dxa"/>
            <w:tcBorders>
              <w:left w:val="single" w:sz="12" w:space="0" w:color="5F5F5F"/>
            </w:tcBorders>
          </w:tcPr>
          <w:p>
            <w:pPr>
              <w:pStyle w:val="TableParagraph"/>
              <w:tabs>
                <w:tab w:pos="544" w:val="left" w:leader="none"/>
                <w:tab w:pos="1087" w:val="left" w:leader="none"/>
                <w:tab w:pos="1417" w:val="left" w:leader="none"/>
                <w:tab w:pos="1787" w:val="left" w:leader="none"/>
              </w:tabs>
              <w:ind w:left="117" w:right="48"/>
              <w:rPr>
                <w:sz w:val="20"/>
              </w:rPr>
            </w:pPr>
            <w:r>
              <w:rPr>
                <w:sz w:val="20"/>
              </w:rPr>
              <w:t>Disminución</w:t>
              <w:tab/>
              <w:tab/>
              <w:t>de problemas ambientales en un 10% en los primeros seis meses a partir de</w:t>
              <w:tab/>
              <w:t>impartir</w:t>
              <w:tab/>
            </w:r>
            <w:r>
              <w:rPr>
                <w:spacing w:val="-1"/>
                <w:sz w:val="20"/>
              </w:rPr>
              <w:t>cursos </w:t>
            </w:r>
            <w:r>
              <w:rPr>
                <w:sz w:val="20"/>
              </w:rPr>
              <w:t>sobre</w:t>
              <w:tab/>
              <w:t>educación ambiental</w:t>
            </w:r>
          </w:p>
        </w:tc>
        <w:tc>
          <w:tcPr>
            <w:tcW w:w="2670" w:type="dxa"/>
          </w:tcPr>
          <w:p>
            <w:pPr>
              <w:pStyle w:val="TableParagraph"/>
              <w:rPr>
                <w:sz w:val="20"/>
              </w:rPr>
            </w:pPr>
          </w:p>
          <w:p>
            <w:pPr>
              <w:pStyle w:val="TableParagraph"/>
              <w:tabs>
                <w:tab w:pos="1634" w:val="left" w:leader="none"/>
              </w:tabs>
              <w:ind w:left="103" w:right="46"/>
              <w:jc w:val="both"/>
              <w:rPr>
                <w:sz w:val="20"/>
              </w:rPr>
            </w:pPr>
            <w:r>
              <w:rPr>
                <w:sz w:val="20"/>
              </w:rPr>
              <w:t>Programa de los temas de educación</w:t>
              <w:tab/>
              <w:t>ambiental, registro de asistencia y evaluaciones. Dirigido a catedráticos, estudiantes y habitantes.</w:t>
            </w:r>
          </w:p>
        </w:tc>
        <w:tc>
          <w:tcPr>
            <w:tcW w:w="2187" w:type="dxa"/>
          </w:tcPr>
          <w:p>
            <w:pPr>
              <w:pStyle w:val="TableParagraph"/>
              <w:rPr>
                <w:sz w:val="20"/>
              </w:rPr>
            </w:pPr>
          </w:p>
          <w:p>
            <w:pPr>
              <w:pStyle w:val="TableParagraph"/>
              <w:tabs>
                <w:tab w:pos="1941" w:val="left" w:leader="none"/>
              </w:tabs>
              <w:spacing w:before="115"/>
              <w:ind w:left="103" w:right="74"/>
              <w:jc w:val="both"/>
              <w:rPr>
                <w:sz w:val="20"/>
              </w:rPr>
            </w:pPr>
            <w:r>
              <w:rPr>
                <w:sz w:val="20"/>
              </w:rPr>
              <w:t>Los catedráticos, estudiantes</w:t>
              <w:tab/>
              <w:t>y habitantes, participan activamente en los cursos.</w:t>
            </w:r>
          </w:p>
        </w:tc>
      </w:tr>
    </w:tbl>
    <w:p>
      <w:pPr>
        <w:spacing w:before="11"/>
        <w:ind w:left="256" w:right="0" w:firstLine="0"/>
        <w:jc w:val="left"/>
        <w:rPr>
          <w:b/>
          <w:i/>
          <w:sz w:val="20"/>
        </w:rPr>
      </w:pPr>
      <w:r>
        <w:rPr>
          <w:b/>
          <w:i/>
          <w:sz w:val="20"/>
        </w:rPr>
        <w:t>Fuente: Elaboración propia, a partir de Camacho, 2001 y Gutiérrez, 2013.</w:t>
      </w:r>
    </w:p>
    <w:p>
      <w:pPr>
        <w:spacing w:after="0"/>
        <w:jc w:val="left"/>
        <w:rPr>
          <w:sz w:val="20"/>
        </w:rPr>
        <w:sectPr>
          <w:pgSz w:w="12240" w:h="15840"/>
          <w:pgMar w:header="685" w:footer="1190" w:top="880" w:bottom="1380" w:left="1160" w:right="1140"/>
        </w:sectPr>
      </w:pPr>
    </w:p>
    <w:p>
      <w:pPr>
        <w:pStyle w:val="BodyText"/>
        <w:rPr>
          <w:b/>
          <w:i/>
          <w:sz w:val="20"/>
        </w:rPr>
      </w:pPr>
    </w:p>
    <w:p>
      <w:pPr>
        <w:pStyle w:val="BodyText"/>
        <w:rPr>
          <w:b/>
          <w:i/>
          <w:sz w:val="20"/>
        </w:rPr>
      </w:pPr>
    </w:p>
    <w:p>
      <w:pPr>
        <w:pStyle w:val="BodyText"/>
        <w:rPr>
          <w:b/>
          <w:i/>
          <w:sz w:val="20"/>
        </w:rPr>
      </w:pPr>
    </w:p>
    <w:p>
      <w:pPr>
        <w:pStyle w:val="BodyText"/>
        <w:spacing w:before="8"/>
        <w:rPr>
          <w:b/>
          <w:i/>
          <w:sz w:val="26"/>
        </w:rPr>
      </w:pPr>
    </w:p>
    <w:tbl>
      <w:tblPr>
        <w:tblW w:w="0" w:type="auto"/>
        <w:jc w:val="left"/>
        <w:tblInd w:w="111" w:type="dxa"/>
        <w:tblBorders>
          <w:top w:val="single" w:sz="23" w:space="0" w:color="5F5F5F"/>
          <w:left w:val="single" w:sz="23" w:space="0" w:color="5F5F5F"/>
          <w:bottom w:val="single" w:sz="23" w:space="0" w:color="5F5F5F"/>
          <w:right w:val="single" w:sz="23" w:space="0" w:color="5F5F5F"/>
          <w:insideH w:val="single" w:sz="23" w:space="0" w:color="5F5F5F"/>
          <w:insideV w:val="single" w:sz="23" w:space="0" w:color="5F5F5F"/>
        </w:tblBorders>
        <w:tblLayout w:type="fixed"/>
        <w:tblCellMar>
          <w:top w:w="0" w:type="dxa"/>
          <w:left w:w="0" w:type="dxa"/>
          <w:bottom w:w="0" w:type="dxa"/>
          <w:right w:w="0" w:type="dxa"/>
        </w:tblCellMar>
        <w:tblLook w:val="01E0"/>
      </w:tblPr>
      <w:tblGrid>
        <w:gridCol w:w="497"/>
        <w:gridCol w:w="2171"/>
        <w:gridCol w:w="2103"/>
        <w:gridCol w:w="2670"/>
        <w:gridCol w:w="2187"/>
      </w:tblGrid>
      <w:tr>
        <w:trPr>
          <w:trHeight w:val="286" w:hRule="exact"/>
        </w:trPr>
        <w:tc>
          <w:tcPr>
            <w:tcW w:w="9628" w:type="dxa"/>
            <w:gridSpan w:val="5"/>
            <w:tcBorders>
              <w:left w:val="single" w:sz="12" w:space="0" w:color="5F5F5F"/>
            </w:tcBorders>
          </w:tcPr>
          <w:p>
            <w:pPr>
              <w:pStyle w:val="TableParagraph"/>
              <w:spacing w:line="225" w:lineRule="exact"/>
              <w:ind w:left="2213"/>
              <w:rPr>
                <w:b/>
                <w:i/>
                <w:sz w:val="20"/>
              </w:rPr>
            </w:pPr>
            <w:r>
              <w:rPr>
                <w:b/>
                <w:i/>
                <w:sz w:val="20"/>
              </w:rPr>
              <w:t>Cuadro 18. Matriz de planificación del EML (Continúa).</w:t>
            </w:r>
          </w:p>
        </w:tc>
      </w:tr>
      <w:tr>
        <w:trPr>
          <w:trHeight w:val="519" w:hRule="exact"/>
        </w:trPr>
        <w:tc>
          <w:tcPr>
            <w:tcW w:w="2667" w:type="dxa"/>
            <w:gridSpan w:val="2"/>
            <w:tcBorders>
              <w:left w:val="single" w:sz="12" w:space="0" w:color="5F5F5F"/>
              <w:right w:val="single" w:sz="12" w:space="0" w:color="5F5F5F"/>
            </w:tcBorders>
          </w:tcPr>
          <w:p>
            <w:pPr>
              <w:pStyle w:val="TableParagraph"/>
              <w:tabs>
                <w:tab w:pos="2289" w:val="left" w:leader="none"/>
              </w:tabs>
              <w:spacing w:line="228" w:lineRule="exact"/>
              <w:ind w:left="95"/>
              <w:rPr>
                <w:b/>
                <w:sz w:val="20"/>
              </w:rPr>
            </w:pPr>
            <w:r>
              <w:rPr>
                <w:b/>
                <w:sz w:val="20"/>
              </w:rPr>
              <w:t>MATRIZ</w:t>
              <w:tab/>
              <w:t>DE</w:t>
            </w:r>
          </w:p>
          <w:p>
            <w:pPr>
              <w:pStyle w:val="TableParagraph"/>
              <w:ind w:left="95"/>
              <w:rPr>
                <w:b/>
                <w:sz w:val="20"/>
              </w:rPr>
            </w:pPr>
            <w:r>
              <w:rPr>
                <w:b/>
                <w:sz w:val="20"/>
              </w:rPr>
              <w:t>PLANIFICACIÓN</w:t>
            </w:r>
          </w:p>
        </w:tc>
        <w:tc>
          <w:tcPr>
            <w:tcW w:w="2103" w:type="dxa"/>
            <w:tcBorders>
              <w:left w:val="single" w:sz="12" w:space="0" w:color="5F5F5F"/>
              <w:bottom w:val="single" w:sz="12" w:space="0" w:color="5F5F5F"/>
            </w:tcBorders>
          </w:tcPr>
          <w:p>
            <w:pPr>
              <w:pStyle w:val="TableParagraph"/>
              <w:spacing w:line="228" w:lineRule="exact"/>
              <w:ind w:left="358" w:right="47"/>
              <w:rPr>
                <w:b/>
                <w:sz w:val="20"/>
              </w:rPr>
            </w:pPr>
            <w:r>
              <w:rPr>
                <w:b/>
                <w:sz w:val="20"/>
              </w:rPr>
              <w:t>INDICADORES</w:t>
            </w:r>
          </w:p>
        </w:tc>
        <w:tc>
          <w:tcPr>
            <w:tcW w:w="2670" w:type="dxa"/>
            <w:tcBorders>
              <w:bottom w:val="single" w:sz="12" w:space="0" w:color="5F5F5F"/>
            </w:tcBorders>
          </w:tcPr>
          <w:p>
            <w:pPr>
              <w:pStyle w:val="TableParagraph"/>
              <w:ind w:left="611" w:right="547" w:firstLine="86"/>
              <w:rPr>
                <w:b/>
                <w:sz w:val="20"/>
              </w:rPr>
            </w:pPr>
            <w:r>
              <w:rPr>
                <w:b/>
                <w:sz w:val="20"/>
              </w:rPr>
              <w:t>FUENTES DE VERIFICACIÓN</w:t>
            </w:r>
          </w:p>
        </w:tc>
        <w:tc>
          <w:tcPr>
            <w:tcW w:w="2187" w:type="dxa"/>
            <w:tcBorders>
              <w:bottom w:val="single" w:sz="12" w:space="0" w:color="5F5F5F"/>
            </w:tcBorders>
          </w:tcPr>
          <w:p>
            <w:pPr>
              <w:pStyle w:val="TableParagraph"/>
              <w:ind w:left="540" w:right="458" w:hanging="44"/>
              <w:rPr>
                <w:b/>
                <w:sz w:val="20"/>
              </w:rPr>
            </w:pPr>
            <w:r>
              <w:rPr>
                <w:b/>
                <w:sz w:val="20"/>
              </w:rPr>
              <w:t>SUPUESTO/ HIPÓTESIS</w:t>
            </w:r>
          </w:p>
        </w:tc>
      </w:tr>
      <w:tr>
        <w:trPr>
          <w:trHeight w:val="979" w:hRule="exact"/>
        </w:trPr>
        <w:tc>
          <w:tcPr>
            <w:tcW w:w="497" w:type="dxa"/>
            <w:vMerge w:val="restart"/>
            <w:tcBorders>
              <w:top w:val="single" w:sz="12" w:space="0" w:color="5F5F5F"/>
              <w:left w:val="single" w:sz="12" w:space="0" w:color="5F5F5F"/>
              <w:right w:val="single" w:sz="12" w:space="0" w:color="5F5F5F"/>
            </w:tcBorders>
            <w:textDirection w:val="btLr"/>
          </w:tcPr>
          <w:p>
            <w:pPr>
              <w:pStyle w:val="TableParagraph"/>
              <w:spacing w:before="129"/>
              <w:ind w:left="218"/>
              <w:rPr>
                <w:sz w:val="20"/>
              </w:rPr>
            </w:pPr>
            <w:r>
              <w:rPr>
                <w:spacing w:val="1"/>
                <w:w w:val="100"/>
                <w:sz w:val="20"/>
              </w:rPr>
              <w:t>O</w:t>
            </w:r>
            <w:r>
              <w:rPr>
                <w:spacing w:val="-2"/>
                <w:w w:val="100"/>
                <w:sz w:val="20"/>
              </w:rPr>
              <w:t>b</w:t>
            </w:r>
            <w:r>
              <w:rPr>
                <w:spacing w:val="-2"/>
                <w:w w:val="100"/>
                <w:sz w:val="20"/>
              </w:rPr>
              <w:t>j</w:t>
            </w:r>
            <w:r>
              <w:rPr>
                <w:spacing w:val="-2"/>
                <w:w w:val="100"/>
                <w:sz w:val="20"/>
              </w:rPr>
              <w:t>e</w:t>
            </w:r>
            <w:r>
              <w:rPr>
                <w:spacing w:val="1"/>
                <w:w w:val="100"/>
                <w:sz w:val="20"/>
              </w:rPr>
              <w:t>t</w:t>
            </w:r>
            <w:r>
              <w:rPr>
                <w:spacing w:val="-2"/>
                <w:w w:val="100"/>
                <w:sz w:val="20"/>
              </w:rPr>
              <w:t>i</w:t>
            </w:r>
            <w:r>
              <w:rPr>
                <w:w w:val="100"/>
                <w:sz w:val="20"/>
              </w:rPr>
              <w:t>v</w:t>
            </w:r>
            <w:r>
              <w:rPr>
                <w:spacing w:val="-2"/>
                <w:w w:val="100"/>
                <w:sz w:val="20"/>
              </w:rPr>
              <w:t>o</w:t>
            </w:r>
            <w:r>
              <w:rPr>
                <w:w w:val="100"/>
                <w:sz w:val="20"/>
              </w:rPr>
              <w:t>s</w:t>
            </w:r>
            <w:r>
              <w:rPr>
                <w:spacing w:val="1"/>
                <w:sz w:val="20"/>
              </w:rPr>
              <w:t> </w:t>
            </w:r>
            <w:r>
              <w:rPr>
                <w:spacing w:val="-2"/>
                <w:w w:val="100"/>
                <w:sz w:val="20"/>
              </w:rPr>
              <w:t>e</w:t>
            </w:r>
            <w:r>
              <w:rPr>
                <w:w w:val="100"/>
                <w:sz w:val="20"/>
              </w:rPr>
              <w:t>s</w:t>
            </w:r>
            <w:r>
              <w:rPr>
                <w:spacing w:val="-2"/>
                <w:w w:val="100"/>
                <w:sz w:val="20"/>
              </w:rPr>
              <w:t>p</w:t>
            </w:r>
            <w:r>
              <w:rPr>
                <w:spacing w:val="-2"/>
                <w:w w:val="100"/>
                <w:sz w:val="20"/>
              </w:rPr>
              <w:t>e</w:t>
            </w:r>
            <w:r>
              <w:rPr>
                <w:w w:val="100"/>
                <w:sz w:val="20"/>
              </w:rPr>
              <w:t>c</w:t>
            </w:r>
            <w:r>
              <w:rPr>
                <w:spacing w:val="1"/>
                <w:w w:val="100"/>
                <w:sz w:val="20"/>
              </w:rPr>
              <w:t>í</w:t>
            </w:r>
            <w:r>
              <w:rPr>
                <w:spacing w:val="1"/>
                <w:w w:val="100"/>
                <w:sz w:val="20"/>
              </w:rPr>
              <w:t>f</w:t>
            </w:r>
            <w:r>
              <w:rPr>
                <w:spacing w:val="-2"/>
                <w:w w:val="100"/>
                <w:sz w:val="20"/>
              </w:rPr>
              <w:t>i</w:t>
            </w:r>
            <w:r>
              <w:rPr>
                <w:w w:val="100"/>
                <w:sz w:val="20"/>
              </w:rPr>
              <w:t>c</w:t>
            </w:r>
            <w:r>
              <w:rPr>
                <w:spacing w:val="-2"/>
                <w:w w:val="100"/>
                <w:sz w:val="20"/>
              </w:rPr>
              <w:t>o</w:t>
            </w:r>
            <w:r>
              <w:rPr>
                <w:w w:val="100"/>
                <w:sz w:val="20"/>
              </w:rPr>
              <w:t>s</w:t>
            </w:r>
          </w:p>
        </w:tc>
        <w:tc>
          <w:tcPr>
            <w:tcW w:w="2171" w:type="dxa"/>
            <w:tcBorders>
              <w:top w:val="single" w:sz="12" w:space="0" w:color="5F5F5F"/>
              <w:left w:val="single" w:sz="12" w:space="0" w:color="5F5F5F"/>
              <w:right w:val="single" w:sz="12" w:space="0" w:color="5F5F5F"/>
            </w:tcBorders>
          </w:tcPr>
          <w:p>
            <w:pPr>
              <w:pStyle w:val="TableParagraph"/>
              <w:spacing w:before="16"/>
              <w:ind w:left="113" w:right="362"/>
              <w:rPr>
                <w:sz w:val="20"/>
              </w:rPr>
            </w:pPr>
            <w:r>
              <w:rPr>
                <w:sz w:val="20"/>
              </w:rPr>
              <w:t>7. Conservar y propagar especies nativas.</w:t>
            </w:r>
          </w:p>
        </w:tc>
        <w:tc>
          <w:tcPr>
            <w:tcW w:w="2103" w:type="dxa"/>
            <w:tcBorders>
              <w:top w:val="single" w:sz="12" w:space="0" w:color="5F5F5F"/>
              <w:left w:val="single" w:sz="12" w:space="0" w:color="5F5F5F"/>
            </w:tcBorders>
          </w:tcPr>
          <w:p>
            <w:pPr>
              <w:pStyle w:val="TableParagraph"/>
              <w:tabs>
                <w:tab w:pos="1787" w:val="left" w:leader="none"/>
                <w:tab w:pos="1903" w:val="left" w:leader="none"/>
              </w:tabs>
              <w:spacing w:before="16"/>
              <w:ind w:left="117" w:right="47"/>
              <w:rPr>
                <w:sz w:val="20"/>
              </w:rPr>
            </w:pPr>
            <w:r>
              <w:rPr>
                <w:sz w:val="20"/>
              </w:rPr>
              <w:t>Inventario</w:t>
              <w:tab/>
              <w:t>de especies conservadas</w:t>
              <w:tab/>
              <w:tab/>
              <w:t>y propagadas</w:t>
            </w:r>
          </w:p>
        </w:tc>
        <w:tc>
          <w:tcPr>
            <w:tcW w:w="2670" w:type="dxa"/>
            <w:tcBorders>
              <w:top w:val="single" w:sz="12" w:space="0" w:color="5F5F5F"/>
            </w:tcBorders>
          </w:tcPr>
          <w:p>
            <w:pPr>
              <w:pStyle w:val="TableParagraph"/>
              <w:spacing w:before="131"/>
              <w:ind w:left="103" w:right="46"/>
              <w:jc w:val="both"/>
              <w:rPr>
                <w:sz w:val="20"/>
              </w:rPr>
            </w:pPr>
            <w:r>
              <w:rPr>
                <w:sz w:val="20"/>
              </w:rPr>
              <w:t>Inventario del Herbario, bitácora de campo, evidencia fotográfica.</w:t>
            </w:r>
          </w:p>
        </w:tc>
        <w:tc>
          <w:tcPr>
            <w:tcW w:w="2187" w:type="dxa"/>
            <w:tcBorders>
              <w:top w:val="single" w:sz="12" w:space="0" w:color="5F5F5F"/>
            </w:tcBorders>
          </w:tcPr>
          <w:p>
            <w:pPr>
              <w:pStyle w:val="TableParagraph"/>
              <w:tabs>
                <w:tab w:pos="1408" w:val="left" w:leader="none"/>
              </w:tabs>
              <w:spacing w:before="16"/>
              <w:ind w:left="103" w:right="76"/>
              <w:rPr>
                <w:sz w:val="20"/>
              </w:rPr>
            </w:pPr>
            <w:r>
              <w:rPr>
                <w:sz w:val="20"/>
              </w:rPr>
              <w:t>La propagación de especies</w:t>
              <w:tab/>
              <w:t>nativas</w:t>
            </w:r>
          </w:p>
          <w:p>
            <w:pPr>
              <w:pStyle w:val="TableParagraph"/>
              <w:tabs>
                <w:tab w:pos="1840" w:val="left" w:leader="none"/>
              </w:tabs>
              <w:ind w:left="103" w:right="78"/>
              <w:rPr>
                <w:sz w:val="20"/>
              </w:rPr>
            </w:pPr>
            <w:r>
              <w:rPr>
                <w:sz w:val="20"/>
              </w:rPr>
              <w:t>favorece</w:t>
              <w:tab/>
            </w:r>
            <w:r>
              <w:rPr>
                <w:spacing w:val="-3"/>
                <w:sz w:val="20"/>
              </w:rPr>
              <w:t>su </w:t>
            </w:r>
            <w:r>
              <w:rPr>
                <w:sz w:val="20"/>
              </w:rPr>
              <w:t>conservación.</w:t>
            </w:r>
          </w:p>
        </w:tc>
      </w:tr>
      <w:tr>
        <w:trPr>
          <w:trHeight w:val="1431" w:hRule="exact"/>
        </w:trPr>
        <w:tc>
          <w:tcPr>
            <w:tcW w:w="497" w:type="dxa"/>
            <w:vMerge/>
            <w:tcBorders>
              <w:left w:val="single" w:sz="12" w:space="0" w:color="5F5F5F"/>
              <w:right w:val="single" w:sz="12" w:space="0" w:color="5F5F5F"/>
            </w:tcBorders>
            <w:textDirection w:val="btLr"/>
          </w:tcPr>
          <w:p>
            <w:pPr/>
          </w:p>
        </w:tc>
        <w:tc>
          <w:tcPr>
            <w:tcW w:w="2171" w:type="dxa"/>
            <w:tcBorders>
              <w:left w:val="single" w:sz="12" w:space="0" w:color="5F5F5F"/>
              <w:right w:val="single" w:sz="12" w:space="0" w:color="5F5F5F"/>
            </w:tcBorders>
          </w:tcPr>
          <w:p>
            <w:pPr>
              <w:pStyle w:val="TableParagraph"/>
              <w:spacing w:line="237" w:lineRule="auto" w:before="9"/>
              <w:ind w:left="113" w:right="218"/>
              <w:rPr>
                <w:sz w:val="20"/>
              </w:rPr>
            </w:pPr>
            <w:r>
              <w:rPr>
                <w:sz w:val="20"/>
              </w:rPr>
              <w:t>8. Gestionar los recursos financieros o materiales para el manejo del parque.</w:t>
            </w:r>
          </w:p>
        </w:tc>
        <w:tc>
          <w:tcPr>
            <w:tcW w:w="2103" w:type="dxa"/>
            <w:tcBorders>
              <w:left w:val="single" w:sz="12" w:space="0" w:color="5F5F5F"/>
            </w:tcBorders>
          </w:tcPr>
          <w:p>
            <w:pPr>
              <w:pStyle w:val="TableParagraph"/>
              <w:spacing w:before="2"/>
              <w:rPr>
                <w:b/>
                <w:i/>
                <w:sz w:val="20"/>
              </w:rPr>
            </w:pPr>
          </w:p>
          <w:p>
            <w:pPr>
              <w:pStyle w:val="TableParagraph"/>
              <w:tabs>
                <w:tab w:pos="1783" w:val="left" w:leader="none"/>
              </w:tabs>
              <w:spacing w:before="1"/>
              <w:ind w:left="117" w:right="51"/>
              <w:jc w:val="both"/>
              <w:rPr>
                <w:sz w:val="20"/>
              </w:rPr>
            </w:pPr>
            <w:r>
              <w:rPr>
                <w:sz w:val="20"/>
              </w:rPr>
              <w:t>Cantidad</w:t>
              <w:tab/>
              <w:t>de recursos financieros destinados para el manejo del</w:t>
            </w:r>
            <w:r>
              <w:rPr>
                <w:spacing w:val="-4"/>
                <w:sz w:val="20"/>
              </w:rPr>
              <w:t> </w:t>
            </w:r>
            <w:r>
              <w:rPr>
                <w:sz w:val="20"/>
              </w:rPr>
              <w:t>Parque.</w:t>
            </w:r>
          </w:p>
        </w:tc>
        <w:tc>
          <w:tcPr>
            <w:tcW w:w="2670" w:type="dxa"/>
          </w:tcPr>
          <w:p>
            <w:pPr>
              <w:pStyle w:val="TableParagraph"/>
              <w:tabs>
                <w:tab w:pos="1797" w:val="left" w:leader="none"/>
              </w:tabs>
              <w:spacing w:before="7"/>
              <w:ind w:left="103" w:right="49"/>
              <w:jc w:val="both"/>
              <w:rPr>
                <w:sz w:val="20"/>
              </w:rPr>
            </w:pPr>
            <w:r>
              <w:rPr>
                <w:sz w:val="20"/>
              </w:rPr>
              <w:t>Documentos probatorios (inventario,</w:t>
              <w:tab/>
            </w:r>
            <w:r>
              <w:rPr>
                <w:spacing w:val="-1"/>
                <w:sz w:val="20"/>
              </w:rPr>
              <w:t>registros </w:t>
            </w:r>
            <w:r>
              <w:rPr>
                <w:sz w:val="20"/>
              </w:rPr>
              <w:t>contables, entre otros), donde </w:t>
            </w:r>
            <w:r>
              <w:rPr>
                <w:spacing w:val="-3"/>
                <w:sz w:val="20"/>
              </w:rPr>
              <w:t>se </w:t>
            </w:r>
            <w:r>
              <w:rPr>
                <w:sz w:val="20"/>
              </w:rPr>
              <w:t>compruebe los recursos destinados al Parque.</w:t>
            </w:r>
          </w:p>
        </w:tc>
        <w:tc>
          <w:tcPr>
            <w:tcW w:w="2187" w:type="dxa"/>
          </w:tcPr>
          <w:p>
            <w:pPr>
              <w:pStyle w:val="TableParagraph"/>
              <w:spacing w:before="2"/>
              <w:rPr>
                <w:b/>
                <w:i/>
                <w:sz w:val="20"/>
              </w:rPr>
            </w:pPr>
          </w:p>
          <w:p>
            <w:pPr>
              <w:pStyle w:val="TableParagraph"/>
              <w:spacing w:before="1"/>
              <w:ind w:left="103" w:right="76"/>
              <w:jc w:val="both"/>
              <w:rPr>
                <w:sz w:val="20"/>
              </w:rPr>
            </w:pPr>
            <w:r>
              <w:rPr>
                <w:sz w:val="20"/>
              </w:rPr>
              <w:t>Se destinarán varias partidas financieras para la operación del Parque.</w:t>
            </w:r>
          </w:p>
        </w:tc>
      </w:tr>
    </w:tbl>
    <w:p>
      <w:pPr>
        <w:spacing w:before="12"/>
        <w:ind w:left="236" w:right="0" w:firstLine="0"/>
        <w:jc w:val="left"/>
        <w:rPr>
          <w:b/>
          <w:i/>
          <w:sz w:val="20"/>
        </w:rPr>
      </w:pPr>
      <w:r>
        <w:rPr>
          <w:b/>
          <w:i/>
          <w:sz w:val="20"/>
        </w:rPr>
        <w:t>Fuente: Elaboración propia, a partir de Camacho, 2001 y Gutiérrez, 2013.</w:t>
      </w:r>
    </w:p>
    <w:p>
      <w:pPr>
        <w:spacing w:after="0"/>
        <w:jc w:val="left"/>
        <w:rPr>
          <w:sz w:val="20"/>
        </w:rPr>
        <w:sectPr>
          <w:pgSz w:w="12240" w:h="15840"/>
          <w:pgMar w:header="685" w:footer="1190" w:top="880" w:bottom="1380" w:left="1180" w:right="1140"/>
        </w:sectPr>
      </w:pPr>
    </w:p>
    <w:p>
      <w:pPr>
        <w:pStyle w:val="BodyText"/>
        <w:rPr>
          <w:b/>
          <w:i/>
          <w:sz w:val="20"/>
        </w:rPr>
      </w:pPr>
    </w:p>
    <w:p>
      <w:pPr>
        <w:pStyle w:val="BodyText"/>
        <w:rPr>
          <w:b/>
          <w:i/>
          <w:sz w:val="20"/>
        </w:rPr>
      </w:pPr>
    </w:p>
    <w:p>
      <w:pPr>
        <w:pStyle w:val="BodyText"/>
        <w:rPr>
          <w:b/>
          <w:i/>
          <w:sz w:val="20"/>
        </w:rPr>
      </w:pPr>
    </w:p>
    <w:p>
      <w:pPr>
        <w:spacing w:line="360" w:lineRule="auto" w:before="188"/>
        <w:ind w:left="236" w:right="0" w:firstLine="0"/>
        <w:jc w:val="left"/>
        <w:rPr>
          <w:sz w:val="22"/>
        </w:rPr>
      </w:pPr>
      <w:r>
        <w:rPr>
          <w:sz w:val="22"/>
        </w:rPr>
        <w:t>Posteriormente, en el cuadro 19, se establecieron las actividades que se deberán realizar para cumplir con los objetivos previstos anteriormente.</w:t>
      </w:r>
    </w:p>
    <w:p>
      <w:pPr>
        <w:pStyle w:val="BodyText"/>
        <w:rPr>
          <w:sz w:val="20"/>
        </w:rPr>
      </w:pPr>
    </w:p>
    <w:p>
      <w:pPr>
        <w:pStyle w:val="BodyText"/>
        <w:spacing w:before="3"/>
        <w:rPr>
          <w:sz w:val="13"/>
        </w:rPr>
      </w:pPr>
    </w:p>
    <w:tbl>
      <w:tblPr>
        <w:tblW w:w="0" w:type="auto"/>
        <w:jc w:val="left"/>
        <w:tblInd w:w="111"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9896"/>
        <w:gridCol w:w="3333"/>
      </w:tblGrid>
      <w:tr>
        <w:trPr>
          <w:trHeight w:val="408" w:hRule="exact"/>
        </w:trPr>
        <w:tc>
          <w:tcPr>
            <w:tcW w:w="13228" w:type="dxa"/>
            <w:gridSpan w:val="2"/>
            <w:tcBorders>
              <w:top w:val="single" w:sz="23" w:space="0" w:color="5F5F5F"/>
              <w:bottom w:val="single" w:sz="23" w:space="0" w:color="5F5F5F"/>
              <w:right w:val="single" w:sz="23" w:space="0" w:color="5F5F5F"/>
            </w:tcBorders>
          </w:tcPr>
          <w:p>
            <w:pPr>
              <w:pStyle w:val="TableParagraph"/>
              <w:spacing w:line="225" w:lineRule="exact"/>
              <w:ind w:left="3696"/>
              <w:rPr>
                <w:b/>
                <w:i/>
                <w:sz w:val="20"/>
              </w:rPr>
            </w:pPr>
            <w:r>
              <w:rPr>
                <w:b/>
                <w:i/>
                <w:sz w:val="20"/>
              </w:rPr>
              <w:t>Cuadro 19. Actividades de la Matriz de planificación del EML.</w:t>
            </w:r>
          </w:p>
        </w:tc>
      </w:tr>
      <w:tr>
        <w:trPr>
          <w:trHeight w:val="437" w:hRule="exact"/>
        </w:trPr>
        <w:tc>
          <w:tcPr>
            <w:tcW w:w="9896" w:type="dxa"/>
            <w:tcBorders>
              <w:top w:val="single" w:sz="23" w:space="0" w:color="5F5F5F"/>
              <w:bottom w:val="single" w:sz="23" w:space="0" w:color="5F5F5F"/>
            </w:tcBorders>
          </w:tcPr>
          <w:p>
            <w:pPr>
              <w:pStyle w:val="TableParagraph"/>
              <w:spacing w:line="248" w:lineRule="exact"/>
              <w:ind w:left="4165" w:right="4170"/>
              <w:jc w:val="center"/>
              <w:rPr>
                <w:b/>
                <w:sz w:val="22"/>
              </w:rPr>
            </w:pPr>
            <w:r>
              <w:rPr>
                <w:b/>
                <w:sz w:val="22"/>
              </w:rPr>
              <w:t>ACTIVIDADES</w:t>
            </w:r>
          </w:p>
        </w:tc>
        <w:tc>
          <w:tcPr>
            <w:tcW w:w="3333" w:type="dxa"/>
            <w:tcBorders>
              <w:top w:val="single" w:sz="23" w:space="0" w:color="5F5F5F"/>
              <w:bottom w:val="single" w:sz="23" w:space="0" w:color="5F5F5F"/>
              <w:right w:val="single" w:sz="23" w:space="0" w:color="5F5F5F"/>
            </w:tcBorders>
          </w:tcPr>
          <w:p>
            <w:pPr>
              <w:pStyle w:val="TableParagraph"/>
              <w:spacing w:line="248" w:lineRule="exact"/>
              <w:ind w:left="370"/>
              <w:rPr>
                <w:b/>
                <w:sz w:val="22"/>
              </w:rPr>
            </w:pPr>
            <w:r>
              <w:rPr>
                <w:b/>
                <w:sz w:val="22"/>
              </w:rPr>
              <w:t>SUPUESTO / HIPÓTESIS</w:t>
            </w:r>
          </w:p>
        </w:tc>
      </w:tr>
      <w:tr>
        <w:trPr>
          <w:trHeight w:val="6137" w:hRule="exact"/>
        </w:trPr>
        <w:tc>
          <w:tcPr>
            <w:tcW w:w="9896" w:type="dxa"/>
            <w:tcBorders>
              <w:top w:val="single" w:sz="23" w:space="0" w:color="5F5F5F"/>
            </w:tcBorders>
          </w:tcPr>
          <w:p>
            <w:pPr>
              <w:pStyle w:val="TableParagraph"/>
              <w:numPr>
                <w:ilvl w:val="1"/>
                <w:numId w:val="17"/>
              </w:numPr>
              <w:tabs>
                <w:tab w:pos="476" w:val="left" w:leader="none"/>
              </w:tabs>
              <w:spacing w:line="360" w:lineRule="auto" w:before="5" w:after="0"/>
              <w:ind w:left="96" w:right="95" w:firstLine="0"/>
              <w:jc w:val="both"/>
              <w:rPr>
                <w:sz w:val="22"/>
              </w:rPr>
            </w:pPr>
            <w:r>
              <w:rPr>
                <w:sz w:val="22"/>
              </w:rPr>
              <w:t>Realizar una propuesta de manejo y conservación ambiental de conformidad con los Términos de referencia del Programa de Conservación y Manejo de la Ley General del Equilibrio Ecológico y la Protección al Ambiente, el cual deberá incluir el siguientes</w:t>
            </w:r>
            <w:r>
              <w:rPr>
                <w:spacing w:val="-29"/>
                <w:sz w:val="22"/>
              </w:rPr>
              <w:t> </w:t>
            </w:r>
            <w:r>
              <w:rPr>
                <w:sz w:val="22"/>
              </w:rPr>
              <w:t>contenido:</w:t>
            </w:r>
          </w:p>
          <w:p>
            <w:pPr>
              <w:pStyle w:val="TableParagraph"/>
              <w:numPr>
                <w:ilvl w:val="2"/>
                <w:numId w:val="17"/>
              </w:numPr>
              <w:tabs>
                <w:tab w:pos="668" w:val="left" w:leader="none"/>
              </w:tabs>
              <w:spacing w:line="240" w:lineRule="auto" w:before="3" w:after="0"/>
              <w:ind w:left="240" w:right="0" w:firstLine="0"/>
              <w:jc w:val="both"/>
              <w:rPr>
                <w:sz w:val="22"/>
              </w:rPr>
            </w:pPr>
            <w:r>
              <w:rPr>
                <w:sz w:val="22"/>
              </w:rPr>
              <w:t>Introducción (Antecedentes y</w:t>
            </w:r>
            <w:r>
              <w:rPr>
                <w:spacing w:val="-21"/>
                <w:sz w:val="22"/>
              </w:rPr>
              <w:t> </w:t>
            </w:r>
            <w:r>
              <w:rPr>
                <w:sz w:val="22"/>
              </w:rPr>
              <w:t>justificación)</w:t>
            </w:r>
          </w:p>
          <w:p>
            <w:pPr>
              <w:pStyle w:val="TableParagraph"/>
              <w:numPr>
                <w:ilvl w:val="2"/>
                <w:numId w:val="17"/>
              </w:numPr>
              <w:tabs>
                <w:tab w:pos="668" w:val="left" w:leader="none"/>
              </w:tabs>
              <w:spacing w:line="240" w:lineRule="auto" w:before="126" w:after="0"/>
              <w:ind w:left="667" w:right="0" w:hanging="427"/>
              <w:jc w:val="both"/>
              <w:rPr>
                <w:sz w:val="22"/>
              </w:rPr>
            </w:pPr>
            <w:r>
              <w:rPr>
                <w:sz w:val="22"/>
              </w:rPr>
              <w:t>Objetivos de la</w:t>
            </w:r>
            <w:r>
              <w:rPr>
                <w:spacing w:val="-12"/>
                <w:sz w:val="22"/>
              </w:rPr>
              <w:t> </w:t>
            </w:r>
            <w:r>
              <w:rPr>
                <w:sz w:val="22"/>
              </w:rPr>
              <w:t>propuesta</w:t>
            </w:r>
          </w:p>
          <w:p>
            <w:pPr>
              <w:pStyle w:val="TableParagraph"/>
              <w:numPr>
                <w:ilvl w:val="2"/>
                <w:numId w:val="17"/>
              </w:numPr>
              <w:tabs>
                <w:tab w:pos="668" w:val="left" w:leader="none"/>
              </w:tabs>
              <w:spacing w:line="240" w:lineRule="auto" w:before="126" w:after="0"/>
              <w:ind w:left="667" w:right="0" w:hanging="427"/>
              <w:jc w:val="both"/>
              <w:rPr>
                <w:sz w:val="22"/>
              </w:rPr>
            </w:pPr>
            <w:r>
              <w:rPr>
                <w:sz w:val="22"/>
              </w:rPr>
              <w:t>Misión y</w:t>
            </w:r>
            <w:r>
              <w:rPr>
                <w:spacing w:val="-6"/>
                <w:sz w:val="22"/>
              </w:rPr>
              <w:t> </w:t>
            </w:r>
            <w:r>
              <w:rPr>
                <w:sz w:val="22"/>
              </w:rPr>
              <w:t>visión</w:t>
            </w:r>
          </w:p>
          <w:p>
            <w:pPr>
              <w:pStyle w:val="TableParagraph"/>
              <w:numPr>
                <w:ilvl w:val="2"/>
                <w:numId w:val="17"/>
              </w:numPr>
              <w:tabs>
                <w:tab w:pos="668" w:val="left" w:leader="none"/>
              </w:tabs>
              <w:spacing w:line="360" w:lineRule="auto" w:before="126" w:after="0"/>
              <w:ind w:left="240" w:right="89" w:firstLine="0"/>
              <w:jc w:val="both"/>
              <w:rPr>
                <w:sz w:val="22"/>
              </w:rPr>
            </w:pPr>
            <w:r>
              <w:rPr>
                <w:sz w:val="22"/>
              </w:rPr>
              <w:t>Descripción del área (Descripción geográfica, características físicas y biológicas, contexto histórico, cultural paisajístico, demográfico, económico, social, legal y administrativo; uso del suelo, estudios e</w:t>
            </w:r>
            <w:r>
              <w:rPr>
                <w:spacing w:val="-11"/>
                <w:sz w:val="22"/>
              </w:rPr>
              <w:t> </w:t>
            </w:r>
            <w:r>
              <w:rPr>
                <w:sz w:val="22"/>
              </w:rPr>
              <w:t>investigaciones).</w:t>
            </w:r>
          </w:p>
          <w:p>
            <w:pPr>
              <w:pStyle w:val="TableParagraph"/>
              <w:numPr>
                <w:ilvl w:val="2"/>
                <w:numId w:val="17"/>
              </w:numPr>
              <w:tabs>
                <w:tab w:pos="668" w:val="left" w:leader="none"/>
              </w:tabs>
              <w:spacing w:line="240" w:lineRule="auto" w:before="3" w:after="0"/>
              <w:ind w:left="667" w:right="0" w:hanging="427"/>
              <w:jc w:val="both"/>
              <w:rPr>
                <w:sz w:val="22"/>
              </w:rPr>
            </w:pPr>
            <w:r>
              <w:rPr>
                <w:sz w:val="22"/>
              </w:rPr>
              <w:t>Diagnóstico</w:t>
            </w:r>
            <w:r>
              <w:rPr>
                <w:spacing w:val="-5"/>
                <w:sz w:val="22"/>
              </w:rPr>
              <w:t> </w:t>
            </w:r>
            <w:r>
              <w:rPr>
                <w:sz w:val="22"/>
              </w:rPr>
              <w:t>y</w:t>
            </w:r>
            <w:r>
              <w:rPr>
                <w:spacing w:val="-10"/>
                <w:sz w:val="22"/>
              </w:rPr>
              <w:t> </w:t>
            </w:r>
            <w:r>
              <w:rPr>
                <w:sz w:val="22"/>
              </w:rPr>
              <w:t>problemática</w:t>
            </w:r>
            <w:r>
              <w:rPr>
                <w:spacing w:val="-5"/>
                <w:sz w:val="22"/>
              </w:rPr>
              <w:t> </w:t>
            </w:r>
            <w:r>
              <w:rPr>
                <w:sz w:val="22"/>
              </w:rPr>
              <w:t>(ambiental,</w:t>
            </w:r>
            <w:r>
              <w:rPr>
                <w:spacing w:val="-9"/>
                <w:sz w:val="22"/>
              </w:rPr>
              <w:t> </w:t>
            </w:r>
            <w:r>
              <w:rPr>
                <w:sz w:val="22"/>
              </w:rPr>
              <w:t>diagnóstico</w:t>
            </w:r>
            <w:r>
              <w:rPr>
                <w:spacing w:val="-5"/>
                <w:sz w:val="22"/>
              </w:rPr>
              <w:t> </w:t>
            </w:r>
            <w:r>
              <w:rPr>
                <w:sz w:val="22"/>
              </w:rPr>
              <w:t>demográfico,</w:t>
            </w:r>
            <w:r>
              <w:rPr>
                <w:spacing w:val="-9"/>
                <w:sz w:val="22"/>
              </w:rPr>
              <w:t> </w:t>
            </w:r>
            <w:r>
              <w:rPr>
                <w:sz w:val="22"/>
              </w:rPr>
              <w:t>económico</w:t>
            </w:r>
            <w:r>
              <w:rPr>
                <w:spacing w:val="-5"/>
                <w:sz w:val="22"/>
              </w:rPr>
              <w:t> </w:t>
            </w:r>
            <w:r>
              <w:rPr>
                <w:sz w:val="22"/>
              </w:rPr>
              <w:t>y</w:t>
            </w:r>
            <w:r>
              <w:rPr>
                <w:spacing w:val="-6"/>
                <w:sz w:val="22"/>
              </w:rPr>
              <w:t> </w:t>
            </w:r>
            <w:r>
              <w:rPr>
                <w:sz w:val="22"/>
              </w:rPr>
              <w:t>social).</w:t>
            </w:r>
          </w:p>
          <w:p>
            <w:pPr>
              <w:pStyle w:val="TableParagraph"/>
              <w:numPr>
                <w:ilvl w:val="2"/>
                <w:numId w:val="17"/>
              </w:numPr>
              <w:tabs>
                <w:tab w:pos="667" w:val="left" w:leader="none"/>
                <w:tab w:pos="668" w:val="left" w:leader="none"/>
              </w:tabs>
              <w:spacing w:line="360" w:lineRule="auto" w:before="126" w:after="0"/>
              <w:ind w:left="240" w:right="104" w:firstLine="0"/>
              <w:jc w:val="left"/>
              <w:rPr>
                <w:sz w:val="22"/>
              </w:rPr>
            </w:pPr>
            <w:r>
              <w:rPr>
                <w:sz w:val="22"/>
              </w:rPr>
              <w:t>Subprogramas de conservación (Protección, manejo, restauración, conocimiento, gestión y matriz de</w:t>
            </w:r>
            <w:r>
              <w:rPr>
                <w:spacing w:val="-7"/>
                <w:sz w:val="22"/>
              </w:rPr>
              <w:t> </w:t>
            </w:r>
            <w:r>
              <w:rPr>
                <w:sz w:val="22"/>
              </w:rPr>
              <w:t>manejo).</w:t>
            </w:r>
          </w:p>
          <w:p>
            <w:pPr>
              <w:pStyle w:val="TableParagraph"/>
              <w:numPr>
                <w:ilvl w:val="2"/>
                <w:numId w:val="17"/>
              </w:numPr>
              <w:tabs>
                <w:tab w:pos="667" w:val="left" w:leader="none"/>
                <w:tab w:pos="668" w:val="left" w:leader="none"/>
              </w:tabs>
              <w:spacing w:line="360" w:lineRule="auto" w:before="8" w:after="0"/>
              <w:ind w:left="240" w:right="102" w:firstLine="0"/>
              <w:jc w:val="left"/>
              <w:rPr>
                <w:sz w:val="22"/>
              </w:rPr>
            </w:pPr>
            <w:r>
              <w:rPr>
                <w:sz w:val="22"/>
              </w:rPr>
              <w:t>Ordenamiento ecológico y zonificación (ordenamiento ecológico, criterios de zonificación, zonificación y</w:t>
            </w:r>
            <w:r>
              <w:rPr>
                <w:spacing w:val="-8"/>
                <w:sz w:val="22"/>
              </w:rPr>
              <w:t> </w:t>
            </w:r>
            <w:r>
              <w:rPr>
                <w:sz w:val="22"/>
              </w:rPr>
              <w:t>cartografía).</w:t>
            </w:r>
          </w:p>
          <w:p>
            <w:pPr>
              <w:pStyle w:val="TableParagraph"/>
              <w:numPr>
                <w:ilvl w:val="2"/>
                <w:numId w:val="17"/>
              </w:numPr>
              <w:tabs>
                <w:tab w:pos="667" w:val="left" w:leader="none"/>
                <w:tab w:pos="668" w:val="left" w:leader="none"/>
              </w:tabs>
              <w:spacing w:line="360" w:lineRule="auto" w:before="3" w:after="0"/>
              <w:ind w:left="240" w:right="91" w:firstLine="0"/>
              <w:jc w:val="left"/>
              <w:rPr>
                <w:sz w:val="22"/>
              </w:rPr>
            </w:pPr>
            <w:r>
              <w:rPr>
                <w:sz w:val="22"/>
              </w:rPr>
              <w:t>Reglas administrativas; 9. Programa Operativo Anual; 10. Evaluación de efectividad; 11. Bibliografía; 12. Anexos (listado florístico y faunístico, cartografía y</w:t>
            </w:r>
            <w:r>
              <w:rPr>
                <w:spacing w:val="-43"/>
                <w:sz w:val="22"/>
              </w:rPr>
              <w:t> </w:t>
            </w:r>
            <w:r>
              <w:rPr>
                <w:sz w:val="22"/>
              </w:rPr>
              <w:t>legislación aplicable).</w:t>
            </w:r>
          </w:p>
        </w:tc>
        <w:tc>
          <w:tcPr>
            <w:tcW w:w="3333" w:type="dxa"/>
            <w:tcBorders>
              <w:top w:val="single" w:sz="23" w:space="0" w:color="5F5F5F"/>
              <w:right w:val="single" w:sz="23" w:space="0" w:color="5F5F5F"/>
            </w:tcBorders>
          </w:tcPr>
          <w:p>
            <w:pPr>
              <w:pStyle w:val="TableParagraph"/>
              <w:spacing w:line="360" w:lineRule="auto" w:before="5"/>
              <w:ind w:left="96" w:right="73"/>
              <w:jc w:val="both"/>
              <w:rPr>
                <w:sz w:val="22"/>
              </w:rPr>
            </w:pPr>
            <w:r>
              <w:rPr>
                <w:sz w:val="22"/>
              </w:rPr>
              <w:t>La propuesta de manejo y conservación ambiental cumple con los Términos de referencia del Programa de conservación y manejo de la Ley General del Equilibrio Ecológico y la Protección al</w:t>
            </w:r>
            <w:r>
              <w:rPr>
                <w:spacing w:val="-10"/>
                <w:sz w:val="22"/>
              </w:rPr>
              <w:t> </w:t>
            </w:r>
            <w:r>
              <w:rPr>
                <w:sz w:val="22"/>
              </w:rPr>
              <w:t>Ambiente.</w:t>
            </w:r>
          </w:p>
        </w:tc>
      </w:tr>
    </w:tbl>
    <w:p>
      <w:pPr>
        <w:spacing w:after="0" w:line="360" w:lineRule="auto"/>
        <w:jc w:val="both"/>
        <w:rPr>
          <w:sz w:val="22"/>
        </w:rPr>
        <w:sectPr>
          <w:headerReference w:type="default" r:id="rId121"/>
          <w:footerReference w:type="default" r:id="rId122"/>
          <w:pgSz w:w="15840" w:h="12240" w:orient="landscape"/>
          <w:pgMar w:header="685" w:footer="1190" w:top="880" w:bottom="1380" w:left="1180" w:right="1140"/>
          <w:pgNumType w:start="105"/>
        </w:sectPr>
      </w:pPr>
    </w:p>
    <w:p>
      <w:pPr>
        <w:pStyle w:val="BodyText"/>
        <w:rPr>
          <w:rFonts w:ascii="Times New Roman"/>
          <w:sz w:val="20"/>
        </w:rPr>
      </w:pPr>
    </w:p>
    <w:p>
      <w:pPr>
        <w:pStyle w:val="BodyText"/>
        <w:spacing w:before="5"/>
        <w:rPr>
          <w:rFonts w:ascii="Times New Roman"/>
          <w:sz w:val="27"/>
        </w:rPr>
      </w:pPr>
    </w:p>
    <w:tbl>
      <w:tblPr>
        <w:tblW w:w="0" w:type="auto"/>
        <w:jc w:val="left"/>
        <w:tblInd w:w="11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7769"/>
        <w:gridCol w:w="5481"/>
      </w:tblGrid>
      <w:tr>
        <w:trPr>
          <w:trHeight w:val="401" w:hRule="exact"/>
        </w:trPr>
        <w:tc>
          <w:tcPr>
            <w:tcW w:w="13250" w:type="dxa"/>
            <w:gridSpan w:val="2"/>
            <w:tcBorders>
              <w:bottom w:val="single" w:sz="23" w:space="0" w:color="5F5F5F"/>
              <w:right w:val="single" w:sz="23" w:space="0" w:color="5F5F5F"/>
            </w:tcBorders>
          </w:tcPr>
          <w:p>
            <w:pPr>
              <w:pStyle w:val="TableParagraph"/>
              <w:spacing w:before="9"/>
              <w:ind w:left="3190"/>
              <w:rPr>
                <w:b/>
                <w:i/>
                <w:sz w:val="20"/>
              </w:rPr>
            </w:pPr>
            <w:r>
              <w:rPr>
                <w:b/>
                <w:i/>
                <w:sz w:val="20"/>
              </w:rPr>
              <w:t>Cuadro 19. Actividades de la Matriz de planificación del EML (Continúa).</w:t>
            </w:r>
          </w:p>
        </w:tc>
      </w:tr>
      <w:tr>
        <w:trPr>
          <w:trHeight w:val="451" w:hRule="exact"/>
        </w:trPr>
        <w:tc>
          <w:tcPr>
            <w:tcW w:w="7769" w:type="dxa"/>
            <w:tcBorders>
              <w:top w:val="single" w:sz="23" w:space="0" w:color="5F5F5F"/>
              <w:bottom w:val="single" w:sz="23" w:space="0" w:color="5F5F5F"/>
            </w:tcBorders>
          </w:tcPr>
          <w:p>
            <w:pPr>
              <w:pStyle w:val="TableParagraph"/>
              <w:spacing w:before="2"/>
              <w:ind w:left="3119" w:right="3089"/>
              <w:jc w:val="center"/>
              <w:rPr>
                <w:b/>
                <w:sz w:val="22"/>
              </w:rPr>
            </w:pPr>
            <w:r>
              <w:rPr>
                <w:b/>
                <w:sz w:val="22"/>
              </w:rPr>
              <w:t>ACTIVIDADES</w:t>
            </w:r>
          </w:p>
        </w:tc>
        <w:tc>
          <w:tcPr>
            <w:tcW w:w="5481" w:type="dxa"/>
            <w:tcBorders>
              <w:top w:val="single" w:sz="23" w:space="0" w:color="5F5F5F"/>
              <w:bottom w:val="single" w:sz="23" w:space="0" w:color="5F5F5F"/>
              <w:right w:val="single" w:sz="23" w:space="0" w:color="5F5F5F"/>
            </w:tcBorders>
          </w:tcPr>
          <w:p>
            <w:pPr>
              <w:pStyle w:val="TableParagraph"/>
              <w:spacing w:before="2"/>
              <w:ind w:left="1452" w:right="83"/>
              <w:rPr>
                <w:b/>
                <w:sz w:val="22"/>
              </w:rPr>
            </w:pPr>
            <w:r>
              <w:rPr>
                <w:b/>
                <w:sz w:val="22"/>
              </w:rPr>
              <w:t>SUPUESTO / HIPÓTESIS</w:t>
            </w:r>
          </w:p>
        </w:tc>
      </w:tr>
      <w:tr>
        <w:trPr>
          <w:trHeight w:val="1200" w:hRule="exact"/>
        </w:trPr>
        <w:tc>
          <w:tcPr>
            <w:tcW w:w="7769" w:type="dxa"/>
            <w:tcBorders>
              <w:top w:val="single" w:sz="23" w:space="0" w:color="5F5F5F"/>
              <w:bottom w:val="single" w:sz="23" w:space="0" w:color="5F5F5F"/>
            </w:tcBorders>
          </w:tcPr>
          <w:p>
            <w:pPr>
              <w:pStyle w:val="TableParagraph"/>
              <w:spacing w:line="360" w:lineRule="auto"/>
              <w:ind w:left="117" w:right="110"/>
              <w:rPr>
                <w:sz w:val="22"/>
              </w:rPr>
            </w:pPr>
            <w:r>
              <w:rPr>
                <w:sz w:val="22"/>
              </w:rPr>
              <w:t>2.1 Gestionar ante la Asociación Mexicana de Jardines Botánicos, A. C. la incorporación del Jardín Botánico Regional “José Mariano Mociño”.</w:t>
            </w:r>
          </w:p>
        </w:tc>
        <w:tc>
          <w:tcPr>
            <w:tcW w:w="5481" w:type="dxa"/>
            <w:tcBorders>
              <w:top w:val="single" w:sz="23" w:space="0" w:color="5F5F5F"/>
              <w:bottom w:val="single" w:sz="23" w:space="0" w:color="5F5F5F"/>
              <w:right w:val="single" w:sz="23" w:space="0" w:color="5F5F5F"/>
            </w:tcBorders>
          </w:tcPr>
          <w:p>
            <w:pPr>
              <w:pStyle w:val="TableParagraph"/>
              <w:spacing w:line="360" w:lineRule="auto"/>
              <w:ind w:left="117" w:right="78"/>
              <w:jc w:val="both"/>
              <w:rPr>
                <w:sz w:val="22"/>
              </w:rPr>
            </w:pPr>
            <w:r>
              <w:rPr>
                <w:sz w:val="22"/>
              </w:rPr>
              <w:t>Jardín Botánico Regional “José Mariano Mociño” se integra en la Asociación Mexicana de Jardines Botánicos, A. C.</w:t>
            </w:r>
          </w:p>
        </w:tc>
      </w:tr>
      <w:tr>
        <w:trPr>
          <w:trHeight w:val="1201" w:hRule="exact"/>
        </w:trPr>
        <w:tc>
          <w:tcPr>
            <w:tcW w:w="7769" w:type="dxa"/>
            <w:tcBorders>
              <w:top w:val="single" w:sz="23" w:space="0" w:color="5F5F5F"/>
              <w:bottom w:val="single" w:sz="23" w:space="0" w:color="5F5F5F"/>
            </w:tcBorders>
          </w:tcPr>
          <w:p>
            <w:pPr>
              <w:pStyle w:val="TableParagraph"/>
              <w:spacing w:line="360" w:lineRule="auto"/>
              <w:ind w:left="117" w:right="81"/>
              <w:jc w:val="both"/>
              <w:rPr>
                <w:sz w:val="22"/>
              </w:rPr>
            </w:pPr>
            <w:r>
              <w:rPr>
                <w:sz w:val="22"/>
              </w:rPr>
              <w:t>3.1 Instalar una planta de tratamiento, biodigestor o sistema de tratamiento de aguas residuales y realizar las descargas conforme a la legislación aplicable vigente.</w:t>
            </w:r>
          </w:p>
        </w:tc>
        <w:tc>
          <w:tcPr>
            <w:tcW w:w="5481" w:type="dxa"/>
            <w:tcBorders>
              <w:top w:val="single" w:sz="23" w:space="0" w:color="5F5F5F"/>
              <w:bottom w:val="single" w:sz="23" w:space="0" w:color="5F5F5F"/>
              <w:right w:val="single" w:sz="23" w:space="0" w:color="5F5F5F"/>
            </w:tcBorders>
          </w:tcPr>
          <w:p>
            <w:pPr>
              <w:pStyle w:val="TableParagraph"/>
              <w:spacing w:line="360" w:lineRule="auto"/>
              <w:ind w:left="117" w:right="83"/>
              <w:rPr>
                <w:sz w:val="22"/>
              </w:rPr>
            </w:pPr>
            <w:r>
              <w:rPr>
                <w:sz w:val="22"/>
              </w:rPr>
              <w:t>El sistema de tratamiento de aguas residuales funciona adecuadamente.</w:t>
            </w:r>
          </w:p>
        </w:tc>
      </w:tr>
      <w:tr>
        <w:trPr>
          <w:trHeight w:val="816" w:hRule="exact"/>
        </w:trPr>
        <w:tc>
          <w:tcPr>
            <w:tcW w:w="7769" w:type="dxa"/>
            <w:tcBorders>
              <w:top w:val="single" w:sz="23" w:space="0" w:color="5F5F5F"/>
            </w:tcBorders>
          </w:tcPr>
          <w:p>
            <w:pPr>
              <w:pStyle w:val="TableParagraph"/>
              <w:spacing w:line="360" w:lineRule="auto"/>
              <w:ind w:left="117" w:right="110"/>
              <w:rPr>
                <w:sz w:val="22"/>
              </w:rPr>
            </w:pPr>
            <w:r>
              <w:rPr>
                <w:sz w:val="22"/>
              </w:rPr>
              <w:t>3.2 Solicitar a un laboratorio acreditado, el análisis del agua tratada para verificar que cumpla con la legislación ambiental vigente.</w:t>
            </w:r>
          </w:p>
        </w:tc>
        <w:tc>
          <w:tcPr>
            <w:tcW w:w="5481" w:type="dxa"/>
            <w:tcBorders>
              <w:top w:val="single" w:sz="23" w:space="0" w:color="5F5F5F"/>
              <w:right w:val="single" w:sz="23" w:space="0" w:color="5F5F5F"/>
            </w:tcBorders>
          </w:tcPr>
          <w:p>
            <w:pPr>
              <w:pStyle w:val="TableParagraph"/>
              <w:tabs>
                <w:tab w:pos="548" w:val="left" w:leader="none"/>
                <w:tab w:pos="1277" w:val="left" w:leader="none"/>
                <w:tab w:pos="2192" w:val="left" w:leader="none"/>
                <w:tab w:pos="3137" w:val="left" w:leader="none"/>
                <w:tab w:pos="3727" w:val="left" w:leader="none"/>
                <w:tab w:pos="4240" w:val="left" w:leader="none"/>
              </w:tabs>
              <w:spacing w:line="360" w:lineRule="auto"/>
              <w:ind w:left="117" w:right="83"/>
              <w:rPr>
                <w:sz w:val="22"/>
              </w:rPr>
            </w:pPr>
            <w:r>
              <w:rPr>
                <w:sz w:val="22"/>
              </w:rPr>
              <w:t>El</w:t>
              <w:tab/>
              <w:t>agua</w:t>
              <w:tab/>
              <w:t>tratada</w:t>
              <w:tab/>
              <w:t>cumple</w:t>
              <w:tab/>
              <w:t>con</w:t>
              <w:tab/>
              <w:t>los</w:t>
              <w:tab/>
            </w:r>
            <w:r>
              <w:rPr>
                <w:spacing w:val="-1"/>
                <w:sz w:val="22"/>
              </w:rPr>
              <w:t>parámetros </w:t>
            </w:r>
            <w:r>
              <w:rPr>
                <w:sz w:val="22"/>
              </w:rPr>
              <w:t>permitidos por la legislación ambiental</w:t>
            </w:r>
            <w:r>
              <w:rPr>
                <w:spacing w:val="-25"/>
                <w:sz w:val="22"/>
              </w:rPr>
              <w:t> </w:t>
            </w:r>
            <w:r>
              <w:rPr>
                <w:sz w:val="22"/>
              </w:rPr>
              <w:t>vigente.</w:t>
            </w:r>
          </w:p>
        </w:tc>
      </w:tr>
      <w:tr>
        <w:trPr>
          <w:trHeight w:val="1200" w:hRule="exact"/>
        </w:trPr>
        <w:tc>
          <w:tcPr>
            <w:tcW w:w="7769" w:type="dxa"/>
          </w:tcPr>
          <w:p>
            <w:pPr>
              <w:pStyle w:val="TableParagraph"/>
              <w:spacing w:line="360" w:lineRule="auto" w:before="12"/>
              <w:ind w:left="117" w:right="110"/>
              <w:rPr>
                <w:sz w:val="22"/>
              </w:rPr>
            </w:pPr>
            <w:r>
              <w:rPr>
                <w:sz w:val="22"/>
              </w:rPr>
              <w:t>3.3 Reutilizar el agua tratadas para el desarrollo de actividades académicas, mantenimiento de áreas verdes, entre otras.</w:t>
            </w:r>
          </w:p>
        </w:tc>
        <w:tc>
          <w:tcPr>
            <w:tcW w:w="5481" w:type="dxa"/>
            <w:tcBorders>
              <w:right w:val="single" w:sz="23" w:space="0" w:color="5F5F5F"/>
            </w:tcBorders>
          </w:tcPr>
          <w:p>
            <w:pPr>
              <w:pStyle w:val="TableParagraph"/>
              <w:spacing w:line="360" w:lineRule="auto" w:before="12"/>
              <w:ind w:left="117" w:right="78"/>
              <w:jc w:val="both"/>
              <w:rPr>
                <w:sz w:val="22"/>
              </w:rPr>
            </w:pPr>
            <w:r>
              <w:rPr>
                <w:sz w:val="22"/>
              </w:rPr>
              <w:t>El agua tratada se utiliza para el desarrollo de actividades académicas, mantenimiento de áreas verdes, entre otras.</w:t>
            </w:r>
          </w:p>
        </w:tc>
      </w:tr>
      <w:tr>
        <w:trPr>
          <w:trHeight w:val="821" w:hRule="exact"/>
        </w:trPr>
        <w:tc>
          <w:tcPr>
            <w:tcW w:w="7769" w:type="dxa"/>
          </w:tcPr>
          <w:p>
            <w:pPr>
              <w:pStyle w:val="TableParagraph"/>
              <w:spacing w:line="364" w:lineRule="auto" w:before="7"/>
              <w:ind w:left="117" w:right="110"/>
              <w:rPr>
                <w:sz w:val="22"/>
              </w:rPr>
            </w:pPr>
            <w:r>
              <w:rPr>
                <w:sz w:val="22"/>
              </w:rPr>
              <w:t>4.1 Realizar </w:t>
            </w:r>
            <w:r>
              <w:rPr>
                <w:spacing w:val="-3"/>
                <w:sz w:val="22"/>
              </w:rPr>
              <w:t>la </w:t>
            </w:r>
            <w:r>
              <w:rPr>
                <w:sz w:val="22"/>
              </w:rPr>
              <w:t>separación de los residuos sólidos en orgánicos e  inorgánicos. Instalar contenedores previamente</w:t>
            </w:r>
            <w:r>
              <w:rPr>
                <w:spacing w:val="-30"/>
                <w:sz w:val="22"/>
              </w:rPr>
              <w:t> </w:t>
            </w:r>
            <w:r>
              <w:rPr>
                <w:sz w:val="22"/>
              </w:rPr>
              <w:t>rotulados.</w:t>
            </w:r>
          </w:p>
        </w:tc>
        <w:tc>
          <w:tcPr>
            <w:tcW w:w="5481" w:type="dxa"/>
            <w:tcBorders>
              <w:right w:val="single" w:sz="23" w:space="0" w:color="5F5F5F"/>
            </w:tcBorders>
          </w:tcPr>
          <w:p>
            <w:pPr>
              <w:pStyle w:val="TableParagraph"/>
              <w:spacing w:line="364" w:lineRule="auto" w:before="7"/>
              <w:ind w:left="117" w:right="83"/>
              <w:rPr>
                <w:sz w:val="22"/>
              </w:rPr>
            </w:pPr>
            <w:r>
              <w:rPr>
                <w:sz w:val="22"/>
              </w:rPr>
              <w:t>La separación de residuos sólidos evita el aumento de la contaminación.</w:t>
            </w:r>
          </w:p>
        </w:tc>
      </w:tr>
      <w:tr>
        <w:trPr>
          <w:trHeight w:val="1196" w:hRule="exact"/>
        </w:trPr>
        <w:tc>
          <w:tcPr>
            <w:tcW w:w="7769" w:type="dxa"/>
          </w:tcPr>
          <w:p>
            <w:pPr>
              <w:pStyle w:val="TableParagraph"/>
              <w:spacing w:line="360" w:lineRule="auto" w:before="7"/>
              <w:ind w:left="117" w:right="75"/>
              <w:jc w:val="both"/>
              <w:rPr>
                <w:sz w:val="22"/>
              </w:rPr>
            </w:pPr>
            <w:r>
              <w:rPr>
                <w:sz w:val="22"/>
              </w:rPr>
              <w:t>4.2 Realizar talleres y pláticas sobre la importancia y correcta separación de los residuos sólidos. La información deberá ser transmitida a la comunidad estudiantil, académica y administrativa.</w:t>
            </w:r>
          </w:p>
        </w:tc>
        <w:tc>
          <w:tcPr>
            <w:tcW w:w="5481" w:type="dxa"/>
            <w:tcBorders>
              <w:right w:val="single" w:sz="23" w:space="0" w:color="5F5F5F"/>
            </w:tcBorders>
          </w:tcPr>
          <w:p>
            <w:pPr>
              <w:pStyle w:val="TableParagraph"/>
              <w:spacing w:line="360" w:lineRule="auto" w:before="7"/>
              <w:ind w:left="117" w:right="83"/>
              <w:rPr>
                <w:sz w:val="22"/>
              </w:rPr>
            </w:pPr>
            <w:r>
              <w:rPr>
                <w:sz w:val="22"/>
              </w:rPr>
              <w:t>Los talleres y pláticas se imparten con temporalidad para la estudiantil, académica y administrativa.</w:t>
            </w:r>
          </w:p>
        </w:tc>
      </w:tr>
      <w:tr>
        <w:trPr>
          <w:trHeight w:val="1172" w:hRule="exact"/>
        </w:trPr>
        <w:tc>
          <w:tcPr>
            <w:tcW w:w="7769" w:type="dxa"/>
          </w:tcPr>
          <w:p>
            <w:pPr>
              <w:pStyle w:val="TableParagraph"/>
              <w:spacing w:line="360" w:lineRule="auto" w:before="12"/>
              <w:ind w:left="117" w:right="79"/>
              <w:jc w:val="both"/>
              <w:rPr>
                <w:sz w:val="22"/>
              </w:rPr>
            </w:pPr>
            <w:r>
              <w:rPr>
                <w:sz w:val="22"/>
              </w:rPr>
              <w:t>4.3 Destinar un área para realizar composteo de los residuos orgánicos. El producto final de la composta se utilizará para la propagación de las plantas nativas.</w:t>
            </w:r>
          </w:p>
        </w:tc>
        <w:tc>
          <w:tcPr>
            <w:tcW w:w="5481" w:type="dxa"/>
            <w:tcBorders>
              <w:right w:val="single" w:sz="23" w:space="0" w:color="5F5F5F"/>
            </w:tcBorders>
          </w:tcPr>
          <w:p>
            <w:pPr>
              <w:pStyle w:val="TableParagraph"/>
              <w:spacing w:line="360" w:lineRule="auto" w:before="12"/>
              <w:ind w:left="117" w:right="83"/>
              <w:rPr>
                <w:sz w:val="22"/>
              </w:rPr>
            </w:pPr>
            <w:r>
              <w:rPr>
                <w:sz w:val="22"/>
              </w:rPr>
              <w:t>La composta se utilizará para la propagación de las plantas nativas.</w:t>
            </w:r>
          </w:p>
        </w:tc>
      </w:tr>
    </w:tbl>
    <w:p>
      <w:pPr>
        <w:spacing w:after="0" w:line="360" w:lineRule="auto"/>
        <w:rPr>
          <w:sz w:val="22"/>
        </w:rPr>
        <w:sectPr>
          <w:pgSz w:w="15840" w:h="12240" w:orient="landscape"/>
          <w:pgMar w:header="685" w:footer="1190" w:top="880" w:bottom="1380" w:left="1160" w:right="1140"/>
        </w:sectPr>
      </w:pPr>
    </w:p>
    <w:p>
      <w:pPr>
        <w:pStyle w:val="BodyText"/>
        <w:rPr>
          <w:rFonts w:ascii="Times New Roman"/>
          <w:sz w:val="20"/>
        </w:rPr>
      </w:pPr>
    </w:p>
    <w:p>
      <w:pPr>
        <w:pStyle w:val="BodyText"/>
        <w:spacing w:before="5"/>
        <w:rPr>
          <w:rFonts w:ascii="Times New Roman"/>
          <w:sz w:val="27"/>
        </w:rPr>
      </w:pPr>
    </w:p>
    <w:tbl>
      <w:tblPr>
        <w:tblW w:w="0" w:type="auto"/>
        <w:jc w:val="left"/>
        <w:tblInd w:w="110" w:type="dxa"/>
        <w:tblBorders>
          <w:top w:val="single" w:sz="12" w:space="0" w:color="5F5F5F"/>
          <w:left w:val="single" w:sz="12" w:space="0" w:color="5F5F5F"/>
          <w:bottom w:val="single" w:sz="12" w:space="0" w:color="5F5F5F"/>
          <w:right w:val="single" w:sz="12" w:space="0" w:color="5F5F5F"/>
          <w:insideH w:val="single" w:sz="12" w:space="0" w:color="5F5F5F"/>
          <w:insideV w:val="single" w:sz="12" w:space="0" w:color="5F5F5F"/>
        </w:tblBorders>
        <w:tblLayout w:type="fixed"/>
        <w:tblCellMar>
          <w:top w:w="0" w:type="dxa"/>
          <w:left w:w="0" w:type="dxa"/>
          <w:bottom w:w="0" w:type="dxa"/>
          <w:right w:w="0" w:type="dxa"/>
        </w:tblCellMar>
        <w:tblLook w:val="01E0"/>
      </w:tblPr>
      <w:tblGrid>
        <w:gridCol w:w="7769"/>
        <w:gridCol w:w="5481"/>
      </w:tblGrid>
      <w:tr>
        <w:trPr>
          <w:trHeight w:val="401" w:hRule="exact"/>
        </w:trPr>
        <w:tc>
          <w:tcPr>
            <w:tcW w:w="13250" w:type="dxa"/>
            <w:gridSpan w:val="2"/>
            <w:tcBorders>
              <w:bottom w:val="single" w:sz="23" w:space="0" w:color="5F5F5F"/>
              <w:right w:val="single" w:sz="23" w:space="0" w:color="5F5F5F"/>
            </w:tcBorders>
          </w:tcPr>
          <w:p>
            <w:pPr>
              <w:pStyle w:val="TableParagraph"/>
              <w:spacing w:before="9"/>
              <w:ind w:left="3190"/>
              <w:rPr>
                <w:b/>
                <w:i/>
                <w:sz w:val="20"/>
              </w:rPr>
            </w:pPr>
            <w:r>
              <w:rPr>
                <w:b/>
                <w:i/>
                <w:sz w:val="20"/>
              </w:rPr>
              <w:t>Cuadro 19. Actividades de la Matriz de planificación del EML (Continúa).</w:t>
            </w:r>
          </w:p>
        </w:tc>
      </w:tr>
      <w:tr>
        <w:trPr>
          <w:trHeight w:val="451" w:hRule="exact"/>
        </w:trPr>
        <w:tc>
          <w:tcPr>
            <w:tcW w:w="7769" w:type="dxa"/>
            <w:tcBorders>
              <w:top w:val="single" w:sz="23" w:space="0" w:color="5F5F5F"/>
              <w:bottom w:val="single" w:sz="23" w:space="0" w:color="5F5F5F"/>
            </w:tcBorders>
          </w:tcPr>
          <w:p>
            <w:pPr>
              <w:pStyle w:val="TableParagraph"/>
              <w:spacing w:before="2"/>
              <w:ind w:left="3119" w:right="3089"/>
              <w:jc w:val="center"/>
              <w:rPr>
                <w:b/>
                <w:sz w:val="22"/>
              </w:rPr>
            </w:pPr>
            <w:r>
              <w:rPr>
                <w:b/>
                <w:sz w:val="22"/>
              </w:rPr>
              <w:t>ACTIVIDADES</w:t>
            </w:r>
          </w:p>
        </w:tc>
        <w:tc>
          <w:tcPr>
            <w:tcW w:w="5481" w:type="dxa"/>
            <w:tcBorders>
              <w:top w:val="single" w:sz="23" w:space="0" w:color="5F5F5F"/>
              <w:bottom w:val="single" w:sz="23" w:space="0" w:color="5F5F5F"/>
              <w:right w:val="single" w:sz="23" w:space="0" w:color="5F5F5F"/>
            </w:tcBorders>
          </w:tcPr>
          <w:p>
            <w:pPr>
              <w:pStyle w:val="TableParagraph"/>
              <w:spacing w:before="2"/>
              <w:ind w:left="1452" w:right="83"/>
              <w:rPr>
                <w:b/>
                <w:sz w:val="22"/>
              </w:rPr>
            </w:pPr>
            <w:r>
              <w:rPr>
                <w:b/>
                <w:sz w:val="22"/>
              </w:rPr>
              <w:t>SUPUESTO / HIPÓTESIS</w:t>
            </w:r>
          </w:p>
        </w:tc>
      </w:tr>
      <w:tr>
        <w:trPr>
          <w:trHeight w:val="821" w:hRule="exact"/>
        </w:trPr>
        <w:tc>
          <w:tcPr>
            <w:tcW w:w="7769" w:type="dxa"/>
            <w:tcBorders>
              <w:top w:val="single" w:sz="23" w:space="0" w:color="5F5F5F"/>
              <w:bottom w:val="single" w:sz="23" w:space="0" w:color="5F5F5F"/>
            </w:tcBorders>
          </w:tcPr>
          <w:p>
            <w:pPr>
              <w:pStyle w:val="TableParagraph"/>
              <w:tabs>
                <w:tab w:pos="668" w:val="left" w:leader="none"/>
                <w:tab w:pos="1718" w:val="left" w:leader="none"/>
                <w:tab w:pos="2975" w:val="left" w:leader="none"/>
                <w:tab w:pos="3464" w:val="left" w:leader="none"/>
                <w:tab w:pos="4969" w:val="left" w:leader="none"/>
                <w:tab w:pos="5568" w:val="left" w:leader="none"/>
                <w:tab w:pos="6681" w:val="left" w:leader="none"/>
              </w:tabs>
              <w:spacing w:line="360" w:lineRule="auto"/>
              <w:ind w:left="117" w:right="79"/>
              <w:rPr>
                <w:sz w:val="22"/>
              </w:rPr>
            </w:pPr>
            <w:r>
              <w:rPr>
                <w:sz w:val="22"/>
              </w:rPr>
              <w:t>5.1</w:t>
              <w:tab/>
              <w:t>Realizar</w:t>
              <w:tab/>
              <w:t>campañas</w:t>
              <w:tab/>
              <w:t>de</w:t>
              <w:tab/>
              <w:t>reforestación</w:t>
              <w:tab/>
              <w:t>con</w:t>
              <w:tab/>
              <w:t>especies</w:t>
              <w:tab/>
            </w:r>
            <w:r>
              <w:rPr>
                <w:spacing w:val="-1"/>
                <w:sz w:val="22"/>
              </w:rPr>
              <w:t>silvestres, </w:t>
            </w:r>
            <w:r>
              <w:rPr>
                <w:sz w:val="22"/>
              </w:rPr>
              <w:t>principalmente en aquellos lugares donde el suelo este</w:t>
            </w:r>
            <w:r>
              <w:rPr>
                <w:spacing w:val="-39"/>
                <w:sz w:val="22"/>
              </w:rPr>
              <w:t> </w:t>
            </w:r>
            <w:r>
              <w:rPr>
                <w:sz w:val="22"/>
              </w:rPr>
              <w:t>desprotegido.</w:t>
            </w:r>
          </w:p>
        </w:tc>
        <w:tc>
          <w:tcPr>
            <w:tcW w:w="5481" w:type="dxa"/>
            <w:tcBorders>
              <w:top w:val="single" w:sz="23" w:space="0" w:color="5F5F5F"/>
              <w:bottom w:val="single" w:sz="23" w:space="0" w:color="5F5F5F"/>
              <w:right w:val="single" w:sz="23" w:space="0" w:color="5F5F5F"/>
            </w:tcBorders>
          </w:tcPr>
          <w:p>
            <w:pPr>
              <w:pStyle w:val="TableParagraph"/>
              <w:spacing w:line="360" w:lineRule="auto"/>
              <w:ind w:left="117" w:right="83"/>
              <w:rPr>
                <w:sz w:val="22"/>
              </w:rPr>
            </w:pPr>
            <w:r>
              <w:rPr>
                <w:sz w:val="22"/>
              </w:rPr>
              <w:t>Las campañas de reforestación ayudan a evitar la erosión.</w:t>
            </w:r>
          </w:p>
        </w:tc>
      </w:tr>
      <w:tr>
        <w:trPr>
          <w:trHeight w:val="1580" w:hRule="exact"/>
        </w:trPr>
        <w:tc>
          <w:tcPr>
            <w:tcW w:w="7769" w:type="dxa"/>
            <w:tcBorders>
              <w:top w:val="single" w:sz="23" w:space="0" w:color="5F5F5F"/>
              <w:bottom w:val="single" w:sz="23" w:space="0" w:color="5F5F5F"/>
            </w:tcBorders>
          </w:tcPr>
          <w:p>
            <w:pPr>
              <w:pStyle w:val="TableParagraph"/>
              <w:spacing w:line="360" w:lineRule="auto"/>
              <w:ind w:left="117" w:right="69"/>
              <w:jc w:val="both"/>
              <w:rPr>
                <w:sz w:val="22"/>
              </w:rPr>
            </w:pPr>
            <w:r>
              <w:rPr>
                <w:sz w:val="22"/>
              </w:rPr>
              <w:t>6.1 Implementar actividades de educación ambiental como: recorridos guiados, talleres, cursos y pláticas sobre la importancia de la vegetación, conservación, divulgación interpretación de la naturaleza, relación especie – ecosistema, entre otras (Martínez </w:t>
            </w:r>
            <w:r>
              <w:rPr>
                <w:i/>
                <w:sz w:val="22"/>
              </w:rPr>
              <w:t>et al., </w:t>
            </w:r>
            <w:r>
              <w:rPr>
                <w:sz w:val="22"/>
              </w:rPr>
              <w:t>2012).</w:t>
            </w:r>
          </w:p>
        </w:tc>
        <w:tc>
          <w:tcPr>
            <w:tcW w:w="5481" w:type="dxa"/>
            <w:tcBorders>
              <w:top w:val="single" w:sz="23" w:space="0" w:color="5F5F5F"/>
              <w:bottom w:val="single" w:sz="23" w:space="0" w:color="5F5F5F"/>
              <w:right w:val="single" w:sz="23" w:space="0" w:color="5F5F5F"/>
            </w:tcBorders>
          </w:tcPr>
          <w:p>
            <w:pPr>
              <w:pStyle w:val="TableParagraph"/>
              <w:spacing w:line="364" w:lineRule="auto"/>
              <w:ind w:left="117" w:right="83"/>
              <w:rPr>
                <w:sz w:val="22"/>
              </w:rPr>
            </w:pPr>
            <w:r>
              <w:rPr>
                <w:sz w:val="22"/>
              </w:rPr>
              <w:t>Las actividades de educación ambiental contribuyen al manejo y conservación del Jardín Botánico.</w:t>
            </w:r>
          </w:p>
        </w:tc>
      </w:tr>
      <w:tr>
        <w:trPr>
          <w:trHeight w:val="816" w:hRule="exact"/>
        </w:trPr>
        <w:tc>
          <w:tcPr>
            <w:tcW w:w="7769" w:type="dxa"/>
            <w:tcBorders>
              <w:top w:val="single" w:sz="23" w:space="0" w:color="5F5F5F"/>
            </w:tcBorders>
          </w:tcPr>
          <w:p>
            <w:pPr>
              <w:pStyle w:val="TableParagraph"/>
              <w:spacing w:line="360" w:lineRule="auto"/>
              <w:ind w:left="117" w:right="110"/>
              <w:rPr>
                <w:sz w:val="22"/>
              </w:rPr>
            </w:pPr>
            <w:r>
              <w:rPr>
                <w:sz w:val="22"/>
              </w:rPr>
              <w:t>6.2 Realizar la difusión del Jardín Botánico a través de folletos, carteles, redes sociales, comerciales en televisión, radio y periódico, entre otras.</w:t>
            </w:r>
          </w:p>
        </w:tc>
        <w:tc>
          <w:tcPr>
            <w:tcW w:w="5481" w:type="dxa"/>
            <w:tcBorders>
              <w:top w:val="single" w:sz="23" w:space="0" w:color="5F5F5F"/>
              <w:right w:val="single" w:sz="23" w:space="0" w:color="5F5F5F"/>
            </w:tcBorders>
          </w:tcPr>
          <w:p>
            <w:pPr>
              <w:pStyle w:val="TableParagraph"/>
              <w:spacing w:line="360" w:lineRule="auto"/>
              <w:ind w:left="117" w:right="83"/>
              <w:rPr>
                <w:sz w:val="22"/>
              </w:rPr>
            </w:pPr>
            <w:r>
              <w:rPr>
                <w:sz w:val="22"/>
              </w:rPr>
              <w:t>Los medios de comunicación ayudan a que la población conozca el Jardín Botánico.</w:t>
            </w:r>
          </w:p>
        </w:tc>
      </w:tr>
      <w:tr>
        <w:trPr>
          <w:trHeight w:val="821" w:hRule="exact"/>
        </w:trPr>
        <w:tc>
          <w:tcPr>
            <w:tcW w:w="7769" w:type="dxa"/>
            <w:tcBorders>
              <w:bottom w:val="single" w:sz="23" w:space="0" w:color="5F5F5F"/>
            </w:tcBorders>
          </w:tcPr>
          <w:p>
            <w:pPr>
              <w:pStyle w:val="TableParagraph"/>
              <w:spacing w:line="360" w:lineRule="auto" w:before="12"/>
              <w:ind w:left="117" w:right="79"/>
              <w:rPr>
                <w:sz w:val="22"/>
              </w:rPr>
            </w:pPr>
            <w:r>
              <w:rPr>
                <w:sz w:val="22"/>
              </w:rPr>
              <w:t>7.1 Instalar un vivero dentro del Parque, en el cual se realice la reproducción de plantas nativas.</w:t>
            </w:r>
          </w:p>
        </w:tc>
        <w:tc>
          <w:tcPr>
            <w:tcW w:w="5481" w:type="dxa"/>
            <w:tcBorders>
              <w:bottom w:val="single" w:sz="23" w:space="0" w:color="5F5F5F"/>
              <w:right w:val="single" w:sz="23" w:space="0" w:color="5F5F5F"/>
            </w:tcBorders>
          </w:tcPr>
          <w:p>
            <w:pPr>
              <w:pStyle w:val="TableParagraph"/>
              <w:spacing w:line="360" w:lineRule="auto" w:before="12"/>
              <w:ind w:left="117" w:right="83"/>
              <w:rPr>
                <w:sz w:val="22"/>
              </w:rPr>
            </w:pPr>
            <w:r>
              <w:rPr>
                <w:sz w:val="22"/>
              </w:rPr>
              <w:t>El vivero se utiliza para la reproducción de plantas nativas.</w:t>
            </w:r>
          </w:p>
        </w:tc>
      </w:tr>
      <w:tr>
        <w:trPr>
          <w:trHeight w:val="437" w:hRule="exact"/>
        </w:trPr>
        <w:tc>
          <w:tcPr>
            <w:tcW w:w="7769" w:type="dxa"/>
            <w:tcBorders>
              <w:top w:val="single" w:sz="23" w:space="0" w:color="5F5F5F"/>
            </w:tcBorders>
          </w:tcPr>
          <w:p>
            <w:pPr>
              <w:pStyle w:val="TableParagraph"/>
              <w:spacing w:line="246" w:lineRule="exact"/>
              <w:ind w:left="117" w:right="110"/>
              <w:rPr>
                <w:sz w:val="22"/>
              </w:rPr>
            </w:pPr>
            <w:r>
              <w:rPr>
                <w:sz w:val="22"/>
              </w:rPr>
              <w:t>7.2 Reforestar las áreas con las especies silvestres.</w:t>
            </w:r>
          </w:p>
        </w:tc>
        <w:tc>
          <w:tcPr>
            <w:tcW w:w="5481" w:type="dxa"/>
            <w:tcBorders>
              <w:top w:val="single" w:sz="23" w:space="0" w:color="5F5F5F"/>
              <w:right w:val="single" w:sz="23" w:space="0" w:color="5F5F5F"/>
            </w:tcBorders>
          </w:tcPr>
          <w:p>
            <w:pPr>
              <w:pStyle w:val="TableParagraph"/>
              <w:spacing w:line="246" w:lineRule="exact"/>
              <w:ind w:left="117" w:right="83"/>
              <w:rPr>
                <w:sz w:val="22"/>
              </w:rPr>
            </w:pPr>
            <w:r>
              <w:rPr>
                <w:sz w:val="22"/>
              </w:rPr>
              <w:t>La reforestación se realiza con las especies nativas.</w:t>
            </w:r>
          </w:p>
        </w:tc>
      </w:tr>
      <w:tr>
        <w:trPr>
          <w:trHeight w:val="821" w:hRule="exact"/>
        </w:trPr>
        <w:tc>
          <w:tcPr>
            <w:tcW w:w="7769" w:type="dxa"/>
          </w:tcPr>
          <w:p>
            <w:pPr>
              <w:pStyle w:val="TableParagraph"/>
              <w:spacing w:line="360" w:lineRule="auto" w:before="12"/>
              <w:ind w:left="117" w:right="110"/>
              <w:rPr>
                <w:sz w:val="22"/>
              </w:rPr>
            </w:pPr>
            <w:r>
              <w:rPr>
                <w:sz w:val="22"/>
              </w:rPr>
              <w:t>7.3 Llevar el control a través de un inventario de las especies propagadas y reforestadas.</w:t>
            </w:r>
          </w:p>
        </w:tc>
        <w:tc>
          <w:tcPr>
            <w:tcW w:w="5481" w:type="dxa"/>
            <w:tcBorders>
              <w:right w:val="single" w:sz="23" w:space="0" w:color="5F5F5F"/>
            </w:tcBorders>
          </w:tcPr>
          <w:p>
            <w:pPr>
              <w:pStyle w:val="TableParagraph"/>
              <w:spacing w:line="360" w:lineRule="auto" w:before="12"/>
              <w:ind w:left="117"/>
              <w:rPr>
                <w:sz w:val="22"/>
              </w:rPr>
            </w:pPr>
            <w:r>
              <w:rPr>
                <w:sz w:val="22"/>
              </w:rPr>
              <w:t>El inventario de especies coadyuva a mantener el control de aquellas plantas reproducidas y cultivadas.</w:t>
            </w:r>
          </w:p>
        </w:tc>
      </w:tr>
      <w:tr>
        <w:trPr>
          <w:trHeight w:val="821" w:hRule="exact"/>
        </w:trPr>
        <w:tc>
          <w:tcPr>
            <w:tcW w:w="7769" w:type="dxa"/>
          </w:tcPr>
          <w:p>
            <w:pPr>
              <w:pStyle w:val="TableParagraph"/>
              <w:spacing w:line="360" w:lineRule="auto" w:before="12"/>
              <w:ind w:left="117" w:right="110"/>
              <w:rPr>
                <w:sz w:val="22"/>
              </w:rPr>
            </w:pPr>
            <w:r>
              <w:rPr>
                <w:sz w:val="22"/>
              </w:rPr>
              <w:t>8.1 Gestionar los recursos financieros o materiales a través de las dependencias de gobierno.</w:t>
            </w:r>
          </w:p>
        </w:tc>
        <w:tc>
          <w:tcPr>
            <w:tcW w:w="5481" w:type="dxa"/>
            <w:tcBorders>
              <w:right w:val="single" w:sz="23" w:space="0" w:color="5F5F5F"/>
            </w:tcBorders>
          </w:tcPr>
          <w:p>
            <w:pPr>
              <w:pStyle w:val="TableParagraph"/>
              <w:spacing w:line="360" w:lineRule="auto" w:before="12"/>
              <w:ind w:left="117" w:right="83"/>
              <w:rPr>
                <w:sz w:val="22"/>
              </w:rPr>
            </w:pPr>
            <w:r>
              <w:rPr>
                <w:sz w:val="22"/>
              </w:rPr>
              <w:t>La gestión de los recursos financieros se realiza a través de dependencias de gobierno.</w:t>
            </w:r>
          </w:p>
        </w:tc>
      </w:tr>
      <w:tr>
        <w:trPr>
          <w:trHeight w:val="792" w:hRule="exact"/>
        </w:trPr>
        <w:tc>
          <w:tcPr>
            <w:tcW w:w="7769" w:type="dxa"/>
          </w:tcPr>
          <w:p>
            <w:pPr>
              <w:pStyle w:val="TableParagraph"/>
              <w:spacing w:line="360" w:lineRule="auto" w:before="7"/>
              <w:ind w:left="117" w:right="110"/>
              <w:rPr>
                <w:sz w:val="22"/>
              </w:rPr>
            </w:pPr>
            <w:r>
              <w:rPr>
                <w:sz w:val="22"/>
              </w:rPr>
              <w:t>8.2 Realizar proyectos de investigación que participen en licitaciones de financiamiento, como en el caso del CONACYT.</w:t>
            </w:r>
          </w:p>
        </w:tc>
        <w:tc>
          <w:tcPr>
            <w:tcW w:w="5481" w:type="dxa"/>
            <w:tcBorders>
              <w:right w:val="single" w:sz="23" w:space="0" w:color="5F5F5F"/>
            </w:tcBorders>
          </w:tcPr>
          <w:p>
            <w:pPr>
              <w:pStyle w:val="TableParagraph"/>
              <w:tabs>
                <w:tab w:pos="716" w:val="left" w:leader="none"/>
                <w:tab w:pos="1910" w:val="left" w:leader="none"/>
                <w:tab w:pos="2404" w:val="left" w:leader="none"/>
                <w:tab w:pos="3914" w:val="left" w:leader="none"/>
                <w:tab w:pos="5108" w:val="left" w:leader="none"/>
              </w:tabs>
              <w:spacing w:line="360" w:lineRule="auto" w:before="7"/>
              <w:ind w:left="117" w:right="80"/>
              <w:rPr>
                <w:sz w:val="22"/>
              </w:rPr>
            </w:pPr>
            <w:r>
              <w:rPr>
                <w:sz w:val="22"/>
              </w:rPr>
              <w:t>Los</w:t>
              <w:tab/>
              <w:t>proyectos</w:t>
              <w:tab/>
              <w:t>de</w:t>
              <w:tab/>
              <w:t>investigación</w:t>
              <w:tab/>
              <w:t>participan</w:t>
              <w:tab/>
              <w:t>en licitaciones para adquirir</w:t>
            </w:r>
            <w:r>
              <w:rPr>
                <w:spacing w:val="-25"/>
                <w:sz w:val="22"/>
              </w:rPr>
              <w:t> </w:t>
            </w:r>
            <w:r>
              <w:rPr>
                <w:sz w:val="22"/>
              </w:rPr>
              <w:t>financiamiento.</w:t>
            </w:r>
          </w:p>
        </w:tc>
      </w:tr>
    </w:tbl>
    <w:p>
      <w:pPr>
        <w:spacing w:before="36"/>
        <w:ind w:left="256" w:right="97" w:firstLine="0"/>
        <w:jc w:val="left"/>
        <w:rPr>
          <w:b/>
          <w:i/>
          <w:sz w:val="22"/>
        </w:rPr>
      </w:pPr>
      <w:r>
        <w:rPr>
          <w:b/>
          <w:i/>
          <w:sz w:val="22"/>
        </w:rPr>
        <w:t>Fuente: Elaboración propia, a partir de Camacho, 2001 y Gutiérrez, 2013.</w:t>
      </w:r>
    </w:p>
    <w:p>
      <w:pPr>
        <w:spacing w:after="0"/>
        <w:jc w:val="left"/>
        <w:rPr>
          <w:sz w:val="22"/>
        </w:rPr>
        <w:sectPr>
          <w:pgSz w:w="15840" w:h="12240" w:orient="landscape"/>
          <w:pgMar w:header="685" w:footer="1190" w:top="880" w:bottom="1380" w:left="1160" w:right="1140"/>
        </w:sectPr>
      </w:pPr>
    </w:p>
    <w:p>
      <w:pPr>
        <w:pStyle w:val="BodyText"/>
        <w:rPr>
          <w:b/>
          <w:i/>
          <w:sz w:val="20"/>
        </w:rPr>
      </w:pPr>
    </w:p>
    <w:p>
      <w:pPr>
        <w:pStyle w:val="BodyText"/>
        <w:rPr>
          <w:b/>
          <w:i/>
          <w:sz w:val="20"/>
        </w:rPr>
      </w:pPr>
    </w:p>
    <w:p>
      <w:pPr>
        <w:pStyle w:val="BodyText"/>
        <w:rPr>
          <w:b/>
          <w:i/>
          <w:sz w:val="20"/>
        </w:rPr>
      </w:pPr>
    </w:p>
    <w:p>
      <w:pPr>
        <w:pStyle w:val="BodyText"/>
        <w:spacing w:before="2"/>
        <w:rPr>
          <w:b/>
          <w:i/>
          <w:sz w:val="19"/>
        </w:rPr>
      </w:pPr>
    </w:p>
    <w:p>
      <w:pPr>
        <w:spacing w:line="364" w:lineRule="auto" w:before="1"/>
        <w:ind w:left="256" w:right="97" w:firstLine="0"/>
        <w:jc w:val="left"/>
        <w:rPr>
          <w:sz w:val="22"/>
        </w:rPr>
      </w:pPr>
      <w:r>
        <w:rPr>
          <w:sz w:val="22"/>
        </w:rPr>
        <w:t>Las propuestas establecidas para cumplir con los objetivos requieren la participación de recursos humanos, financieros y materiales. En el cuadro 20, se describen las características de los recursos involucrados.</w:t>
      </w:r>
    </w:p>
    <w:p>
      <w:pPr>
        <w:pStyle w:val="BodyText"/>
        <w:rPr>
          <w:sz w:val="20"/>
        </w:rPr>
      </w:pPr>
    </w:p>
    <w:p>
      <w:pPr>
        <w:pStyle w:val="BodyText"/>
        <w:spacing w:before="9"/>
        <w:rPr>
          <w:sz w:val="12"/>
        </w:rPr>
      </w:pPr>
    </w:p>
    <w:tbl>
      <w:tblPr>
        <w:tblW w:w="0" w:type="auto"/>
        <w:jc w:val="left"/>
        <w:tblInd w:w="11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4547"/>
        <w:gridCol w:w="4427"/>
        <w:gridCol w:w="4254"/>
      </w:tblGrid>
      <w:tr>
        <w:trPr>
          <w:trHeight w:val="423" w:hRule="exact"/>
        </w:trPr>
        <w:tc>
          <w:tcPr>
            <w:tcW w:w="13228" w:type="dxa"/>
            <w:gridSpan w:val="3"/>
            <w:tcBorders>
              <w:bottom w:val="thinThickMediumGap" w:sz="12" w:space="0" w:color="000000"/>
              <w:right w:val="thinThickMediumGap" w:sz="12" w:space="0" w:color="000000"/>
            </w:tcBorders>
          </w:tcPr>
          <w:p>
            <w:pPr>
              <w:pStyle w:val="TableParagraph"/>
              <w:spacing w:line="249" w:lineRule="exact"/>
              <w:ind w:left="2794"/>
              <w:rPr>
                <w:b/>
                <w:sz w:val="22"/>
              </w:rPr>
            </w:pPr>
            <w:r>
              <w:rPr>
                <w:b/>
                <w:sz w:val="22"/>
              </w:rPr>
              <w:t>Cuadro 20. Recursos involucrados de la Matriz de planificación del EML.</w:t>
            </w:r>
          </w:p>
        </w:tc>
      </w:tr>
      <w:tr>
        <w:trPr>
          <w:trHeight w:val="442" w:hRule="exact"/>
        </w:trPr>
        <w:tc>
          <w:tcPr>
            <w:tcW w:w="4547" w:type="dxa"/>
            <w:tcBorders>
              <w:bottom w:val="thinThickMediumGap" w:sz="12" w:space="0" w:color="000000"/>
              <w:right w:val="thinThickMediumGap" w:sz="12" w:space="0" w:color="000000"/>
            </w:tcBorders>
          </w:tcPr>
          <w:p>
            <w:pPr>
              <w:pStyle w:val="TableParagraph"/>
              <w:spacing w:before="14"/>
              <w:ind w:left="1224"/>
              <w:rPr>
                <w:b/>
                <w:sz w:val="22"/>
              </w:rPr>
            </w:pPr>
            <w:r>
              <w:rPr>
                <w:b/>
                <w:sz w:val="22"/>
              </w:rPr>
              <w:t>Recursos humanos</w:t>
            </w:r>
          </w:p>
        </w:tc>
        <w:tc>
          <w:tcPr>
            <w:tcW w:w="4427" w:type="dxa"/>
            <w:tcBorders>
              <w:bottom w:val="thinThickMediumGap" w:sz="12" w:space="0" w:color="000000"/>
              <w:right w:val="thinThickMediumGap" w:sz="12" w:space="0" w:color="000000"/>
            </w:tcBorders>
          </w:tcPr>
          <w:p>
            <w:pPr>
              <w:pStyle w:val="TableParagraph"/>
              <w:spacing w:before="14"/>
              <w:ind w:left="1065"/>
              <w:rPr>
                <w:b/>
                <w:sz w:val="22"/>
              </w:rPr>
            </w:pPr>
            <w:r>
              <w:rPr>
                <w:b/>
                <w:sz w:val="22"/>
              </w:rPr>
              <w:t>Recursos financieros</w:t>
            </w:r>
          </w:p>
        </w:tc>
        <w:tc>
          <w:tcPr>
            <w:tcW w:w="4254" w:type="dxa"/>
            <w:tcBorders>
              <w:bottom w:val="thinThickMediumGap" w:sz="12" w:space="0" w:color="000000"/>
              <w:right w:val="thinThickMediumGap" w:sz="12" w:space="0" w:color="000000"/>
            </w:tcBorders>
          </w:tcPr>
          <w:p>
            <w:pPr>
              <w:pStyle w:val="TableParagraph"/>
              <w:spacing w:before="14"/>
              <w:ind w:left="1022"/>
              <w:rPr>
                <w:b/>
                <w:sz w:val="22"/>
              </w:rPr>
            </w:pPr>
            <w:r>
              <w:rPr>
                <w:b/>
                <w:sz w:val="22"/>
              </w:rPr>
              <w:t>Recursos materiales</w:t>
            </w:r>
          </w:p>
        </w:tc>
      </w:tr>
      <w:tr>
        <w:trPr>
          <w:trHeight w:val="3491" w:hRule="exact"/>
        </w:trPr>
        <w:tc>
          <w:tcPr>
            <w:tcW w:w="4547" w:type="dxa"/>
            <w:tcBorders>
              <w:bottom w:val="thinThickMediumGap" w:sz="12" w:space="0" w:color="000000"/>
              <w:right w:val="thinThickMediumGap" w:sz="12" w:space="0" w:color="000000"/>
            </w:tcBorders>
          </w:tcPr>
          <w:p>
            <w:pPr>
              <w:pStyle w:val="TableParagraph"/>
              <w:spacing w:line="360" w:lineRule="auto" w:before="14"/>
              <w:ind w:left="81" w:right="77"/>
              <w:jc w:val="both"/>
              <w:rPr>
                <w:sz w:val="22"/>
              </w:rPr>
            </w:pPr>
            <w:r>
              <w:rPr>
                <w:sz w:val="22"/>
              </w:rPr>
              <w:t>Especialistas en las áreas específicas de </w:t>
            </w:r>
            <w:r>
              <w:rPr>
                <w:spacing w:val="-3"/>
                <w:sz w:val="22"/>
              </w:rPr>
              <w:t>la </w:t>
            </w:r>
            <w:r>
              <w:rPr>
                <w:sz w:val="22"/>
              </w:rPr>
              <w:t>propuesta, tales como: botánicos, geógrafos, ecólogos, economistas, agrónomos, entre</w:t>
            </w:r>
            <w:r>
              <w:rPr>
                <w:spacing w:val="-9"/>
                <w:sz w:val="22"/>
              </w:rPr>
              <w:t> </w:t>
            </w:r>
            <w:r>
              <w:rPr>
                <w:sz w:val="22"/>
              </w:rPr>
              <w:t>otros.</w:t>
            </w:r>
          </w:p>
          <w:p>
            <w:pPr>
              <w:pStyle w:val="TableParagraph"/>
              <w:rPr>
                <w:sz w:val="22"/>
              </w:rPr>
            </w:pPr>
          </w:p>
          <w:p>
            <w:pPr>
              <w:pStyle w:val="TableParagraph"/>
              <w:spacing w:line="360" w:lineRule="auto" w:before="134"/>
              <w:ind w:left="81" w:right="82"/>
              <w:jc w:val="both"/>
              <w:rPr>
                <w:sz w:val="22"/>
              </w:rPr>
            </w:pPr>
            <w:r>
              <w:rPr>
                <w:sz w:val="22"/>
              </w:rPr>
              <w:t>La participación de la  comunidad estudiantil, catedráticos y administrativos.</w:t>
            </w:r>
          </w:p>
        </w:tc>
        <w:tc>
          <w:tcPr>
            <w:tcW w:w="4427" w:type="dxa"/>
            <w:tcBorders>
              <w:bottom w:val="thinThickMediumGap" w:sz="12" w:space="0" w:color="000000"/>
              <w:right w:val="thinThickMediumGap" w:sz="12" w:space="0" w:color="000000"/>
            </w:tcBorders>
          </w:tcPr>
          <w:p>
            <w:pPr>
              <w:pStyle w:val="TableParagraph"/>
              <w:spacing w:line="360" w:lineRule="auto" w:before="14"/>
              <w:ind w:left="81" w:right="77"/>
              <w:jc w:val="both"/>
              <w:rPr>
                <w:sz w:val="22"/>
              </w:rPr>
            </w:pPr>
            <w:r>
              <w:rPr>
                <w:sz w:val="22"/>
              </w:rPr>
              <w:t>Apoyos económicos solicitados a dependencias no gubernamentales,  para la adquisición de equipos, materiales e insumos para los programas de reforestación y educación ambiental.</w:t>
            </w:r>
          </w:p>
          <w:p>
            <w:pPr>
              <w:pStyle w:val="TableParagraph"/>
              <w:rPr>
                <w:sz w:val="22"/>
              </w:rPr>
            </w:pPr>
          </w:p>
          <w:p>
            <w:pPr>
              <w:pStyle w:val="TableParagraph"/>
              <w:spacing w:line="360" w:lineRule="auto" w:before="134"/>
              <w:ind w:left="81" w:right="75"/>
              <w:jc w:val="both"/>
              <w:rPr>
                <w:sz w:val="22"/>
              </w:rPr>
            </w:pPr>
            <w:r>
              <w:rPr>
                <w:sz w:val="22"/>
              </w:rPr>
              <w:t>Proyectos de investigación financiados por universidades, asociaciones u otros organismos.</w:t>
            </w:r>
          </w:p>
        </w:tc>
        <w:tc>
          <w:tcPr>
            <w:tcW w:w="4254" w:type="dxa"/>
            <w:tcBorders>
              <w:bottom w:val="thinThickMediumGap" w:sz="12" w:space="0" w:color="000000"/>
              <w:right w:val="thinThickMediumGap" w:sz="12" w:space="0" w:color="000000"/>
            </w:tcBorders>
          </w:tcPr>
          <w:p>
            <w:pPr>
              <w:pStyle w:val="TableParagraph"/>
              <w:spacing w:line="360" w:lineRule="auto" w:before="14"/>
              <w:ind w:left="81" w:right="80"/>
              <w:jc w:val="both"/>
              <w:rPr>
                <w:sz w:val="22"/>
              </w:rPr>
            </w:pPr>
            <w:r>
              <w:rPr>
                <w:sz w:val="22"/>
              </w:rPr>
              <w:t>Los recursos materiales para la conservación del Parque pueden ser extraídos del parque como piedras, tierra (composta), agua, plantas, entre otras.</w:t>
            </w:r>
          </w:p>
          <w:p>
            <w:pPr>
              <w:pStyle w:val="TableParagraph"/>
              <w:rPr>
                <w:sz w:val="22"/>
              </w:rPr>
            </w:pPr>
          </w:p>
          <w:p>
            <w:pPr>
              <w:pStyle w:val="TableParagraph"/>
              <w:spacing w:line="360" w:lineRule="auto" w:before="134"/>
              <w:ind w:left="81" w:right="79"/>
              <w:jc w:val="both"/>
              <w:rPr>
                <w:sz w:val="22"/>
              </w:rPr>
            </w:pPr>
            <w:r>
              <w:rPr>
                <w:sz w:val="22"/>
              </w:rPr>
              <w:t>Equipo de cómputo, impresoras, cámara fotográfica, papel, discos compactos, sillas, mesas, entre otros.</w:t>
            </w:r>
          </w:p>
        </w:tc>
      </w:tr>
    </w:tbl>
    <w:p>
      <w:pPr>
        <w:spacing w:before="0"/>
        <w:ind w:left="256" w:right="97" w:firstLine="0"/>
        <w:jc w:val="left"/>
        <w:rPr>
          <w:b/>
          <w:i/>
          <w:sz w:val="22"/>
        </w:rPr>
      </w:pPr>
      <w:r>
        <w:rPr>
          <w:b/>
          <w:i/>
          <w:sz w:val="22"/>
        </w:rPr>
        <w:t>Fuente: Elaboración propia, a partir de Camacho, 2001 y Gutiérrez, 2013.</w:t>
      </w:r>
    </w:p>
    <w:p>
      <w:pPr>
        <w:spacing w:after="0"/>
        <w:jc w:val="left"/>
        <w:rPr>
          <w:sz w:val="22"/>
        </w:rPr>
        <w:sectPr>
          <w:pgSz w:w="15840" w:h="12240" w:orient="landscape"/>
          <w:pgMar w:header="685" w:footer="1190" w:top="880" w:bottom="1380" w:left="1160" w:right="1140"/>
        </w:sectPr>
      </w:pPr>
    </w:p>
    <w:p>
      <w:pPr>
        <w:pStyle w:val="BodyText"/>
        <w:rPr>
          <w:b/>
          <w:i/>
          <w:sz w:val="20"/>
        </w:rPr>
      </w:pPr>
    </w:p>
    <w:p>
      <w:pPr>
        <w:pStyle w:val="BodyText"/>
        <w:rPr>
          <w:b/>
          <w:i/>
          <w:sz w:val="20"/>
        </w:rPr>
      </w:pPr>
    </w:p>
    <w:p>
      <w:pPr>
        <w:pStyle w:val="BodyText"/>
        <w:rPr>
          <w:b/>
          <w:i/>
          <w:sz w:val="20"/>
        </w:rPr>
      </w:pPr>
    </w:p>
    <w:p>
      <w:pPr>
        <w:pStyle w:val="Heading2"/>
        <w:numPr>
          <w:ilvl w:val="1"/>
          <w:numId w:val="16"/>
        </w:numPr>
        <w:tabs>
          <w:tab w:pos="894" w:val="left" w:leader="none"/>
          <w:tab w:pos="895" w:val="left" w:leader="none"/>
        </w:tabs>
        <w:spacing w:line="364" w:lineRule="auto" w:before="211" w:after="0"/>
        <w:ind w:left="644" w:right="123" w:hanging="360"/>
        <w:jc w:val="left"/>
      </w:pPr>
      <w:r>
        <w:rPr/>
        <w:t>Propuesta Estratégica de Conservación y Educación Ambiental: Jardín Botánico Regional “José Mariano</w:t>
      </w:r>
      <w:r>
        <w:rPr>
          <w:spacing w:val="-13"/>
        </w:rPr>
        <w:t> </w:t>
      </w:r>
      <w:r>
        <w:rPr/>
        <w:t>Mociño”</w:t>
      </w:r>
    </w:p>
    <w:p>
      <w:pPr>
        <w:pStyle w:val="BodyText"/>
        <w:rPr>
          <w:b/>
        </w:rPr>
      </w:pPr>
    </w:p>
    <w:p>
      <w:pPr>
        <w:pStyle w:val="BodyText"/>
        <w:spacing w:line="360" w:lineRule="auto" w:before="139"/>
        <w:ind w:left="116" w:right="116"/>
        <w:jc w:val="both"/>
      </w:pPr>
      <w:r>
        <w:rPr/>
        <w:t>La presente propuesta se realizó tomando en consideración el estado actual del Parque Universitario “”Las Orquídeas”, del Centro Universitario Temascaltepec y consiste en planear una propuesta para establecer un </w:t>
      </w:r>
      <w:r>
        <w:rPr>
          <w:b/>
        </w:rPr>
        <w:t>Jardín Botánico Regional </w:t>
      </w:r>
      <w:r>
        <w:rPr/>
        <w:t>en dicho sitio. Se consideran los Cuatro Ejes Rectores de Actividad en los Jardines Botánicos: investigaciones científicas, conservación, educación ambiental y divulgación (Lascurain </w:t>
      </w:r>
      <w:r>
        <w:rPr>
          <w:i/>
        </w:rPr>
        <w:t>et al., </w:t>
      </w:r>
      <w:r>
        <w:rPr/>
        <w:t>2006).</w:t>
      </w:r>
    </w:p>
    <w:p>
      <w:pPr>
        <w:pStyle w:val="BodyText"/>
      </w:pPr>
    </w:p>
    <w:p>
      <w:pPr>
        <w:pStyle w:val="BodyText"/>
        <w:spacing w:line="360" w:lineRule="auto" w:before="144"/>
        <w:ind w:left="116" w:right="114"/>
        <w:jc w:val="both"/>
      </w:pPr>
      <w:r>
        <w:rPr/>
        <w:t>Los Jardines Botánicos son colecciones de plantas vivas científicamente organizadas, que son la base de investigaciones científicas, de programas educativos, de programas de divulgación y de proyectos de conservación; además, son lugares que invitan a la recreación con la naturaleza (Lascurain </w:t>
      </w:r>
      <w:r>
        <w:rPr>
          <w:i/>
        </w:rPr>
        <w:t>et al., </w:t>
      </w:r>
      <w:r>
        <w:rPr/>
        <w:t>2006).</w:t>
      </w:r>
    </w:p>
    <w:p>
      <w:pPr>
        <w:spacing w:after="0" w:line="360" w:lineRule="auto"/>
        <w:jc w:val="both"/>
        <w:sectPr>
          <w:headerReference w:type="default" r:id="rId123"/>
          <w:footerReference w:type="default" r:id="rId124"/>
          <w:pgSz w:w="12240" w:h="15840"/>
          <w:pgMar w:header="685" w:footer="1190" w:top="880" w:bottom="1380" w:left="1300" w:right="1300"/>
          <w:pgNumType w:start="10"/>
        </w:sectPr>
      </w:pPr>
    </w:p>
    <w:p>
      <w:pPr>
        <w:pStyle w:val="BodyText"/>
        <w:rPr>
          <w:sz w:val="20"/>
        </w:rPr>
      </w:pPr>
    </w:p>
    <w:p>
      <w:pPr>
        <w:pStyle w:val="BodyText"/>
        <w:spacing w:before="9"/>
        <w:rPr>
          <w:sz w:val="19"/>
        </w:rPr>
      </w:pPr>
    </w:p>
    <w:p>
      <w:pPr>
        <w:pStyle w:val="ListParagraph"/>
        <w:numPr>
          <w:ilvl w:val="2"/>
          <w:numId w:val="16"/>
        </w:numPr>
        <w:tabs>
          <w:tab w:pos="1250" w:val="left" w:leader="none"/>
        </w:tabs>
        <w:spacing w:line="240" w:lineRule="auto" w:before="69" w:after="0"/>
        <w:ind w:left="1249" w:right="0" w:hanging="705"/>
        <w:jc w:val="left"/>
        <w:rPr>
          <w:i/>
          <w:sz w:val="24"/>
        </w:rPr>
      </w:pPr>
      <w:r>
        <w:rPr>
          <w:i/>
          <w:sz w:val="24"/>
        </w:rPr>
        <w:t>La visión y misión para el</w:t>
      </w:r>
      <w:r>
        <w:rPr>
          <w:i/>
          <w:spacing w:val="-16"/>
          <w:sz w:val="24"/>
        </w:rPr>
        <w:t> </w:t>
      </w:r>
      <w:r>
        <w:rPr>
          <w:i/>
          <w:sz w:val="24"/>
        </w:rPr>
        <w:t>Jardín</w:t>
      </w:r>
    </w:p>
    <w:p>
      <w:pPr>
        <w:pStyle w:val="BodyText"/>
        <w:spacing w:line="362" w:lineRule="auto" w:before="137"/>
        <w:ind w:left="116" w:right="103"/>
        <w:jc w:val="both"/>
      </w:pPr>
      <w:r>
        <w:rPr>
          <w:b/>
        </w:rPr>
        <w:t>MISIÓN</w:t>
      </w:r>
      <w:r>
        <w:rPr/>
        <w:t>. Conservar una colección de plantas representativas de la región, las cuales serán utilizadas con propósitos de investigación científica, educación ambiental y difusión.</w:t>
      </w:r>
    </w:p>
    <w:p>
      <w:pPr>
        <w:pStyle w:val="BodyText"/>
        <w:spacing w:before="10"/>
        <w:rPr>
          <w:sz w:val="35"/>
        </w:rPr>
      </w:pPr>
    </w:p>
    <w:p>
      <w:pPr>
        <w:pStyle w:val="BodyText"/>
        <w:spacing w:line="360" w:lineRule="auto"/>
        <w:ind w:left="116" w:right="98"/>
        <w:jc w:val="both"/>
      </w:pPr>
      <w:r>
        <w:rPr>
          <w:b/>
        </w:rPr>
        <w:t>VISIÓN</w:t>
      </w:r>
      <w:r>
        <w:rPr/>
        <w:t>. Ser una institución reconocida nacional e internacionalmente, capaz de realizar la conservación de la colección de plantas en el ámbito científico y educativo, asumiendo el compromiso con las agendas local e internacional sobre la conservación de la diversidad</w:t>
      </w:r>
      <w:r>
        <w:rPr>
          <w:spacing w:val="-10"/>
        </w:rPr>
        <w:t> </w:t>
      </w:r>
      <w:r>
        <w:rPr/>
        <w:t>biológica.</w:t>
      </w:r>
    </w:p>
    <w:p>
      <w:pPr>
        <w:pStyle w:val="BodyText"/>
      </w:pPr>
    </w:p>
    <w:p>
      <w:pPr>
        <w:pStyle w:val="Heading2"/>
        <w:spacing w:before="140"/>
      </w:pPr>
      <w:r>
        <w:rPr/>
        <w:t>Los objetivos centrales de la creación del Jardín Botánico son:</w:t>
      </w:r>
    </w:p>
    <w:p>
      <w:pPr>
        <w:pStyle w:val="ListParagraph"/>
        <w:numPr>
          <w:ilvl w:val="0"/>
          <w:numId w:val="18"/>
        </w:numPr>
        <w:tabs>
          <w:tab w:pos="837" w:val="left" w:leader="none"/>
        </w:tabs>
        <w:spacing w:line="362" w:lineRule="auto" w:before="137" w:after="0"/>
        <w:ind w:left="837" w:right="104" w:hanging="361"/>
        <w:jc w:val="both"/>
        <w:rPr>
          <w:sz w:val="24"/>
        </w:rPr>
      </w:pPr>
      <w:r>
        <w:rPr>
          <w:b/>
          <w:sz w:val="24"/>
        </w:rPr>
        <w:t>Conservación. </w:t>
      </w:r>
      <w:r>
        <w:rPr>
          <w:sz w:val="24"/>
        </w:rPr>
        <w:t>Contribuir a evitar la pérdida de la biodiversidad, a través de la ejecución de Programas de Conservación </w:t>
      </w:r>
      <w:r>
        <w:rPr>
          <w:i/>
          <w:spacing w:val="-3"/>
          <w:sz w:val="24"/>
        </w:rPr>
        <w:t>in</w:t>
      </w:r>
      <w:r>
        <w:rPr>
          <w:i/>
          <w:spacing w:val="-13"/>
          <w:sz w:val="24"/>
        </w:rPr>
        <w:t> </w:t>
      </w:r>
      <w:r>
        <w:rPr>
          <w:i/>
          <w:sz w:val="24"/>
        </w:rPr>
        <w:t>situ</w:t>
      </w:r>
      <w:r>
        <w:rPr>
          <w:sz w:val="24"/>
        </w:rPr>
        <w:t>.</w:t>
      </w:r>
    </w:p>
    <w:p>
      <w:pPr>
        <w:pStyle w:val="ListParagraph"/>
        <w:numPr>
          <w:ilvl w:val="0"/>
          <w:numId w:val="18"/>
        </w:numPr>
        <w:tabs>
          <w:tab w:pos="837" w:val="left" w:leader="none"/>
        </w:tabs>
        <w:spacing w:line="360" w:lineRule="auto" w:before="0" w:after="0"/>
        <w:ind w:left="837" w:right="98" w:hanging="361"/>
        <w:jc w:val="both"/>
        <w:rPr>
          <w:sz w:val="24"/>
        </w:rPr>
      </w:pPr>
      <w:r>
        <w:rPr>
          <w:b/>
          <w:sz w:val="24"/>
        </w:rPr>
        <w:t>Investigación científica. </w:t>
      </w:r>
      <w:r>
        <w:rPr>
          <w:sz w:val="24"/>
        </w:rPr>
        <w:t>Contribuir al conocimiento de la biodiversidad, la biología de las plantas y del medio ambiente donde crecen, y de la fauna autóctona de la</w:t>
      </w:r>
      <w:r>
        <w:rPr>
          <w:spacing w:val="-5"/>
          <w:sz w:val="24"/>
        </w:rPr>
        <w:t> </w:t>
      </w:r>
      <w:r>
        <w:rPr>
          <w:sz w:val="24"/>
        </w:rPr>
        <w:t>región.</w:t>
      </w:r>
    </w:p>
    <w:p>
      <w:pPr>
        <w:pStyle w:val="ListParagraph"/>
        <w:numPr>
          <w:ilvl w:val="0"/>
          <w:numId w:val="18"/>
        </w:numPr>
        <w:tabs>
          <w:tab w:pos="837" w:val="left" w:leader="none"/>
        </w:tabs>
        <w:spacing w:line="362" w:lineRule="auto" w:before="0" w:after="0"/>
        <w:ind w:left="837" w:right="101" w:hanging="361"/>
        <w:jc w:val="both"/>
        <w:rPr>
          <w:sz w:val="24"/>
        </w:rPr>
      </w:pPr>
      <w:r>
        <w:rPr>
          <w:b/>
          <w:sz w:val="24"/>
        </w:rPr>
        <w:t>Educación Ambiental. </w:t>
      </w:r>
      <w:r>
        <w:rPr>
          <w:sz w:val="24"/>
        </w:rPr>
        <w:t>Definir y desarrollar los programas de educación para personas de diferentes edades, estudios o intereses, sobre botánica, ecología y medio ambiente, para estimular en el público el amor por las plantas, mediante el desarrollo de programas recreativos y la entrega de información adecuada sobre ellas.</w:t>
      </w:r>
    </w:p>
    <w:p>
      <w:pPr>
        <w:pStyle w:val="ListParagraph"/>
        <w:numPr>
          <w:ilvl w:val="0"/>
          <w:numId w:val="18"/>
        </w:numPr>
        <w:tabs>
          <w:tab w:pos="837" w:val="left" w:leader="none"/>
        </w:tabs>
        <w:spacing w:line="362" w:lineRule="auto" w:before="0" w:after="0"/>
        <w:ind w:left="837" w:right="102" w:hanging="361"/>
        <w:jc w:val="both"/>
        <w:rPr>
          <w:sz w:val="24"/>
        </w:rPr>
      </w:pPr>
      <w:r>
        <w:rPr>
          <w:b/>
          <w:sz w:val="24"/>
        </w:rPr>
        <w:t>Difusión. </w:t>
      </w:r>
      <w:r>
        <w:rPr>
          <w:sz w:val="24"/>
        </w:rPr>
        <w:t>Promover mediante programas educativos y recreativos, la conservación de los recursos</w:t>
      </w:r>
      <w:r>
        <w:rPr>
          <w:spacing w:val="-8"/>
          <w:sz w:val="24"/>
        </w:rPr>
        <w:t> </w:t>
      </w:r>
      <w:r>
        <w:rPr>
          <w:sz w:val="24"/>
        </w:rPr>
        <w:t>naturales.</w:t>
      </w:r>
    </w:p>
    <w:p>
      <w:pPr>
        <w:pStyle w:val="BodyText"/>
        <w:spacing w:before="6"/>
        <w:rPr>
          <w:sz w:val="35"/>
        </w:rPr>
      </w:pPr>
    </w:p>
    <w:p>
      <w:pPr>
        <w:pStyle w:val="Heading2"/>
        <w:spacing w:line="360" w:lineRule="auto"/>
        <w:ind w:right="112"/>
      </w:pPr>
      <w:r>
        <w:rPr/>
        <w:t>Para el estudio ambiental se realizó la caracterización del parque Universitario “Las Orquídea”. El resultado se describe en el capítulo III, punto 3.1.</w:t>
      </w:r>
    </w:p>
    <w:p>
      <w:pPr>
        <w:spacing w:after="0" w:line="360" w:lineRule="auto"/>
        <w:sectPr>
          <w:pgSz w:w="12240" w:h="15840"/>
          <w:pgMar w:header="685" w:footer="1190" w:top="880" w:bottom="1380" w:left="1300" w:right="1320"/>
        </w:sectPr>
      </w:pPr>
    </w:p>
    <w:p>
      <w:pPr>
        <w:pStyle w:val="BodyText"/>
        <w:rPr>
          <w:b/>
          <w:sz w:val="20"/>
        </w:rPr>
      </w:pPr>
    </w:p>
    <w:p>
      <w:pPr>
        <w:pStyle w:val="BodyText"/>
        <w:rPr>
          <w:b/>
          <w:sz w:val="20"/>
        </w:rPr>
      </w:pPr>
    </w:p>
    <w:p>
      <w:pPr>
        <w:pStyle w:val="BodyText"/>
        <w:rPr>
          <w:b/>
          <w:sz w:val="20"/>
        </w:rPr>
      </w:pPr>
    </w:p>
    <w:p>
      <w:pPr>
        <w:pStyle w:val="BodyText"/>
        <w:spacing w:before="6"/>
        <w:rPr>
          <w:b/>
          <w:sz w:val="26"/>
        </w:rPr>
      </w:pPr>
    </w:p>
    <w:p>
      <w:pPr>
        <w:pStyle w:val="ListParagraph"/>
        <w:numPr>
          <w:ilvl w:val="2"/>
          <w:numId w:val="16"/>
        </w:numPr>
        <w:tabs>
          <w:tab w:pos="1111" w:val="left" w:leader="none"/>
        </w:tabs>
        <w:spacing w:line="240" w:lineRule="auto" w:before="70" w:after="0"/>
        <w:ind w:left="1110" w:right="0" w:hanging="711"/>
        <w:jc w:val="left"/>
        <w:rPr>
          <w:i/>
          <w:sz w:val="24"/>
        </w:rPr>
      </w:pPr>
      <w:r>
        <w:rPr>
          <w:i/>
          <w:sz w:val="24"/>
        </w:rPr>
        <w:t>Estudio</w:t>
      </w:r>
      <w:r>
        <w:rPr>
          <w:i/>
          <w:spacing w:val="-12"/>
          <w:sz w:val="24"/>
        </w:rPr>
        <w:t> </w:t>
      </w:r>
      <w:r>
        <w:rPr>
          <w:i/>
          <w:sz w:val="24"/>
        </w:rPr>
        <w:t>Técnico</w:t>
      </w:r>
    </w:p>
    <w:p>
      <w:pPr>
        <w:pStyle w:val="BodyText"/>
        <w:spacing w:line="360" w:lineRule="auto" w:before="137"/>
        <w:ind w:left="116" w:right="110"/>
        <w:jc w:val="both"/>
      </w:pPr>
      <w:r>
        <w:rPr/>
        <w:t>El estudio técnico para planear la propuesta del Jardín Botánico Regional, consiste en indicar y describir las áreas que existen actualmente en el Parque (Cuadro 21)  y aquellas que podrían ser incorporadas (Cuadro 22).</w:t>
      </w:r>
    </w:p>
    <w:p>
      <w:pPr>
        <w:pStyle w:val="BodyText"/>
        <w:rPr>
          <w:sz w:val="20"/>
        </w:rPr>
      </w:pPr>
    </w:p>
    <w:p>
      <w:pPr>
        <w:pStyle w:val="BodyText"/>
        <w:spacing w:before="7"/>
        <w:rPr>
          <w:sz w:val="23"/>
        </w:rPr>
      </w:pPr>
    </w:p>
    <w:tbl>
      <w:tblPr>
        <w:tblW w:w="0" w:type="auto"/>
        <w:jc w:val="left"/>
        <w:tblInd w:w="231" w:type="dxa"/>
        <w:tblBorders>
          <w:top w:val="thickThinMediumGap" w:sz="23" w:space="0" w:color="000000"/>
          <w:left w:val="thickThinMediumGap" w:sz="23" w:space="0" w:color="000000"/>
          <w:bottom w:val="thickThinMediumGap" w:sz="23" w:space="0" w:color="000000"/>
          <w:right w:val="thickThinMediumGap" w:sz="23" w:space="0" w:color="000000"/>
          <w:insideH w:val="thickThinMediumGap" w:sz="23" w:space="0" w:color="000000"/>
          <w:insideV w:val="thickThinMediumGap" w:sz="23" w:space="0" w:color="000000"/>
        </w:tblBorders>
        <w:tblLayout w:type="fixed"/>
        <w:tblCellMar>
          <w:top w:w="0" w:type="dxa"/>
          <w:left w:w="0" w:type="dxa"/>
          <w:bottom w:w="0" w:type="dxa"/>
          <w:right w:w="0" w:type="dxa"/>
        </w:tblCellMar>
        <w:tblLook w:val="01E0"/>
      </w:tblPr>
      <w:tblGrid>
        <w:gridCol w:w="3333"/>
        <w:gridCol w:w="3208"/>
        <w:gridCol w:w="2521"/>
      </w:tblGrid>
      <w:tr>
        <w:trPr>
          <w:trHeight w:val="346" w:hRule="exact"/>
        </w:trPr>
        <w:tc>
          <w:tcPr>
            <w:tcW w:w="9062" w:type="dxa"/>
            <w:gridSpan w:val="3"/>
            <w:tcBorders>
              <w:bottom w:val="thinThickMediumGap" w:sz="23" w:space="0" w:color="000000"/>
              <w:right w:val="thinThickMediumGap" w:sz="23" w:space="0" w:color="000000"/>
            </w:tcBorders>
          </w:tcPr>
          <w:p>
            <w:pPr>
              <w:pStyle w:val="TableParagraph"/>
              <w:ind w:left="1517"/>
              <w:rPr>
                <w:b/>
                <w:i/>
                <w:sz w:val="22"/>
              </w:rPr>
            </w:pPr>
            <w:r>
              <w:rPr>
                <w:b/>
                <w:i/>
                <w:sz w:val="22"/>
              </w:rPr>
              <w:t>Cuadro 21. Áreas actualmente establecidas en el Parque</w:t>
            </w:r>
          </w:p>
        </w:tc>
      </w:tr>
      <w:tr>
        <w:trPr>
          <w:trHeight w:val="624" w:hRule="exact"/>
        </w:trPr>
        <w:tc>
          <w:tcPr>
            <w:tcW w:w="3333" w:type="dxa"/>
            <w:tcBorders>
              <w:bottom w:val="thinThickMediumGap" w:sz="23" w:space="0" w:color="000000"/>
              <w:right w:val="thinThickMediumGap" w:sz="23" w:space="0" w:color="000000"/>
            </w:tcBorders>
          </w:tcPr>
          <w:p>
            <w:pPr>
              <w:pStyle w:val="TableParagraph"/>
              <w:spacing w:line="250" w:lineRule="exact" w:before="30"/>
              <w:ind w:left="240" w:right="131" w:hanging="83"/>
              <w:rPr>
                <w:b/>
                <w:sz w:val="22"/>
              </w:rPr>
            </w:pPr>
            <w:r>
              <w:rPr>
                <w:b/>
                <w:sz w:val="22"/>
              </w:rPr>
              <w:t>Zonas de Manejo Ambiental (ZMA) actuales del parque</w:t>
            </w:r>
          </w:p>
        </w:tc>
        <w:tc>
          <w:tcPr>
            <w:tcW w:w="3208" w:type="dxa"/>
            <w:tcBorders>
              <w:bottom w:val="thinThickMediumGap" w:sz="23" w:space="0" w:color="000000"/>
              <w:right w:val="thinThickMediumGap" w:sz="23" w:space="0" w:color="000000"/>
            </w:tcBorders>
          </w:tcPr>
          <w:p>
            <w:pPr>
              <w:pStyle w:val="TableParagraph"/>
              <w:spacing w:before="149"/>
              <w:ind w:left="917"/>
              <w:rPr>
                <w:b/>
                <w:sz w:val="22"/>
              </w:rPr>
            </w:pPr>
            <w:r>
              <w:rPr>
                <w:b/>
                <w:sz w:val="22"/>
              </w:rPr>
              <w:t>Descripción</w:t>
            </w:r>
          </w:p>
        </w:tc>
        <w:tc>
          <w:tcPr>
            <w:tcW w:w="2521" w:type="dxa"/>
            <w:tcBorders>
              <w:bottom w:val="thinThickMediumGap" w:sz="23" w:space="0" w:color="000000"/>
              <w:right w:val="thinThickMediumGap" w:sz="23" w:space="0" w:color="000000"/>
            </w:tcBorders>
          </w:tcPr>
          <w:p>
            <w:pPr>
              <w:pStyle w:val="TableParagraph"/>
              <w:spacing w:before="124"/>
              <w:ind w:left="407" w:right="413"/>
              <w:jc w:val="center"/>
              <w:rPr>
                <w:b/>
                <w:sz w:val="22"/>
              </w:rPr>
            </w:pPr>
            <w:r>
              <w:rPr>
                <w:b/>
                <w:sz w:val="22"/>
              </w:rPr>
              <w:t>Superficie (m</w:t>
            </w:r>
            <w:r>
              <w:rPr>
                <w:b/>
                <w:position w:val="10"/>
                <w:sz w:val="14"/>
              </w:rPr>
              <w:t>2</w:t>
            </w:r>
            <w:r>
              <w:rPr>
                <w:b/>
                <w:sz w:val="22"/>
              </w:rPr>
              <w:t>)</w:t>
            </w:r>
          </w:p>
        </w:tc>
      </w:tr>
      <w:tr>
        <w:trPr>
          <w:trHeight w:val="625" w:hRule="exact"/>
        </w:trPr>
        <w:tc>
          <w:tcPr>
            <w:tcW w:w="3333" w:type="dxa"/>
            <w:tcBorders>
              <w:bottom w:val="thinThickMediumGap" w:sz="23" w:space="0" w:color="000000"/>
              <w:right w:val="thinThickMediumGap" w:sz="23" w:space="0" w:color="000000"/>
            </w:tcBorders>
          </w:tcPr>
          <w:p>
            <w:pPr>
              <w:pStyle w:val="TableParagraph"/>
              <w:spacing w:before="29"/>
              <w:ind w:left="52"/>
              <w:rPr>
                <w:b/>
                <w:i/>
                <w:sz w:val="22"/>
              </w:rPr>
            </w:pPr>
            <w:r>
              <w:rPr>
                <w:b/>
                <w:i/>
                <w:sz w:val="22"/>
              </w:rPr>
              <w:t>ZMA 1. Plantas medicinales y </w:t>
            </w:r>
            <w:r>
              <w:rPr>
                <w:b/>
                <w:i/>
                <w:sz w:val="22"/>
              </w:rPr>
              <w:t>aromáticas</w:t>
            </w:r>
          </w:p>
        </w:tc>
        <w:tc>
          <w:tcPr>
            <w:tcW w:w="3208" w:type="dxa"/>
            <w:tcBorders>
              <w:bottom w:val="thinThickMediumGap" w:sz="23" w:space="0" w:color="000000"/>
              <w:right w:val="thinThickMediumGap" w:sz="23" w:space="0" w:color="000000"/>
            </w:tcBorders>
          </w:tcPr>
          <w:p>
            <w:pPr>
              <w:pStyle w:val="TableParagraph"/>
              <w:spacing w:before="29"/>
              <w:ind w:left="52"/>
              <w:rPr>
                <w:sz w:val="22"/>
              </w:rPr>
            </w:pPr>
            <w:r>
              <w:rPr>
                <w:sz w:val="22"/>
              </w:rPr>
              <w:t>Existen especies de interés medicinal y aromático</w:t>
            </w:r>
          </w:p>
        </w:tc>
        <w:tc>
          <w:tcPr>
            <w:tcW w:w="2521" w:type="dxa"/>
            <w:tcBorders>
              <w:bottom w:val="thinThickMediumGap" w:sz="23" w:space="0" w:color="000000"/>
              <w:right w:val="thinThickMediumGap" w:sz="23" w:space="0" w:color="000000"/>
            </w:tcBorders>
          </w:tcPr>
          <w:p>
            <w:pPr>
              <w:pStyle w:val="TableParagraph"/>
              <w:spacing w:before="154"/>
              <w:ind w:left="407" w:right="409"/>
              <w:jc w:val="center"/>
              <w:rPr>
                <w:sz w:val="22"/>
              </w:rPr>
            </w:pPr>
            <w:r>
              <w:rPr>
                <w:sz w:val="22"/>
              </w:rPr>
              <w:t>4,586.42</w:t>
            </w:r>
          </w:p>
        </w:tc>
      </w:tr>
      <w:tr>
        <w:trPr>
          <w:trHeight w:val="629" w:hRule="exact"/>
        </w:trPr>
        <w:tc>
          <w:tcPr>
            <w:tcW w:w="3333" w:type="dxa"/>
            <w:tcBorders>
              <w:bottom w:val="thinThickMediumGap" w:sz="23" w:space="0" w:color="000000"/>
              <w:right w:val="thinThickMediumGap" w:sz="23" w:space="0" w:color="000000"/>
            </w:tcBorders>
          </w:tcPr>
          <w:p>
            <w:pPr>
              <w:pStyle w:val="TableParagraph"/>
              <w:spacing w:before="158"/>
              <w:ind w:left="52" w:right="131"/>
              <w:rPr>
                <w:b/>
                <w:i/>
                <w:sz w:val="22"/>
              </w:rPr>
            </w:pPr>
            <w:r>
              <w:rPr>
                <w:b/>
                <w:i/>
                <w:sz w:val="22"/>
              </w:rPr>
              <w:t>ZMA 2. Cafetal</w:t>
            </w:r>
          </w:p>
        </w:tc>
        <w:tc>
          <w:tcPr>
            <w:tcW w:w="3208" w:type="dxa"/>
            <w:tcBorders>
              <w:bottom w:val="thinThickMediumGap" w:sz="23" w:space="0" w:color="000000"/>
              <w:right w:val="thinThickMediumGap" w:sz="23" w:space="0" w:color="000000"/>
            </w:tcBorders>
          </w:tcPr>
          <w:p>
            <w:pPr>
              <w:pStyle w:val="TableParagraph"/>
              <w:spacing w:line="250" w:lineRule="exact" w:before="35"/>
              <w:ind w:left="52"/>
              <w:rPr>
                <w:i/>
                <w:sz w:val="22"/>
              </w:rPr>
            </w:pPr>
            <w:r>
              <w:rPr>
                <w:sz w:val="22"/>
              </w:rPr>
              <w:t>En su mayoría se encuentran individuos del género </w:t>
            </w:r>
            <w:r>
              <w:rPr>
                <w:i/>
                <w:sz w:val="22"/>
              </w:rPr>
              <w:t>Coffea.</w:t>
            </w:r>
          </w:p>
        </w:tc>
        <w:tc>
          <w:tcPr>
            <w:tcW w:w="2521" w:type="dxa"/>
            <w:tcBorders>
              <w:bottom w:val="thinThickMediumGap" w:sz="23" w:space="0" w:color="000000"/>
              <w:right w:val="thinThickMediumGap" w:sz="23" w:space="0" w:color="000000"/>
            </w:tcBorders>
          </w:tcPr>
          <w:p>
            <w:pPr>
              <w:pStyle w:val="TableParagraph"/>
              <w:spacing w:before="158"/>
              <w:ind w:left="407" w:right="409"/>
              <w:jc w:val="center"/>
              <w:rPr>
                <w:sz w:val="22"/>
              </w:rPr>
            </w:pPr>
            <w:r>
              <w:rPr>
                <w:sz w:val="22"/>
              </w:rPr>
              <w:t>1,564.34</w:t>
            </w:r>
          </w:p>
        </w:tc>
      </w:tr>
      <w:tr>
        <w:trPr>
          <w:trHeight w:val="1383" w:hRule="exact"/>
        </w:trPr>
        <w:tc>
          <w:tcPr>
            <w:tcW w:w="3333" w:type="dxa"/>
            <w:tcBorders>
              <w:bottom w:val="thinThickMediumGap" w:sz="23" w:space="0" w:color="000000"/>
              <w:right w:val="thinThickMediumGap" w:sz="23" w:space="0" w:color="000000"/>
            </w:tcBorders>
          </w:tcPr>
          <w:p>
            <w:pPr>
              <w:pStyle w:val="TableParagraph"/>
              <w:rPr>
                <w:sz w:val="22"/>
              </w:rPr>
            </w:pPr>
          </w:p>
          <w:p>
            <w:pPr>
              <w:pStyle w:val="TableParagraph"/>
              <w:spacing w:before="4"/>
              <w:rPr>
                <w:sz w:val="24"/>
              </w:rPr>
            </w:pPr>
          </w:p>
          <w:p>
            <w:pPr>
              <w:pStyle w:val="TableParagraph"/>
              <w:ind w:left="52" w:right="131"/>
              <w:rPr>
                <w:b/>
                <w:i/>
                <w:sz w:val="22"/>
              </w:rPr>
            </w:pPr>
            <w:r>
              <w:rPr>
                <w:b/>
                <w:i/>
                <w:sz w:val="22"/>
              </w:rPr>
              <w:t>ZMA 3. Hortalizas</w:t>
            </w:r>
          </w:p>
        </w:tc>
        <w:tc>
          <w:tcPr>
            <w:tcW w:w="3208" w:type="dxa"/>
            <w:tcBorders>
              <w:bottom w:val="thinThickMediumGap" w:sz="23" w:space="0" w:color="000000"/>
              <w:right w:val="thinThickMediumGap" w:sz="23" w:space="0" w:color="000000"/>
            </w:tcBorders>
          </w:tcPr>
          <w:p>
            <w:pPr>
              <w:pStyle w:val="TableParagraph"/>
              <w:tabs>
                <w:tab w:pos="2408" w:val="left" w:leader="none"/>
              </w:tabs>
              <w:spacing w:before="29"/>
              <w:ind w:left="52" w:right="47"/>
              <w:jc w:val="both"/>
              <w:rPr>
                <w:sz w:val="22"/>
              </w:rPr>
            </w:pPr>
            <w:r>
              <w:rPr>
                <w:sz w:val="22"/>
              </w:rPr>
              <w:t>Plantaciones de hortalizas con propósitos de enseñanza para los alumnos del Centro Universitario</w:t>
              <w:tab/>
            </w:r>
            <w:r>
              <w:rPr>
                <w:spacing w:val="-1"/>
                <w:sz w:val="22"/>
              </w:rPr>
              <w:t>UAEM </w:t>
            </w:r>
            <w:r>
              <w:rPr>
                <w:sz w:val="22"/>
              </w:rPr>
              <w:t>Temascaltepec.</w:t>
            </w:r>
          </w:p>
        </w:tc>
        <w:tc>
          <w:tcPr>
            <w:tcW w:w="2521" w:type="dxa"/>
            <w:tcBorders>
              <w:bottom w:val="thinThickMediumGap" w:sz="23" w:space="0" w:color="000000"/>
              <w:right w:val="thinThickMediumGap" w:sz="23" w:space="0" w:color="000000"/>
            </w:tcBorders>
          </w:tcPr>
          <w:p>
            <w:pPr>
              <w:pStyle w:val="TableParagraph"/>
              <w:rPr>
                <w:sz w:val="22"/>
              </w:rPr>
            </w:pPr>
          </w:p>
          <w:p>
            <w:pPr>
              <w:pStyle w:val="TableParagraph"/>
              <w:spacing w:before="4"/>
              <w:rPr>
                <w:sz w:val="24"/>
              </w:rPr>
            </w:pPr>
          </w:p>
          <w:p>
            <w:pPr>
              <w:pStyle w:val="TableParagraph"/>
              <w:ind w:left="407" w:right="409"/>
              <w:jc w:val="center"/>
              <w:rPr>
                <w:sz w:val="22"/>
              </w:rPr>
            </w:pPr>
            <w:r>
              <w:rPr>
                <w:sz w:val="22"/>
              </w:rPr>
              <w:t>1,455.22</w:t>
            </w:r>
          </w:p>
        </w:tc>
      </w:tr>
      <w:tr>
        <w:trPr>
          <w:trHeight w:val="1133" w:hRule="exact"/>
        </w:trPr>
        <w:tc>
          <w:tcPr>
            <w:tcW w:w="3333" w:type="dxa"/>
            <w:tcBorders>
              <w:bottom w:val="thinThickMediumGap" w:sz="23" w:space="0" w:color="000000"/>
              <w:right w:val="thinThickMediumGap" w:sz="23" w:space="0" w:color="000000"/>
            </w:tcBorders>
          </w:tcPr>
          <w:p>
            <w:pPr>
              <w:pStyle w:val="TableParagraph"/>
              <w:rPr>
                <w:sz w:val="22"/>
              </w:rPr>
            </w:pPr>
          </w:p>
          <w:p>
            <w:pPr>
              <w:pStyle w:val="TableParagraph"/>
              <w:spacing w:before="155"/>
              <w:ind w:left="52" w:right="131"/>
              <w:rPr>
                <w:b/>
                <w:i/>
                <w:sz w:val="22"/>
              </w:rPr>
            </w:pPr>
            <w:r>
              <w:rPr>
                <w:b/>
                <w:i/>
                <w:sz w:val="22"/>
              </w:rPr>
              <w:t>ZMA4. Frutales</w:t>
            </w:r>
          </w:p>
        </w:tc>
        <w:tc>
          <w:tcPr>
            <w:tcW w:w="3208" w:type="dxa"/>
            <w:tcBorders>
              <w:bottom w:val="thinThickMediumGap" w:sz="23" w:space="0" w:color="000000"/>
              <w:right w:val="thinThickMediumGap" w:sz="23" w:space="0" w:color="000000"/>
            </w:tcBorders>
          </w:tcPr>
          <w:p>
            <w:pPr>
              <w:pStyle w:val="TableParagraph"/>
              <w:spacing w:before="29"/>
              <w:ind w:left="52" w:right="50"/>
              <w:jc w:val="both"/>
              <w:rPr>
                <w:sz w:val="22"/>
              </w:rPr>
            </w:pPr>
            <w:r>
              <w:rPr>
                <w:sz w:val="22"/>
              </w:rPr>
              <w:t>Se incluyen especies de importancia económica y alimentaria, debido a  los frutos de estos árboles.</w:t>
            </w:r>
          </w:p>
        </w:tc>
        <w:tc>
          <w:tcPr>
            <w:tcW w:w="2521" w:type="dxa"/>
            <w:tcBorders>
              <w:bottom w:val="thinThickMediumGap" w:sz="23" w:space="0" w:color="000000"/>
              <w:right w:val="thinThickMediumGap" w:sz="23" w:space="0" w:color="000000"/>
            </w:tcBorders>
          </w:tcPr>
          <w:p>
            <w:pPr>
              <w:pStyle w:val="TableParagraph"/>
              <w:rPr>
                <w:sz w:val="22"/>
              </w:rPr>
            </w:pPr>
          </w:p>
          <w:p>
            <w:pPr>
              <w:pStyle w:val="TableParagraph"/>
              <w:spacing w:before="155"/>
              <w:ind w:left="407" w:right="409"/>
              <w:jc w:val="center"/>
              <w:rPr>
                <w:sz w:val="22"/>
              </w:rPr>
            </w:pPr>
            <w:r>
              <w:rPr>
                <w:sz w:val="22"/>
              </w:rPr>
              <w:t>1,426.92</w:t>
            </w:r>
          </w:p>
        </w:tc>
      </w:tr>
      <w:tr>
        <w:trPr>
          <w:trHeight w:val="878" w:hRule="exact"/>
        </w:trPr>
        <w:tc>
          <w:tcPr>
            <w:tcW w:w="3333" w:type="dxa"/>
            <w:tcBorders>
              <w:bottom w:val="thinThickMediumGap" w:sz="23" w:space="0" w:color="000000"/>
              <w:right w:val="thinThickMediumGap" w:sz="23" w:space="0" w:color="000000"/>
            </w:tcBorders>
          </w:tcPr>
          <w:p>
            <w:pPr>
              <w:pStyle w:val="TableParagraph"/>
              <w:spacing w:before="7"/>
              <w:rPr>
                <w:sz w:val="24"/>
              </w:rPr>
            </w:pPr>
          </w:p>
          <w:p>
            <w:pPr>
              <w:pStyle w:val="TableParagraph"/>
              <w:ind w:left="52" w:right="131"/>
              <w:rPr>
                <w:b/>
                <w:i/>
                <w:sz w:val="22"/>
              </w:rPr>
            </w:pPr>
            <w:r>
              <w:rPr>
                <w:b/>
                <w:i/>
                <w:sz w:val="22"/>
              </w:rPr>
              <w:t>ZMA 5. Mariposario</w:t>
            </w:r>
          </w:p>
        </w:tc>
        <w:tc>
          <w:tcPr>
            <w:tcW w:w="3208" w:type="dxa"/>
            <w:tcBorders>
              <w:bottom w:val="thinThickMediumGap" w:sz="23" w:space="0" w:color="000000"/>
              <w:right w:val="thinThickMediumGap" w:sz="23" w:space="0" w:color="000000"/>
            </w:tcBorders>
          </w:tcPr>
          <w:p>
            <w:pPr>
              <w:pStyle w:val="TableParagraph"/>
              <w:spacing w:before="29"/>
              <w:ind w:left="52" w:right="49"/>
              <w:jc w:val="both"/>
              <w:rPr>
                <w:sz w:val="22"/>
              </w:rPr>
            </w:pPr>
            <w:r>
              <w:rPr>
                <w:sz w:val="22"/>
              </w:rPr>
              <w:t>Aquellas especies hospederas de las mariposas se incluyen en esta área.</w:t>
            </w:r>
          </w:p>
        </w:tc>
        <w:tc>
          <w:tcPr>
            <w:tcW w:w="2521" w:type="dxa"/>
            <w:tcBorders>
              <w:bottom w:val="thinThickMediumGap" w:sz="23" w:space="0" w:color="000000"/>
              <w:right w:val="thinThickMediumGap" w:sz="23" w:space="0" w:color="000000"/>
            </w:tcBorders>
          </w:tcPr>
          <w:p>
            <w:pPr>
              <w:pStyle w:val="TableParagraph"/>
              <w:spacing w:before="7"/>
              <w:rPr>
                <w:sz w:val="24"/>
              </w:rPr>
            </w:pPr>
          </w:p>
          <w:p>
            <w:pPr>
              <w:pStyle w:val="TableParagraph"/>
              <w:ind w:left="407" w:right="409"/>
              <w:jc w:val="center"/>
              <w:rPr>
                <w:sz w:val="22"/>
              </w:rPr>
            </w:pPr>
            <w:r>
              <w:rPr>
                <w:sz w:val="22"/>
              </w:rPr>
              <w:t>1,345.62</w:t>
            </w:r>
          </w:p>
        </w:tc>
      </w:tr>
      <w:tr>
        <w:trPr>
          <w:trHeight w:val="879" w:hRule="exact"/>
        </w:trPr>
        <w:tc>
          <w:tcPr>
            <w:tcW w:w="3333" w:type="dxa"/>
            <w:tcBorders>
              <w:top w:val="thickThinMediumGap" w:sz="23" w:space="0" w:color="000000"/>
              <w:bottom w:val="thinThickMediumGap" w:sz="23" w:space="0" w:color="000000"/>
              <w:right w:val="thinThickMediumGap" w:sz="23" w:space="0" w:color="000000"/>
            </w:tcBorders>
          </w:tcPr>
          <w:p>
            <w:pPr>
              <w:pStyle w:val="TableParagraph"/>
              <w:spacing w:before="7"/>
              <w:rPr>
                <w:sz w:val="24"/>
              </w:rPr>
            </w:pPr>
          </w:p>
          <w:p>
            <w:pPr>
              <w:pStyle w:val="TableParagraph"/>
              <w:ind w:left="52" w:right="131"/>
              <w:rPr>
                <w:b/>
                <w:i/>
                <w:sz w:val="22"/>
              </w:rPr>
            </w:pPr>
            <w:r>
              <w:rPr>
                <w:b/>
                <w:i/>
                <w:sz w:val="22"/>
              </w:rPr>
              <w:t>ZMA 6. Orquídeario</w:t>
            </w:r>
          </w:p>
        </w:tc>
        <w:tc>
          <w:tcPr>
            <w:tcW w:w="3208" w:type="dxa"/>
            <w:tcBorders>
              <w:top w:val="thickThinMediumGap" w:sz="23" w:space="0" w:color="000000"/>
              <w:bottom w:val="thinThickMediumGap" w:sz="23" w:space="0" w:color="000000"/>
              <w:right w:val="thinThickMediumGap" w:sz="23" w:space="0" w:color="000000"/>
            </w:tcBorders>
          </w:tcPr>
          <w:p>
            <w:pPr>
              <w:pStyle w:val="TableParagraph"/>
              <w:spacing w:before="29"/>
              <w:ind w:left="52" w:right="49"/>
              <w:jc w:val="both"/>
              <w:rPr>
                <w:sz w:val="22"/>
              </w:rPr>
            </w:pPr>
            <w:r>
              <w:rPr>
                <w:sz w:val="22"/>
              </w:rPr>
              <w:t>Vegetación natural, con mayor diversidad de especies de la familia Orchidaceae.</w:t>
            </w:r>
          </w:p>
        </w:tc>
        <w:tc>
          <w:tcPr>
            <w:tcW w:w="2521" w:type="dxa"/>
            <w:tcBorders>
              <w:top w:val="thickThinMediumGap" w:sz="23" w:space="0" w:color="000000"/>
              <w:bottom w:val="thinThickMediumGap" w:sz="23" w:space="0" w:color="000000"/>
              <w:right w:val="thinThickMediumGap" w:sz="23" w:space="0" w:color="000000"/>
            </w:tcBorders>
          </w:tcPr>
          <w:p>
            <w:pPr>
              <w:pStyle w:val="TableParagraph"/>
              <w:spacing w:before="7"/>
              <w:rPr>
                <w:sz w:val="24"/>
              </w:rPr>
            </w:pPr>
          </w:p>
          <w:p>
            <w:pPr>
              <w:pStyle w:val="TableParagraph"/>
              <w:ind w:left="407" w:right="409"/>
              <w:jc w:val="center"/>
              <w:rPr>
                <w:sz w:val="22"/>
              </w:rPr>
            </w:pPr>
            <w:r>
              <w:rPr>
                <w:sz w:val="22"/>
              </w:rPr>
              <w:t>8,960.49</w:t>
            </w:r>
          </w:p>
        </w:tc>
      </w:tr>
      <w:tr>
        <w:trPr>
          <w:trHeight w:val="408" w:hRule="exact"/>
        </w:trPr>
        <w:tc>
          <w:tcPr>
            <w:tcW w:w="3333" w:type="dxa"/>
            <w:tcBorders>
              <w:bottom w:val="thinThickMediumGap" w:sz="23" w:space="0" w:color="000000"/>
              <w:right w:val="thinThickMediumGap" w:sz="23" w:space="0" w:color="000000"/>
            </w:tcBorders>
          </w:tcPr>
          <w:p>
            <w:pPr>
              <w:pStyle w:val="TableParagraph"/>
              <w:spacing w:before="29"/>
              <w:ind w:left="52" w:right="131"/>
              <w:rPr>
                <w:b/>
                <w:i/>
                <w:sz w:val="22"/>
              </w:rPr>
            </w:pPr>
            <w:r>
              <w:rPr>
                <w:b/>
                <w:i/>
                <w:sz w:val="22"/>
              </w:rPr>
              <w:t>ZMA 7. Vegetación natural</w:t>
            </w:r>
          </w:p>
        </w:tc>
        <w:tc>
          <w:tcPr>
            <w:tcW w:w="3208" w:type="dxa"/>
            <w:tcBorders>
              <w:bottom w:val="thinThickMediumGap" w:sz="23" w:space="0" w:color="000000"/>
              <w:right w:val="thinThickMediumGap" w:sz="23" w:space="0" w:color="000000"/>
            </w:tcBorders>
          </w:tcPr>
          <w:p>
            <w:pPr>
              <w:pStyle w:val="TableParagraph"/>
              <w:spacing w:before="29"/>
              <w:ind w:left="52"/>
              <w:rPr>
                <w:sz w:val="22"/>
              </w:rPr>
            </w:pPr>
            <w:r>
              <w:rPr>
                <w:sz w:val="22"/>
              </w:rPr>
              <w:t>Área con especies silvestres.</w:t>
            </w:r>
          </w:p>
        </w:tc>
        <w:tc>
          <w:tcPr>
            <w:tcW w:w="2521" w:type="dxa"/>
            <w:tcBorders>
              <w:bottom w:val="thinThickMediumGap" w:sz="23" w:space="0" w:color="000000"/>
              <w:right w:val="thinThickMediumGap" w:sz="23" w:space="0" w:color="000000"/>
            </w:tcBorders>
          </w:tcPr>
          <w:p>
            <w:pPr>
              <w:pStyle w:val="TableParagraph"/>
              <w:spacing w:before="29"/>
              <w:ind w:left="407" w:right="409"/>
              <w:jc w:val="center"/>
              <w:rPr>
                <w:sz w:val="22"/>
              </w:rPr>
            </w:pPr>
            <w:r>
              <w:rPr>
                <w:sz w:val="22"/>
              </w:rPr>
              <w:t>6,966.80</w:t>
            </w:r>
          </w:p>
        </w:tc>
      </w:tr>
    </w:tbl>
    <w:p>
      <w:pPr>
        <w:spacing w:line="220" w:lineRule="exact" w:before="0"/>
        <w:ind w:left="116" w:right="78" w:firstLine="0"/>
        <w:jc w:val="left"/>
        <w:rPr>
          <w:b/>
          <w:i/>
          <w:sz w:val="20"/>
        </w:rPr>
      </w:pPr>
      <w:r>
        <w:rPr>
          <w:b/>
          <w:i/>
          <w:sz w:val="20"/>
        </w:rPr>
        <w:t>Fuente: Información obtenida en trabajo de campo.</w:t>
      </w:r>
    </w:p>
    <w:p>
      <w:pPr>
        <w:spacing w:after="0" w:line="220" w:lineRule="exact"/>
        <w:jc w:val="left"/>
        <w:rPr>
          <w:sz w:val="20"/>
        </w:rPr>
        <w:sectPr>
          <w:footerReference w:type="default" r:id="rId125"/>
          <w:pgSz w:w="12240" w:h="15840"/>
          <w:pgMar w:footer="1190" w:header="685" w:top="880" w:bottom="1380" w:left="1300" w:right="1300"/>
          <w:pgNumType w:start="111"/>
        </w:sectPr>
      </w:pPr>
    </w:p>
    <w:p>
      <w:pPr>
        <w:pStyle w:val="BodyText"/>
        <w:rPr>
          <w:b/>
          <w:i/>
          <w:sz w:val="20"/>
        </w:rPr>
      </w:pPr>
    </w:p>
    <w:p>
      <w:pPr>
        <w:pStyle w:val="BodyText"/>
        <w:spacing w:before="9"/>
        <w:rPr>
          <w:b/>
          <w:i/>
          <w:sz w:val="19"/>
        </w:rPr>
      </w:pPr>
    </w:p>
    <w:p>
      <w:pPr>
        <w:pStyle w:val="BodyText"/>
        <w:spacing w:line="362" w:lineRule="auto" w:before="69"/>
        <w:ind w:left="116" w:right="78"/>
      </w:pPr>
      <w:r>
        <w:rPr/>
        <w:t>En el siguiente cuadro, se presenta la propuesta de las áreas nuevas para incorporarse en el diseño del Jardín Botánico Regional.</w:t>
      </w:r>
    </w:p>
    <w:p>
      <w:pPr>
        <w:pStyle w:val="BodyText"/>
        <w:rPr>
          <w:sz w:val="20"/>
        </w:rPr>
      </w:pPr>
    </w:p>
    <w:p>
      <w:pPr>
        <w:pStyle w:val="BodyText"/>
        <w:rPr>
          <w:sz w:val="20"/>
        </w:rPr>
      </w:pPr>
    </w:p>
    <w:p>
      <w:pPr>
        <w:pStyle w:val="BodyText"/>
        <w:rPr>
          <w:sz w:val="20"/>
        </w:rPr>
      </w:pPr>
    </w:p>
    <w:p>
      <w:pPr>
        <w:pStyle w:val="BodyText"/>
        <w:spacing w:before="10"/>
        <w:rPr>
          <w:sz w:val="13"/>
        </w:rPr>
      </w:pPr>
    </w:p>
    <w:tbl>
      <w:tblPr>
        <w:tblW w:w="0" w:type="auto"/>
        <w:jc w:val="left"/>
        <w:tblInd w:w="380" w:type="dxa"/>
        <w:tblBorders>
          <w:top w:val="thickThinMediumGap" w:sz="23" w:space="0" w:color="000000"/>
          <w:left w:val="thickThinMediumGap" w:sz="23" w:space="0" w:color="000000"/>
          <w:bottom w:val="thickThinMediumGap" w:sz="23" w:space="0" w:color="000000"/>
          <w:right w:val="thickThinMediumGap" w:sz="23" w:space="0" w:color="000000"/>
          <w:insideH w:val="thickThinMediumGap" w:sz="23" w:space="0" w:color="000000"/>
          <w:insideV w:val="thickThinMediumGap" w:sz="23" w:space="0" w:color="000000"/>
        </w:tblBorders>
        <w:tblLayout w:type="fixed"/>
        <w:tblCellMar>
          <w:top w:w="0" w:type="dxa"/>
          <w:left w:w="0" w:type="dxa"/>
          <w:bottom w:w="0" w:type="dxa"/>
          <w:right w:w="0" w:type="dxa"/>
        </w:tblCellMar>
        <w:tblLook w:val="01E0"/>
      </w:tblPr>
      <w:tblGrid>
        <w:gridCol w:w="4077"/>
        <w:gridCol w:w="4691"/>
      </w:tblGrid>
      <w:tr>
        <w:trPr>
          <w:trHeight w:val="322" w:hRule="exact"/>
        </w:trPr>
        <w:tc>
          <w:tcPr>
            <w:tcW w:w="8768" w:type="dxa"/>
            <w:gridSpan w:val="2"/>
            <w:tcBorders>
              <w:bottom w:val="thinThickMediumGap" w:sz="23" w:space="0" w:color="000000"/>
              <w:right w:val="thinThickMediumGap" w:sz="23" w:space="0" w:color="000000"/>
            </w:tcBorders>
          </w:tcPr>
          <w:p>
            <w:pPr>
              <w:pStyle w:val="TableParagraph"/>
              <w:spacing w:line="225" w:lineRule="exact"/>
              <w:ind w:left="470"/>
              <w:rPr>
                <w:b/>
                <w:i/>
                <w:sz w:val="20"/>
              </w:rPr>
            </w:pPr>
            <w:r>
              <w:rPr>
                <w:b/>
                <w:i/>
                <w:sz w:val="20"/>
              </w:rPr>
              <w:t>Cuadro 22. Áreas nuevas para incorporar al diseño del Jardín Botánico Regional.</w:t>
            </w:r>
          </w:p>
        </w:tc>
      </w:tr>
      <w:tr>
        <w:trPr>
          <w:trHeight w:val="879" w:hRule="exact"/>
        </w:trPr>
        <w:tc>
          <w:tcPr>
            <w:tcW w:w="4077" w:type="dxa"/>
            <w:tcBorders>
              <w:bottom w:val="thinThickMediumGap" w:sz="23" w:space="0" w:color="000000"/>
              <w:right w:val="thinThickMediumGap" w:sz="23" w:space="0" w:color="000000"/>
            </w:tcBorders>
          </w:tcPr>
          <w:p>
            <w:pPr>
              <w:pStyle w:val="TableParagraph"/>
              <w:spacing w:before="24"/>
              <w:ind w:left="269" w:right="260" w:hanging="11"/>
              <w:jc w:val="center"/>
              <w:rPr>
                <w:b/>
                <w:sz w:val="22"/>
              </w:rPr>
            </w:pPr>
            <w:r>
              <w:rPr>
                <w:b/>
                <w:sz w:val="22"/>
              </w:rPr>
              <w:t>AREAS/COMPONENTES PROPUESTOS PARA EL</w:t>
            </w:r>
            <w:r>
              <w:rPr>
                <w:b/>
                <w:spacing w:val="-15"/>
                <w:sz w:val="22"/>
              </w:rPr>
              <w:t> </w:t>
            </w:r>
            <w:r>
              <w:rPr>
                <w:b/>
                <w:sz w:val="22"/>
              </w:rPr>
              <w:t>JARDÍN BOTÁNICO</w:t>
            </w:r>
          </w:p>
        </w:tc>
        <w:tc>
          <w:tcPr>
            <w:tcW w:w="4691" w:type="dxa"/>
            <w:tcBorders>
              <w:bottom w:val="thinThickMediumGap" w:sz="23" w:space="0" w:color="000000"/>
              <w:right w:val="thinThickMediumGap" w:sz="23" w:space="0" w:color="000000"/>
            </w:tcBorders>
          </w:tcPr>
          <w:p>
            <w:pPr>
              <w:pStyle w:val="TableParagraph"/>
              <w:spacing w:before="24"/>
              <w:ind w:left="1522"/>
              <w:rPr>
                <w:b/>
                <w:sz w:val="22"/>
              </w:rPr>
            </w:pPr>
            <w:r>
              <w:rPr>
                <w:b/>
                <w:sz w:val="22"/>
              </w:rPr>
              <w:t>DESCRIPCIÓN</w:t>
            </w:r>
          </w:p>
        </w:tc>
      </w:tr>
      <w:tr>
        <w:trPr>
          <w:trHeight w:val="1383" w:hRule="exact"/>
        </w:trPr>
        <w:tc>
          <w:tcPr>
            <w:tcW w:w="4077" w:type="dxa"/>
            <w:tcBorders>
              <w:bottom w:val="thinThickMediumGap" w:sz="23" w:space="0" w:color="000000"/>
              <w:right w:val="thinThickMediumGap" w:sz="23" w:space="0" w:color="000000"/>
            </w:tcBorders>
          </w:tcPr>
          <w:p>
            <w:pPr>
              <w:pStyle w:val="TableParagraph"/>
              <w:rPr>
                <w:sz w:val="22"/>
              </w:rPr>
            </w:pPr>
          </w:p>
          <w:p>
            <w:pPr>
              <w:pStyle w:val="TableParagraph"/>
              <w:spacing w:before="155"/>
              <w:ind w:left="53" w:right="82"/>
              <w:rPr>
                <w:b/>
                <w:i/>
                <w:sz w:val="22"/>
              </w:rPr>
            </w:pPr>
            <w:r>
              <w:rPr>
                <w:b/>
                <w:i/>
                <w:sz w:val="22"/>
              </w:rPr>
              <w:t>Área A. Mapa informativo y centro  </w:t>
            </w:r>
            <w:r>
              <w:rPr>
                <w:b/>
                <w:i/>
                <w:sz w:val="22"/>
              </w:rPr>
              <w:t>de</w:t>
            </w:r>
            <w:r>
              <w:rPr>
                <w:b/>
                <w:i/>
                <w:spacing w:val="-2"/>
                <w:sz w:val="22"/>
              </w:rPr>
              <w:t> </w:t>
            </w:r>
            <w:r>
              <w:rPr>
                <w:b/>
                <w:i/>
                <w:sz w:val="22"/>
              </w:rPr>
              <w:t>visitas</w:t>
            </w:r>
          </w:p>
        </w:tc>
        <w:tc>
          <w:tcPr>
            <w:tcW w:w="4691" w:type="dxa"/>
            <w:tcBorders>
              <w:bottom w:val="thinThickMediumGap" w:sz="23" w:space="0" w:color="000000"/>
              <w:right w:val="thinThickMediumGap" w:sz="23" w:space="0" w:color="000000"/>
            </w:tcBorders>
          </w:tcPr>
          <w:p>
            <w:pPr>
              <w:pStyle w:val="TableParagraph"/>
              <w:spacing w:before="29"/>
              <w:ind w:left="52" w:right="45"/>
              <w:jc w:val="both"/>
              <w:rPr>
                <w:sz w:val="22"/>
              </w:rPr>
            </w:pPr>
            <w:r>
              <w:rPr>
                <w:sz w:val="22"/>
              </w:rPr>
              <w:t>Lugar utilizado para que los  visitantes ubiquen a través de un mapa del sitio, cada área dentro del Jardín Botánico Regional. El mapa deberá actualizarse para ubicar las nuevas zonas.</w:t>
            </w:r>
          </w:p>
        </w:tc>
      </w:tr>
      <w:tr>
        <w:trPr>
          <w:trHeight w:val="374" w:hRule="exact"/>
        </w:trPr>
        <w:tc>
          <w:tcPr>
            <w:tcW w:w="4077" w:type="dxa"/>
            <w:tcBorders>
              <w:bottom w:val="thinThickMediumGap" w:sz="23" w:space="0" w:color="000000"/>
              <w:right w:val="thinThickMediumGap" w:sz="23" w:space="0" w:color="000000"/>
            </w:tcBorders>
          </w:tcPr>
          <w:p>
            <w:pPr>
              <w:pStyle w:val="TableParagraph"/>
              <w:spacing w:before="29"/>
              <w:ind w:left="53" w:right="82"/>
              <w:rPr>
                <w:b/>
                <w:i/>
                <w:sz w:val="22"/>
              </w:rPr>
            </w:pPr>
            <w:r>
              <w:rPr>
                <w:b/>
                <w:i/>
                <w:sz w:val="22"/>
              </w:rPr>
              <w:t>Área B. Servicio de comida</w:t>
            </w:r>
          </w:p>
        </w:tc>
        <w:tc>
          <w:tcPr>
            <w:tcW w:w="4691" w:type="dxa"/>
            <w:tcBorders>
              <w:bottom w:val="thinThickMediumGap" w:sz="23" w:space="0" w:color="000000"/>
              <w:right w:val="thinThickMediumGap" w:sz="23" w:space="0" w:color="000000"/>
            </w:tcBorders>
          </w:tcPr>
          <w:p>
            <w:pPr>
              <w:pStyle w:val="TableParagraph"/>
              <w:spacing w:before="29"/>
              <w:ind w:left="52"/>
              <w:rPr>
                <w:sz w:val="22"/>
              </w:rPr>
            </w:pPr>
            <w:r>
              <w:rPr>
                <w:sz w:val="22"/>
              </w:rPr>
              <w:t>Sitio para poder tomar un breve refrigerio.</w:t>
            </w:r>
          </w:p>
        </w:tc>
      </w:tr>
      <w:tr>
        <w:trPr>
          <w:trHeight w:val="624" w:hRule="exact"/>
        </w:trPr>
        <w:tc>
          <w:tcPr>
            <w:tcW w:w="4077" w:type="dxa"/>
            <w:tcBorders>
              <w:bottom w:val="thinThickMediumGap" w:sz="23" w:space="0" w:color="000000"/>
              <w:right w:val="thinThickMediumGap" w:sz="23" w:space="0" w:color="000000"/>
            </w:tcBorders>
          </w:tcPr>
          <w:p>
            <w:pPr>
              <w:pStyle w:val="TableParagraph"/>
              <w:spacing w:before="29"/>
              <w:ind w:left="53" w:right="82"/>
              <w:rPr>
                <w:b/>
                <w:i/>
                <w:sz w:val="22"/>
              </w:rPr>
            </w:pPr>
            <w:r>
              <w:rPr>
                <w:b/>
                <w:i/>
                <w:sz w:val="22"/>
              </w:rPr>
              <w:t>Área C. Pequeño lago con cascadas </w:t>
            </w:r>
            <w:r>
              <w:rPr>
                <w:b/>
                <w:i/>
                <w:sz w:val="22"/>
              </w:rPr>
              <w:t>e islitas</w:t>
            </w:r>
          </w:p>
        </w:tc>
        <w:tc>
          <w:tcPr>
            <w:tcW w:w="4691" w:type="dxa"/>
            <w:tcBorders>
              <w:bottom w:val="thinThickMediumGap" w:sz="23" w:space="0" w:color="000000"/>
              <w:right w:val="thinThickMediumGap" w:sz="23" w:space="0" w:color="000000"/>
            </w:tcBorders>
          </w:tcPr>
          <w:p>
            <w:pPr>
              <w:pStyle w:val="TableParagraph"/>
              <w:spacing w:before="29"/>
              <w:ind w:left="52"/>
              <w:rPr>
                <w:sz w:val="22"/>
              </w:rPr>
            </w:pPr>
            <w:r>
              <w:rPr>
                <w:sz w:val="22"/>
              </w:rPr>
              <w:t>El agua como símbolo indispensable para la vida.</w:t>
            </w:r>
          </w:p>
        </w:tc>
      </w:tr>
      <w:tr>
        <w:trPr>
          <w:trHeight w:val="879" w:hRule="exact"/>
        </w:trPr>
        <w:tc>
          <w:tcPr>
            <w:tcW w:w="4077" w:type="dxa"/>
            <w:tcBorders>
              <w:top w:val="thickThinMediumGap" w:sz="23" w:space="0" w:color="000000"/>
              <w:bottom w:val="thinThickMediumGap" w:sz="23" w:space="0" w:color="000000"/>
              <w:right w:val="thinThickMediumGap" w:sz="23" w:space="0" w:color="000000"/>
            </w:tcBorders>
          </w:tcPr>
          <w:p>
            <w:pPr>
              <w:pStyle w:val="TableParagraph"/>
              <w:spacing w:line="250" w:lineRule="exact" w:before="165"/>
              <w:ind w:left="53" w:right="82"/>
              <w:rPr>
                <w:b/>
                <w:i/>
                <w:sz w:val="22"/>
              </w:rPr>
            </w:pPr>
            <w:r>
              <w:rPr>
                <w:b/>
                <w:i/>
                <w:sz w:val="22"/>
              </w:rPr>
              <w:t>Área D. Monumento José Mariano </w:t>
            </w:r>
            <w:r>
              <w:rPr>
                <w:b/>
                <w:i/>
                <w:sz w:val="22"/>
              </w:rPr>
              <w:t>Mociño</w:t>
            </w:r>
          </w:p>
        </w:tc>
        <w:tc>
          <w:tcPr>
            <w:tcW w:w="4691" w:type="dxa"/>
            <w:tcBorders>
              <w:top w:val="thickThinMediumGap" w:sz="23" w:space="0" w:color="000000"/>
              <w:bottom w:val="thinThickMediumGap" w:sz="23" w:space="0" w:color="000000"/>
              <w:right w:val="thinThickMediumGap" w:sz="23" w:space="0" w:color="000000"/>
            </w:tcBorders>
          </w:tcPr>
          <w:p>
            <w:pPr>
              <w:pStyle w:val="TableParagraph"/>
              <w:spacing w:before="29"/>
              <w:ind w:left="52" w:right="51"/>
              <w:jc w:val="both"/>
              <w:rPr>
                <w:sz w:val="22"/>
              </w:rPr>
            </w:pPr>
            <w:r>
              <w:rPr>
                <w:sz w:val="22"/>
              </w:rPr>
              <w:t>Glorieta rodeada de seto. Monumento para recordar al Botánico mexicano, oriundo del Real de Minas, Temascaltepec.</w:t>
            </w:r>
          </w:p>
        </w:tc>
      </w:tr>
      <w:tr>
        <w:trPr>
          <w:trHeight w:val="629" w:hRule="exact"/>
        </w:trPr>
        <w:tc>
          <w:tcPr>
            <w:tcW w:w="4077" w:type="dxa"/>
            <w:tcBorders>
              <w:bottom w:val="thinThickMediumGap" w:sz="23" w:space="0" w:color="000000"/>
              <w:right w:val="thinThickMediumGap" w:sz="23" w:space="0" w:color="000000"/>
            </w:tcBorders>
          </w:tcPr>
          <w:p>
            <w:pPr>
              <w:pStyle w:val="TableParagraph"/>
              <w:spacing w:before="158"/>
              <w:ind w:left="53" w:right="82"/>
              <w:rPr>
                <w:b/>
                <w:i/>
                <w:sz w:val="22"/>
              </w:rPr>
            </w:pPr>
            <w:r>
              <w:rPr>
                <w:b/>
                <w:i/>
                <w:sz w:val="22"/>
              </w:rPr>
              <w:t>Área F. Invernadero</w:t>
            </w:r>
          </w:p>
        </w:tc>
        <w:tc>
          <w:tcPr>
            <w:tcW w:w="4691" w:type="dxa"/>
            <w:tcBorders>
              <w:bottom w:val="thinThickMediumGap" w:sz="23" w:space="0" w:color="000000"/>
              <w:right w:val="thinThickMediumGap" w:sz="23" w:space="0" w:color="000000"/>
            </w:tcBorders>
          </w:tcPr>
          <w:p>
            <w:pPr>
              <w:pStyle w:val="TableParagraph"/>
              <w:spacing w:before="29"/>
              <w:ind w:left="52"/>
              <w:rPr>
                <w:sz w:val="22"/>
              </w:rPr>
            </w:pPr>
            <w:r>
              <w:rPr>
                <w:sz w:val="22"/>
              </w:rPr>
              <w:t>Lugar donde colocar aquellas plantas que requieren cierto tipo de cuidado.</w:t>
            </w:r>
          </w:p>
        </w:tc>
      </w:tr>
      <w:tr>
        <w:trPr>
          <w:trHeight w:val="879" w:hRule="exact"/>
        </w:trPr>
        <w:tc>
          <w:tcPr>
            <w:tcW w:w="4077" w:type="dxa"/>
            <w:tcBorders>
              <w:bottom w:val="thinThickMediumGap" w:sz="23" w:space="0" w:color="000000"/>
              <w:right w:val="thinThickMediumGap" w:sz="23" w:space="0" w:color="000000"/>
            </w:tcBorders>
          </w:tcPr>
          <w:p>
            <w:pPr>
              <w:pStyle w:val="TableParagraph"/>
              <w:spacing w:before="7"/>
              <w:rPr>
                <w:sz w:val="24"/>
              </w:rPr>
            </w:pPr>
          </w:p>
          <w:p>
            <w:pPr>
              <w:pStyle w:val="TableParagraph"/>
              <w:ind w:left="53" w:right="82"/>
              <w:rPr>
                <w:b/>
                <w:i/>
                <w:sz w:val="22"/>
              </w:rPr>
            </w:pPr>
            <w:r>
              <w:rPr>
                <w:b/>
                <w:i/>
                <w:sz w:val="22"/>
              </w:rPr>
              <w:t>Área G. Vivero</w:t>
            </w:r>
          </w:p>
        </w:tc>
        <w:tc>
          <w:tcPr>
            <w:tcW w:w="4691" w:type="dxa"/>
            <w:tcBorders>
              <w:bottom w:val="thinThickMediumGap" w:sz="23" w:space="0" w:color="000000"/>
              <w:right w:val="thinThickMediumGap" w:sz="23" w:space="0" w:color="000000"/>
            </w:tcBorders>
          </w:tcPr>
          <w:p>
            <w:pPr>
              <w:pStyle w:val="TableParagraph"/>
              <w:spacing w:before="29"/>
              <w:ind w:left="52" w:right="52"/>
              <w:jc w:val="both"/>
              <w:rPr>
                <w:sz w:val="22"/>
              </w:rPr>
            </w:pPr>
            <w:r>
              <w:rPr>
                <w:sz w:val="22"/>
              </w:rPr>
              <w:t>Vivero enrejado con malla, sombra y bancos escalonados. Sitio requerido para propagación de especies.</w:t>
            </w:r>
          </w:p>
        </w:tc>
      </w:tr>
      <w:tr>
        <w:trPr>
          <w:trHeight w:val="1421" w:hRule="exact"/>
        </w:trPr>
        <w:tc>
          <w:tcPr>
            <w:tcW w:w="4077" w:type="dxa"/>
            <w:tcBorders>
              <w:bottom w:val="thinThickMediumGap" w:sz="23" w:space="0" w:color="000000"/>
              <w:right w:val="thinThickMediumGap" w:sz="23" w:space="0" w:color="000000"/>
            </w:tcBorders>
          </w:tcPr>
          <w:p>
            <w:pPr>
              <w:pStyle w:val="TableParagraph"/>
              <w:rPr>
                <w:sz w:val="22"/>
              </w:rPr>
            </w:pPr>
          </w:p>
          <w:p>
            <w:pPr>
              <w:pStyle w:val="TableParagraph"/>
              <w:spacing w:before="4"/>
              <w:rPr>
                <w:sz w:val="24"/>
              </w:rPr>
            </w:pPr>
          </w:p>
          <w:p>
            <w:pPr>
              <w:pStyle w:val="TableParagraph"/>
              <w:ind w:left="53" w:right="82"/>
              <w:rPr>
                <w:b/>
                <w:i/>
                <w:sz w:val="22"/>
              </w:rPr>
            </w:pPr>
            <w:r>
              <w:rPr>
                <w:b/>
                <w:i/>
                <w:sz w:val="22"/>
              </w:rPr>
              <w:t>Área H. Área de composta</w:t>
            </w:r>
          </w:p>
        </w:tc>
        <w:tc>
          <w:tcPr>
            <w:tcW w:w="4691" w:type="dxa"/>
            <w:tcBorders>
              <w:bottom w:val="thinThickMediumGap" w:sz="23" w:space="0" w:color="000000"/>
              <w:right w:val="thinThickMediumGap" w:sz="23" w:space="0" w:color="000000"/>
            </w:tcBorders>
          </w:tcPr>
          <w:p>
            <w:pPr>
              <w:pStyle w:val="TableParagraph"/>
              <w:spacing w:before="29"/>
              <w:ind w:left="52" w:right="45"/>
              <w:jc w:val="both"/>
              <w:rPr>
                <w:sz w:val="22"/>
              </w:rPr>
            </w:pPr>
            <w:r>
              <w:rPr>
                <w:sz w:val="22"/>
              </w:rPr>
              <w:t>Lugar designado para depositar los residuos orgánicos de comida y poda de árboles, realizando el tratamiento de compostaje. El sustrato obtenido se utilizará para la reproducción de las especies nativas.</w:t>
            </w:r>
          </w:p>
        </w:tc>
      </w:tr>
    </w:tbl>
    <w:p>
      <w:pPr>
        <w:spacing w:line="220" w:lineRule="exact" w:before="0"/>
        <w:ind w:left="116" w:right="78" w:firstLine="0"/>
        <w:jc w:val="left"/>
        <w:rPr>
          <w:b/>
          <w:i/>
          <w:sz w:val="20"/>
        </w:rPr>
      </w:pPr>
      <w:r>
        <w:rPr>
          <w:b/>
          <w:i/>
          <w:sz w:val="20"/>
        </w:rPr>
        <w:t>Fuente: Revisión bibliográfica de otros Jardines Botánicos.</w:t>
      </w:r>
    </w:p>
    <w:p>
      <w:pPr>
        <w:spacing w:after="0" w:line="220" w:lineRule="exact"/>
        <w:jc w:val="left"/>
        <w:rPr>
          <w:sz w:val="20"/>
        </w:rPr>
        <w:sectPr>
          <w:pgSz w:w="12240" w:h="15840"/>
          <w:pgMar w:header="685" w:footer="1190" w:top="880" w:bottom="1380" w:left="1300" w:right="1300"/>
        </w:sectPr>
      </w:pPr>
    </w:p>
    <w:p>
      <w:pPr>
        <w:spacing w:before="64"/>
        <w:ind w:left="0" w:right="122" w:firstLine="0"/>
        <w:jc w:val="right"/>
        <w:rPr>
          <w:sz w:val="16"/>
        </w:rPr>
      </w:pPr>
      <w:r>
        <w:rPr>
          <w:sz w:val="16"/>
        </w:rPr>
        <w:t>BIOL. CRISTINA BERENICE MONSALVO JIMÉNEZ</w:t>
      </w:r>
    </w:p>
    <w:p>
      <w:pPr>
        <w:pStyle w:val="BodyText"/>
        <w:rPr>
          <w:sz w:val="20"/>
        </w:rPr>
      </w:pPr>
    </w:p>
    <w:p>
      <w:pPr>
        <w:pStyle w:val="BodyText"/>
        <w:spacing w:before="1"/>
        <w:rPr>
          <w:sz w:val="19"/>
        </w:rPr>
      </w:pPr>
    </w:p>
    <w:p>
      <w:pPr>
        <w:spacing w:before="73"/>
        <w:ind w:left="2872" w:right="0" w:firstLine="0"/>
        <w:jc w:val="left"/>
        <w:rPr>
          <w:b/>
          <w:sz w:val="22"/>
        </w:rPr>
      </w:pPr>
      <w:r>
        <w:rPr/>
        <w:drawing>
          <wp:anchor distT="0" distB="0" distL="0" distR="0" allowOverlap="1" layoutInCell="1" locked="0" behindDoc="0" simplePos="0" relativeHeight="4384">
            <wp:simplePos x="0" y="0"/>
            <wp:positionH relativeFrom="page">
              <wp:posOffset>900430</wp:posOffset>
            </wp:positionH>
            <wp:positionV relativeFrom="paragraph">
              <wp:posOffset>291310</wp:posOffset>
            </wp:positionV>
            <wp:extent cx="8199567" cy="5047488"/>
            <wp:effectExtent l="0" t="0" r="0" b="0"/>
            <wp:wrapTopAndBottom/>
            <wp:docPr id="77" name="image71.jpeg" descr=""/>
            <wp:cNvGraphicFramePr>
              <a:graphicFrameLocks noChangeAspect="1"/>
            </wp:cNvGraphicFramePr>
            <a:graphic>
              <a:graphicData uri="http://schemas.openxmlformats.org/drawingml/2006/picture">
                <pic:pic>
                  <pic:nvPicPr>
                    <pic:cNvPr id="78" name="image71.jpeg"/>
                    <pic:cNvPicPr/>
                  </pic:nvPicPr>
                  <pic:blipFill>
                    <a:blip r:embed="rId128" cstate="print"/>
                    <a:stretch>
                      <a:fillRect/>
                    </a:stretch>
                  </pic:blipFill>
                  <pic:spPr>
                    <a:xfrm>
                      <a:off x="0" y="0"/>
                      <a:ext cx="8199567" cy="5047488"/>
                    </a:xfrm>
                    <a:prstGeom prst="rect">
                      <a:avLst/>
                    </a:prstGeom>
                  </pic:spPr>
                </pic:pic>
              </a:graphicData>
            </a:graphic>
          </wp:anchor>
        </w:drawing>
      </w:r>
      <w:r>
        <w:rPr>
          <w:b/>
          <w:sz w:val="22"/>
        </w:rPr>
        <w:t>Figura 8. Mapa representativo de áreas y componentes de la propuesta.</w:t>
      </w:r>
    </w:p>
    <w:p>
      <w:pPr>
        <w:spacing w:before="164"/>
        <w:ind w:left="1249" w:right="0" w:firstLine="0"/>
        <w:jc w:val="left"/>
        <w:rPr>
          <w:b/>
          <w:i/>
          <w:sz w:val="22"/>
        </w:rPr>
      </w:pPr>
      <w:r>
        <w:rPr>
          <w:b/>
          <w:i/>
          <w:sz w:val="22"/>
        </w:rPr>
        <w:t>Fuente: Elaboración propia, a partir de trabajo de campo.</w:t>
      </w:r>
    </w:p>
    <w:p>
      <w:pPr>
        <w:pStyle w:val="BodyText"/>
        <w:rPr>
          <w:b/>
          <w:i/>
          <w:sz w:val="20"/>
        </w:rPr>
      </w:pPr>
    </w:p>
    <w:p>
      <w:pPr>
        <w:pStyle w:val="BodyText"/>
        <w:spacing w:before="5"/>
        <w:rPr>
          <w:b/>
          <w:i/>
          <w:sz w:val="28"/>
        </w:rPr>
      </w:pPr>
    </w:p>
    <w:p>
      <w:pPr>
        <w:spacing w:line="268" w:lineRule="exact" w:before="56"/>
        <w:ind w:left="0" w:right="119" w:firstLine="0"/>
        <w:jc w:val="right"/>
        <w:rPr>
          <w:rFonts w:ascii="Calibri"/>
          <w:sz w:val="22"/>
        </w:rPr>
      </w:pPr>
      <w:r>
        <w:rPr>
          <w:rFonts w:ascii="Calibri"/>
          <w:sz w:val="22"/>
        </w:rPr>
        <w:t>113</w:t>
      </w:r>
    </w:p>
    <w:p>
      <w:pPr>
        <w:spacing w:before="0"/>
        <w:ind w:left="4154" w:right="3547" w:hanging="144"/>
        <w:jc w:val="left"/>
        <w:rPr>
          <w:sz w:val="20"/>
        </w:rPr>
      </w:pPr>
      <w:r>
        <w:rPr>
          <w:sz w:val="20"/>
        </w:rPr>
        <w:t>Estudio florístico del Parque Universitario “Las Orquídeas”, como base para la conservación y educación ambiental</w:t>
      </w:r>
    </w:p>
    <w:p>
      <w:pPr>
        <w:spacing w:after="0"/>
        <w:jc w:val="left"/>
        <w:rPr>
          <w:sz w:val="20"/>
        </w:rPr>
        <w:sectPr>
          <w:headerReference w:type="default" r:id="rId126"/>
          <w:footerReference w:type="default" r:id="rId127"/>
          <w:pgSz w:w="15840" w:h="12240" w:orient="landscape"/>
          <w:pgMar w:header="0" w:footer="0" w:top="640" w:bottom="280" w:left="1300" w:right="1300"/>
        </w:sectPr>
      </w:pPr>
    </w:p>
    <w:p>
      <w:pPr>
        <w:pStyle w:val="BodyText"/>
        <w:rPr>
          <w:sz w:val="20"/>
        </w:rPr>
      </w:pPr>
    </w:p>
    <w:p>
      <w:pPr>
        <w:pStyle w:val="BodyText"/>
        <w:spacing w:before="9"/>
        <w:rPr>
          <w:sz w:val="19"/>
        </w:rPr>
      </w:pPr>
    </w:p>
    <w:p>
      <w:pPr>
        <w:spacing w:line="360" w:lineRule="auto" w:before="69"/>
        <w:ind w:left="116" w:right="118" w:firstLine="0"/>
        <w:jc w:val="both"/>
        <w:rPr>
          <w:sz w:val="24"/>
        </w:rPr>
      </w:pPr>
      <w:r>
        <w:rPr>
          <w:sz w:val="24"/>
        </w:rPr>
        <w:t>Las consideraciones generales para planear el diseño técnico del Parque Universitario, basadas en la estructura arquitectónica del </w:t>
      </w:r>
      <w:r>
        <w:rPr>
          <w:b/>
          <w:i/>
          <w:sz w:val="24"/>
        </w:rPr>
        <w:t>Jardín Botánico de Río de Janeiro, Jardín </w:t>
      </w:r>
      <w:r>
        <w:rPr>
          <w:b/>
          <w:i/>
          <w:sz w:val="24"/>
        </w:rPr>
        <w:t>Botánico del Instituto de Biología y Jardín Botánico “Francisco Javier Clavijero”, </w:t>
      </w:r>
      <w:r>
        <w:rPr>
          <w:sz w:val="24"/>
        </w:rPr>
        <w:t>se han clasificado en tres tipos:</w:t>
      </w:r>
    </w:p>
    <w:p>
      <w:pPr>
        <w:pStyle w:val="BodyText"/>
      </w:pPr>
    </w:p>
    <w:p>
      <w:pPr>
        <w:pStyle w:val="Heading2"/>
        <w:spacing w:before="139"/>
      </w:pPr>
      <w:r>
        <w:rPr/>
        <w:t>Camino para personas y vehículos</w:t>
      </w:r>
    </w:p>
    <w:p>
      <w:pPr>
        <w:pStyle w:val="ListParagraph"/>
        <w:numPr>
          <w:ilvl w:val="0"/>
          <w:numId w:val="19"/>
        </w:numPr>
        <w:tabs>
          <w:tab w:pos="837" w:val="left" w:leader="none"/>
        </w:tabs>
        <w:spacing w:line="240" w:lineRule="auto" w:before="142" w:after="0"/>
        <w:ind w:left="837" w:right="0" w:hanging="361"/>
        <w:jc w:val="left"/>
        <w:rPr>
          <w:sz w:val="24"/>
        </w:rPr>
      </w:pPr>
      <w:r>
        <w:rPr>
          <w:sz w:val="24"/>
        </w:rPr>
        <w:t>Diseñar caminos para</w:t>
      </w:r>
      <w:r>
        <w:rPr>
          <w:spacing w:val="-10"/>
          <w:sz w:val="24"/>
        </w:rPr>
        <w:t> </w:t>
      </w:r>
      <w:r>
        <w:rPr>
          <w:sz w:val="24"/>
        </w:rPr>
        <w:t>vehículos</w:t>
      </w:r>
    </w:p>
    <w:p>
      <w:pPr>
        <w:pStyle w:val="ListParagraph"/>
        <w:numPr>
          <w:ilvl w:val="0"/>
          <w:numId w:val="19"/>
        </w:numPr>
        <w:tabs>
          <w:tab w:pos="837" w:val="left" w:leader="none"/>
        </w:tabs>
        <w:spacing w:line="240" w:lineRule="auto" w:before="137" w:after="0"/>
        <w:ind w:left="837" w:right="0" w:hanging="361"/>
        <w:jc w:val="left"/>
        <w:rPr>
          <w:sz w:val="24"/>
        </w:rPr>
      </w:pPr>
      <w:r>
        <w:rPr>
          <w:sz w:val="24"/>
        </w:rPr>
        <w:t>Remodelar en algunos casos y dar mantenimiento a los</w:t>
      </w:r>
      <w:r>
        <w:rPr>
          <w:spacing w:val="-31"/>
          <w:sz w:val="24"/>
        </w:rPr>
        <w:t> </w:t>
      </w:r>
      <w:r>
        <w:rPr>
          <w:sz w:val="24"/>
        </w:rPr>
        <w:t>senderos</w:t>
      </w:r>
    </w:p>
    <w:p>
      <w:pPr>
        <w:pStyle w:val="BodyText"/>
      </w:pPr>
    </w:p>
    <w:p>
      <w:pPr>
        <w:pStyle w:val="BodyText"/>
        <w:spacing w:before="9"/>
        <w:rPr>
          <w:sz w:val="23"/>
        </w:rPr>
      </w:pPr>
    </w:p>
    <w:p>
      <w:pPr>
        <w:pStyle w:val="Heading2"/>
      </w:pPr>
      <w:r>
        <w:rPr/>
        <w:t>Señalización</w:t>
      </w:r>
    </w:p>
    <w:p>
      <w:pPr>
        <w:pStyle w:val="ListParagraph"/>
        <w:numPr>
          <w:ilvl w:val="0"/>
          <w:numId w:val="19"/>
        </w:numPr>
        <w:tabs>
          <w:tab w:pos="837" w:val="left" w:leader="none"/>
        </w:tabs>
        <w:spacing w:line="360" w:lineRule="auto" w:before="141" w:after="0"/>
        <w:ind w:left="837" w:right="120" w:hanging="361"/>
        <w:jc w:val="both"/>
        <w:rPr>
          <w:sz w:val="24"/>
        </w:rPr>
      </w:pPr>
      <w:r>
        <w:rPr>
          <w:sz w:val="24"/>
        </w:rPr>
        <w:t>Rótulos con nombre de la familia, científico y común de las especies, así como usos. En la fotografía 8 y 9 se ilustra dos letreros especificando algunos datos de la especie identificada, son: nombre de la familia, nombre científico, nombre común, utilidad, distribución y número de</w:t>
      </w:r>
      <w:r>
        <w:rPr>
          <w:spacing w:val="-23"/>
          <w:sz w:val="24"/>
        </w:rPr>
        <w:t> </w:t>
      </w:r>
      <w:r>
        <w:rPr>
          <w:sz w:val="24"/>
        </w:rPr>
        <w:t>control.</w:t>
      </w:r>
    </w:p>
    <w:p>
      <w:pPr>
        <w:pStyle w:val="ListParagraph"/>
        <w:numPr>
          <w:ilvl w:val="0"/>
          <w:numId w:val="19"/>
        </w:numPr>
        <w:tabs>
          <w:tab w:pos="837" w:val="left" w:leader="none"/>
        </w:tabs>
        <w:spacing w:line="360" w:lineRule="auto" w:before="2" w:after="0"/>
        <w:ind w:left="837" w:right="111" w:hanging="361"/>
        <w:jc w:val="both"/>
        <w:rPr>
          <w:sz w:val="24"/>
        </w:rPr>
      </w:pPr>
      <w:r>
        <w:rPr>
          <w:sz w:val="24"/>
        </w:rPr>
        <w:t>Señalización den las esquinas: arborantes con hierro forjado, en forma vegetal. Orientadores ovales. En la fotografía 10 se observa este tipo de letreros colocados en el Jardín Botánico de Río de</w:t>
      </w:r>
      <w:r>
        <w:rPr>
          <w:spacing w:val="-16"/>
          <w:sz w:val="24"/>
        </w:rPr>
        <w:t> </w:t>
      </w:r>
      <w:r>
        <w:rPr>
          <w:sz w:val="24"/>
        </w:rPr>
        <w:t>Janeiro.</w:t>
      </w:r>
    </w:p>
    <w:p>
      <w:pPr>
        <w:pStyle w:val="BodyText"/>
      </w:pPr>
    </w:p>
    <w:p>
      <w:pPr>
        <w:pStyle w:val="Heading2"/>
        <w:spacing w:before="140"/>
      </w:pPr>
      <w:r>
        <w:rPr/>
        <w:t>Incorporación del elemento agua</w:t>
      </w:r>
    </w:p>
    <w:p>
      <w:pPr>
        <w:pStyle w:val="ListParagraph"/>
        <w:numPr>
          <w:ilvl w:val="0"/>
          <w:numId w:val="19"/>
        </w:numPr>
        <w:tabs>
          <w:tab w:pos="837" w:val="left" w:leader="none"/>
        </w:tabs>
        <w:spacing w:line="362" w:lineRule="auto" w:before="141" w:after="0"/>
        <w:ind w:left="837" w:right="121" w:hanging="361"/>
        <w:jc w:val="both"/>
        <w:rPr>
          <w:sz w:val="24"/>
        </w:rPr>
      </w:pPr>
      <w:r>
        <w:rPr>
          <w:sz w:val="24"/>
        </w:rPr>
        <w:t>Construir un canal de agua con el flujo del Río o con escurrimiento pluvial, el cual puede quedar establecido en el área de Plantas medicinales y aromáticas (Fotografía</w:t>
      </w:r>
      <w:r>
        <w:rPr>
          <w:spacing w:val="-1"/>
          <w:sz w:val="24"/>
        </w:rPr>
        <w:t> </w:t>
      </w:r>
      <w:r>
        <w:rPr>
          <w:sz w:val="24"/>
        </w:rPr>
        <w:t>11).</w:t>
      </w:r>
    </w:p>
    <w:p>
      <w:pPr>
        <w:pStyle w:val="ListParagraph"/>
        <w:numPr>
          <w:ilvl w:val="0"/>
          <w:numId w:val="19"/>
        </w:numPr>
        <w:tabs>
          <w:tab w:pos="837" w:val="left" w:leader="none"/>
        </w:tabs>
        <w:spacing w:line="240" w:lineRule="auto" w:before="0" w:after="0"/>
        <w:ind w:left="837" w:right="0" w:hanging="361"/>
        <w:jc w:val="left"/>
        <w:rPr>
          <w:sz w:val="24"/>
        </w:rPr>
      </w:pPr>
      <w:r>
        <w:rPr>
          <w:sz w:val="24"/>
        </w:rPr>
        <w:t>Espejo de agua con lotos y plantas</w:t>
      </w:r>
      <w:r>
        <w:rPr>
          <w:spacing w:val="-21"/>
          <w:sz w:val="24"/>
        </w:rPr>
        <w:t> </w:t>
      </w:r>
      <w:r>
        <w:rPr>
          <w:sz w:val="24"/>
        </w:rPr>
        <w:t>acuáticas.</w:t>
      </w:r>
    </w:p>
    <w:p>
      <w:pPr>
        <w:pStyle w:val="ListParagraph"/>
        <w:numPr>
          <w:ilvl w:val="0"/>
          <w:numId w:val="19"/>
        </w:numPr>
        <w:tabs>
          <w:tab w:pos="837" w:val="left" w:leader="none"/>
        </w:tabs>
        <w:spacing w:line="240" w:lineRule="auto" w:before="137" w:after="0"/>
        <w:ind w:left="837" w:right="0" w:hanging="361"/>
        <w:jc w:val="left"/>
        <w:rPr>
          <w:sz w:val="24"/>
        </w:rPr>
      </w:pPr>
      <w:r>
        <w:rPr>
          <w:sz w:val="24"/>
        </w:rPr>
        <w:t>Fuente con fosa y seto (Fotografía</w:t>
      </w:r>
      <w:r>
        <w:rPr>
          <w:spacing w:val="-16"/>
          <w:sz w:val="24"/>
        </w:rPr>
        <w:t> </w:t>
      </w:r>
      <w:r>
        <w:rPr>
          <w:sz w:val="24"/>
        </w:rPr>
        <w:t>12).</w:t>
      </w:r>
    </w:p>
    <w:p>
      <w:pPr>
        <w:pStyle w:val="BodyText"/>
      </w:pPr>
    </w:p>
    <w:p>
      <w:pPr>
        <w:pStyle w:val="BodyText"/>
        <w:spacing w:before="9"/>
        <w:rPr>
          <w:sz w:val="23"/>
        </w:rPr>
      </w:pPr>
    </w:p>
    <w:p>
      <w:pPr>
        <w:pStyle w:val="BodyText"/>
        <w:spacing w:line="360" w:lineRule="auto"/>
        <w:ind w:left="116" w:right="116"/>
        <w:jc w:val="both"/>
      </w:pPr>
      <w:r>
        <w:rPr/>
        <w:t>El jardín botánico deberá tener un arreglo estético como se observa en las fotografías 13, 14 y 15, siendo imágenes del Jardín Botánico Francisco Javier Clavijero y de Colonia</w:t>
      </w:r>
    </w:p>
    <w:p>
      <w:pPr>
        <w:spacing w:after="0" w:line="360" w:lineRule="auto"/>
        <w:jc w:val="both"/>
        <w:sectPr>
          <w:headerReference w:type="default" r:id="rId129"/>
          <w:footerReference w:type="default" r:id="rId130"/>
          <w:pgSz w:w="12240" w:h="15840"/>
          <w:pgMar w:header="685" w:footer="1190" w:top="880" w:bottom="1380" w:left="1300" w:right="1300"/>
          <w:pgNumType w:start="114"/>
        </w:sectPr>
      </w:pPr>
    </w:p>
    <w:p>
      <w:pPr>
        <w:pStyle w:val="BodyText"/>
        <w:rPr>
          <w:rFonts w:ascii="Times New Roman"/>
          <w:sz w:val="20"/>
        </w:rPr>
      </w:pPr>
      <w:r>
        <w:rPr/>
        <w:drawing>
          <wp:anchor distT="0" distB="0" distL="0" distR="0" allowOverlap="1" layoutInCell="1" locked="0" behindDoc="1" simplePos="0" relativeHeight="268084007">
            <wp:simplePos x="0" y="0"/>
            <wp:positionH relativeFrom="page">
              <wp:posOffset>2658745</wp:posOffset>
            </wp:positionH>
            <wp:positionV relativeFrom="page">
              <wp:posOffset>1383791</wp:posOffset>
            </wp:positionV>
            <wp:extent cx="2556135" cy="3235261"/>
            <wp:effectExtent l="0" t="0" r="0" b="0"/>
            <wp:wrapNone/>
            <wp:docPr id="79" name="image72.jpeg" descr=""/>
            <wp:cNvGraphicFramePr>
              <a:graphicFrameLocks noChangeAspect="1"/>
            </wp:cNvGraphicFramePr>
            <a:graphic>
              <a:graphicData uri="http://schemas.openxmlformats.org/drawingml/2006/picture">
                <pic:pic>
                  <pic:nvPicPr>
                    <pic:cNvPr id="80" name="image72.jpeg"/>
                    <pic:cNvPicPr/>
                  </pic:nvPicPr>
                  <pic:blipFill>
                    <a:blip r:embed="rId131" cstate="print"/>
                    <a:stretch>
                      <a:fillRect/>
                    </a:stretch>
                  </pic:blipFill>
                  <pic:spPr>
                    <a:xfrm>
                      <a:off x="0" y="0"/>
                      <a:ext cx="2556135" cy="3235261"/>
                    </a:xfrm>
                    <a:prstGeom prst="rect">
                      <a:avLst/>
                    </a:prstGeom>
                  </pic:spPr>
                </pic:pic>
              </a:graphicData>
            </a:graphic>
          </wp:anchor>
        </w:drawing>
      </w:r>
      <w:r>
        <w:rPr/>
        <w:drawing>
          <wp:anchor distT="0" distB="0" distL="0" distR="0" allowOverlap="1" layoutInCell="1" locked="0" behindDoc="1" simplePos="0" relativeHeight="268084031">
            <wp:simplePos x="0" y="0"/>
            <wp:positionH relativeFrom="page">
              <wp:posOffset>2011045</wp:posOffset>
            </wp:positionH>
            <wp:positionV relativeFrom="page">
              <wp:posOffset>5358384</wp:posOffset>
            </wp:positionV>
            <wp:extent cx="3843398" cy="3388137"/>
            <wp:effectExtent l="0" t="0" r="0" b="0"/>
            <wp:wrapNone/>
            <wp:docPr id="81" name="image73.jpeg" descr=""/>
            <wp:cNvGraphicFramePr>
              <a:graphicFrameLocks noChangeAspect="1"/>
            </wp:cNvGraphicFramePr>
            <a:graphic>
              <a:graphicData uri="http://schemas.openxmlformats.org/drawingml/2006/picture">
                <pic:pic>
                  <pic:nvPicPr>
                    <pic:cNvPr id="82" name="image73.jpeg"/>
                    <pic:cNvPicPr/>
                  </pic:nvPicPr>
                  <pic:blipFill>
                    <a:blip r:embed="rId132" cstate="print"/>
                    <a:stretch>
                      <a:fillRect/>
                    </a:stretch>
                  </pic:blipFill>
                  <pic:spPr>
                    <a:xfrm>
                      <a:off x="0" y="0"/>
                      <a:ext cx="3843398" cy="338813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spacing w:before="8" w:after="1"/>
        <w:rPr>
          <w:rFonts w:ascii="Times New Roman"/>
          <w:sz w:val="23"/>
        </w:rPr>
      </w:pPr>
    </w:p>
    <w:tbl>
      <w:tblPr>
        <w:tblW w:w="0" w:type="auto"/>
        <w:jc w:val="left"/>
        <w:tblInd w:w="2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56"/>
      </w:tblGrid>
      <w:tr>
        <w:trPr>
          <w:trHeight w:val="2886" w:hRule="exact"/>
        </w:trPr>
        <w:tc>
          <w:tcPr>
            <w:tcW w:w="7856" w:type="dxa"/>
          </w:tcPr>
          <w:p>
            <w:pPr>
              <w:pStyle w:val="TableParagraph"/>
              <w:spacing w:line="206" w:lineRule="exact"/>
              <w:ind w:left="1035"/>
              <w:rPr>
                <w:b/>
                <w:i/>
                <w:sz w:val="20"/>
              </w:rPr>
            </w:pPr>
            <w:r>
              <w:rPr>
                <w:b/>
                <w:i/>
                <w:sz w:val="20"/>
              </w:rPr>
              <w:t>Fotografía 8. Tipo de letrero en el Jardín Botánico de Río de Janeiro</w:t>
            </w:r>
          </w:p>
        </w:tc>
      </w:tr>
      <w:tr>
        <w:trPr>
          <w:trHeight w:val="3131" w:hRule="exact"/>
        </w:trPr>
        <w:tc>
          <w:tcPr>
            <w:tcW w:w="7856"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30"/>
              <w:ind w:right="288"/>
              <w:jc w:val="right"/>
              <w:rPr>
                <w:b/>
                <w:i/>
                <w:sz w:val="20"/>
              </w:rPr>
            </w:pPr>
            <w:r>
              <w:rPr>
                <w:b/>
                <w:i/>
                <w:sz w:val="20"/>
              </w:rPr>
              <w:t>Fuente: Proporcionada por Itzel Morales, de fecha 17 de julio del 2014</w:t>
            </w:r>
          </w:p>
        </w:tc>
      </w:tr>
      <w:tr>
        <w:trPr>
          <w:trHeight w:val="3260" w:hRule="exact"/>
        </w:trPr>
        <w:tc>
          <w:tcPr>
            <w:tcW w:w="7856" w:type="dxa"/>
          </w:tcPr>
          <w:p>
            <w:pPr>
              <w:pStyle w:val="TableParagraph"/>
              <w:spacing w:before="2"/>
              <w:rPr>
                <w:rFonts w:ascii="Times New Roman"/>
                <w:sz w:val="19"/>
              </w:rPr>
            </w:pPr>
          </w:p>
          <w:p>
            <w:pPr>
              <w:pStyle w:val="TableParagraph"/>
              <w:ind w:right="198"/>
              <w:jc w:val="right"/>
              <w:rPr>
                <w:b/>
                <w:i/>
                <w:sz w:val="20"/>
              </w:rPr>
            </w:pPr>
            <w:r>
              <w:rPr>
                <w:b/>
                <w:i/>
                <w:sz w:val="20"/>
              </w:rPr>
              <w:t>Fotografía 9. Tipo de letrero en el Jardín Botánico “Francisco Javier Clavijero”</w:t>
            </w:r>
          </w:p>
        </w:tc>
      </w:tr>
      <w:tr>
        <w:trPr>
          <w:trHeight w:val="3015" w:hRule="exact"/>
        </w:trPr>
        <w:tc>
          <w:tcPr>
            <w:tcW w:w="7856"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6"/>
              <w:rPr>
                <w:rFonts w:ascii="Times New Roman"/>
                <w:sz w:val="22"/>
              </w:rPr>
            </w:pPr>
          </w:p>
          <w:p>
            <w:pPr>
              <w:pStyle w:val="TableParagraph"/>
              <w:ind w:left="1578"/>
              <w:rPr>
                <w:b/>
                <w:i/>
                <w:sz w:val="20"/>
              </w:rPr>
            </w:pPr>
            <w:r>
              <w:rPr>
                <w:b/>
                <w:i/>
                <w:sz w:val="20"/>
              </w:rPr>
              <w:t>Fuente: Trabajo de campo, de fecha 30 de junio del 2013</w:t>
            </w:r>
          </w:p>
        </w:tc>
      </w:tr>
    </w:tbl>
    <w:p>
      <w:pPr>
        <w:spacing w:after="0"/>
        <w:rPr>
          <w:sz w:val="20"/>
        </w:rPr>
        <w:sectPr>
          <w:pgSz w:w="12240" w:h="15840"/>
          <w:pgMar w:header="685" w:footer="1190" w:top="880" w:bottom="1380" w:left="1720" w:right="1320"/>
        </w:sectPr>
      </w:pPr>
    </w:p>
    <w:p>
      <w:pPr>
        <w:pStyle w:val="BodyText"/>
        <w:rPr>
          <w:rFonts w:ascii="Times New Roman"/>
          <w:sz w:val="20"/>
        </w:rPr>
      </w:pPr>
    </w:p>
    <w:p>
      <w:pPr>
        <w:pStyle w:val="BodyText"/>
        <w:spacing w:before="8"/>
        <w:rPr>
          <w:rFonts w:ascii="Times New Roman"/>
          <w:sz w:val="18"/>
        </w:rPr>
      </w:pPr>
    </w:p>
    <w:p>
      <w:pPr>
        <w:spacing w:before="76"/>
        <w:ind w:left="541" w:right="794" w:firstLine="0"/>
        <w:jc w:val="center"/>
        <w:rPr>
          <w:b/>
          <w:i/>
          <w:sz w:val="20"/>
        </w:rPr>
      </w:pPr>
      <w:r>
        <w:rPr/>
        <w:drawing>
          <wp:anchor distT="0" distB="0" distL="0" distR="0" allowOverlap="1" layoutInCell="1" locked="0" behindDoc="0" simplePos="0" relativeHeight="4456">
            <wp:simplePos x="0" y="0"/>
            <wp:positionH relativeFrom="page">
              <wp:posOffset>1903348</wp:posOffset>
            </wp:positionH>
            <wp:positionV relativeFrom="paragraph">
              <wp:posOffset>274699</wp:posOffset>
            </wp:positionV>
            <wp:extent cx="4068783" cy="3051810"/>
            <wp:effectExtent l="0" t="0" r="0" b="0"/>
            <wp:wrapTopAndBottom/>
            <wp:docPr id="83" name="image74.jpeg" descr=""/>
            <wp:cNvGraphicFramePr>
              <a:graphicFrameLocks noChangeAspect="1"/>
            </wp:cNvGraphicFramePr>
            <a:graphic>
              <a:graphicData uri="http://schemas.openxmlformats.org/drawingml/2006/picture">
                <pic:pic>
                  <pic:nvPicPr>
                    <pic:cNvPr id="84" name="image74.jpeg"/>
                    <pic:cNvPicPr/>
                  </pic:nvPicPr>
                  <pic:blipFill>
                    <a:blip r:embed="rId133" cstate="print"/>
                    <a:stretch>
                      <a:fillRect/>
                    </a:stretch>
                  </pic:blipFill>
                  <pic:spPr>
                    <a:xfrm>
                      <a:off x="0" y="0"/>
                      <a:ext cx="4068783" cy="3051810"/>
                    </a:xfrm>
                    <a:prstGeom prst="rect">
                      <a:avLst/>
                    </a:prstGeom>
                  </pic:spPr>
                </pic:pic>
              </a:graphicData>
            </a:graphic>
          </wp:anchor>
        </w:drawing>
      </w:r>
      <w:r>
        <w:rPr>
          <w:b/>
          <w:i/>
          <w:sz w:val="20"/>
        </w:rPr>
        <w:t>Fotografía 10. Arborantes de señalización en el Jardín Botánico de Río de Janeiro.</w:t>
      </w:r>
    </w:p>
    <w:p>
      <w:pPr>
        <w:spacing w:before="71"/>
        <w:ind w:left="541" w:right="790" w:firstLine="0"/>
        <w:jc w:val="center"/>
        <w:rPr>
          <w:b/>
          <w:i/>
          <w:sz w:val="20"/>
        </w:rPr>
      </w:pPr>
      <w:r>
        <w:rPr>
          <w:b/>
          <w:i/>
          <w:sz w:val="20"/>
        </w:rPr>
        <w:t>Fuente: Proporcionada por Itzel Morales, de fecha 17 de julio del 2014</w:t>
      </w:r>
    </w:p>
    <w:p>
      <w:pPr>
        <w:pStyle w:val="BodyText"/>
        <w:rPr>
          <w:b/>
          <w:i/>
          <w:sz w:val="20"/>
        </w:rPr>
      </w:pPr>
    </w:p>
    <w:p>
      <w:pPr>
        <w:pStyle w:val="BodyText"/>
        <w:spacing w:before="4"/>
        <w:rPr>
          <w:b/>
          <w:i/>
          <w:sz w:val="23"/>
        </w:rPr>
      </w:pPr>
      <w:r>
        <w:rPr/>
        <w:drawing>
          <wp:anchor distT="0" distB="0" distL="0" distR="0" allowOverlap="1" layoutInCell="1" locked="0" behindDoc="0" simplePos="0" relativeHeight="4480">
            <wp:simplePos x="0" y="0"/>
            <wp:positionH relativeFrom="page">
              <wp:posOffset>2611120</wp:posOffset>
            </wp:positionH>
            <wp:positionV relativeFrom="paragraph">
              <wp:posOffset>195349</wp:posOffset>
            </wp:positionV>
            <wp:extent cx="2665518" cy="3432429"/>
            <wp:effectExtent l="0" t="0" r="0" b="0"/>
            <wp:wrapTopAndBottom/>
            <wp:docPr id="85" name="image75.jpeg" descr=""/>
            <wp:cNvGraphicFramePr>
              <a:graphicFrameLocks noChangeAspect="1"/>
            </wp:cNvGraphicFramePr>
            <a:graphic>
              <a:graphicData uri="http://schemas.openxmlformats.org/drawingml/2006/picture">
                <pic:pic>
                  <pic:nvPicPr>
                    <pic:cNvPr id="86" name="image75.jpeg"/>
                    <pic:cNvPicPr/>
                  </pic:nvPicPr>
                  <pic:blipFill>
                    <a:blip r:embed="rId134" cstate="print"/>
                    <a:stretch>
                      <a:fillRect/>
                    </a:stretch>
                  </pic:blipFill>
                  <pic:spPr>
                    <a:xfrm>
                      <a:off x="0" y="0"/>
                      <a:ext cx="2665518" cy="3432429"/>
                    </a:xfrm>
                    <a:prstGeom prst="rect">
                      <a:avLst/>
                    </a:prstGeom>
                  </pic:spPr>
                </pic:pic>
              </a:graphicData>
            </a:graphic>
          </wp:anchor>
        </w:drawing>
      </w:r>
    </w:p>
    <w:p>
      <w:pPr>
        <w:spacing w:before="45"/>
        <w:ind w:left="540" w:right="794" w:firstLine="0"/>
        <w:jc w:val="center"/>
        <w:rPr>
          <w:b/>
          <w:i/>
          <w:sz w:val="20"/>
        </w:rPr>
      </w:pPr>
      <w:r>
        <w:rPr>
          <w:b/>
          <w:i/>
          <w:sz w:val="20"/>
        </w:rPr>
        <w:t>Fuente: Proporcionada por Itzel Morales, de fecha 17 de julio del 2014</w:t>
      </w:r>
    </w:p>
    <w:p>
      <w:pPr>
        <w:spacing w:after="0"/>
        <w:jc w:val="center"/>
        <w:rPr>
          <w:sz w:val="20"/>
        </w:rPr>
        <w:sectPr>
          <w:pgSz w:w="12240" w:h="15840"/>
          <w:pgMar w:header="685" w:footer="1190" w:top="880" w:bottom="1380" w:left="1720" w:right="1320"/>
        </w:sectPr>
      </w:pPr>
    </w:p>
    <w:p>
      <w:pPr>
        <w:pStyle w:val="BodyText"/>
        <w:rPr>
          <w:rFonts w:ascii="Times New Roman"/>
          <w:sz w:val="20"/>
        </w:rPr>
      </w:pPr>
      <w:r>
        <w:rPr/>
        <w:drawing>
          <wp:anchor distT="0" distB="0" distL="0" distR="0" allowOverlap="1" layoutInCell="1" locked="0" behindDoc="1" simplePos="0" relativeHeight="268084103">
            <wp:simplePos x="0" y="0"/>
            <wp:positionH relativeFrom="page">
              <wp:posOffset>2258695</wp:posOffset>
            </wp:positionH>
            <wp:positionV relativeFrom="page">
              <wp:posOffset>4556759</wp:posOffset>
            </wp:positionV>
            <wp:extent cx="2888175" cy="3853434"/>
            <wp:effectExtent l="0" t="0" r="0" b="0"/>
            <wp:wrapNone/>
            <wp:docPr id="87" name="image76.jpeg" descr=""/>
            <wp:cNvGraphicFramePr>
              <a:graphicFrameLocks noChangeAspect="1"/>
            </wp:cNvGraphicFramePr>
            <a:graphic>
              <a:graphicData uri="http://schemas.openxmlformats.org/drawingml/2006/picture">
                <pic:pic>
                  <pic:nvPicPr>
                    <pic:cNvPr id="88" name="image76.jpeg"/>
                    <pic:cNvPicPr/>
                  </pic:nvPicPr>
                  <pic:blipFill>
                    <a:blip r:embed="rId135" cstate="print"/>
                    <a:stretch>
                      <a:fillRect/>
                    </a:stretch>
                  </pic:blipFill>
                  <pic:spPr>
                    <a:xfrm>
                      <a:off x="0" y="0"/>
                      <a:ext cx="2888175" cy="3853434"/>
                    </a:xfrm>
                    <a:prstGeom prst="rect">
                      <a:avLst/>
                    </a:prstGeom>
                  </pic:spPr>
                </pic:pic>
              </a:graphicData>
            </a:graphic>
          </wp:anchor>
        </w:drawing>
      </w:r>
    </w:p>
    <w:p>
      <w:pPr>
        <w:pStyle w:val="BodyText"/>
        <w:spacing w:before="5"/>
        <w:rPr>
          <w:rFonts w:ascii="Times New Roman"/>
          <w:sz w:val="27"/>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20"/>
      </w:tblGrid>
      <w:tr>
        <w:trPr>
          <w:trHeight w:val="6096" w:hRule="exact"/>
        </w:trPr>
        <w:tc>
          <w:tcPr>
            <w:tcW w:w="8620" w:type="dxa"/>
          </w:tcPr>
          <w:p>
            <w:pPr>
              <w:pStyle w:val="TableParagraph"/>
              <w:spacing w:line="206" w:lineRule="exact"/>
              <w:ind w:left="178" w:right="178"/>
              <w:jc w:val="center"/>
              <w:rPr>
                <w:b/>
                <w:i/>
                <w:sz w:val="20"/>
              </w:rPr>
            </w:pPr>
            <w:r>
              <w:rPr>
                <w:b/>
                <w:i/>
                <w:sz w:val="20"/>
              </w:rPr>
              <w:t>Fotografía 11. Arroyo y flujo de agua presente en el Jardín Botánico de Río de Janeiro.</w:t>
            </w:r>
          </w:p>
          <w:p>
            <w:pPr>
              <w:pStyle w:val="TableParagraph"/>
              <w:rPr>
                <w:rFonts w:ascii="Times New Roman"/>
                <w:sz w:val="11"/>
              </w:rPr>
            </w:pPr>
          </w:p>
          <w:p>
            <w:pPr>
              <w:pStyle w:val="TableParagraph"/>
              <w:ind w:left="1073"/>
              <w:rPr>
                <w:rFonts w:ascii="Times New Roman"/>
                <w:sz w:val="20"/>
              </w:rPr>
            </w:pPr>
            <w:r>
              <w:rPr>
                <w:rFonts w:ascii="Times New Roman"/>
                <w:sz w:val="20"/>
              </w:rPr>
              <w:drawing>
                <wp:inline distT="0" distB="0" distL="0" distR="0">
                  <wp:extent cx="4144346" cy="3108483"/>
                  <wp:effectExtent l="0" t="0" r="0" b="0"/>
                  <wp:docPr id="89" name="image77.jpeg" descr=""/>
                  <wp:cNvGraphicFramePr>
                    <a:graphicFrameLocks noChangeAspect="1"/>
                  </wp:cNvGraphicFramePr>
                  <a:graphic>
                    <a:graphicData uri="http://schemas.openxmlformats.org/drawingml/2006/picture">
                      <pic:pic>
                        <pic:nvPicPr>
                          <pic:cNvPr id="90" name="image77.jpeg"/>
                          <pic:cNvPicPr/>
                        </pic:nvPicPr>
                        <pic:blipFill>
                          <a:blip r:embed="rId136" cstate="print"/>
                          <a:stretch>
                            <a:fillRect/>
                          </a:stretch>
                        </pic:blipFill>
                        <pic:spPr>
                          <a:xfrm>
                            <a:off x="0" y="0"/>
                            <a:ext cx="4144346" cy="3108483"/>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r>
      <w:tr>
        <w:trPr>
          <w:trHeight w:val="6096" w:hRule="exact"/>
        </w:trPr>
        <w:tc>
          <w:tcPr>
            <w:tcW w:w="8620"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20"/>
              <w:ind w:left="178" w:right="177"/>
              <w:jc w:val="center"/>
              <w:rPr>
                <w:b/>
                <w:i/>
                <w:sz w:val="20"/>
              </w:rPr>
            </w:pPr>
            <w:r>
              <w:rPr>
                <w:b/>
                <w:i/>
                <w:sz w:val="20"/>
              </w:rPr>
              <w:t>Fuente: Proporcionada por Itzel Morales, de fecha 17 de julio del 2014</w:t>
            </w:r>
          </w:p>
        </w:tc>
      </w:tr>
    </w:tbl>
    <w:p>
      <w:pPr>
        <w:spacing w:after="0"/>
        <w:jc w:val="center"/>
        <w:rPr>
          <w:sz w:val="20"/>
        </w:rPr>
        <w:sectPr>
          <w:pgSz w:w="12240" w:h="15840"/>
          <w:pgMar w:header="685" w:footer="1190" w:top="880" w:bottom="1380" w:left="1420" w:right="1320"/>
        </w:sectPr>
      </w:pPr>
    </w:p>
    <w:p>
      <w:pPr>
        <w:pStyle w:val="BodyText"/>
        <w:rPr>
          <w:rFonts w:ascii="Times New Roman"/>
          <w:sz w:val="20"/>
        </w:rPr>
      </w:pPr>
      <w:r>
        <w:rPr/>
        <w:drawing>
          <wp:anchor distT="0" distB="0" distL="0" distR="0" allowOverlap="1" layoutInCell="1" locked="0" behindDoc="1" simplePos="0" relativeHeight="268084127">
            <wp:simplePos x="0" y="0"/>
            <wp:positionH relativeFrom="page">
              <wp:posOffset>2249170</wp:posOffset>
            </wp:positionH>
            <wp:positionV relativeFrom="page">
              <wp:posOffset>4701285</wp:posOffset>
            </wp:positionV>
            <wp:extent cx="2886372" cy="3846480"/>
            <wp:effectExtent l="0" t="0" r="0" b="0"/>
            <wp:wrapNone/>
            <wp:docPr id="91" name="image78.jpeg" descr=""/>
            <wp:cNvGraphicFramePr>
              <a:graphicFrameLocks noChangeAspect="1"/>
            </wp:cNvGraphicFramePr>
            <a:graphic>
              <a:graphicData uri="http://schemas.openxmlformats.org/drawingml/2006/picture">
                <pic:pic>
                  <pic:nvPicPr>
                    <pic:cNvPr id="92" name="image78.jpeg"/>
                    <pic:cNvPicPr/>
                  </pic:nvPicPr>
                  <pic:blipFill>
                    <a:blip r:embed="rId137" cstate="print"/>
                    <a:stretch>
                      <a:fillRect/>
                    </a:stretch>
                  </pic:blipFill>
                  <pic:spPr>
                    <a:xfrm>
                      <a:off x="0" y="0"/>
                      <a:ext cx="2886372" cy="3846480"/>
                    </a:xfrm>
                    <a:prstGeom prst="rect">
                      <a:avLst/>
                    </a:prstGeom>
                  </pic:spPr>
                </pic:pic>
              </a:graphicData>
            </a:graphic>
          </wp:anchor>
        </w:drawing>
      </w:r>
    </w:p>
    <w:p>
      <w:pPr>
        <w:pStyle w:val="BodyText"/>
        <w:spacing w:before="5"/>
        <w:rPr>
          <w:rFonts w:ascii="Times New Roman"/>
          <w:sz w:val="27"/>
        </w:rPr>
      </w:pPr>
    </w:p>
    <w:tbl>
      <w:tblPr>
        <w:tblW w:w="0" w:type="auto"/>
        <w:jc w:val="left"/>
        <w:tblInd w:w="1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53"/>
      </w:tblGrid>
      <w:tr>
        <w:trPr>
          <w:trHeight w:val="6218" w:hRule="exact"/>
        </w:trPr>
        <w:tc>
          <w:tcPr>
            <w:tcW w:w="7953" w:type="dxa"/>
          </w:tcPr>
          <w:p>
            <w:pPr>
              <w:pStyle w:val="TableParagraph"/>
              <w:spacing w:line="206" w:lineRule="exact"/>
              <w:ind w:left="178" w:right="178"/>
              <w:jc w:val="center"/>
              <w:rPr>
                <w:b/>
                <w:i/>
                <w:sz w:val="20"/>
              </w:rPr>
            </w:pPr>
            <w:r>
              <w:rPr>
                <w:b/>
                <w:i/>
                <w:sz w:val="20"/>
              </w:rPr>
              <w:t>Fotografía 12. Fuente con fosa y setos, en el Jardín Botánico de Río de Janeiro.</w:t>
            </w:r>
          </w:p>
          <w:p>
            <w:pPr>
              <w:pStyle w:val="TableParagraph"/>
              <w:rPr>
                <w:rFonts w:ascii="Times New Roman"/>
                <w:sz w:val="11"/>
              </w:rPr>
            </w:pPr>
          </w:p>
          <w:p>
            <w:pPr>
              <w:pStyle w:val="TableParagraph"/>
              <w:ind w:left="576"/>
              <w:rPr>
                <w:rFonts w:ascii="Times New Roman"/>
                <w:sz w:val="20"/>
              </w:rPr>
            </w:pPr>
            <w:r>
              <w:rPr>
                <w:rFonts w:ascii="Times New Roman"/>
                <w:sz w:val="20"/>
              </w:rPr>
              <w:drawing>
                <wp:inline distT="0" distB="0" distL="0" distR="0">
                  <wp:extent cx="4318337" cy="3240404"/>
                  <wp:effectExtent l="0" t="0" r="0" b="0"/>
                  <wp:docPr id="93" name="image79.jpeg" descr=""/>
                  <wp:cNvGraphicFramePr>
                    <a:graphicFrameLocks noChangeAspect="1"/>
                  </wp:cNvGraphicFramePr>
                  <a:graphic>
                    <a:graphicData uri="http://schemas.openxmlformats.org/drawingml/2006/picture">
                      <pic:pic>
                        <pic:nvPicPr>
                          <pic:cNvPr id="94" name="image79.jpeg"/>
                          <pic:cNvPicPr/>
                        </pic:nvPicPr>
                        <pic:blipFill>
                          <a:blip r:embed="rId138" cstate="print"/>
                          <a:stretch>
                            <a:fillRect/>
                          </a:stretch>
                        </pic:blipFill>
                        <pic:spPr>
                          <a:xfrm>
                            <a:off x="0" y="0"/>
                            <a:ext cx="4318337" cy="3240404"/>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8"/>
              </w:rPr>
            </w:pPr>
          </w:p>
        </w:tc>
      </w:tr>
      <w:tr>
        <w:trPr>
          <w:trHeight w:val="6218" w:hRule="exact"/>
        </w:trPr>
        <w:tc>
          <w:tcPr>
            <w:tcW w:w="7953"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1"/>
              </w:rPr>
            </w:pPr>
          </w:p>
          <w:p>
            <w:pPr>
              <w:pStyle w:val="TableParagraph"/>
              <w:ind w:left="178" w:right="178"/>
              <w:jc w:val="center"/>
              <w:rPr>
                <w:b/>
                <w:i/>
                <w:sz w:val="20"/>
              </w:rPr>
            </w:pPr>
            <w:r>
              <w:rPr>
                <w:b/>
                <w:i/>
                <w:sz w:val="20"/>
              </w:rPr>
              <w:t>Fuente: Proporcionada por Itzel Morales, de fecha 17 de julio del 2014</w:t>
            </w:r>
          </w:p>
        </w:tc>
      </w:tr>
    </w:tbl>
    <w:p>
      <w:pPr>
        <w:spacing w:after="0"/>
        <w:jc w:val="center"/>
        <w:rPr>
          <w:sz w:val="20"/>
        </w:rPr>
        <w:sectPr>
          <w:pgSz w:w="12240" w:h="15840"/>
          <w:pgMar w:header="685" w:footer="1190" w:top="880" w:bottom="1380" w:left="1720" w:right="1320"/>
        </w:sectPr>
      </w:pPr>
    </w:p>
    <w:p>
      <w:pPr>
        <w:pStyle w:val="BodyText"/>
        <w:rPr>
          <w:rFonts w:ascii="Times New Roman"/>
          <w:sz w:val="20"/>
        </w:rPr>
      </w:pPr>
      <w:r>
        <w:rPr/>
        <w:drawing>
          <wp:anchor distT="0" distB="0" distL="0" distR="0" allowOverlap="1" layoutInCell="1" locked="0" behindDoc="1" simplePos="0" relativeHeight="268084151">
            <wp:simplePos x="0" y="0"/>
            <wp:positionH relativeFrom="page">
              <wp:posOffset>1756029</wp:posOffset>
            </wp:positionH>
            <wp:positionV relativeFrom="page">
              <wp:posOffset>1119505</wp:posOffset>
            </wp:positionV>
            <wp:extent cx="4244832" cy="3185160"/>
            <wp:effectExtent l="0" t="0" r="0" b="0"/>
            <wp:wrapNone/>
            <wp:docPr id="95" name="image80.jpeg" descr=""/>
            <wp:cNvGraphicFramePr>
              <a:graphicFrameLocks noChangeAspect="1"/>
            </wp:cNvGraphicFramePr>
            <a:graphic>
              <a:graphicData uri="http://schemas.openxmlformats.org/drawingml/2006/picture">
                <pic:pic>
                  <pic:nvPicPr>
                    <pic:cNvPr id="96" name="image80.jpeg"/>
                    <pic:cNvPicPr/>
                  </pic:nvPicPr>
                  <pic:blipFill>
                    <a:blip r:embed="rId139" cstate="print"/>
                    <a:stretch>
                      <a:fillRect/>
                    </a:stretch>
                  </pic:blipFill>
                  <pic:spPr>
                    <a:xfrm>
                      <a:off x="0" y="0"/>
                      <a:ext cx="4244832" cy="3185160"/>
                    </a:xfrm>
                    <a:prstGeom prst="rect">
                      <a:avLst/>
                    </a:prstGeom>
                  </pic:spPr>
                </pic:pic>
              </a:graphicData>
            </a:graphic>
          </wp:anchor>
        </w:drawing>
      </w:r>
      <w:r>
        <w:rPr/>
        <w:drawing>
          <wp:anchor distT="0" distB="0" distL="0" distR="0" allowOverlap="1" layoutInCell="1" locked="0" behindDoc="1" simplePos="0" relativeHeight="268084175">
            <wp:simplePos x="0" y="0"/>
            <wp:positionH relativeFrom="page">
              <wp:posOffset>1756029</wp:posOffset>
            </wp:positionH>
            <wp:positionV relativeFrom="page">
              <wp:posOffset>5071871</wp:posOffset>
            </wp:positionV>
            <wp:extent cx="4246880" cy="3185160"/>
            <wp:effectExtent l="0" t="0" r="0" b="0"/>
            <wp:wrapNone/>
            <wp:docPr id="97" name="image81.jpeg" descr=""/>
            <wp:cNvGraphicFramePr>
              <a:graphicFrameLocks noChangeAspect="1"/>
            </wp:cNvGraphicFramePr>
            <a:graphic>
              <a:graphicData uri="http://schemas.openxmlformats.org/drawingml/2006/picture">
                <pic:pic>
                  <pic:nvPicPr>
                    <pic:cNvPr id="98" name="image81.jpeg"/>
                    <pic:cNvPicPr/>
                  </pic:nvPicPr>
                  <pic:blipFill>
                    <a:blip r:embed="rId140" cstate="print"/>
                    <a:stretch>
                      <a:fillRect/>
                    </a:stretch>
                  </pic:blipFill>
                  <pic:spPr>
                    <a:xfrm>
                      <a:off x="0" y="0"/>
                      <a:ext cx="4246880" cy="3185160"/>
                    </a:xfrm>
                    <a:prstGeom prst="rect">
                      <a:avLst/>
                    </a:prstGeom>
                  </pic:spPr>
                </pic:pic>
              </a:graphicData>
            </a:graphic>
          </wp:anchor>
        </w:drawing>
      </w:r>
    </w:p>
    <w:p>
      <w:pPr>
        <w:pStyle w:val="BodyText"/>
        <w:spacing w:before="5"/>
        <w:rPr>
          <w:rFonts w:ascii="Times New Roman"/>
          <w:sz w:val="27"/>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89"/>
      </w:tblGrid>
      <w:tr>
        <w:trPr>
          <w:trHeight w:val="2835" w:hRule="exact"/>
        </w:trPr>
        <w:tc>
          <w:tcPr>
            <w:tcW w:w="9389" w:type="dxa"/>
          </w:tcPr>
          <w:p>
            <w:pPr>
              <w:pStyle w:val="TableParagraph"/>
              <w:spacing w:line="206" w:lineRule="exact"/>
              <w:ind w:left="178" w:right="171"/>
              <w:jc w:val="center"/>
              <w:rPr>
                <w:b/>
                <w:i/>
                <w:sz w:val="20"/>
              </w:rPr>
            </w:pPr>
            <w:r>
              <w:rPr>
                <w:b/>
                <w:i/>
                <w:sz w:val="20"/>
              </w:rPr>
              <w:t>Fotografía 13. Área de plantas medicinales en el Jardín Botánico Francisco Javier Clavijero</w:t>
            </w:r>
          </w:p>
        </w:tc>
      </w:tr>
      <w:tr>
        <w:trPr>
          <w:trHeight w:val="3114" w:hRule="exact"/>
        </w:trPr>
        <w:tc>
          <w:tcPr>
            <w:tcW w:w="9389"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26"/>
              </w:rPr>
            </w:pPr>
          </w:p>
          <w:p>
            <w:pPr>
              <w:pStyle w:val="TableParagraph"/>
              <w:ind w:left="178" w:right="178"/>
              <w:jc w:val="center"/>
              <w:rPr>
                <w:b/>
                <w:i/>
                <w:sz w:val="20"/>
              </w:rPr>
            </w:pPr>
            <w:r>
              <w:rPr>
                <w:b/>
                <w:i/>
                <w:sz w:val="20"/>
              </w:rPr>
              <w:t>Fuente: Trabajo de campo de fecha 30 de junio del 2013</w:t>
            </w:r>
          </w:p>
        </w:tc>
      </w:tr>
      <w:tr>
        <w:trPr>
          <w:trHeight w:val="3111" w:hRule="exact"/>
        </w:trPr>
        <w:tc>
          <w:tcPr>
            <w:tcW w:w="9389" w:type="dxa"/>
          </w:tcPr>
          <w:p>
            <w:pPr>
              <w:pStyle w:val="TableParagraph"/>
              <w:spacing w:before="1"/>
              <w:rPr>
                <w:rFonts w:ascii="Times New Roman"/>
                <w:sz w:val="22"/>
              </w:rPr>
            </w:pPr>
          </w:p>
          <w:p>
            <w:pPr>
              <w:pStyle w:val="TableParagraph"/>
              <w:ind w:left="178" w:right="178"/>
              <w:jc w:val="center"/>
              <w:rPr>
                <w:b/>
                <w:i/>
                <w:sz w:val="20"/>
              </w:rPr>
            </w:pPr>
            <w:r>
              <w:rPr>
                <w:b/>
                <w:i/>
                <w:sz w:val="20"/>
              </w:rPr>
              <w:t>Fotografía 14. Colección Nacional de Cycadas en el Jardín Botánico Francisco Javier Clavijero</w:t>
            </w:r>
          </w:p>
        </w:tc>
      </w:tr>
      <w:tr>
        <w:trPr>
          <w:trHeight w:val="2833" w:hRule="exact"/>
        </w:trPr>
        <w:tc>
          <w:tcPr>
            <w:tcW w:w="9389"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26"/>
              </w:rPr>
            </w:pPr>
          </w:p>
          <w:p>
            <w:pPr>
              <w:pStyle w:val="TableParagraph"/>
              <w:ind w:left="178" w:right="178"/>
              <w:jc w:val="center"/>
              <w:rPr>
                <w:b/>
                <w:i/>
                <w:sz w:val="20"/>
              </w:rPr>
            </w:pPr>
            <w:r>
              <w:rPr>
                <w:b/>
                <w:i/>
                <w:sz w:val="20"/>
              </w:rPr>
              <w:t>Fuente: Trabajo de campo de fecha 30 de junio del 2013</w:t>
            </w:r>
          </w:p>
        </w:tc>
      </w:tr>
    </w:tbl>
    <w:p>
      <w:pPr>
        <w:spacing w:after="0"/>
        <w:jc w:val="center"/>
        <w:rPr>
          <w:sz w:val="20"/>
        </w:rPr>
        <w:sectPr>
          <w:pgSz w:w="12240" w:h="15840"/>
          <w:pgMar w:header="685" w:footer="1190" w:top="880" w:bottom="1380" w:left="1280" w:right="1320"/>
        </w:sectPr>
      </w:pPr>
    </w:p>
    <w:p>
      <w:pPr>
        <w:pStyle w:val="BodyText"/>
        <w:rPr>
          <w:rFonts w:ascii="Times New Roman"/>
          <w:sz w:val="20"/>
        </w:rPr>
      </w:pPr>
    </w:p>
    <w:p>
      <w:pPr>
        <w:pStyle w:val="BodyText"/>
        <w:spacing w:before="5"/>
        <w:rPr>
          <w:rFonts w:ascii="Times New Roman"/>
          <w:sz w:val="27"/>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8"/>
      </w:tblGrid>
      <w:tr>
        <w:trPr>
          <w:trHeight w:val="6568" w:hRule="exact"/>
        </w:trPr>
        <w:tc>
          <w:tcPr>
            <w:tcW w:w="9268" w:type="dxa"/>
          </w:tcPr>
          <w:p>
            <w:pPr>
              <w:pStyle w:val="TableParagraph"/>
              <w:spacing w:line="206" w:lineRule="exact"/>
              <w:ind w:left="179" w:right="179"/>
              <w:jc w:val="center"/>
              <w:rPr>
                <w:b/>
                <w:i/>
                <w:sz w:val="20"/>
              </w:rPr>
            </w:pPr>
            <w:r>
              <w:rPr>
                <w:b/>
                <w:i/>
                <w:sz w:val="20"/>
              </w:rPr>
              <w:t>Fotografía 15. Áreas del Jardín Botánico de Colonia, Alemania. Macizos florales, Esculturas a</w:t>
            </w:r>
          </w:p>
          <w:p>
            <w:pPr>
              <w:pStyle w:val="TableParagraph"/>
              <w:spacing w:before="115"/>
              <w:ind w:left="173" w:right="179"/>
              <w:jc w:val="center"/>
              <w:rPr>
                <w:b/>
                <w:i/>
                <w:sz w:val="20"/>
              </w:rPr>
            </w:pPr>
            <w:r>
              <w:rPr>
                <w:b/>
                <w:i/>
                <w:sz w:val="20"/>
              </w:rPr>
              <w:t>descubrir en el recorrido, Invernaderos Temáticos y Andadores Vegetados.</w:t>
            </w:r>
          </w:p>
          <w:p>
            <w:pPr>
              <w:pStyle w:val="TableParagraph"/>
              <w:spacing w:before="11"/>
              <w:rPr>
                <w:rFonts w:ascii="Times New Roman"/>
                <w:sz w:val="10"/>
              </w:rPr>
            </w:pPr>
          </w:p>
          <w:p>
            <w:pPr>
              <w:pStyle w:val="TableParagraph"/>
              <w:tabs>
                <w:tab w:pos="5686" w:val="left" w:leader="none"/>
              </w:tabs>
              <w:ind w:left="914"/>
              <w:rPr>
                <w:rFonts w:ascii="Times New Roman"/>
                <w:sz w:val="20"/>
              </w:rPr>
            </w:pPr>
            <w:r>
              <w:rPr>
                <w:rFonts w:ascii="Times New Roman"/>
                <w:sz w:val="20"/>
              </w:rPr>
              <w:drawing>
                <wp:inline distT="0" distB="0" distL="0" distR="0">
                  <wp:extent cx="1694260" cy="1627631"/>
                  <wp:effectExtent l="0" t="0" r="0" b="0"/>
                  <wp:docPr id="99" name="image82.jpeg" descr=""/>
                  <wp:cNvGraphicFramePr>
                    <a:graphicFrameLocks noChangeAspect="1"/>
                  </wp:cNvGraphicFramePr>
                  <a:graphic>
                    <a:graphicData uri="http://schemas.openxmlformats.org/drawingml/2006/picture">
                      <pic:pic>
                        <pic:nvPicPr>
                          <pic:cNvPr id="100" name="image82.jpeg"/>
                          <pic:cNvPicPr/>
                        </pic:nvPicPr>
                        <pic:blipFill>
                          <a:blip r:embed="rId142" cstate="print"/>
                          <a:stretch>
                            <a:fillRect/>
                          </a:stretch>
                        </pic:blipFill>
                        <pic:spPr>
                          <a:xfrm>
                            <a:off x="0" y="0"/>
                            <a:ext cx="1694260" cy="1627631"/>
                          </a:xfrm>
                          <a:prstGeom prst="rect">
                            <a:avLst/>
                          </a:prstGeom>
                        </pic:spPr>
                      </pic:pic>
                    </a:graphicData>
                  </a:graphic>
                </wp:inline>
              </w:drawing>
            </w:r>
            <w:r>
              <w:rPr>
                <w:rFonts w:ascii="Times New Roman"/>
                <w:sz w:val="20"/>
              </w:rPr>
            </w:r>
            <w:r>
              <w:rPr>
                <w:rFonts w:ascii="Times New Roman"/>
                <w:sz w:val="20"/>
              </w:rPr>
              <w:tab/>
            </w:r>
            <w:r>
              <w:rPr>
                <w:rFonts w:ascii="Times New Roman"/>
                <w:position w:val="8"/>
                <w:sz w:val="20"/>
              </w:rPr>
              <w:drawing>
                <wp:inline distT="0" distB="0" distL="0" distR="0">
                  <wp:extent cx="1700998" cy="1576768"/>
                  <wp:effectExtent l="0" t="0" r="0" b="0"/>
                  <wp:docPr id="101" name="image83.jpeg" descr=""/>
                  <wp:cNvGraphicFramePr>
                    <a:graphicFrameLocks noChangeAspect="1"/>
                  </wp:cNvGraphicFramePr>
                  <a:graphic>
                    <a:graphicData uri="http://schemas.openxmlformats.org/drawingml/2006/picture">
                      <pic:pic>
                        <pic:nvPicPr>
                          <pic:cNvPr id="102" name="image83.jpeg"/>
                          <pic:cNvPicPr/>
                        </pic:nvPicPr>
                        <pic:blipFill>
                          <a:blip r:embed="rId143" cstate="print"/>
                          <a:stretch>
                            <a:fillRect/>
                          </a:stretch>
                        </pic:blipFill>
                        <pic:spPr>
                          <a:xfrm>
                            <a:off x="0" y="0"/>
                            <a:ext cx="1700998" cy="1576768"/>
                          </a:xfrm>
                          <a:prstGeom prst="rect">
                            <a:avLst/>
                          </a:prstGeom>
                        </pic:spPr>
                      </pic:pic>
                    </a:graphicData>
                  </a:graphic>
                </wp:inline>
              </w:drawing>
            </w:r>
            <w:r>
              <w:rPr>
                <w:rFonts w:ascii="Times New Roman"/>
                <w:position w:val="8"/>
                <w:sz w:val="20"/>
              </w:rPr>
            </w:r>
          </w:p>
          <w:p>
            <w:pPr>
              <w:pStyle w:val="TableParagraph"/>
              <w:rPr>
                <w:rFonts w:ascii="Times New Roman"/>
                <w:sz w:val="20"/>
              </w:rPr>
            </w:pPr>
          </w:p>
          <w:p>
            <w:pPr>
              <w:pStyle w:val="TableParagraph"/>
              <w:spacing w:before="4"/>
              <w:rPr>
                <w:rFonts w:ascii="Times New Roman"/>
                <w:sz w:val="20"/>
              </w:rPr>
            </w:pPr>
          </w:p>
          <w:p>
            <w:pPr>
              <w:pStyle w:val="TableParagraph"/>
              <w:tabs>
                <w:tab w:pos="5686" w:val="left" w:leader="none"/>
              </w:tabs>
              <w:ind w:left="914"/>
              <w:rPr>
                <w:rFonts w:ascii="Times New Roman"/>
                <w:sz w:val="20"/>
              </w:rPr>
            </w:pPr>
            <w:r>
              <w:rPr>
                <w:rFonts w:ascii="Times New Roman"/>
                <w:sz w:val="20"/>
              </w:rPr>
              <w:drawing>
                <wp:inline distT="0" distB="0" distL="0" distR="0">
                  <wp:extent cx="1695449" cy="1695450"/>
                  <wp:effectExtent l="0" t="0" r="0" b="0"/>
                  <wp:docPr id="103" name="image84.jpeg" descr=""/>
                  <wp:cNvGraphicFramePr>
                    <a:graphicFrameLocks noChangeAspect="1"/>
                  </wp:cNvGraphicFramePr>
                  <a:graphic>
                    <a:graphicData uri="http://schemas.openxmlformats.org/drawingml/2006/picture">
                      <pic:pic>
                        <pic:nvPicPr>
                          <pic:cNvPr id="104" name="image84.jpeg"/>
                          <pic:cNvPicPr/>
                        </pic:nvPicPr>
                        <pic:blipFill>
                          <a:blip r:embed="rId144" cstate="print"/>
                          <a:stretch>
                            <a:fillRect/>
                          </a:stretch>
                        </pic:blipFill>
                        <pic:spPr>
                          <a:xfrm>
                            <a:off x="0" y="0"/>
                            <a:ext cx="1695449" cy="1695450"/>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1695449" cy="1695450"/>
                  <wp:effectExtent l="0" t="0" r="0" b="0"/>
                  <wp:docPr id="105" name="image85.jpeg" descr=""/>
                  <wp:cNvGraphicFramePr>
                    <a:graphicFrameLocks noChangeAspect="1"/>
                  </wp:cNvGraphicFramePr>
                  <a:graphic>
                    <a:graphicData uri="http://schemas.openxmlformats.org/drawingml/2006/picture">
                      <pic:pic>
                        <pic:nvPicPr>
                          <pic:cNvPr id="106" name="image85.jpeg"/>
                          <pic:cNvPicPr/>
                        </pic:nvPicPr>
                        <pic:blipFill>
                          <a:blip r:embed="rId145" cstate="print"/>
                          <a:stretch>
                            <a:fillRect/>
                          </a:stretch>
                        </pic:blipFill>
                        <pic:spPr>
                          <a:xfrm>
                            <a:off x="0" y="0"/>
                            <a:ext cx="1695449" cy="1695450"/>
                          </a:xfrm>
                          <a:prstGeom prst="rect">
                            <a:avLst/>
                          </a:prstGeom>
                        </pic:spPr>
                      </pic:pic>
                    </a:graphicData>
                  </a:graphic>
                </wp:inline>
              </w:drawing>
            </w:r>
            <w:r>
              <w:rPr>
                <w:rFonts w:ascii="Times New Roman"/>
                <w:sz w:val="20"/>
              </w:rPr>
            </w:r>
          </w:p>
          <w:p>
            <w:pPr>
              <w:pStyle w:val="TableParagraph"/>
              <w:spacing w:before="8"/>
              <w:rPr>
                <w:rFonts w:ascii="Times New Roman"/>
                <w:sz w:val="16"/>
              </w:rPr>
            </w:pPr>
          </w:p>
        </w:tc>
      </w:tr>
      <w:tr>
        <w:trPr>
          <w:trHeight w:val="6223" w:hRule="exact"/>
        </w:trPr>
        <w:tc>
          <w:tcPr>
            <w:tcW w:w="9268" w:type="dxa"/>
          </w:tcPr>
          <w:p>
            <w:pPr>
              <w:pStyle w:val="TableParagraph"/>
              <w:spacing w:before="4"/>
              <w:rPr>
                <w:rFonts w:ascii="Times New Roman"/>
                <w:sz w:val="22"/>
              </w:rPr>
            </w:pPr>
          </w:p>
          <w:p>
            <w:pPr>
              <w:pStyle w:val="TableParagraph"/>
              <w:tabs>
                <w:tab w:pos="5686" w:val="left" w:leader="none"/>
              </w:tabs>
              <w:ind w:left="914"/>
              <w:rPr>
                <w:rFonts w:ascii="Times New Roman"/>
                <w:sz w:val="20"/>
              </w:rPr>
            </w:pPr>
            <w:r>
              <w:rPr>
                <w:rFonts w:ascii="Times New Roman"/>
                <w:sz w:val="20"/>
              </w:rPr>
              <w:drawing>
                <wp:inline distT="0" distB="0" distL="0" distR="0">
                  <wp:extent cx="1691566" cy="1576768"/>
                  <wp:effectExtent l="0" t="0" r="0" b="0"/>
                  <wp:docPr id="107" name="image86.jpeg" descr=""/>
                  <wp:cNvGraphicFramePr>
                    <a:graphicFrameLocks noChangeAspect="1"/>
                  </wp:cNvGraphicFramePr>
                  <a:graphic>
                    <a:graphicData uri="http://schemas.openxmlformats.org/drawingml/2006/picture">
                      <pic:pic>
                        <pic:nvPicPr>
                          <pic:cNvPr id="108" name="image86.jpeg"/>
                          <pic:cNvPicPr/>
                        </pic:nvPicPr>
                        <pic:blipFill>
                          <a:blip r:embed="rId146" cstate="print"/>
                          <a:stretch>
                            <a:fillRect/>
                          </a:stretch>
                        </pic:blipFill>
                        <pic:spPr>
                          <a:xfrm>
                            <a:off x="0" y="0"/>
                            <a:ext cx="1691566" cy="1576768"/>
                          </a:xfrm>
                          <a:prstGeom prst="rect">
                            <a:avLst/>
                          </a:prstGeom>
                        </pic:spPr>
                      </pic:pic>
                    </a:graphicData>
                  </a:graphic>
                </wp:inline>
              </w:drawing>
            </w:r>
            <w:r>
              <w:rPr>
                <w:rFonts w:ascii="Times New Roman"/>
                <w:sz w:val="20"/>
              </w:rPr>
            </w:r>
            <w:r>
              <w:rPr>
                <w:rFonts w:ascii="Times New Roman"/>
                <w:sz w:val="20"/>
              </w:rPr>
              <w:tab/>
            </w:r>
            <w:r>
              <w:rPr>
                <w:rFonts w:ascii="Times New Roman"/>
                <w:position w:val="8"/>
                <w:sz w:val="20"/>
              </w:rPr>
              <w:drawing>
                <wp:inline distT="0" distB="0" distL="0" distR="0">
                  <wp:extent cx="1687864" cy="1525905"/>
                  <wp:effectExtent l="0" t="0" r="0" b="0"/>
                  <wp:docPr id="109" name="image87.jpeg" descr=""/>
                  <wp:cNvGraphicFramePr>
                    <a:graphicFrameLocks noChangeAspect="1"/>
                  </wp:cNvGraphicFramePr>
                  <a:graphic>
                    <a:graphicData uri="http://schemas.openxmlformats.org/drawingml/2006/picture">
                      <pic:pic>
                        <pic:nvPicPr>
                          <pic:cNvPr id="110" name="image87.jpeg"/>
                          <pic:cNvPicPr/>
                        </pic:nvPicPr>
                        <pic:blipFill>
                          <a:blip r:embed="rId147" cstate="print"/>
                          <a:stretch>
                            <a:fillRect/>
                          </a:stretch>
                        </pic:blipFill>
                        <pic:spPr>
                          <a:xfrm>
                            <a:off x="0" y="0"/>
                            <a:ext cx="1687864" cy="1525905"/>
                          </a:xfrm>
                          <a:prstGeom prst="rect">
                            <a:avLst/>
                          </a:prstGeom>
                        </pic:spPr>
                      </pic:pic>
                    </a:graphicData>
                  </a:graphic>
                </wp:inline>
              </w:drawing>
            </w:r>
            <w:r>
              <w:rPr>
                <w:rFonts w:ascii="Times New Roman"/>
                <w:position w:val="8"/>
                <w:sz w:val="20"/>
              </w:rPr>
            </w:r>
          </w:p>
          <w:p>
            <w:pPr>
              <w:pStyle w:val="TableParagraph"/>
              <w:rPr>
                <w:rFonts w:ascii="Times New Roman"/>
                <w:sz w:val="20"/>
              </w:rPr>
            </w:pPr>
          </w:p>
          <w:p>
            <w:pPr>
              <w:pStyle w:val="TableParagraph"/>
              <w:spacing w:before="5"/>
              <w:rPr>
                <w:rFonts w:ascii="Times New Roman"/>
                <w:sz w:val="19"/>
              </w:rPr>
            </w:pPr>
          </w:p>
          <w:p>
            <w:pPr>
              <w:pStyle w:val="TableParagraph"/>
              <w:tabs>
                <w:tab w:pos="5686" w:val="left" w:leader="none"/>
              </w:tabs>
              <w:ind w:left="914"/>
              <w:rPr>
                <w:rFonts w:ascii="Times New Roman"/>
                <w:sz w:val="20"/>
              </w:rPr>
            </w:pPr>
            <w:r>
              <w:rPr>
                <w:rFonts w:ascii="Times New Roman"/>
                <w:sz w:val="20"/>
              </w:rPr>
              <w:drawing>
                <wp:inline distT="0" distB="0" distL="0" distR="0">
                  <wp:extent cx="1695627" cy="1695450"/>
                  <wp:effectExtent l="0" t="0" r="0" b="0"/>
                  <wp:docPr id="111" name="image88.jpeg" descr=""/>
                  <wp:cNvGraphicFramePr>
                    <a:graphicFrameLocks noChangeAspect="1"/>
                  </wp:cNvGraphicFramePr>
                  <a:graphic>
                    <a:graphicData uri="http://schemas.openxmlformats.org/drawingml/2006/picture">
                      <pic:pic>
                        <pic:nvPicPr>
                          <pic:cNvPr id="112" name="image88.jpeg"/>
                          <pic:cNvPicPr/>
                        </pic:nvPicPr>
                        <pic:blipFill>
                          <a:blip r:embed="rId148" cstate="print"/>
                          <a:stretch>
                            <a:fillRect/>
                          </a:stretch>
                        </pic:blipFill>
                        <pic:spPr>
                          <a:xfrm>
                            <a:off x="0" y="0"/>
                            <a:ext cx="1695627" cy="1695450"/>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1695627" cy="1695450"/>
                  <wp:effectExtent l="0" t="0" r="0" b="0"/>
                  <wp:docPr id="113" name="image89.jpeg" descr=""/>
                  <wp:cNvGraphicFramePr>
                    <a:graphicFrameLocks noChangeAspect="1"/>
                  </wp:cNvGraphicFramePr>
                  <a:graphic>
                    <a:graphicData uri="http://schemas.openxmlformats.org/drawingml/2006/picture">
                      <pic:pic>
                        <pic:nvPicPr>
                          <pic:cNvPr id="114" name="image89.jpeg"/>
                          <pic:cNvPicPr/>
                        </pic:nvPicPr>
                        <pic:blipFill>
                          <a:blip r:embed="rId149" cstate="print"/>
                          <a:stretch>
                            <a:fillRect/>
                          </a:stretch>
                        </pic:blipFill>
                        <pic:spPr>
                          <a:xfrm>
                            <a:off x="0" y="0"/>
                            <a:ext cx="1695627" cy="1695450"/>
                          </a:xfrm>
                          <a:prstGeom prst="rect">
                            <a:avLst/>
                          </a:prstGeom>
                        </pic:spPr>
                      </pic:pic>
                    </a:graphicData>
                  </a:graphic>
                </wp:inline>
              </w:drawing>
            </w:r>
            <w:r>
              <w:rPr>
                <w:rFonts w:ascii="Times New Roman"/>
                <w:sz w:val="20"/>
              </w:rPr>
            </w:r>
          </w:p>
          <w:p>
            <w:pPr>
              <w:pStyle w:val="TableParagraph"/>
              <w:spacing w:before="132"/>
              <w:ind w:left="800"/>
              <w:rPr>
                <w:b/>
                <w:i/>
                <w:sz w:val="20"/>
              </w:rPr>
            </w:pPr>
            <w:r>
              <w:rPr>
                <w:b/>
                <w:i/>
                <w:sz w:val="20"/>
              </w:rPr>
              <w:t>Fuente: Proporcionada por el Dr. Jesús Gastón Gutiérrez, de fecha julio del 2014</w:t>
            </w:r>
          </w:p>
        </w:tc>
      </w:tr>
    </w:tbl>
    <w:p>
      <w:pPr>
        <w:spacing w:after="0"/>
        <w:rPr>
          <w:sz w:val="20"/>
        </w:rPr>
        <w:sectPr>
          <w:footerReference w:type="default" r:id="rId141"/>
          <w:pgSz w:w="12240" w:h="15840"/>
          <w:pgMar w:footer="1190" w:header="685" w:top="880" w:bottom="1380" w:left="1340" w:right="1320"/>
        </w:sectPr>
      </w:pPr>
    </w:p>
    <w:p>
      <w:pPr>
        <w:pStyle w:val="BodyText"/>
        <w:rPr>
          <w:rFonts w:ascii="Times New Roman"/>
          <w:sz w:val="20"/>
        </w:rPr>
      </w:pPr>
    </w:p>
    <w:p>
      <w:pPr>
        <w:pStyle w:val="BodyText"/>
        <w:spacing w:before="9"/>
        <w:rPr>
          <w:rFonts w:ascii="Times New Roman"/>
          <w:sz w:val="19"/>
        </w:rPr>
      </w:pPr>
    </w:p>
    <w:p>
      <w:pPr>
        <w:pStyle w:val="BodyText"/>
        <w:spacing w:line="360" w:lineRule="auto" w:before="69"/>
        <w:ind w:left="116" w:right="511"/>
        <w:jc w:val="both"/>
      </w:pPr>
      <w:r>
        <w:rPr/>
        <w:t>Las visitas guiadas constituyen la actividad educativa </w:t>
      </w:r>
      <w:r>
        <w:rPr>
          <w:spacing w:val="-3"/>
        </w:rPr>
        <w:t>más </w:t>
      </w:r>
      <w:r>
        <w:rPr/>
        <w:t>extendida, ya que son el medio idóneo para dar a conocer diversos aspectos de las colecciones, la relación de  las plantas con la cotidianeidad </w:t>
      </w:r>
      <w:r>
        <w:rPr>
          <w:spacing w:val="-2"/>
        </w:rPr>
        <w:t>humana </w:t>
      </w:r>
      <w:r>
        <w:rPr/>
        <w:t>y el trabajo de investigación y conservación  que se desarrolla en este</w:t>
      </w:r>
      <w:r>
        <w:rPr>
          <w:spacing w:val="-15"/>
        </w:rPr>
        <w:t> </w:t>
      </w:r>
      <w:r>
        <w:rPr/>
        <w:t>espacio.</w:t>
      </w:r>
    </w:p>
    <w:p>
      <w:pPr>
        <w:pStyle w:val="BodyText"/>
      </w:pPr>
    </w:p>
    <w:p>
      <w:pPr>
        <w:pStyle w:val="BodyText"/>
      </w:pPr>
    </w:p>
    <w:p>
      <w:pPr>
        <w:pStyle w:val="BodyText"/>
        <w:spacing w:before="5"/>
      </w:pPr>
    </w:p>
    <w:p>
      <w:pPr>
        <w:pStyle w:val="ListParagraph"/>
        <w:numPr>
          <w:ilvl w:val="2"/>
          <w:numId w:val="16"/>
        </w:numPr>
        <w:tabs>
          <w:tab w:pos="1111" w:val="left" w:leader="none"/>
        </w:tabs>
        <w:spacing w:line="240" w:lineRule="auto" w:before="0" w:after="0"/>
        <w:ind w:left="1110" w:right="0" w:hanging="711"/>
        <w:jc w:val="left"/>
        <w:rPr>
          <w:i/>
          <w:sz w:val="24"/>
        </w:rPr>
      </w:pPr>
      <w:r>
        <w:rPr>
          <w:i/>
          <w:sz w:val="24"/>
        </w:rPr>
        <w:t>Estudio de</w:t>
      </w:r>
      <w:r>
        <w:rPr>
          <w:i/>
          <w:spacing w:val="-19"/>
          <w:sz w:val="24"/>
        </w:rPr>
        <w:t> </w:t>
      </w:r>
      <w:r>
        <w:rPr>
          <w:i/>
          <w:sz w:val="24"/>
        </w:rPr>
        <w:t>Organización</w:t>
      </w:r>
    </w:p>
    <w:p>
      <w:pPr>
        <w:pStyle w:val="BodyText"/>
        <w:spacing w:line="360" w:lineRule="auto" w:before="137"/>
        <w:ind w:left="116" w:right="526"/>
        <w:jc w:val="both"/>
      </w:pPr>
      <w:r>
        <w:rPr/>
        <w:t>A finales del año 2013, el parque Universitario “”Las Orquídeas (como se le conoce hasta este momento), presenta la estructura organizacional, ilustrado en el diagrama 4.</w:t>
      </w:r>
    </w:p>
    <w:p>
      <w:pPr>
        <w:pStyle w:val="BodyText"/>
        <w:rPr>
          <w:sz w:val="20"/>
        </w:rPr>
      </w:pPr>
    </w:p>
    <w:p>
      <w:pPr>
        <w:pStyle w:val="BodyText"/>
        <w:rPr>
          <w:sz w:val="20"/>
        </w:rPr>
      </w:pPr>
    </w:p>
    <w:p>
      <w:pPr>
        <w:pStyle w:val="BodyText"/>
        <w:spacing w:before="9"/>
        <w:rPr>
          <w:sz w:val="16"/>
        </w:rPr>
      </w:pPr>
      <w:r>
        <w:rPr/>
        <w:pict>
          <v:group style="position:absolute;margin-left:121.919998pt;margin-top:11.605849pt;width:347.55pt;height:21.6pt;mso-position-horizontal-relative:page;mso-position-vertical-relative:paragraph;z-index:4624;mso-wrap-distance-left:0;mso-wrap-distance-right:0" coordorigin="2438,232" coordsize="6951,432">
            <v:shape style="position:absolute;left:2438;top:232;width:6950;height:432" type="#_x0000_t75" stroked="false">
              <v:imagedata r:id="rId151" o:title=""/>
            </v:shape>
            <v:shape style="position:absolute;left:2438;top:232;width:6951;height:432" type="#_x0000_t202" filled="false" stroked="false">
              <v:textbox inset="0,0,0,0">
                <w:txbxContent>
                  <w:p>
                    <w:pPr>
                      <w:spacing w:before="3"/>
                      <w:ind w:left="144" w:right="0" w:firstLine="0"/>
                      <w:jc w:val="left"/>
                      <w:rPr>
                        <w:rFonts w:ascii="Calibri"/>
                        <w:b/>
                        <w:i/>
                        <w:sz w:val="22"/>
                      </w:rPr>
                    </w:pPr>
                    <w:r>
                      <w:rPr>
                        <w:rFonts w:ascii="Calibri"/>
                        <w:b/>
                        <w:i/>
                        <w:sz w:val="22"/>
                      </w:rPr>
                      <w:t>Diagrama 4. Estructura organizacional actual del Manejo del Parque.</w:t>
                    </w:r>
                  </w:p>
                </w:txbxContent>
              </v:textbox>
              <w10:wrap type="none"/>
            </v:shape>
            <w10:wrap type="topAndBottom"/>
          </v:group>
        </w:pict>
      </w:r>
    </w:p>
    <w:p>
      <w:pPr>
        <w:pStyle w:val="BodyText"/>
        <w:rPr>
          <w:sz w:val="20"/>
        </w:rPr>
      </w:pPr>
    </w:p>
    <w:p>
      <w:pPr>
        <w:pStyle w:val="BodyText"/>
        <w:spacing w:before="6"/>
      </w:pPr>
      <w:r>
        <w:rPr/>
        <w:pict>
          <v:group style="position:absolute;margin-left:72.720001pt;margin-top:16.090977pt;width:488.4pt;height:279.150pt;mso-position-horizontal-relative:page;mso-position-vertical-relative:paragraph;z-index:4792;mso-wrap-distance-left:0;mso-wrap-distance-right:0" coordorigin="1454,322" coordsize="9768,5583">
            <v:shape style="position:absolute;left:6054;top:1738;width:200;height:870" coordorigin="6054,1738" coordsize="200,870" path="m6254,1738l6254,2607,6054,2607e" filled="false" stroked="true" strokeweight="2pt" strokecolor="#3c6695">
              <v:path arrowok="t"/>
            </v:shape>
            <v:shape style="position:absolute;left:6254;top:1738;width:3578;height:1938" coordorigin="6254,1738" coordsize="3578,1938" path="m6254,1738l6254,3483,9832,3483,9832,3676e" filled="false" stroked="true" strokeweight="2.0pt" strokecolor="#3c6695">
              <v:path arrowok="t"/>
            </v:shape>
            <v:shape style="position:absolute;left:6254;top:1738;width:1193;height:3120" coordorigin="6254,1738" coordsize="1193,3120" path="m6254,1738l6254,4666,7447,4666,7447,4858e" filled="false" stroked="true" strokeweight="2pt" strokecolor="#3c6695">
              <v:path arrowok="t"/>
            </v:shape>
            <v:shape style="position:absolute;left:5228;top:1738;width:1026;height:3120" coordorigin="5228,1738" coordsize="1026,3120" path="m6254,1738l6254,4666,5228,4666,5228,4858e" filled="false" stroked="true" strokeweight="2pt" strokecolor="#3c6695">
              <v:path arrowok="t"/>
            </v:shape>
            <v:shape style="position:absolute;left:2708;top:1738;width:3546;height:1938" coordorigin="2708,1738" coordsize="3546,1938" path="m6254,1738l6254,3483,2708,3483,2708,3676e" filled="false" stroked="true" strokeweight="2pt" strokecolor="#3c6695">
              <v:path arrowok="t"/>
            </v:shape>
            <v:shape style="position:absolute;left:4848;top:322;width:2827;height:1526" type="#_x0000_t75" stroked="false">
              <v:imagedata r:id="rId152" o:title=""/>
            </v:shape>
            <v:shape style="position:absolute;left:1454;top:3634;width:2578;height:1517" type="#_x0000_t75" stroked="false">
              <v:imagedata r:id="rId153" o:title=""/>
            </v:shape>
            <v:shape style="position:absolute;left:4114;top:4815;width:2290;height:1090" type="#_x0000_t75" stroked="false">
              <v:imagedata r:id="rId154" o:title=""/>
            </v:shape>
            <v:shape style="position:absolute;left:6336;top:4815;width:2285;height:1090" type="#_x0000_t75" stroked="false">
              <v:imagedata r:id="rId155" o:title=""/>
            </v:shape>
            <v:shape style="position:absolute;left:8515;top:3615;width:2707;height:1478" type="#_x0000_t75" stroked="false">
              <v:imagedata r:id="rId156" o:title=""/>
            </v:shape>
            <v:shape style="position:absolute;left:3154;top:1930;width:3173;height:1478" type="#_x0000_t75" stroked="false">
              <v:imagedata r:id="rId157" o:title=""/>
            </v:shape>
            <v:shape style="position:absolute;left:5151;top:553;width:2200;height:1018" type="#_x0000_t202" filled="false" stroked="false">
              <v:textbox inset="0,0,0,0">
                <w:txbxContent>
                  <w:p>
                    <w:pPr>
                      <w:spacing w:line="269" w:lineRule="exact" w:before="0"/>
                      <w:ind w:left="0" w:right="0" w:firstLine="0"/>
                      <w:jc w:val="center"/>
                      <w:rPr>
                        <w:rFonts w:ascii="Calibri"/>
                        <w:sz w:val="28"/>
                      </w:rPr>
                    </w:pPr>
                    <w:r>
                      <w:rPr>
                        <w:rFonts w:ascii="Calibri"/>
                        <w:spacing w:val="-10"/>
                        <w:sz w:val="28"/>
                      </w:rPr>
                      <w:t>Dr. </w:t>
                    </w:r>
                    <w:r>
                      <w:rPr>
                        <w:rFonts w:ascii="Calibri"/>
                        <w:sz w:val="28"/>
                      </w:rPr>
                      <w:t>Manuel </w:t>
                    </w:r>
                    <w:r>
                      <w:rPr>
                        <w:rFonts w:ascii="Calibri"/>
                        <w:spacing w:val="-3"/>
                        <w:sz w:val="28"/>
                      </w:rPr>
                      <w:t>Antonio</w:t>
                    </w:r>
                  </w:p>
                  <w:p>
                    <w:pPr>
                      <w:spacing w:line="327" w:lineRule="exact" w:before="0"/>
                      <w:ind w:left="3" w:right="0" w:firstLine="0"/>
                      <w:jc w:val="center"/>
                      <w:rPr>
                        <w:rFonts w:ascii="Calibri" w:hAnsi="Calibri"/>
                        <w:sz w:val="28"/>
                      </w:rPr>
                    </w:pPr>
                    <w:r>
                      <w:rPr>
                        <w:rFonts w:ascii="Calibri" w:hAnsi="Calibri"/>
                        <w:sz w:val="28"/>
                      </w:rPr>
                      <w:t>Pérez Chávez</w:t>
                    </w:r>
                  </w:p>
                  <w:p>
                    <w:pPr>
                      <w:spacing w:line="336" w:lineRule="exact" w:before="85"/>
                      <w:ind w:left="3" w:right="0" w:firstLine="0"/>
                      <w:jc w:val="center"/>
                      <w:rPr>
                        <w:rFonts w:ascii="Calibri"/>
                        <w:b/>
                        <w:sz w:val="28"/>
                      </w:rPr>
                    </w:pPr>
                    <w:r>
                      <w:rPr>
                        <w:rFonts w:ascii="Calibri"/>
                        <w:b/>
                        <w:sz w:val="28"/>
                      </w:rPr>
                      <w:t>Director General</w:t>
                    </w:r>
                  </w:p>
                </w:txbxContent>
              </v:textbox>
              <w10:wrap type="none"/>
            </v:shape>
            <v:shape style="position:absolute;left:3396;top:2110;width:2622;height:1019" type="#_x0000_t202" filled="false" stroked="false">
              <v:textbox inset="0,0,0,0">
                <w:txbxContent>
                  <w:p>
                    <w:pPr>
                      <w:spacing w:line="270" w:lineRule="exact" w:before="0"/>
                      <w:ind w:left="0" w:right="7" w:firstLine="0"/>
                      <w:jc w:val="center"/>
                      <w:rPr>
                        <w:rFonts w:ascii="Calibri"/>
                        <w:sz w:val="28"/>
                      </w:rPr>
                    </w:pPr>
                    <w:r>
                      <w:rPr>
                        <w:rFonts w:ascii="Calibri"/>
                        <w:sz w:val="28"/>
                      </w:rPr>
                      <w:t>Ing. Hugo Roberto</w:t>
                    </w:r>
                  </w:p>
                  <w:p>
                    <w:pPr>
                      <w:spacing w:line="327" w:lineRule="exact" w:before="0"/>
                      <w:ind w:left="0" w:right="5" w:firstLine="0"/>
                      <w:jc w:val="center"/>
                      <w:rPr>
                        <w:rFonts w:ascii="Calibri" w:hAnsi="Calibri"/>
                        <w:sz w:val="28"/>
                      </w:rPr>
                    </w:pPr>
                    <w:r>
                      <w:rPr>
                        <w:rFonts w:ascii="Calibri" w:hAnsi="Calibri"/>
                        <w:sz w:val="28"/>
                      </w:rPr>
                      <w:t>González</w:t>
                    </w:r>
                    <w:r>
                      <w:rPr>
                        <w:rFonts w:ascii="Calibri" w:hAnsi="Calibri"/>
                        <w:spacing w:val="-15"/>
                        <w:sz w:val="28"/>
                      </w:rPr>
                      <w:t> </w:t>
                    </w:r>
                    <w:r>
                      <w:rPr>
                        <w:rFonts w:ascii="Calibri" w:hAnsi="Calibri"/>
                        <w:spacing w:val="-3"/>
                        <w:sz w:val="28"/>
                      </w:rPr>
                      <w:t>Olivares</w:t>
                    </w:r>
                  </w:p>
                  <w:p>
                    <w:pPr>
                      <w:spacing w:line="336" w:lineRule="exact" w:before="85"/>
                      <w:ind w:left="0" w:right="0" w:firstLine="0"/>
                      <w:jc w:val="center"/>
                      <w:rPr>
                        <w:rFonts w:ascii="Calibri"/>
                        <w:b/>
                        <w:sz w:val="28"/>
                      </w:rPr>
                    </w:pPr>
                    <w:r>
                      <w:rPr>
                        <w:rFonts w:ascii="Calibri"/>
                        <w:b/>
                        <w:w w:val="95"/>
                        <w:sz w:val="28"/>
                      </w:rPr>
                      <w:t>Auxiliar  administrativo</w:t>
                    </w:r>
                  </w:p>
                </w:txbxContent>
              </v:textbox>
              <w10:wrap type="none"/>
            </v:shape>
            <v:shape style="position:absolute;left:1696;top:3853;width:2019;height:1018" type="#_x0000_t202" filled="false" stroked="false">
              <v:textbox inset="0,0,0,0">
                <w:txbxContent>
                  <w:p>
                    <w:pPr>
                      <w:spacing w:line="269" w:lineRule="exact" w:before="0"/>
                      <w:ind w:left="0" w:right="-13" w:firstLine="0"/>
                      <w:jc w:val="left"/>
                      <w:rPr>
                        <w:rFonts w:ascii="Calibri"/>
                        <w:sz w:val="28"/>
                      </w:rPr>
                    </w:pPr>
                    <w:r>
                      <w:rPr>
                        <w:rFonts w:ascii="Calibri"/>
                        <w:sz w:val="28"/>
                      </w:rPr>
                      <w:t>M. en DAES.</w:t>
                    </w:r>
                    <w:r>
                      <w:rPr>
                        <w:rFonts w:ascii="Calibri"/>
                        <w:spacing w:val="-19"/>
                        <w:sz w:val="28"/>
                      </w:rPr>
                      <w:t> </w:t>
                    </w:r>
                    <w:r>
                      <w:rPr>
                        <w:rFonts w:ascii="Calibri"/>
                        <w:sz w:val="28"/>
                      </w:rPr>
                      <w:t>Delia</w:t>
                    </w:r>
                  </w:p>
                  <w:p>
                    <w:pPr>
                      <w:spacing w:line="327" w:lineRule="exact" w:before="0"/>
                      <w:ind w:left="302" w:right="-13" w:hanging="72"/>
                      <w:jc w:val="left"/>
                      <w:rPr>
                        <w:rFonts w:ascii="Calibri"/>
                        <w:sz w:val="28"/>
                      </w:rPr>
                    </w:pPr>
                    <w:r>
                      <w:rPr>
                        <w:rFonts w:ascii="Calibri"/>
                        <w:sz w:val="28"/>
                      </w:rPr>
                      <w:t>Colin Morales</w:t>
                    </w:r>
                  </w:p>
                  <w:p>
                    <w:pPr>
                      <w:spacing w:line="336" w:lineRule="exact" w:before="85"/>
                      <w:ind w:left="302" w:right="-13" w:firstLine="0"/>
                      <w:jc w:val="left"/>
                      <w:rPr>
                        <w:rFonts w:ascii="Calibri"/>
                        <w:b/>
                        <w:sz w:val="28"/>
                      </w:rPr>
                    </w:pPr>
                    <w:r>
                      <w:rPr>
                        <w:rFonts w:ascii="Calibri"/>
                        <w:b/>
                        <w:sz w:val="28"/>
                      </w:rPr>
                      <w:t>Investigador</w:t>
                    </w:r>
                  </w:p>
                </w:txbxContent>
              </v:textbox>
              <w10:wrap type="none"/>
            </v:shape>
            <v:shape style="position:absolute;left:8762;top:3798;width:2143;height:1018" type="#_x0000_t202" filled="false" stroked="false">
              <v:textbox inset="0,0,0,0">
                <w:txbxContent>
                  <w:p>
                    <w:pPr>
                      <w:spacing w:line="269" w:lineRule="exact" w:before="0"/>
                      <w:ind w:left="0" w:right="0" w:firstLine="0"/>
                      <w:jc w:val="center"/>
                      <w:rPr>
                        <w:rFonts w:ascii="Calibri"/>
                        <w:sz w:val="28"/>
                      </w:rPr>
                    </w:pPr>
                    <w:r>
                      <w:rPr>
                        <w:rFonts w:ascii="Calibri"/>
                        <w:spacing w:val="-10"/>
                        <w:sz w:val="28"/>
                      </w:rPr>
                      <w:t>Dr. </w:t>
                    </w:r>
                    <w:r>
                      <w:rPr>
                        <w:rFonts w:ascii="Calibri"/>
                        <w:spacing w:val="-3"/>
                        <w:sz w:val="28"/>
                      </w:rPr>
                      <w:t>Antonio </w:t>
                    </w:r>
                    <w:r>
                      <w:rPr>
                        <w:rFonts w:ascii="Calibri"/>
                        <w:sz w:val="28"/>
                      </w:rPr>
                      <w:t>Laguna</w:t>
                    </w:r>
                  </w:p>
                  <w:p>
                    <w:pPr>
                      <w:spacing w:line="327" w:lineRule="exact" w:before="0"/>
                      <w:ind w:left="2" w:right="0" w:firstLine="0"/>
                      <w:jc w:val="center"/>
                      <w:rPr>
                        <w:rFonts w:ascii="Calibri"/>
                        <w:sz w:val="28"/>
                      </w:rPr>
                    </w:pPr>
                    <w:r>
                      <w:rPr>
                        <w:rFonts w:ascii="Calibri"/>
                        <w:sz w:val="28"/>
                      </w:rPr>
                      <w:t>Cerda</w:t>
                    </w:r>
                  </w:p>
                  <w:p>
                    <w:pPr>
                      <w:spacing w:line="336" w:lineRule="exact" w:before="85"/>
                      <w:ind w:left="2" w:right="0" w:firstLine="0"/>
                      <w:jc w:val="center"/>
                      <w:rPr>
                        <w:rFonts w:ascii="Calibri"/>
                        <w:b/>
                        <w:sz w:val="28"/>
                      </w:rPr>
                    </w:pPr>
                    <w:r>
                      <w:rPr>
                        <w:rFonts w:ascii="Calibri"/>
                        <w:b/>
                        <w:sz w:val="28"/>
                      </w:rPr>
                      <w:t>Investigador</w:t>
                    </w:r>
                  </w:p>
                </w:txbxContent>
              </v:textbox>
              <w10:wrap type="none"/>
            </v:shape>
            <v:shape style="position:absolute;left:4360;top:5034;width:1731;height:591" type="#_x0000_t202" filled="false" stroked="false">
              <v:textbox inset="0,0,0,0">
                <w:txbxContent>
                  <w:p>
                    <w:pPr>
                      <w:spacing w:line="269" w:lineRule="exact" w:before="0"/>
                      <w:ind w:left="0" w:right="0" w:firstLine="0"/>
                      <w:jc w:val="center"/>
                      <w:rPr>
                        <w:rFonts w:ascii="Calibri"/>
                        <w:sz w:val="28"/>
                      </w:rPr>
                    </w:pPr>
                    <w:r>
                      <w:rPr>
                        <w:rFonts w:ascii="Calibri"/>
                        <w:sz w:val="28"/>
                      </w:rPr>
                      <w:t>Personal de</w:t>
                    </w:r>
                  </w:p>
                  <w:p>
                    <w:pPr>
                      <w:spacing w:line="321" w:lineRule="exact" w:before="0"/>
                      <w:ind w:left="0" w:right="0" w:firstLine="0"/>
                      <w:jc w:val="center"/>
                      <w:rPr>
                        <w:rFonts w:ascii="Calibri"/>
                        <w:sz w:val="28"/>
                      </w:rPr>
                    </w:pPr>
                    <w:r>
                      <w:rPr>
                        <w:rFonts w:ascii="Calibri"/>
                        <w:spacing w:val="-3"/>
                        <w:sz w:val="28"/>
                      </w:rPr>
                      <w:t>mantenimiento</w:t>
                    </w:r>
                  </w:p>
                </w:txbxContent>
              </v:textbox>
              <w10:wrap type="none"/>
            </v:shape>
            <v:shape style="position:absolute;left:6580;top:5034;width:1730;height:591" type="#_x0000_t202" filled="false" stroked="false">
              <v:textbox inset="0,0,0,0">
                <w:txbxContent>
                  <w:p>
                    <w:pPr>
                      <w:spacing w:line="269" w:lineRule="exact" w:before="0"/>
                      <w:ind w:left="0" w:right="0" w:firstLine="0"/>
                      <w:jc w:val="center"/>
                      <w:rPr>
                        <w:rFonts w:ascii="Calibri"/>
                        <w:sz w:val="28"/>
                      </w:rPr>
                    </w:pPr>
                    <w:r>
                      <w:rPr>
                        <w:rFonts w:ascii="Calibri"/>
                        <w:sz w:val="28"/>
                      </w:rPr>
                      <w:t>Personal de</w:t>
                    </w:r>
                  </w:p>
                  <w:p>
                    <w:pPr>
                      <w:spacing w:line="321" w:lineRule="exact" w:before="0"/>
                      <w:ind w:left="0" w:right="0" w:firstLine="0"/>
                      <w:jc w:val="center"/>
                      <w:rPr>
                        <w:rFonts w:ascii="Calibri"/>
                        <w:sz w:val="28"/>
                      </w:rPr>
                    </w:pPr>
                    <w:r>
                      <w:rPr>
                        <w:rFonts w:ascii="Calibri"/>
                        <w:spacing w:val="-3"/>
                        <w:sz w:val="28"/>
                      </w:rPr>
                      <w:t>mantenimiento</w:t>
                    </w:r>
                  </w:p>
                </w:txbxContent>
              </v:textbox>
              <w10:wrap type="none"/>
            </v:shape>
            <w10:wrap type="topAndBottom"/>
          </v:group>
        </w:pict>
      </w:r>
    </w:p>
    <w:p>
      <w:pPr>
        <w:pStyle w:val="BodyText"/>
      </w:pPr>
    </w:p>
    <w:p>
      <w:pPr>
        <w:pStyle w:val="BodyText"/>
      </w:pPr>
    </w:p>
    <w:p>
      <w:pPr>
        <w:pStyle w:val="BodyText"/>
      </w:pPr>
    </w:p>
    <w:p>
      <w:pPr>
        <w:pStyle w:val="BodyText"/>
        <w:spacing w:before="1"/>
        <w:rPr>
          <w:sz w:val="20"/>
        </w:rPr>
      </w:pPr>
    </w:p>
    <w:p>
      <w:pPr>
        <w:spacing w:before="1"/>
        <w:ind w:left="116" w:right="0" w:firstLine="0"/>
        <w:jc w:val="both"/>
        <w:rPr>
          <w:b/>
          <w:i/>
          <w:sz w:val="20"/>
        </w:rPr>
      </w:pPr>
      <w:r>
        <w:rPr>
          <w:b/>
          <w:i/>
          <w:sz w:val="20"/>
        </w:rPr>
        <w:t>Fuente: Información proporcionada por el Auxiliar administrativo.</w:t>
      </w:r>
    </w:p>
    <w:p>
      <w:pPr>
        <w:spacing w:after="0"/>
        <w:jc w:val="both"/>
        <w:rPr>
          <w:sz w:val="20"/>
        </w:rPr>
        <w:sectPr>
          <w:footerReference w:type="default" r:id="rId150"/>
          <w:pgSz w:w="12240" w:h="15840"/>
          <w:pgMar w:footer="1146" w:header="685" w:top="880" w:bottom="1340" w:left="1300" w:right="900"/>
          <w:pgNumType w:start="121"/>
        </w:sectPr>
      </w:pPr>
    </w:p>
    <w:p>
      <w:pPr>
        <w:pStyle w:val="BodyText"/>
        <w:rPr>
          <w:b/>
          <w:i/>
          <w:sz w:val="20"/>
        </w:rPr>
      </w:pPr>
    </w:p>
    <w:p>
      <w:pPr>
        <w:pStyle w:val="BodyText"/>
        <w:spacing w:before="9"/>
        <w:rPr>
          <w:b/>
          <w:i/>
          <w:sz w:val="19"/>
        </w:rPr>
      </w:pPr>
    </w:p>
    <w:p>
      <w:pPr>
        <w:pStyle w:val="BodyText"/>
        <w:spacing w:line="362" w:lineRule="auto" w:before="69"/>
        <w:ind w:left="116" w:right="439"/>
        <w:jc w:val="both"/>
      </w:pPr>
      <w:r>
        <w:rPr/>
        <w:t>La propuesta de Jardín Botánico requiere contar con el siguiente organigrama institucional para su óptimo funcionamiento, según la información obtenida por diversos Jardines Botánicos (Diagrama 5).</w:t>
      </w:r>
    </w:p>
    <w:p>
      <w:pPr>
        <w:pStyle w:val="BodyText"/>
        <w:spacing w:before="1"/>
        <w:rPr>
          <w:sz w:val="26"/>
        </w:rPr>
      </w:pPr>
      <w:r>
        <w:rPr/>
        <w:pict>
          <v:group style="position:absolute;margin-left:105.360001pt;margin-top:16.969872pt;width:376.8pt;height:18.75pt;mso-position-horizontal-relative:page;mso-position-vertical-relative:paragraph;z-index:4840;mso-wrap-distance-left:0;mso-wrap-distance-right:0" coordorigin="2107,339" coordsize="7536,375">
            <v:shape style="position:absolute;left:2107;top:339;width:7536;height:374" type="#_x0000_t75" stroked="false">
              <v:imagedata r:id="rId158" o:title=""/>
            </v:shape>
            <v:shape style="position:absolute;left:2107;top:339;width:7536;height:375" type="#_x0000_t202" filled="false" stroked="false">
              <v:textbox inset="0,0,0,0">
                <w:txbxContent>
                  <w:p>
                    <w:pPr>
                      <w:spacing w:before="2"/>
                      <w:ind w:left="145" w:right="0" w:firstLine="0"/>
                      <w:jc w:val="left"/>
                      <w:rPr>
                        <w:rFonts w:ascii="Calibri"/>
                        <w:b/>
                        <w:i/>
                        <w:sz w:val="22"/>
                      </w:rPr>
                    </w:pPr>
                    <w:r>
                      <w:rPr>
                        <w:rFonts w:ascii="Calibri"/>
                        <w:b/>
                        <w:i/>
                        <w:sz w:val="22"/>
                      </w:rPr>
                      <w:t>Diagrama 5. Estructura organizacional propuesta para el Manejo del Parque.</w:t>
                    </w:r>
                  </w:p>
                </w:txbxContent>
              </v:textbox>
              <w10:wrap type="none"/>
            </v:shape>
            <w10:wrap type="topAndBottom"/>
          </v:group>
        </w:pict>
      </w:r>
    </w:p>
    <w:p>
      <w:pPr>
        <w:pStyle w:val="BodyText"/>
        <w:rPr>
          <w:sz w:val="20"/>
        </w:rPr>
      </w:pPr>
    </w:p>
    <w:p>
      <w:pPr>
        <w:pStyle w:val="BodyText"/>
        <w:spacing w:before="8"/>
        <w:rPr>
          <w:sz w:val="18"/>
        </w:rPr>
      </w:pPr>
      <w:r>
        <w:rPr/>
        <w:pict>
          <v:group style="position:absolute;margin-left:73.199997pt;margin-top:12.730976pt;width:483.85pt;height:286.6pt;mso-position-horizontal-relative:page;mso-position-vertical-relative:paragraph;z-index:5104;mso-wrap-distance-left:0;mso-wrap-distance-right:0" coordorigin="1464,255" coordsize="9677,5732">
            <v:shape style="position:absolute;left:5929;top:1373;width:157;height:680" coordorigin="5929,1373" coordsize="157,680" path="m6085,1373l6085,2053,5929,2053e" filled="false" stroked="true" strokeweight="2pt" strokecolor="#3c6695">
              <v:path arrowok="t"/>
            </v:shape>
            <v:shape style="position:absolute;left:6085;top:1373;width:3657;height:1516" coordorigin="6085,1373" coordsize="3657,1516" path="m6085,1373l6085,2738,9742,2738,9742,2889e" filled="false" stroked="true" strokeweight="2pt" strokecolor="#3c6695">
              <v:path arrowok="t"/>
            </v:shape>
            <v:shape style="position:absolute;left:6085;top:1373;width:1414;height:2441" coordorigin="6085,1373" coordsize="1414,2441" path="m6085,1373l6085,3664,7499,3664,7499,3814e" filled="false" stroked="true" strokeweight="2pt" strokecolor="#3c6695">
              <v:path arrowok="t"/>
            </v:shape>
            <v:shape style="position:absolute;left:5086;top:1373;width:1000;height:1516" coordorigin="5086,1373" coordsize="1000,1516" path="m6085,1373l6085,2738,5086,2738,5086,2889e" filled="false" stroked="true" strokeweight="2pt" strokecolor="#3c6695">
              <v:path arrowok="t"/>
            </v:shape>
            <v:shape style="position:absolute;left:2453;top:1373;width:3632;height:1516" coordorigin="2453,1373" coordsize="3632,1516" path="m6085,1373l6085,2738,2453,2738,2453,2889e" filled="false" stroked="true" strokeweight="2.0pt" strokecolor="#3c6695">
              <v:path arrowok="t"/>
            </v:shape>
            <v:shape style="position:absolute;left:4882;top:255;width:2472;height:1224" type="#_x0000_t75" stroked="false">
              <v:imagedata r:id="rId159" o:title=""/>
            </v:shape>
            <v:shape style="position:absolute;left:1723;top:3944;width:274;height:710" coordorigin="1723,3944" coordsize="274,710" path="m1723,3944l1723,4653,1997,4653e" filled="false" stroked="true" strokeweight="2pt" strokecolor="#4674ab">
              <v:path arrowok="t"/>
            </v:shape>
            <v:shape style="position:absolute;left:1464;top:2847;width:2002;height:1205" type="#_x0000_t75" stroked="false">
              <v:imagedata r:id="rId160" o:title=""/>
            </v:shape>
            <v:shape style="position:absolute;left:1920;top:4200;width:2030;height:970" type="#_x0000_t75" stroked="false">
              <v:imagedata r:id="rId161" o:title=""/>
            </v:shape>
            <v:shape style="position:absolute;left:4305;top:4585;width:293;height:761" coordorigin="4305,4585" coordsize="293,761" path="m4305,4585l4305,5346,4598,5346e" filled="false" stroked="true" strokeweight="2pt" strokecolor="#4674ab">
              <v:path arrowok="t"/>
            </v:shape>
            <v:shape style="position:absolute;left:4037;top:2847;width:2102;height:1843" type="#_x0000_t75" stroked="false">
              <v:imagedata r:id="rId162" o:title=""/>
            </v:shape>
            <v:shape style="position:absolute;left:4522;top:4843;width:1925;height:1090" type="#_x0000_t75" stroked="false">
              <v:imagedata r:id="rId163" o:title=""/>
            </v:shape>
            <v:shape style="position:absolute;left:6623;top:4866;width:188;height:655" coordorigin="6623,4866" coordsize="188,655" path="m6623,4866l6623,5521,6810,5521e" filled="false" stroked="true" strokeweight="2pt" strokecolor="#4674ab">
              <v:path arrowok="t"/>
            </v:shape>
            <v:shape style="position:absolute;left:6326;top:3720;width:2342;height:1358" type="#_x0000_t75" stroked="false">
              <v:imagedata r:id="rId164" o:title=""/>
            </v:shape>
            <v:shape style="position:absolute;left:6730;top:5117;width:2174;height:869" type="#_x0000_t75" stroked="false">
              <v:imagedata r:id="rId165" o:title=""/>
            </v:shape>
            <v:shape style="position:absolute;left:9032;top:3858;width:267;height:676" coordorigin="9032,3858" coordsize="267,676" path="m9032,3858l9032,4534,9298,4534e" filled="false" stroked="true" strokeweight="2pt" strokecolor="#4674ab">
              <v:path arrowok="t"/>
            </v:shape>
            <v:shape style="position:absolute;left:8779;top:2755;width:1997;height:1358" type="#_x0000_t75" stroked="false">
              <v:imagedata r:id="rId166" o:title=""/>
            </v:shape>
            <v:shape style="position:absolute;left:9178;top:4114;width:1963;height:902" type="#_x0000_t75" stroked="false">
              <v:imagedata r:id="rId167" o:title=""/>
            </v:shape>
            <v:shape style="position:absolute;left:3744;top:1555;width:2270;height:1085" type="#_x0000_t75" stroked="false">
              <v:imagedata r:id="rId168" o:title=""/>
            </v:shape>
            <v:shape style="position:absolute;left:5128;top:704;width:1916;height:279" type="#_x0000_t202" filled="false" stroked="false">
              <v:textbox inset="0,0,0,0">
                <w:txbxContent>
                  <w:p>
                    <w:pPr>
                      <w:spacing w:line="279" w:lineRule="exact" w:before="0"/>
                      <w:ind w:left="0" w:right="-11" w:firstLine="0"/>
                      <w:jc w:val="left"/>
                      <w:rPr>
                        <w:rFonts w:ascii="Calibri"/>
                        <w:b/>
                        <w:sz w:val="28"/>
                      </w:rPr>
                    </w:pPr>
                    <w:r>
                      <w:rPr>
                        <w:rFonts w:ascii="Calibri"/>
                        <w:b/>
                        <w:sz w:val="28"/>
                      </w:rPr>
                      <w:t>Director</w:t>
                    </w:r>
                    <w:r>
                      <w:rPr>
                        <w:rFonts w:ascii="Calibri"/>
                        <w:b/>
                        <w:spacing w:val="-24"/>
                        <w:sz w:val="28"/>
                      </w:rPr>
                      <w:t> </w:t>
                    </w:r>
                    <w:r>
                      <w:rPr>
                        <w:rFonts w:ascii="Calibri"/>
                        <w:b/>
                        <w:sz w:val="28"/>
                      </w:rPr>
                      <w:t>General</w:t>
                    </w:r>
                  </w:p>
                </w:txbxContent>
              </v:textbox>
              <w10:wrap type="none"/>
            </v:shape>
            <v:shape style="position:absolute;left:4041;top:1769;width:1667;height:591" type="#_x0000_t202" filled="false" stroked="false">
              <v:textbox inset="0,0,0,0">
                <w:txbxContent>
                  <w:p>
                    <w:pPr>
                      <w:spacing w:line="269" w:lineRule="exact" w:before="0"/>
                      <w:ind w:left="4" w:right="6" w:firstLine="0"/>
                      <w:jc w:val="center"/>
                      <w:rPr>
                        <w:rFonts w:ascii="Calibri"/>
                        <w:b/>
                        <w:sz w:val="28"/>
                      </w:rPr>
                    </w:pPr>
                    <w:r>
                      <w:rPr>
                        <w:rFonts w:ascii="Calibri"/>
                        <w:b/>
                        <w:sz w:val="28"/>
                      </w:rPr>
                      <w:t>Auxiliar</w:t>
                    </w:r>
                  </w:p>
                  <w:p>
                    <w:pPr>
                      <w:spacing w:line="321" w:lineRule="exact" w:before="0"/>
                      <w:ind w:left="6" w:right="6" w:firstLine="0"/>
                      <w:jc w:val="center"/>
                      <w:rPr>
                        <w:rFonts w:ascii="Calibri"/>
                        <w:b/>
                        <w:sz w:val="28"/>
                      </w:rPr>
                    </w:pPr>
                    <w:r>
                      <w:rPr>
                        <w:rFonts w:ascii="Calibri"/>
                        <w:b/>
                        <w:w w:val="95"/>
                        <w:sz w:val="28"/>
                      </w:rPr>
                      <w:t>administrativo</w:t>
                    </w:r>
                  </w:p>
                </w:txbxContent>
              </v:textbox>
              <w10:wrap type="none"/>
            </v:shape>
            <v:shape style="position:absolute;left:1752;top:3133;width:1400;height:591" type="#_x0000_t202" filled="false" stroked="false">
              <v:textbox inset="0,0,0,0">
                <w:txbxContent>
                  <w:p>
                    <w:pPr>
                      <w:spacing w:line="269" w:lineRule="exact" w:before="0"/>
                      <w:ind w:left="3" w:right="8" w:firstLine="0"/>
                      <w:jc w:val="center"/>
                      <w:rPr>
                        <w:rFonts w:ascii="Calibri" w:hAnsi="Calibri"/>
                        <w:b/>
                        <w:sz w:val="28"/>
                      </w:rPr>
                    </w:pPr>
                    <w:r>
                      <w:rPr>
                        <w:rFonts w:ascii="Calibri" w:hAnsi="Calibri"/>
                        <w:b/>
                        <w:sz w:val="28"/>
                      </w:rPr>
                      <w:t>Área</w:t>
                    </w:r>
                  </w:p>
                  <w:p>
                    <w:pPr>
                      <w:spacing w:line="321" w:lineRule="exact" w:before="0"/>
                      <w:ind w:left="8" w:right="8" w:firstLine="0"/>
                      <w:jc w:val="center"/>
                      <w:rPr>
                        <w:rFonts w:ascii="Calibri"/>
                        <w:b/>
                        <w:sz w:val="28"/>
                      </w:rPr>
                    </w:pPr>
                    <w:r>
                      <w:rPr>
                        <w:rFonts w:ascii="Calibri"/>
                        <w:b/>
                        <w:w w:val="95"/>
                        <w:sz w:val="28"/>
                      </w:rPr>
                      <w:t>Horticultura</w:t>
                    </w:r>
                  </w:p>
                </w:txbxContent>
              </v:textbox>
              <w10:wrap type="none"/>
            </v:shape>
            <v:shape style="position:absolute;left:4504;top:3300;width:1163;height:898" type="#_x0000_t202" filled="false" stroked="false">
              <v:textbox inset="0,0,0,0">
                <w:txbxContent>
                  <w:p>
                    <w:pPr>
                      <w:spacing w:line="269" w:lineRule="exact" w:before="0"/>
                      <w:ind w:left="112" w:right="113" w:firstLine="0"/>
                      <w:jc w:val="center"/>
                      <w:rPr>
                        <w:rFonts w:ascii="Calibri" w:hAnsi="Calibri"/>
                        <w:b/>
                        <w:sz w:val="28"/>
                      </w:rPr>
                    </w:pPr>
                    <w:r>
                      <w:rPr>
                        <w:rFonts w:ascii="Calibri" w:hAnsi="Calibri"/>
                        <w:b/>
                        <w:sz w:val="28"/>
                      </w:rPr>
                      <w:t>Área</w:t>
                    </w:r>
                    <w:r>
                      <w:rPr>
                        <w:rFonts w:ascii="Calibri" w:hAnsi="Calibri"/>
                        <w:b/>
                        <w:spacing w:val="-5"/>
                        <w:sz w:val="28"/>
                      </w:rPr>
                      <w:t> </w:t>
                    </w:r>
                    <w:r>
                      <w:rPr>
                        <w:rFonts w:ascii="Calibri" w:hAnsi="Calibri"/>
                        <w:b/>
                        <w:sz w:val="28"/>
                      </w:rPr>
                      <w:t>de</w:t>
                    </w:r>
                  </w:p>
                  <w:p>
                    <w:pPr>
                      <w:spacing w:line="308" w:lineRule="exact" w:before="5"/>
                      <w:ind w:left="-1" w:right="0" w:hanging="1"/>
                      <w:jc w:val="center"/>
                      <w:rPr>
                        <w:rFonts w:ascii="Calibri" w:hAnsi="Calibri"/>
                        <w:b/>
                        <w:sz w:val="28"/>
                      </w:rPr>
                    </w:pPr>
                    <w:r>
                      <w:rPr>
                        <w:rFonts w:ascii="Calibri" w:hAnsi="Calibri"/>
                        <w:b/>
                        <w:w w:val="95"/>
                        <w:sz w:val="28"/>
                      </w:rPr>
                      <w:t>Educación ambiental</w:t>
                    </w:r>
                  </w:p>
                </w:txbxContent>
              </v:textbox>
              <w10:wrap type="none"/>
            </v:shape>
            <v:shape style="position:absolute;left:9036;top:2936;width:1420;height:898" type="#_x0000_t202" filled="false" stroked="false">
              <v:textbox inset="0,0,0,0">
                <w:txbxContent>
                  <w:p>
                    <w:pPr>
                      <w:spacing w:line="269" w:lineRule="exact" w:before="0"/>
                      <w:ind w:left="1" w:right="6" w:firstLine="0"/>
                      <w:jc w:val="center"/>
                      <w:rPr>
                        <w:rFonts w:ascii="Calibri" w:hAnsi="Calibri"/>
                        <w:b/>
                        <w:sz w:val="28"/>
                      </w:rPr>
                    </w:pPr>
                    <w:r>
                      <w:rPr>
                        <w:rFonts w:ascii="Calibri" w:hAnsi="Calibri"/>
                        <w:b/>
                        <w:sz w:val="28"/>
                      </w:rPr>
                      <w:t>Área</w:t>
                    </w:r>
                  </w:p>
                  <w:p>
                    <w:pPr>
                      <w:spacing w:line="308" w:lineRule="exact" w:before="5"/>
                      <w:ind w:left="6" w:right="6" w:firstLine="0"/>
                      <w:jc w:val="center"/>
                      <w:rPr>
                        <w:rFonts w:ascii="Calibri"/>
                        <w:b/>
                        <w:sz w:val="28"/>
                      </w:rPr>
                    </w:pPr>
                    <w:r>
                      <w:rPr>
                        <w:rFonts w:ascii="Calibri"/>
                        <w:b/>
                        <w:w w:val="95"/>
                        <w:sz w:val="28"/>
                      </w:rPr>
                      <w:t>seguimiento </w:t>
                    </w:r>
                    <w:r>
                      <w:rPr>
                        <w:rFonts w:ascii="Calibri"/>
                        <w:b/>
                        <w:sz w:val="28"/>
                      </w:rPr>
                      <w:t>colecciones</w:t>
                    </w:r>
                  </w:p>
                </w:txbxContent>
              </v:textbox>
              <w10:wrap type="none"/>
            </v:shape>
            <v:shape style="position:absolute;left:2166;top:4523;width:1472;height:279" type="#_x0000_t202" filled="false" stroked="false">
              <v:textbox inset="0,0,0,0">
                <w:txbxContent>
                  <w:p>
                    <w:pPr>
                      <w:spacing w:line="279" w:lineRule="exact" w:before="0"/>
                      <w:ind w:left="0" w:right="-18" w:firstLine="0"/>
                      <w:jc w:val="left"/>
                      <w:rPr>
                        <w:rFonts w:ascii="Calibri"/>
                        <w:sz w:val="28"/>
                      </w:rPr>
                    </w:pPr>
                    <w:r>
                      <w:rPr>
                        <w:rFonts w:ascii="Calibri"/>
                        <w:spacing w:val="-2"/>
                        <w:sz w:val="28"/>
                      </w:rPr>
                      <w:t>Horticultores</w:t>
                    </w:r>
                  </w:p>
                </w:txbxContent>
              </v:textbox>
              <w10:wrap type="none"/>
            </v:shape>
            <v:shape style="position:absolute;left:6752;top:3903;width:1493;height:899" type="#_x0000_t202" filled="false" stroked="false">
              <v:textbox inset="0,0,0,0">
                <w:txbxContent>
                  <w:p>
                    <w:pPr>
                      <w:spacing w:line="269" w:lineRule="exact" w:before="0"/>
                      <w:ind w:left="0" w:right="0" w:firstLine="0"/>
                      <w:jc w:val="center"/>
                      <w:rPr>
                        <w:rFonts w:ascii="Calibri" w:hAnsi="Calibri"/>
                        <w:b/>
                        <w:sz w:val="28"/>
                      </w:rPr>
                    </w:pPr>
                    <w:r>
                      <w:rPr>
                        <w:rFonts w:ascii="Calibri" w:hAnsi="Calibri"/>
                        <w:b/>
                        <w:sz w:val="28"/>
                      </w:rPr>
                      <w:t>Área de</w:t>
                    </w:r>
                  </w:p>
                  <w:p>
                    <w:pPr>
                      <w:spacing w:line="310" w:lineRule="exact" w:before="0"/>
                      <w:ind w:left="0" w:right="0" w:firstLine="0"/>
                      <w:jc w:val="center"/>
                      <w:rPr>
                        <w:rFonts w:ascii="Calibri" w:hAnsi="Calibri"/>
                        <w:b/>
                        <w:sz w:val="28"/>
                      </w:rPr>
                    </w:pPr>
                    <w:r>
                      <w:rPr>
                        <w:rFonts w:ascii="Calibri" w:hAnsi="Calibri"/>
                        <w:b/>
                        <w:spacing w:val="-3"/>
                        <w:sz w:val="28"/>
                      </w:rPr>
                      <w:t>investigación</w:t>
                    </w:r>
                  </w:p>
                  <w:p>
                    <w:pPr>
                      <w:spacing w:line="319" w:lineRule="exact" w:before="0"/>
                      <w:ind w:left="3" w:right="0" w:firstLine="0"/>
                      <w:jc w:val="center"/>
                      <w:rPr>
                        <w:rFonts w:ascii="Calibri" w:hAnsi="Calibri"/>
                        <w:b/>
                        <w:sz w:val="28"/>
                      </w:rPr>
                    </w:pPr>
                    <w:r>
                      <w:rPr>
                        <w:rFonts w:ascii="Calibri" w:hAnsi="Calibri"/>
                        <w:b/>
                        <w:sz w:val="28"/>
                      </w:rPr>
                      <w:t>científica</w:t>
                    </w:r>
                  </w:p>
                </w:txbxContent>
              </v:textbox>
              <w10:wrap type="none"/>
            </v:shape>
            <v:shape style="position:absolute;left:9426;top:4404;width:1404;height:279" type="#_x0000_t202" filled="false" stroked="false">
              <v:textbox inset="0,0,0,0">
                <w:txbxContent>
                  <w:p>
                    <w:pPr>
                      <w:spacing w:line="278" w:lineRule="exact" w:before="0"/>
                      <w:ind w:left="0" w:right="-15" w:firstLine="0"/>
                      <w:jc w:val="left"/>
                      <w:rPr>
                        <w:rFonts w:ascii="Calibri"/>
                        <w:sz w:val="28"/>
                      </w:rPr>
                    </w:pPr>
                    <w:r>
                      <w:rPr>
                        <w:rFonts w:ascii="Calibri"/>
                        <w:spacing w:val="-2"/>
                        <w:sz w:val="28"/>
                      </w:rPr>
                      <w:t>Especialistas</w:t>
                    </w:r>
                  </w:p>
                </w:txbxContent>
              </v:textbox>
              <w10:wrap type="none"/>
            </v:shape>
            <v:shape style="position:absolute;left:4767;top:5063;width:1376;height:591" type="#_x0000_t202" filled="false" stroked="false">
              <v:textbox inset="0,0,0,0">
                <w:txbxContent>
                  <w:p>
                    <w:pPr>
                      <w:spacing w:line="269" w:lineRule="exact" w:before="0"/>
                      <w:ind w:left="0" w:right="-2" w:firstLine="33"/>
                      <w:jc w:val="left"/>
                      <w:rPr>
                        <w:rFonts w:ascii="Calibri"/>
                        <w:sz w:val="28"/>
                      </w:rPr>
                    </w:pPr>
                    <w:r>
                      <w:rPr>
                        <w:rFonts w:ascii="Calibri"/>
                        <w:sz w:val="28"/>
                      </w:rPr>
                      <w:t>Educadores</w:t>
                    </w:r>
                  </w:p>
                  <w:p>
                    <w:pPr>
                      <w:spacing w:line="321" w:lineRule="exact" w:before="0"/>
                      <w:ind w:left="0" w:right="-2" w:firstLine="0"/>
                      <w:jc w:val="left"/>
                      <w:rPr>
                        <w:rFonts w:ascii="Calibri"/>
                        <w:sz w:val="28"/>
                      </w:rPr>
                    </w:pPr>
                    <w:r>
                      <w:rPr>
                        <w:rFonts w:ascii="Calibri"/>
                        <w:w w:val="95"/>
                        <w:sz w:val="28"/>
                      </w:rPr>
                      <w:t>ambientales</w:t>
                    </w:r>
                  </w:p>
                </w:txbxContent>
              </v:textbox>
              <w10:wrap type="none"/>
            </v:shape>
            <v:shape style="position:absolute;left:6975;top:5392;width:1620;height:279" type="#_x0000_t202" filled="false" stroked="false">
              <v:textbox inset="0,0,0,0">
                <w:txbxContent>
                  <w:p>
                    <w:pPr>
                      <w:spacing w:line="278" w:lineRule="exact" w:before="0"/>
                      <w:ind w:left="0" w:right="-17" w:firstLine="0"/>
                      <w:jc w:val="left"/>
                      <w:rPr>
                        <w:rFonts w:ascii="Calibri"/>
                        <w:sz w:val="28"/>
                      </w:rPr>
                    </w:pPr>
                    <w:r>
                      <w:rPr>
                        <w:rFonts w:ascii="Calibri"/>
                        <w:spacing w:val="-3"/>
                        <w:sz w:val="28"/>
                      </w:rPr>
                      <w:t>Investigadores</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spacing w:before="4"/>
        <w:rPr>
          <w:sz w:val="21"/>
        </w:rPr>
      </w:pPr>
    </w:p>
    <w:p>
      <w:pPr>
        <w:spacing w:line="276" w:lineRule="auto" w:before="0"/>
        <w:ind w:left="116" w:right="832" w:firstLine="0"/>
        <w:jc w:val="left"/>
        <w:rPr>
          <w:b/>
          <w:i/>
          <w:sz w:val="20"/>
        </w:rPr>
      </w:pPr>
      <w:r>
        <w:rPr>
          <w:b/>
          <w:i/>
          <w:sz w:val="20"/>
        </w:rPr>
        <w:t>Fuente: Elaboración propia, con base en Jackson y Sutherland, 2000; Rodríguez-Acosta, 2000; </w:t>
      </w:r>
      <w:r>
        <w:rPr>
          <w:b/>
          <w:i/>
          <w:sz w:val="20"/>
        </w:rPr>
        <w:t>Vovides et al., 2010.</w:t>
      </w:r>
    </w:p>
    <w:p>
      <w:pPr>
        <w:spacing w:after="0" w:line="276" w:lineRule="auto"/>
        <w:jc w:val="left"/>
        <w:rPr>
          <w:sz w:val="20"/>
        </w:rPr>
        <w:sectPr>
          <w:pgSz w:w="12240" w:h="15840"/>
          <w:pgMar w:header="685" w:footer="1146" w:top="880" w:bottom="1380" w:left="1300" w:right="980"/>
        </w:sectPr>
      </w:pPr>
    </w:p>
    <w:p>
      <w:pPr>
        <w:pStyle w:val="BodyText"/>
        <w:rPr>
          <w:b/>
          <w:i/>
          <w:sz w:val="20"/>
        </w:rPr>
      </w:pPr>
    </w:p>
    <w:p>
      <w:pPr>
        <w:pStyle w:val="BodyText"/>
        <w:spacing w:before="7"/>
        <w:rPr>
          <w:b/>
          <w:i/>
          <w:sz w:val="20"/>
        </w:rPr>
      </w:pPr>
    </w:p>
    <w:p>
      <w:pPr>
        <w:pStyle w:val="BodyText"/>
        <w:spacing w:line="360" w:lineRule="auto" w:before="70"/>
        <w:ind w:left="116" w:right="78"/>
      </w:pPr>
      <w:r>
        <w:rPr/>
        <w:t>A continuación se describe las principales funciones que deben realizar cada una de las áreas del organigrama.</w:t>
      </w:r>
    </w:p>
    <w:p>
      <w:pPr>
        <w:pStyle w:val="BodyText"/>
      </w:pPr>
    </w:p>
    <w:p>
      <w:pPr>
        <w:pStyle w:val="Heading3"/>
        <w:spacing w:before="145"/>
        <w:ind w:right="78"/>
        <w:jc w:val="left"/>
        <w:rPr>
          <w:i/>
        </w:rPr>
      </w:pPr>
      <w:r>
        <w:rPr>
          <w:i/>
        </w:rPr>
        <w:t>Funciones de la Dirección General</w:t>
      </w:r>
    </w:p>
    <w:p>
      <w:pPr>
        <w:pStyle w:val="ListParagraph"/>
        <w:numPr>
          <w:ilvl w:val="0"/>
          <w:numId w:val="20"/>
        </w:numPr>
        <w:tabs>
          <w:tab w:pos="837" w:val="left" w:leader="none"/>
        </w:tabs>
        <w:spacing w:line="240" w:lineRule="auto" w:before="137" w:after="0"/>
        <w:ind w:left="837" w:right="0" w:hanging="361"/>
        <w:jc w:val="left"/>
        <w:rPr>
          <w:sz w:val="24"/>
        </w:rPr>
      </w:pPr>
      <w:r>
        <w:rPr>
          <w:sz w:val="24"/>
        </w:rPr>
        <w:t>Elaborar y proponer los procedimientos operativos del Jardín</w:t>
      </w:r>
      <w:r>
        <w:rPr>
          <w:spacing w:val="-32"/>
          <w:sz w:val="24"/>
        </w:rPr>
        <w:t> </w:t>
      </w:r>
      <w:r>
        <w:rPr>
          <w:sz w:val="24"/>
        </w:rPr>
        <w:t>botánico</w:t>
      </w:r>
    </w:p>
    <w:p>
      <w:pPr>
        <w:pStyle w:val="ListParagraph"/>
        <w:numPr>
          <w:ilvl w:val="0"/>
          <w:numId w:val="20"/>
        </w:numPr>
        <w:tabs>
          <w:tab w:pos="837" w:val="left" w:leader="none"/>
        </w:tabs>
        <w:spacing w:line="240" w:lineRule="auto" w:before="137" w:after="0"/>
        <w:ind w:left="837" w:right="0" w:hanging="361"/>
        <w:jc w:val="left"/>
        <w:rPr>
          <w:sz w:val="24"/>
        </w:rPr>
      </w:pPr>
      <w:r>
        <w:rPr>
          <w:sz w:val="24"/>
        </w:rPr>
        <w:t>Coordinar las actividades de las áreas</w:t>
      </w:r>
      <w:r>
        <w:rPr>
          <w:spacing w:val="-23"/>
          <w:sz w:val="24"/>
        </w:rPr>
        <w:t> </w:t>
      </w:r>
      <w:r>
        <w:rPr>
          <w:sz w:val="24"/>
        </w:rPr>
        <w:t>operativas</w:t>
      </w:r>
    </w:p>
    <w:p>
      <w:pPr>
        <w:pStyle w:val="ListParagraph"/>
        <w:numPr>
          <w:ilvl w:val="0"/>
          <w:numId w:val="20"/>
        </w:numPr>
        <w:tabs>
          <w:tab w:pos="837" w:val="left" w:leader="none"/>
        </w:tabs>
        <w:spacing w:line="240" w:lineRule="auto" w:before="137" w:after="0"/>
        <w:ind w:left="837" w:right="0" w:hanging="361"/>
        <w:jc w:val="left"/>
        <w:rPr>
          <w:sz w:val="24"/>
        </w:rPr>
      </w:pPr>
      <w:r>
        <w:rPr>
          <w:sz w:val="24"/>
        </w:rPr>
        <w:t>Coordinar la actualización de la página electrónica del Jardín</w:t>
      </w:r>
      <w:r>
        <w:rPr>
          <w:spacing w:val="-15"/>
          <w:sz w:val="24"/>
        </w:rPr>
        <w:t> </w:t>
      </w:r>
      <w:r>
        <w:rPr>
          <w:sz w:val="24"/>
        </w:rPr>
        <w:t>botánico</w:t>
      </w:r>
    </w:p>
    <w:p>
      <w:pPr>
        <w:pStyle w:val="ListParagraph"/>
        <w:numPr>
          <w:ilvl w:val="0"/>
          <w:numId w:val="20"/>
        </w:numPr>
        <w:tabs>
          <w:tab w:pos="837" w:val="left" w:leader="none"/>
        </w:tabs>
        <w:spacing w:line="240" w:lineRule="auto" w:before="141" w:after="0"/>
        <w:ind w:left="837" w:right="0" w:hanging="361"/>
        <w:jc w:val="left"/>
        <w:rPr>
          <w:sz w:val="24"/>
        </w:rPr>
      </w:pPr>
      <w:r>
        <w:rPr>
          <w:sz w:val="24"/>
        </w:rPr>
        <w:t>Ejecutar funciones de vinculación y comunicación interna y</w:t>
      </w:r>
      <w:r>
        <w:rPr>
          <w:spacing w:val="-16"/>
          <w:sz w:val="24"/>
        </w:rPr>
        <w:t> </w:t>
      </w:r>
      <w:r>
        <w:rPr>
          <w:sz w:val="24"/>
        </w:rPr>
        <w:t>externa</w:t>
      </w:r>
    </w:p>
    <w:p>
      <w:pPr>
        <w:pStyle w:val="ListParagraph"/>
        <w:numPr>
          <w:ilvl w:val="0"/>
          <w:numId w:val="20"/>
        </w:numPr>
        <w:tabs>
          <w:tab w:pos="837" w:val="left" w:leader="none"/>
        </w:tabs>
        <w:spacing w:line="360" w:lineRule="auto" w:before="137" w:after="0"/>
        <w:ind w:left="837" w:right="128" w:hanging="361"/>
        <w:jc w:val="left"/>
        <w:rPr>
          <w:sz w:val="24"/>
        </w:rPr>
      </w:pPr>
      <w:r>
        <w:rPr>
          <w:sz w:val="24"/>
        </w:rPr>
        <w:t>Supervisar la recepción, registro y entrega de los donativos que recibe el Jardín Botánico por entradas, visitas guiadas, talleres, cursos y otros</w:t>
      </w:r>
      <w:r>
        <w:rPr>
          <w:spacing w:val="-26"/>
          <w:sz w:val="24"/>
        </w:rPr>
        <w:t> </w:t>
      </w:r>
      <w:r>
        <w:rPr>
          <w:sz w:val="24"/>
        </w:rPr>
        <w:t>eventos.</w:t>
      </w:r>
    </w:p>
    <w:p>
      <w:pPr>
        <w:pStyle w:val="ListParagraph"/>
        <w:numPr>
          <w:ilvl w:val="0"/>
          <w:numId w:val="20"/>
        </w:numPr>
        <w:tabs>
          <w:tab w:pos="837" w:val="left" w:leader="none"/>
        </w:tabs>
        <w:spacing w:line="240" w:lineRule="auto" w:before="2" w:after="0"/>
        <w:ind w:left="837" w:right="0" w:hanging="361"/>
        <w:jc w:val="left"/>
        <w:rPr>
          <w:sz w:val="24"/>
        </w:rPr>
      </w:pPr>
      <w:r>
        <w:rPr>
          <w:sz w:val="24"/>
        </w:rPr>
        <w:t>Proponer y ejecutar estrategias de promoción y</w:t>
      </w:r>
      <w:r>
        <w:rPr>
          <w:spacing w:val="-24"/>
          <w:sz w:val="24"/>
        </w:rPr>
        <w:t> </w:t>
      </w:r>
      <w:r>
        <w:rPr>
          <w:sz w:val="24"/>
        </w:rPr>
        <w:t>difusión.</w:t>
      </w:r>
    </w:p>
    <w:p>
      <w:pPr>
        <w:pStyle w:val="ListParagraph"/>
        <w:numPr>
          <w:ilvl w:val="0"/>
          <w:numId w:val="20"/>
        </w:numPr>
        <w:tabs>
          <w:tab w:pos="837" w:val="left" w:leader="none"/>
        </w:tabs>
        <w:spacing w:line="240" w:lineRule="auto" w:before="141" w:after="0"/>
        <w:ind w:left="837" w:right="0" w:hanging="361"/>
        <w:jc w:val="left"/>
        <w:rPr>
          <w:sz w:val="24"/>
        </w:rPr>
      </w:pPr>
      <w:r>
        <w:rPr>
          <w:sz w:val="24"/>
        </w:rPr>
        <w:t>Coordinar las labores de apoyo a la</w:t>
      </w:r>
      <w:r>
        <w:rPr>
          <w:spacing w:val="-13"/>
          <w:sz w:val="24"/>
        </w:rPr>
        <w:t> </w:t>
      </w:r>
      <w:r>
        <w:rPr>
          <w:sz w:val="24"/>
        </w:rPr>
        <w:t>investigación</w:t>
      </w:r>
    </w:p>
    <w:p>
      <w:pPr>
        <w:pStyle w:val="ListParagraph"/>
        <w:numPr>
          <w:ilvl w:val="0"/>
          <w:numId w:val="20"/>
        </w:numPr>
        <w:tabs>
          <w:tab w:pos="837" w:val="left" w:leader="none"/>
        </w:tabs>
        <w:spacing w:line="360" w:lineRule="auto" w:before="137" w:after="0"/>
        <w:ind w:left="837" w:right="125" w:hanging="361"/>
        <w:jc w:val="left"/>
        <w:rPr>
          <w:sz w:val="24"/>
        </w:rPr>
      </w:pPr>
      <w:r>
        <w:rPr>
          <w:sz w:val="24"/>
        </w:rPr>
        <w:t>Atender y supervisar las solicitudes de apoyo, espacio, insumos, entre otras, internas y</w:t>
      </w:r>
      <w:r>
        <w:rPr>
          <w:spacing w:val="-7"/>
          <w:sz w:val="24"/>
        </w:rPr>
        <w:t> </w:t>
      </w:r>
      <w:r>
        <w:rPr>
          <w:sz w:val="24"/>
        </w:rPr>
        <w:t>externas.</w:t>
      </w:r>
    </w:p>
    <w:p>
      <w:pPr>
        <w:pStyle w:val="ListParagraph"/>
        <w:numPr>
          <w:ilvl w:val="0"/>
          <w:numId w:val="20"/>
        </w:numPr>
        <w:tabs>
          <w:tab w:pos="837" w:val="left" w:leader="none"/>
        </w:tabs>
        <w:spacing w:line="362" w:lineRule="auto" w:before="2" w:after="0"/>
        <w:ind w:left="837" w:right="130" w:hanging="361"/>
        <w:jc w:val="left"/>
        <w:rPr>
          <w:sz w:val="24"/>
        </w:rPr>
      </w:pPr>
      <w:r>
        <w:rPr>
          <w:sz w:val="24"/>
        </w:rPr>
        <w:t>Preparar y presentar informes relacionados con las actividades del Jardín botánico</w:t>
      </w:r>
    </w:p>
    <w:p>
      <w:pPr>
        <w:pStyle w:val="ListParagraph"/>
        <w:numPr>
          <w:ilvl w:val="0"/>
          <w:numId w:val="20"/>
        </w:numPr>
        <w:tabs>
          <w:tab w:pos="837" w:val="left" w:leader="none"/>
        </w:tabs>
        <w:spacing w:line="360" w:lineRule="auto" w:before="0" w:after="0"/>
        <w:ind w:left="837" w:right="111" w:hanging="361"/>
        <w:jc w:val="left"/>
        <w:rPr>
          <w:sz w:val="24"/>
        </w:rPr>
      </w:pPr>
      <w:r>
        <w:rPr>
          <w:sz w:val="24"/>
        </w:rPr>
        <w:t>Las demás que le asignen las Autoridades superiores en el ámbito de su competencia</w:t>
      </w:r>
    </w:p>
    <w:p>
      <w:pPr>
        <w:pStyle w:val="BodyText"/>
      </w:pPr>
    </w:p>
    <w:p>
      <w:pPr>
        <w:pStyle w:val="Heading3"/>
        <w:ind w:right="78"/>
        <w:jc w:val="left"/>
        <w:rPr>
          <w:i/>
        </w:rPr>
      </w:pPr>
      <w:r>
        <w:rPr>
          <w:i/>
        </w:rPr>
        <w:t>Funciones Auxiliar Administrativo</w:t>
      </w:r>
    </w:p>
    <w:p>
      <w:pPr>
        <w:pStyle w:val="ListParagraph"/>
        <w:numPr>
          <w:ilvl w:val="0"/>
          <w:numId w:val="21"/>
        </w:numPr>
        <w:tabs>
          <w:tab w:pos="837" w:val="left" w:leader="none"/>
        </w:tabs>
        <w:spacing w:line="240" w:lineRule="auto" w:before="137" w:after="0"/>
        <w:ind w:left="837" w:right="0" w:hanging="361"/>
        <w:jc w:val="left"/>
        <w:rPr>
          <w:sz w:val="24"/>
        </w:rPr>
      </w:pPr>
      <w:r>
        <w:rPr>
          <w:sz w:val="24"/>
        </w:rPr>
        <w:t>Apoyar en la elaboración de los procedimientos operativos del Jardín</w:t>
      </w:r>
      <w:r>
        <w:rPr>
          <w:spacing w:val="-34"/>
          <w:sz w:val="24"/>
        </w:rPr>
        <w:t> </w:t>
      </w:r>
      <w:r>
        <w:rPr>
          <w:sz w:val="24"/>
        </w:rPr>
        <w:t>botánico</w:t>
      </w:r>
    </w:p>
    <w:p>
      <w:pPr>
        <w:pStyle w:val="ListParagraph"/>
        <w:numPr>
          <w:ilvl w:val="0"/>
          <w:numId w:val="21"/>
        </w:numPr>
        <w:tabs>
          <w:tab w:pos="837" w:val="left" w:leader="none"/>
        </w:tabs>
        <w:spacing w:line="240" w:lineRule="auto" w:before="137" w:after="0"/>
        <w:ind w:left="837" w:right="0" w:hanging="361"/>
        <w:jc w:val="left"/>
        <w:rPr>
          <w:sz w:val="24"/>
        </w:rPr>
      </w:pPr>
      <w:r>
        <w:rPr>
          <w:sz w:val="24"/>
        </w:rPr>
        <w:t>Mantener actualizada la página electrónica del Jardín</w:t>
      </w:r>
      <w:r>
        <w:rPr>
          <w:spacing w:val="-24"/>
          <w:sz w:val="24"/>
        </w:rPr>
        <w:t> </w:t>
      </w:r>
      <w:r>
        <w:rPr>
          <w:sz w:val="24"/>
        </w:rPr>
        <w:t>botánico</w:t>
      </w:r>
    </w:p>
    <w:p>
      <w:pPr>
        <w:pStyle w:val="ListParagraph"/>
        <w:numPr>
          <w:ilvl w:val="0"/>
          <w:numId w:val="21"/>
        </w:numPr>
        <w:tabs>
          <w:tab w:pos="837" w:val="left" w:leader="none"/>
        </w:tabs>
        <w:spacing w:line="362" w:lineRule="auto" w:before="137" w:after="0"/>
        <w:ind w:left="837" w:right="115" w:hanging="361"/>
        <w:jc w:val="left"/>
        <w:rPr>
          <w:sz w:val="24"/>
        </w:rPr>
      </w:pPr>
      <w:r>
        <w:rPr>
          <w:sz w:val="24"/>
        </w:rPr>
        <w:t>Supervisar la recepción, registro y entrega de los donativos que recibe el Jardín Botánico por entradas, visitas guiadas, talleres, cursos y otros</w:t>
      </w:r>
      <w:r>
        <w:rPr>
          <w:spacing w:val="-26"/>
          <w:sz w:val="24"/>
        </w:rPr>
        <w:t> </w:t>
      </w:r>
      <w:r>
        <w:rPr>
          <w:sz w:val="24"/>
        </w:rPr>
        <w:t>eventos.</w:t>
      </w:r>
    </w:p>
    <w:p>
      <w:pPr>
        <w:pStyle w:val="ListParagraph"/>
        <w:numPr>
          <w:ilvl w:val="0"/>
          <w:numId w:val="21"/>
        </w:numPr>
        <w:tabs>
          <w:tab w:pos="837" w:val="left" w:leader="none"/>
        </w:tabs>
        <w:spacing w:line="240" w:lineRule="auto" w:before="0" w:after="0"/>
        <w:ind w:left="837" w:right="0" w:hanging="361"/>
        <w:jc w:val="left"/>
        <w:rPr>
          <w:sz w:val="24"/>
        </w:rPr>
      </w:pPr>
      <w:r>
        <w:rPr>
          <w:sz w:val="24"/>
        </w:rPr>
        <w:t>Proponer y ejecutar estrategias de promoción y</w:t>
      </w:r>
      <w:r>
        <w:rPr>
          <w:spacing w:val="-24"/>
          <w:sz w:val="24"/>
        </w:rPr>
        <w:t> </w:t>
      </w:r>
      <w:r>
        <w:rPr>
          <w:sz w:val="24"/>
        </w:rPr>
        <w:t>difusión.</w:t>
      </w:r>
    </w:p>
    <w:p>
      <w:pPr>
        <w:pStyle w:val="ListParagraph"/>
        <w:numPr>
          <w:ilvl w:val="0"/>
          <w:numId w:val="21"/>
        </w:numPr>
        <w:tabs>
          <w:tab w:pos="837" w:val="left" w:leader="none"/>
        </w:tabs>
        <w:spacing w:line="360" w:lineRule="auto" w:before="137" w:after="0"/>
        <w:ind w:left="837" w:right="125" w:hanging="361"/>
        <w:jc w:val="left"/>
        <w:rPr>
          <w:sz w:val="24"/>
        </w:rPr>
      </w:pPr>
      <w:r>
        <w:rPr>
          <w:sz w:val="24"/>
        </w:rPr>
        <w:t>Atender y supervisar las solicitudes de apoyo, espacio, insumos, entre otras, internas y</w:t>
      </w:r>
      <w:r>
        <w:rPr>
          <w:spacing w:val="-7"/>
          <w:sz w:val="24"/>
        </w:rPr>
        <w:t> </w:t>
      </w:r>
      <w:r>
        <w:rPr>
          <w:sz w:val="24"/>
        </w:rPr>
        <w:t>externas.</w:t>
      </w:r>
    </w:p>
    <w:p>
      <w:pPr>
        <w:pStyle w:val="ListParagraph"/>
        <w:numPr>
          <w:ilvl w:val="0"/>
          <w:numId w:val="21"/>
        </w:numPr>
        <w:tabs>
          <w:tab w:pos="837" w:val="left" w:leader="none"/>
        </w:tabs>
        <w:spacing w:line="364" w:lineRule="auto" w:before="2" w:after="0"/>
        <w:ind w:left="837" w:right="129" w:hanging="361"/>
        <w:jc w:val="left"/>
        <w:rPr>
          <w:sz w:val="24"/>
        </w:rPr>
      </w:pPr>
      <w:r>
        <w:rPr>
          <w:sz w:val="24"/>
        </w:rPr>
        <w:t>Preparar y presentar informes relacionados con las actividades del Jardín botánico.</w:t>
      </w:r>
    </w:p>
    <w:p>
      <w:pPr>
        <w:pStyle w:val="ListParagraph"/>
        <w:numPr>
          <w:ilvl w:val="0"/>
          <w:numId w:val="21"/>
        </w:numPr>
        <w:tabs>
          <w:tab w:pos="837" w:val="left" w:leader="none"/>
        </w:tabs>
        <w:spacing w:line="360" w:lineRule="auto" w:before="0" w:after="0"/>
        <w:ind w:left="837" w:right="125" w:hanging="361"/>
        <w:jc w:val="left"/>
        <w:rPr>
          <w:sz w:val="24"/>
        </w:rPr>
      </w:pPr>
      <w:r>
        <w:rPr>
          <w:sz w:val="24"/>
        </w:rPr>
        <w:t>Las demás que le asignen las Autoridades superiores en el ámbito de su competencia.</w:t>
      </w:r>
    </w:p>
    <w:p>
      <w:pPr>
        <w:spacing w:after="0" w:line="360" w:lineRule="auto"/>
        <w:jc w:val="left"/>
        <w:rPr>
          <w:sz w:val="24"/>
        </w:rPr>
        <w:sectPr>
          <w:pgSz w:w="12240" w:h="15840"/>
          <w:pgMar w:header="685"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spacing w:before="69"/>
        <w:jc w:val="left"/>
        <w:rPr>
          <w:i/>
        </w:rPr>
      </w:pPr>
      <w:r>
        <w:rPr>
          <w:i/>
        </w:rPr>
        <w:t>Funciones del Área de Horticultura</w:t>
      </w:r>
    </w:p>
    <w:p>
      <w:pPr>
        <w:pStyle w:val="ListParagraph"/>
        <w:numPr>
          <w:ilvl w:val="0"/>
          <w:numId w:val="22"/>
        </w:numPr>
        <w:tabs>
          <w:tab w:pos="837" w:val="left" w:leader="none"/>
        </w:tabs>
        <w:spacing w:line="240" w:lineRule="auto" w:before="137" w:after="0"/>
        <w:ind w:left="837" w:right="0" w:hanging="361"/>
        <w:jc w:val="left"/>
        <w:rPr>
          <w:sz w:val="24"/>
        </w:rPr>
      </w:pPr>
      <w:r>
        <w:rPr>
          <w:sz w:val="24"/>
        </w:rPr>
        <w:t>Coordinar y ejecutar el </w:t>
      </w:r>
      <w:r>
        <w:rPr>
          <w:spacing w:val="-3"/>
          <w:sz w:val="24"/>
        </w:rPr>
        <w:t>manejo </w:t>
      </w:r>
      <w:r>
        <w:rPr>
          <w:sz w:val="24"/>
        </w:rPr>
        <w:t>y mantenimiento hortícola del Jardín</w:t>
      </w:r>
      <w:r>
        <w:rPr>
          <w:spacing w:val="-4"/>
          <w:sz w:val="24"/>
        </w:rPr>
        <w:t> </w:t>
      </w:r>
      <w:r>
        <w:rPr>
          <w:sz w:val="24"/>
        </w:rPr>
        <w:t>Botánico.</w:t>
      </w:r>
    </w:p>
    <w:p>
      <w:pPr>
        <w:pStyle w:val="ListParagraph"/>
        <w:numPr>
          <w:ilvl w:val="0"/>
          <w:numId w:val="22"/>
        </w:numPr>
        <w:tabs>
          <w:tab w:pos="837" w:val="left" w:leader="none"/>
        </w:tabs>
        <w:spacing w:line="360" w:lineRule="auto" w:before="141" w:after="0"/>
        <w:ind w:left="837" w:right="104" w:hanging="361"/>
        <w:jc w:val="both"/>
        <w:rPr>
          <w:sz w:val="24"/>
        </w:rPr>
      </w:pPr>
      <w:r>
        <w:rPr>
          <w:sz w:val="24"/>
        </w:rPr>
        <w:t>Generar y aplicar técnicas, prácticas y protocolos de cultivo de las colecciones exteriores y bajo invernadero (siembra, control de plagas y enfermedades, poda, entre</w:t>
      </w:r>
      <w:r>
        <w:rPr>
          <w:spacing w:val="-2"/>
          <w:sz w:val="24"/>
        </w:rPr>
        <w:t> </w:t>
      </w:r>
      <w:r>
        <w:rPr>
          <w:sz w:val="24"/>
        </w:rPr>
        <w:t>otras).</w:t>
      </w:r>
    </w:p>
    <w:p>
      <w:pPr>
        <w:pStyle w:val="ListParagraph"/>
        <w:numPr>
          <w:ilvl w:val="0"/>
          <w:numId w:val="22"/>
        </w:numPr>
        <w:tabs>
          <w:tab w:pos="837" w:val="left" w:leader="none"/>
        </w:tabs>
        <w:spacing w:line="240" w:lineRule="auto" w:before="3" w:after="0"/>
        <w:ind w:left="837" w:right="0" w:hanging="361"/>
        <w:jc w:val="left"/>
        <w:rPr>
          <w:sz w:val="24"/>
        </w:rPr>
      </w:pPr>
      <w:r>
        <w:rPr>
          <w:sz w:val="24"/>
        </w:rPr>
        <w:t>Coordinar y ejecutar la producción de</w:t>
      </w:r>
      <w:r>
        <w:rPr>
          <w:spacing w:val="-20"/>
          <w:sz w:val="24"/>
        </w:rPr>
        <w:t> </w:t>
      </w:r>
      <w:r>
        <w:rPr>
          <w:sz w:val="24"/>
        </w:rPr>
        <w:t>composta.</w:t>
      </w:r>
    </w:p>
    <w:p>
      <w:pPr>
        <w:pStyle w:val="ListParagraph"/>
        <w:numPr>
          <w:ilvl w:val="0"/>
          <w:numId w:val="22"/>
        </w:numPr>
        <w:tabs>
          <w:tab w:pos="837" w:val="left" w:leader="none"/>
        </w:tabs>
        <w:spacing w:line="240" w:lineRule="auto" w:before="141" w:after="0"/>
        <w:ind w:left="837" w:right="0" w:hanging="361"/>
        <w:jc w:val="left"/>
        <w:rPr>
          <w:sz w:val="24"/>
        </w:rPr>
      </w:pPr>
      <w:r>
        <w:rPr>
          <w:sz w:val="24"/>
        </w:rPr>
        <w:t>Supervisar el uso de equipo e</w:t>
      </w:r>
      <w:r>
        <w:rPr>
          <w:spacing w:val="-19"/>
          <w:sz w:val="24"/>
        </w:rPr>
        <w:t> </w:t>
      </w:r>
      <w:r>
        <w:rPr>
          <w:sz w:val="24"/>
        </w:rPr>
        <w:t>insumos.</w:t>
      </w:r>
    </w:p>
    <w:p>
      <w:pPr>
        <w:pStyle w:val="ListParagraph"/>
        <w:numPr>
          <w:ilvl w:val="0"/>
          <w:numId w:val="22"/>
        </w:numPr>
        <w:tabs>
          <w:tab w:pos="837" w:val="left" w:leader="none"/>
        </w:tabs>
        <w:spacing w:line="240" w:lineRule="auto" w:before="137" w:after="0"/>
        <w:ind w:left="837" w:right="0" w:hanging="361"/>
        <w:jc w:val="left"/>
        <w:rPr>
          <w:sz w:val="24"/>
        </w:rPr>
      </w:pPr>
      <w:r>
        <w:rPr>
          <w:sz w:val="24"/>
        </w:rPr>
        <w:t>Coordinar las funciones del personal</w:t>
      </w:r>
      <w:r>
        <w:rPr>
          <w:spacing w:val="-18"/>
          <w:sz w:val="24"/>
        </w:rPr>
        <w:t> </w:t>
      </w:r>
      <w:r>
        <w:rPr>
          <w:sz w:val="24"/>
        </w:rPr>
        <w:t>adscrito.</w:t>
      </w:r>
    </w:p>
    <w:p>
      <w:pPr>
        <w:pStyle w:val="ListParagraph"/>
        <w:numPr>
          <w:ilvl w:val="0"/>
          <w:numId w:val="22"/>
        </w:numPr>
        <w:tabs>
          <w:tab w:pos="837" w:val="left" w:leader="none"/>
        </w:tabs>
        <w:spacing w:line="240" w:lineRule="auto" w:before="137" w:after="0"/>
        <w:ind w:left="837" w:right="0" w:hanging="361"/>
        <w:jc w:val="left"/>
        <w:rPr>
          <w:sz w:val="24"/>
        </w:rPr>
      </w:pPr>
      <w:r>
        <w:rPr>
          <w:sz w:val="24"/>
        </w:rPr>
        <w:t>Controlar las solicitudes de donación de</w:t>
      </w:r>
      <w:r>
        <w:rPr>
          <w:spacing w:val="-22"/>
          <w:sz w:val="24"/>
        </w:rPr>
        <w:t> </w:t>
      </w:r>
      <w:r>
        <w:rPr>
          <w:sz w:val="24"/>
        </w:rPr>
        <w:t>plantas.</w:t>
      </w:r>
    </w:p>
    <w:p>
      <w:pPr>
        <w:pStyle w:val="ListParagraph"/>
        <w:numPr>
          <w:ilvl w:val="0"/>
          <w:numId w:val="22"/>
        </w:numPr>
        <w:tabs>
          <w:tab w:pos="837" w:val="left" w:leader="none"/>
        </w:tabs>
        <w:spacing w:line="362" w:lineRule="auto" w:before="137" w:after="0"/>
        <w:ind w:left="837" w:right="106" w:hanging="361"/>
        <w:jc w:val="left"/>
        <w:rPr>
          <w:sz w:val="24"/>
        </w:rPr>
      </w:pPr>
      <w:r>
        <w:rPr>
          <w:sz w:val="24"/>
        </w:rPr>
        <w:t>Generar información sobre el manejo y cultivo de especies de plantas del interés del Jardín</w:t>
      </w:r>
      <w:r>
        <w:rPr>
          <w:spacing w:val="-6"/>
          <w:sz w:val="24"/>
        </w:rPr>
        <w:t> </w:t>
      </w:r>
      <w:r>
        <w:rPr>
          <w:sz w:val="24"/>
        </w:rPr>
        <w:t>Botánico.</w:t>
      </w:r>
    </w:p>
    <w:p>
      <w:pPr>
        <w:pStyle w:val="ListParagraph"/>
        <w:numPr>
          <w:ilvl w:val="0"/>
          <w:numId w:val="22"/>
        </w:numPr>
        <w:tabs>
          <w:tab w:pos="837" w:val="left" w:leader="none"/>
        </w:tabs>
        <w:spacing w:line="240" w:lineRule="auto" w:before="0" w:after="0"/>
        <w:ind w:left="837" w:right="0" w:hanging="361"/>
        <w:jc w:val="left"/>
        <w:rPr>
          <w:sz w:val="24"/>
        </w:rPr>
      </w:pPr>
      <w:r>
        <w:rPr>
          <w:sz w:val="24"/>
        </w:rPr>
        <w:t>Apoyar a la investigación de acuerdo a programas</w:t>
      </w:r>
      <w:r>
        <w:rPr>
          <w:spacing w:val="-21"/>
          <w:sz w:val="24"/>
        </w:rPr>
        <w:t> </w:t>
      </w:r>
      <w:r>
        <w:rPr>
          <w:sz w:val="24"/>
        </w:rPr>
        <w:t>establecidos</w:t>
      </w:r>
    </w:p>
    <w:p>
      <w:pPr>
        <w:pStyle w:val="ListParagraph"/>
        <w:numPr>
          <w:ilvl w:val="0"/>
          <w:numId w:val="22"/>
        </w:numPr>
        <w:tabs>
          <w:tab w:pos="837" w:val="left" w:leader="none"/>
        </w:tabs>
        <w:spacing w:line="360" w:lineRule="auto" w:before="137" w:after="0"/>
        <w:ind w:left="837" w:right="105" w:hanging="361"/>
        <w:jc w:val="left"/>
        <w:rPr>
          <w:sz w:val="24"/>
        </w:rPr>
      </w:pPr>
      <w:r>
        <w:rPr>
          <w:sz w:val="24"/>
        </w:rPr>
        <w:t>Las demás que le asignen las Autoridades superiores en el ámbito de su competencia.</w:t>
      </w:r>
    </w:p>
    <w:p>
      <w:pPr>
        <w:pStyle w:val="BodyText"/>
      </w:pPr>
    </w:p>
    <w:p>
      <w:pPr>
        <w:pStyle w:val="Heading3"/>
        <w:jc w:val="left"/>
        <w:rPr>
          <w:i/>
        </w:rPr>
      </w:pPr>
      <w:r>
        <w:rPr>
          <w:i/>
        </w:rPr>
        <w:t>Funciones del Área de Educación Ambiental</w:t>
      </w:r>
    </w:p>
    <w:p>
      <w:pPr>
        <w:pStyle w:val="ListParagraph"/>
        <w:numPr>
          <w:ilvl w:val="0"/>
          <w:numId w:val="23"/>
        </w:numPr>
        <w:tabs>
          <w:tab w:pos="837" w:val="left" w:leader="none"/>
        </w:tabs>
        <w:spacing w:line="360" w:lineRule="auto" w:before="137" w:after="0"/>
        <w:ind w:left="837" w:right="108" w:hanging="361"/>
        <w:jc w:val="left"/>
        <w:rPr>
          <w:sz w:val="24"/>
        </w:rPr>
      </w:pPr>
      <w:r>
        <w:rPr>
          <w:sz w:val="24"/>
        </w:rPr>
        <w:t>Planificar y organizar programas y actividades de educación ambiental para el público visitante al</w:t>
      </w:r>
      <w:r>
        <w:rPr>
          <w:spacing w:val="-9"/>
          <w:sz w:val="24"/>
        </w:rPr>
        <w:t> </w:t>
      </w:r>
      <w:r>
        <w:rPr>
          <w:sz w:val="24"/>
        </w:rPr>
        <w:t>Jardín.</w:t>
      </w:r>
    </w:p>
    <w:p>
      <w:pPr>
        <w:pStyle w:val="ListParagraph"/>
        <w:numPr>
          <w:ilvl w:val="0"/>
          <w:numId w:val="23"/>
        </w:numPr>
        <w:tabs>
          <w:tab w:pos="837" w:val="left" w:leader="none"/>
        </w:tabs>
        <w:spacing w:line="240" w:lineRule="auto" w:before="7" w:after="0"/>
        <w:ind w:left="837" w:right="0" w:hanging="361"/>
        <w:jc w:val="left"/>
        <w:rPr>
          <w:sz w:val="24"/>
        </w:rPr>
      </w:pPr>
      <w:r>
        <w:rPr>
          <w:sz w:val="24"/>
        </w:rPr>
        <w:t>Diseñar material didáctico y</w:t>
      </w:r>
      <w:r>
        <w:rPr>
          <w:spacing w:val="-15"/>
          <w:sz w:val="24"/>
        </w:rPr>
        <w:t> </w:t>
      </w:r>
      <w:r>
        <w:rPr>
          <w:sz w:val="24"/>
        </w:rPr>
        <w:t>promocional.</w:t>
      </w:r>
    </w:p>
    <w:p>
      <w:pPr>
        <w:pStyle w:val="ListParagraph"/>
        <w:numPr>
          <w:ilvl w:val="0"/>
          <w:numId w:val="23"/>
        </w:numPr>
        <w:tabs>
          <w:tab w:pos="837" w:val="left" w:leader="none"/>
        </w:tabs>
        <w:spacing w:line="240" w:lineRule="auto" w:before="137" w:after="0"/>
        <w:ind w:left="837" w:right="0" w:hanging="361"/>
        <w:jc w:val="left"/>
        <w:rPr>
          <w:sz w:val="24"/>
        </w:rPr>
      </w:pPr>
      <w:r>
        <w:rPr>
          <w:sz w:val="24"/>
        </w:rPr>
        <w:t>Instrumentar estrategias de comunicación con el público</w:t>
      </w:r>
      <w:r>
        <w:rPr>
          <w:spacing w:val="-26"/>
          <w:sz w:val="24"/>
        </w:rPr>
        <w:t> </w:t>
      </w:r>
      <w:r>
        <w:rPr>
          <w:sz w:val="24"/>
        </w:rPr>
        <w:t>visitante.</w:t>
      </w:r>
    </w:p>
    <w:p>
      <w:pPr>
        <w:pStyle w:val="ListParagraph"/>
        <w:numPr>
          <w:ilvl w:val="0"/>
          <w:numId w:val="23"/>
        </w:numPr>
        <w:tabs>
          <w:tab w:pos="837" w:val="left" w:leader="none"/>
        </w:tabs>
        <w:spacing w:line="240" w:lineRule="auto" w:before="137" w:after="0"/>
        <w:ind w:left="837" w:right="0" w:hanging="361"/>
        <w:jc w:val="left"/>
        <w:rPr>
          <w:sz w:val="24"/>
        </w:rPr>
      </w:pPr>
      <w:r>
        <w:rPr>
          <w:sz w:val="24"/>
        </w:rPr>
        <w:t>Preparar y presentar informes sobre estadísticas de</w:t>
      </w:r>
      <w:r>
        <w:rPr>
          <w:spacing w:val="-29"/>
          <w:sz w:val="24"/>
        </w:rPr>
        <w:t> </w:t>
      </w:r>
      <w:r>
        <w:rPr>
          <w:sz w:val="24"/>
        </w:rPr>
        <w:t>visitantes.</w:t>
      </w:r>
    </w:p>
    <w:p>
      <w:pPr>
        <w:pStyle w:val="ListParagraph"/>
        <w:numPr>
          <w:ilvl w:val="0"/>
          <w:numId w:val="23"/>
        </w:numPr>
        <w:tabs>
          <w:tab w:pos="837" w:val="left" w:leader="none"/>
        </w:tabs>
        <w:spacing w:line="240" w:lineRule="auto" w:before="137" w:after="0"/>
        <w:ind w:left="837" w:right="0" w:hanging="361"/>
        <w:jc w:val="left"/>
        <w:rPr>
          <w:sz w:val="24"/>
        </w:rPr>
      </w:pPr>
      <w:r>
        <w:rPr>
          <w:sz w:val="24"/>
        </w:rPr>
        <w:t>Gestionar eventos de divulgación científica y</w:t>
      </w:r>
      <w:r>
        <w:rPr>
          <w:spacing w:val="-22"/>
          <w:sz w:val="24"/>
        </w:rPr>
        <w:t> </w:t>
      </w:r>
      <w:r>
        <w:rPr>
          <w:sz w:val="24"/>
        </w:rPr>
        <w:t>artística.</w:t>
      </w:r>
    </w:p>
    <w:p>
      <w:pPr>
        <w:pStyle w:val="ListParagraph"/>
        <w:numPr>
          <w:ilvl w:val="0"/>
          <w:numId w:val="23"/>
        </w:numPr>
        <w:tabs>
          <w:tab w:pos="837" w:val="left" w:leader="none"/>
        </w:tabs>
        <w:spacing w:line="360" w:lineRule="auto" w:before="141" w:after="0"/>
        <w:ind w:left="837" w:right="101" w:hanging="361"/>
        <w:jc w:val="left"/>
        <w:rPr>
          <w:sz w:val="24"/>
        </w:rPr>
      </w:pPr>
      <w:r>
        <w:rPr>
          <w:sz w:val="24"/>
        </w:rPr>
        <w:t>Llevar a cabo la promoción, difusión, vinculación y comunicación (interna y externa).</w:t>
      </w:r>
    </w:p>
    <w:p>
      <w:pPr>
        <w:pStyle w:val="ListParagraph"/>
        <w:numPr>
          <w:ilvl w:val="0"/>
          <w:numId w:val="23"/>
        </w:numPr>
        <w:tabs>
          <w:tab w:pos="837" w:val="left" w:leader="none"/>
        </w:tabs>
        <w:spacing w:line="240" w:lineRule="auto" w:before="2" w:after="0"/>
        <w:ind w:left="837" w:right="0" w:hanging="361"/>
        <w:jc w:val="left"/>
        <w:rPr>
          <w:sz w:val="24"/>
        </w:rPr>
      </w:pPr>
      <w:r>
        <w:rPr>
          <w:sz w:val="24"/>
        </w:rPr>
        <w:t>Coordinar y participar en la atención a grupos de</w:t>
      </w:r>
      <w:r>
        <w:rPr>
          <w:spacing w:val="-22"/>
          <w:sz w:val="24"/>
        </w:rPr>
        <w:t> </w:t>
      </w:r>
      <w:r>
        <w:rPr>
          <w:sz w:val="24"/>
        </w:rPr>
        <w:t>visitantes.</w:t>
      </w:r>
    </w:p>
    <w:p>
      <w:pPr>
        <w:pStyle w:val="ListParagraph"/>
        <w:numPr>
          <w:ilvl w:val="0"/>
          <w:numId w:val="23"/>
        </w:numPr>
        <w:tabs>
          <w:tab w:pos="837" w:val="left" w:leader="none"/>
        </w:tabs>
        <w:spacing w:line="240" w:lineRule="auto" w:before="137" w:after="0"/>
        <w:ind w:left="837" w:right="0" w:hanging="361"/>
        <w:jc w:val="left"/>
        <w:rPr>
          <w:sz w:val="24"/>
        </w:rPr>
      </w:pPr>
      <w:r>
        <w:rPr>
          <w:sz w:val="24"/>
        </w:rPr>
        <w:t>Actualizar la cartelera de eventos, servicios y</w:t>
      </w:r>
      <w:r>
        <w:rPr>
          <w:spacing w:val="-20"/>
          <w:sz w:val="24"/>
        </w:rPr>
        <w:t> </w:t>
      </w:r>
      <w:r>
        <w:rPr>
          <w:sz w:val="24"/>
        </w:rPr>
        <w:t>actividades.</w:t>
      </w:r>
    </w:p>
    <w:p>
      <w:pPr>
        <w:pStyle w:val="ListParagraph"/>
        <w:numPr>
          <w:ilvl w:val="0"/>
          <w:numId w:val="23"/>
        </w:numPr>
        <w:tabs>
          <w:tab w:pos="837" w:val="left" w:leader="none"/>
        </w:tabs>
        <w:spacing w:line="240" w:lineRule="auto" w:before="137" w:after="0"/>
        <w:ind w:left="837" w:right="0" w:hanging="361"/>
        <w:jc w:val="left"/>
        <w:rPr>
          <w:sz w:val="24"/>
        </w:rPr>
      </w:pPr>
      <w:r>
        <w:rPr>
          <w:sz w:val="24"/>
        </w:rPr>
        <w:t>Coordinar al personal</w:t>
      </w:r>
      <w:r>
        <w:rPr>
          <w:spacing w:val="-8"/>
          <w:sz w:val="24"/>
        </w:rPr>
        <w:t> </w:t>
      </w:r>
      <w:r>
        <w:rPr>
          <w:sz w:val="24"/>
        </w:rPr>
        <w:t>adscrito.</w:t>
      </w:r>
    </w:p>
    <w:p>
      <w:pPr>
        <w:pStyle w:val="ListParagraph"/>
        <w:numPr>
          <w:ilvl w:val="0"/>
          <w:numId w:val="23"/>
        </w:numPr>
        <w:tabs>
          <w:tab w:pos="837" w:val="left" w:leader="none"/>
        </w:tabs>
        <w:spacing w:line="360" w:lineRule="auto" w:before="142" w:after="0"/>
        <w:ind w:left="837" w:right="99" w:hanging="361"/>
        <w:jc w:val="left"/>
        <w:rPr>
          <w:sz w:val="24"/>
        </w:rPr>
      </w:pPr>
      <w:r>
        <w:rPr>
          <w:sz w:val="24"/>
        </w:rPr>
        <w:t>Las demás que le asignen las Autoridades superiores en el ámbito de su competencia.</w:t>
      </w:r>
    </w:p>
    <w:p>
      <w:pPr>
        <w:spacing w:after="0" w:line="360" w:lineRule="auto"/>
        <w:jc w:val="left"/>
        <w:rPr>
          <w:sz w:val="24"/>
        </w:rPr>
        <w:sectPr>
          <w:pgSz w:w="12240" w:h="15840"/>
          <w:pgMar w:header="685" w:footer="1146" w:top="880" w:bottom="1340" w:left="1300" w:right="1320"/>
        </w:sectPr>
      </w:pPr>
    </w:p>
    <w:p>
      <w:pPr>
        <w:pStyle w:val="BodyText"/>
        <w:rPr>
          <w:sz w:val="20"/>
        </w:rPr>
      </w:pPr>
    </w:p>
    <w:p>
      <w:pPr>
        <w:pStyle w:val="BodyText"/>
        <w:spacing w:before="7"/>
        <w:rPr>
          <w:sz w:val="20"/>
        </w:rPr>
      </w:pPr>
    </w:p>
    <w:p>
      <w:pPr>
        <w:pStyle w:val="Heading3"/>
        <w:spacing w:before="70"/>
        <w:rPr>
          <w:i/>
        </w:rPr>
      </w:pPr>
      <w:r>
        <w:rPr>
          <w:i/>
        </w:rPr>
        <w:t>Funciones del Área de Seguimiento de Colecciones de Plantas Vivas</w:t>
      </w:r>
    </w:p>
    <w:p>
      <w:pPr>
        <w:pStyle w:val="ListParagraph"/>
        <w:numPr>
          <w:ilvl w:val="0"/>
          <w:numId w:val="24"/>
        </w:numPr>
        <w:tabs>
          <w:tab w:pos="837" w:val="left" w:leader="none"/>
        </w:tabs>
        <w:spacing w:line="240" w:lineRule="auto" w:before="137" w:after="0"/>
        <w:ind w:left="837" w:right="0" w:hanging="361"/>
        <w:jc w:val="left"/>
        <w:rPr>
          <w:sz w:val="24"/>
        </w:rPr>
      </w:pPr>
      <w:r>
        <w:rPr>
          <w:sz w:val="24"/>
        </w:rPr>
        <w:t>Identificar, registrar y documentar las plantas en</w:t>
      </w:r>
      <w:r>
        <w:rPr>
          <w:spacing w:val="-27"/>
          <w:sz w:val="24"/>
        </w:rPr>
        <w:t> </w:t>
      </w:r>
      <w:r>
        <w:rPr>
          <w:sz w:val="24"/>
        </w:rPr>
        <w:t>cultivo.</w:t>
      </w:r>
    </w:p>
    <w:p>
      <w:pPr>
        <w:pStyle w:val="ListParagraph"/>
        <w:numPr>
          <w:ilvl w:val="0"/>
          <w:numId w:val="24"/>
        </w:numPr>
        <w:tabs>
          <w:tab w:pos="837" w:val="left" w:leader="none"/>
        </w:tabs>
        <w:spacing w:line="362" w:lineRule="auto" w:before="137" w:after="0"/>
        <w:ind w:left="837" w:right="103" w:hanging="361"/>
        <w:jc w:val="left"/>
        <w:rPr>
          <w:sz w:val="24"/>
        </w:rPr>
      </w:pPr>
      <w:r>
        <w:rPr>
          <w:sz w:val="24"/>
        </w:rPr>
        <w:t>Generar, supervisar y ejecutar procesos de control y seguimiento de las colecciones (procesos técnicos</w:t>
      </w:r>
      <w:r>
        <w:rPr>
          <w:spacing w:val="-15"/>
          <w:sz w:val="24"/>
        </w:rPr>
        <w:t> </w:t>
      </w:r>
      <w:r>
        <w:rPr>
          <w:sz w:val="24"/>
        </w:rPr>
        <w:t>curatoriales).</w:t>
      </w:r>
    </w:p>
    <w:p>
      <w:pPr>
        <w:pStyle w:val="ListParagraph"/>
        <w:numPr>
          <w:ilvl w:val="0"/>
          <w:numId w:val="24"/>
        </w:numPr>
        <w:tabs>
          <w:tab w:pos="837" w:val="left" w:leader="none"/>
        </w:tabs>
        <w:spacing w:line="240" w:lineRule="auto" w:before="0" w:after="0"/>
        <w:ind w:left="837" w:right="0" w:hanging="361"/>
        <w:jc w:val="left"/>
        <w:rPr>
          <w:sz w:val="24"/>
        </w:rPr>
      </w:pPr>
      <w:r>
        <w:rPr>
          <w:sz w:val="24"/>
        </w:rPr>
        <w:t>Operar, actualizar y dar mantenimiento a la base de</w:t>
      </w:r>
      <w:r>
        <w:rPr>
          <w:spacing w:val="-24"/>
          <w:sz w:val="24"/>
        </w:rPr>
        <w:t> </w:t>
      </w:r>
      <w:r>
        <w:rPr>
          <w:sz w:val="24"/>
        </w:rPr>
        <w:t>datos.</w:t>
      </w:r>
    </w:p>
    <w:p>
      <w:pPr>
        <w:pStyle w:val="ListParagraph"/>
        <w:numPr>
          <w:ilvl w:val="0"/>
          <w:numId w:val="24"/>
        </w:numPr>
        <w:tabs>
          <w:tab w:pos="837" w:val="left" w:leader="none"/>
        </w:tabs>
        <w:spacing w:line="240" w:lineRule="auto" w:before="137" w:after="0"/>
        <w:ind w:left="837" w:right="0" w:hanging="361"/>
        <w:jc w:val="left"/>
        <w:rPr>
          <w:sz w:val="24"/>
        </w:rPr>
      </w:pPr>
      <w:r>
        <w:rPr>
          <w:sz w:val="24"/>
        </w:rPr>
        <w:t>Llevar a cabo el mapeo de ejemplares en las áreas del Jardín</w:t>
      </w:r>
      <w:r>
        <w:rPr>
          <w:spacing w:val="-31"/>
          <w:sz w:val="24"/>
        </w:rPr>
        <w:t> </w:t>
      </w:r>
      <w:r>
        <w:rPr>
          <w:sz w:val="24"/>
        </w:rPr>
        <w:t>Botánico.</w:t>
      </w:r>
    </w:p>
    <w:p>
      <w:pPr>
        <w:pStyle w:val="ListParagraph"/>
        <w:numPr>
          <w:ilvl w:val="0"/>
          <w:numId w:val="24"/>
        </w:numPr>
        <w:tabs>
          <w:tab w:pos="837" w:val="left" w:leader="none"/>
        </w:tabs>
        <w:spacing w:line="240" w:lineRule="auto" w:before="137" w:after="0"/>
        <w:ind w:left="837" w:right="0" w:hanging="361"/>
        <w:jc w:val="left"/>
        <w:rPr>
          <w:sz w:val="24"/>
        </w:rPr>
      </w:pPr>
      <w:r>
        <w:rPr>
          <w:sz w:val="24"/>
        </w:rPr>
        <w:t>Desarrollar inventarios de las colecciones de plantas</w:t>
      </w:r>
      <w:r>
        <w:rPr>
          <w:spacing w:val="-19"/>
          <w:sz w:val="24"/>
        </w:rPr>
        <w:t> </w:t>
      </w:r>
      <w:r>
        <w:rPr>
          <w:sz w:val="24"/>
        </w:rPr>
        <w:t>vivas.</w:t>
      </w:r>
    </w:p>
    <w:p>
      <w:pPr>
        <w:pStyle w:val="ListParagraph"/>
        <w:numPr>
          <w:ilvl w:val="0"/>
          <w:numId w:val="24"/>
        </w:numPr>
        <w:tabs>
          <w:tab w:pos="837" w:val="left" w:leader="none"/>
        </w:tabs>
        <w:spacing w:line="240" w:lineRule="auto" w:before="141" w:after="0"/>
        <w:ind w:left="837" w:right="0" w:hanging="361"/>
        <w:jc w:val="left"/>
        <w:rPr>
          <w:sz w:val="24"/>
        </w:rPr>
      </w:pPr>
      <w:r>
        <w:rPr>
          <w:sz w:val="24"/>
        </w:rPr>
        <w:t>Diseñar y elaborar etiquetas para la identificación de los</w:t>
      </w:r>
      <w:r>
        <w:rPr>
          <w:spacing w:val="-27"/>
          <w:sz w:val="24"/>
        </w:rPr>
        <w:t> </w:t>
      </w:r>
      <w:r>
        <w:rPr>
          <w:sz w:val="24"/>
        </w:rPr>
        <w:t>ejemplares.</w:t>
      </w:r>
    </w:p>
    <w:p>
      <w:pPr>
        <w:pStyle w:val="ListParagraph"/>
        <w:numPr>
          <w:ilvl w:val="0"/>
          <w:numId w:val="24"/>
        </w:numPr>
        <w:tabs>
          <w:tab w:pos="837" w:val="left" w:leader="none"/>
        </w:tabs>
        <w:spacing w:line="240" w:lineRule="auto" w:before="137" w:after="0"/>
        <w:ind w:left="837" w:right="0" w:hanging="361"/>
        <w:jc w:val="left"/>
        <w:rPr>
          <w:sz w:val="24"/>
        </w:rPr>
      </w:pPr>
      <w:r>
        <w:rPr>
          <w:sz w:val="24"/>
        </w:rPr>
        <w:t>Preparar y presentar informes y estadísticas de las</w:t>
      </w:r>
      <w:r>
        <w:rPr>
          <w:spacing w:val="-28"/>
          <w:sz w:val="24"/>
        </w:rPr>
        <w:t> </w:t>
      </w:r>
      <w:r>
        <w:rPr>
          <w:sz w:val="24"/>
        </w:rPr>
        <w:t>colecciones.</w:t>
      </w:r>
    </w:p>
    <w:p>
      <w:pPr>
        <w:pStyle w:val="ListParagraph"/>
        <w:numPr>
          <w:ilvl w:val="0"/>
          <w:numId w:val="24"/>
        </w:numPr>
        <w:tabs>
          <w:tab w:pos="837" w:val="left" w:leader="none"/>
        </w:tabs>
        <w:spacing w:line="360" w:lineRule="auto" w:before="137" w:after="0"/>
        <w:ind w:left="837" w:right="105" w:hanging="361"/>
        <w:jc w:val="left"/>
        <w:rPr>
          <w:sz w:val="24"/>
        </w:rPr>
      </w:pPr>
      <w:r>
        <w:rPr>
          <w:sz w:val="24"/>
        </w:rPr>
        <w:t>Las demás que le asignen las Autoridades superiores en el ámbito de su competencia.</w:t>
      </w:r>
    </w:p>
    <w:p>
      <w:pPr>
        <w:pStyle w:val="BodyText"/>
      </w:pPr>
    </w:p>
    <w:p>
      <w:pPr>
        <w:pStyle w:val="Heading3"/>
        <w:rPr>
          <w:i/>
        </w:rPr>
      </w:pPr>
      <w:r>
        <w:rPr>
          <w:i/>
        </w:rPr>
        <w:t>Funciones del Área de Investigación Científica</w:t>
      </w:r>
    </w:p>
    <w:p>
      <w:pPr>
        <w:pStyle w:val="ListParagraph"/>
        <w:numPr>
          <w:ilvl w:val="0"/>
          <w:numId w:val="25"/>
        </w:numPr>
        <w:tabs>
          <w:tab w:pos="837" w:val="left" w:leader="none"/>
        </w:tabs>
        <w:spacing w:line="240" w:lineRule="auto" w:before="137" w:after="0"/>
        <w:ind w:left="837" w:right="0" w:hanging="361"/>
        <w:jc w:val="left"/>
        <w:rPr>
          <w:sz w:val="24"/>
        </w:rPr>
      </w:pPr>
      <w:r>
        <w:rPr>
          <w:sz w:val="24"/>
        </w:rPr>
        <w:t>Gestionar, elaborar y realizar proyectos de investigación</w:t>
      </w:r>
      <w:r>
        <w:rPr>
          <w:spacing w:val="-21"/>
          <w:sz w:val="24"/>
        </w:rPr>
        <w:t> </w:t>
      </w:r>
      <w:r>
        <w:rPr>
          <w:sz w:val="24"/>
        </w:rPr>
        <w:t>científica.</w:t>
      </w:r>
    </w:p>
    <w:p>
      <w:pPr>
        <w:pStyle w:val="ListParagraph"/>
        <w:numPr>
          <w:ilvl w:val="0"/>
          <w:numId w:val="25"/>
        </w:numPr>
        <w:tabs>
          <w:tab w:pos="837" w:val="left" w:leader="none"/>
        </w:tabs>
        <w:spacing w:line="362" w:lineRule="auto" w:before="137" w:after="0"/>
        <w:ind w:left="837" w:right="106" w:hanging="361"/>
        <w:jc w:val="left"/>
        <w:rPr>
          <w:sz w:val="24"/>
        </w:rPr>
      </w:pPr>
      <w:r>
        <w:rPr>
          <w:sz w:val="24"/>
        </w:rPr>
        <w:t>Establecer políticas, planes y programas de investigación en el campo de la flora y los</w:t>
      </w:r>
      <w:r>
        <w:rPr>
          <w:spacing w:val="-10"/>
          <w:sz w:val="24"/>
        </w:rPr>
        <w:t> </w:t>
      </w:r>
      <w:r>
        <w:rPr>
          <w:sz w:val="24"/>
        </w:rPr>
        <w:t>ecosistemas.</w:t>
      </w:r>
    </w:p>
    <w:p>
      <w:pPr>
        <w:pStyle w:val="ListParagraph"/>
        <w:numPr>
          <w:ilvl w:val="0"/>
          <w:numId w:val="25"/>
        </w:numPr>
        <w:tabs>
          <w:tab w:pos="837" w:val="left" w:leader="none"/>
        </w:tabs>
        <w:spacing w:line="240" w:lineRule="auto" w:before="0" w:after="0"/>
        <w:ind w:left="837" w:right="0" w:hanging="361"/>
        <w:jc w:val="left"/>
        <w:rPr>
          <w:sz w:val="24"/>
        </w:rPr>
      </w:pPr>
      <w:r>
        <w:rPr>
          <w:sz w:val="24"/>
        </w:rPr>
        <w:t>Preparar y presentar informes relacionados con las actividades de</w:t>
      </w:r>
      <w:r>
        <w:rPr>
          <w:spacing w:val="-29"/>
          <w:sz w:val="24"/>
        </w:rPr>
        <w:t> </w:t>
      </w:r>
      <w:r>
        <w:rPr>
          <w:sz w:val="24"/>
        </w:rPr>
        <w:t>investigación.</w:t>
      </w:r>
    </w:p>
    <w:p>
      <w:pPr>
        <w:pStyle w:val="ListParagraph"/>
        <w:numPr>
          <w:ilvl w:val="0"/>
          <w:numId w:val="25"/>
        </w:numPr>
        <w:tabs>
          <w:tab w:pos="837" w:val="left" w:leader="none"/>
        </w:tabs>
        <w:spacing w:line="360" w:lineRule="auto" w:before="137" w:after="0"/>
        <w:ind w:left="837" w:right="102" w:hanging="361"/>
        <w:jc w:val="left"/>
        <w:rPr>
          <w:sz w:val="24"/>
        </w:rPr>
      </w:pPr>
      <w:r>
        <w:rPr>
          <w:sz w:val="24"/>
        </w:rPr>
        <w:t>Coordinar la ejecución de los proyectos de investigación resultantes de  convenios de cooperación nacional e</w:t>
      </w:r>
      <w:r>
        <w:rPr>
          <w:spacing w:val="-21"/>
          <w:sz w:val="24"/>
        </w:rPr>
        <w:t> </w:t>
      </w:r>
      <w:r>
        <w:rPr>
          <w:sz w:val="24"/>
        </w:rPr>
        <w:t>internacional.</w:t>
      </w:r>
    </w:p>
    <w:p>
      <w:pPr>
        <w:pStyle w:val="ListParagraph"/>
        <w:numPr>
          <w:ilvl w:val="0"/>
          <w:numId w:val="25"/>
        </w:numPr>
        <w:tabs>
          <w:tab w:pos="837" w:val="left" w:leader="none"/>
        </w:tabs>
        <w:spacing w:line="240" w:lineRule="auto" w:before="7" w:after="0"/>
        <w:ind w:left="837" w:right="0" w:hanging="361"/>
        <w:jc w:val="left"/>
        <w:rPr>
          <w:sz w:val="24"/>
        </w:rPr>
      </w:pPr>
      <w:r>
        <w:rPr>
          <w:sz w:val="24"/>
        </w:rPr>
        <w:t>Coordinar las funciones del personal</w:t>
      </w:r>
      <w:r>
        <w:rPr>
          <w:spacing w:val="-18"/>
          <w:sz w:val="24"/>
        </w:rPr>
        <w:t> </w:t>
      </w:r>
      <w:r>
        <w:rPr>
          <w:sz w:val="24"/>
        </w:rPr>
        <w:t>adscrito.</w:t>
      </w:r>
    </w:p>
    <w:p>
      <w:pPr>
        <w:pStyle w:val="ListParagraph"/>
        <w:numPr>
          <w:ilvl w:val="0"/>
          <w:numId w:val="25"/>
        </w:numPr>
        <w:tabs>
          <w:tab w:pos="837" w:val="left" w:leader="none"/>
        </w:tabs>
        <w:spacing w:line="360" w:lineRule="auto" w:before="137" w:after="0"/>
        <w:ind w:left="837" w:right="106" w:hanging="361"/>
        <w:jc w:val="left"/>
        <w:rPr>
          <w:sz w:val="24"/>
        </w:rPr>
      </w:pPr>
      <w:r>
        <w:rPr>
          <w:sz w:val="24"/>
        </w:rPr>
        <w:t>Dirigir, coordinar y evaluar los programas de capacitación científica  que desarrolle el Jardín</w:t>
      </w:r>
      <w:r>
        <w:rPr>
          <w:spacing w:val="-7"/>
          <w:sz w:val="24"/>
        </w:rPr>
        <w:t> </w:t>
      </w:r>
      <w:r>
        <w:rPr>
          <w:sz w:val="24"/>
        </w:rPr>
        <w:t>Botánico.</w:t>
      </w:r>
    </w:p>
    <w:p>
      <w:pPr>
        <w:pStyle w:val="ListParagraph"/>
        <w:numPr>
          <w:ilvl w:val="0"/>
          <w:numId w:val="25"/>
        </w:numPr>
        <w:tabs>
          <w:tab w:pos="837" w:val="left" w:leader="none"/>
        </w:tabs>
        <w:spacing w:line="240" w:lineRule="auto" w:before="2" w:after="0"/>
        <w:ind w:left="837" w:right="0" w:hanging="361"/>
        <w:jc w:val="left"/>
        <w:rPr>
          <w:sz w:val="24"/>
        </w:rPr>
      </w:pPr>
      <w:r>
        <w:rPr>
          <w:sz w:val="24"/>
        </w:rPr>
        <w:t>Contribuir a la integración y distribución de información sobre diversidad</w:t>
      </w:r>
      <w:r>
        <w:rPr>
          <w:spacing w:val="-30"/>
          <w:sz w:val="24"/>
        </w:rPr>
        <w:t> </w:t>
      </w:r>
      <w:r>
        <w:rPr>
          <w:sz w:val="24"/>
        </w:rPr>
        <w:t>de</w:t>
      </w:r>
    </w:p>
    <w:p>
      <w:pPr>
        <w:pStyle w:val="ListParagraph"/>
        <w:numPr>
          <w:ilvl w:val="0"/>
          <w:numId w:val="25"/>
        </w:numPr>
        <w:tabs>
          <w:tab w:pos="837" w:val="left" w:leader="none"/>
        </w:tabs>
        <w:spacing w:line="240" w:lineRule="auto" w:before="141" w:after="0"/>
        <w:ind w:left="837" w:right="0" w:hanging="361"/>
        <w:jc w:val="left"/>
        <w:rPr>
          <w:sz w:val="24"/>
        </w:rPr>
      </w:pPr>
      <w:r>
        <w:rPr>
          <w:sz w:val="24"/>
        </w:rPr>
        <w:t>plantas de tal forma que sea </w:t>
      </w:r>
      <w:r>
        <w:rPr>
          <w:spacing w:val="-3"/>
          <w:sz w:val="24"/>
        </w:rPr>
        <w:t>más</w:t>
      </w:r>
      <w:r>
        <w:rPr>
          <w:spacing w:val="-6"/>
          <w:sz w:val="24"/>
        </w:rPr>
        <w:t> </w:t>
      </w:r>
      <w:r>
        <w:rPr>
          <w:sz w:val="24"/>
        </w:rPr>
        <w:t>accesible.</w:t>
      </w:r>
    </w:p>
    <w:p>
      <w:pPr>
        <w:pStyle w:val="ListParagraph"/>
        <w:numPr>
          <w:ilvl w:val="0"/>
          <w:numId w:val="25"/>
        </w:numPr>
        <w:tabs>
          <w:tab w:pos="837" w:val="left" w:leader="none"/>
        </w:tabs>
        <w:spacing w:line="360" w:lineRule="auto" w:before="137" w:after="0"/>
        <w:ind w:left="837" w:right="105" w:hanging="361"/>
        <w:jc w:val="left"/>
        <w:rPr>
          <w:sz w:val="24"/>
        </w:rPr>
      </w:pPr>
      <w:r>
        <w:rPr>
          <w:sz w:val="24"/>
        </w:rPr>
        <w:t>Las demás que le asignen las Autoridades superiores en el ámbito de su competencia.</w:t>
      </w:r>
    </w:p>
    <w:p>
      <w:pPr>
        <w:pStyle w:val="BodyText"/>
      </w:pPr>
    </w:p>
    <w:p>
      <w:pPr>
        <w:pStyle w:val="BodyText"/>
        <w:spacing w:line="360" w:lineRule="auto" w:before="139"/>
        <w:ind w:left="116" w:right="99"/>
        <w:jc w:val="both"/>
      </w:pPr>
      <w:r>
        <w:rPr/>
        <w:t>De acuerdo a los últimos datos, en México existen 60 jardines botánicos, de los que la mayor parte surgen a partir del siglo XXI, considerándose muy jóvenes en este ámbito (Lascurain </w:t>
      </w:r>
      <w:r>
        <w:rPr>
          <w:i/>
        </w:rPr>
        <w:t>et al., </w:t>
      </w:r>
      <w:r>
        <w:rPr/>
        <w:t>2006). La mayor parte de ellos pertenecen a universidades o centros de investigación y se localizan en la zona centro y sur del país, lo que les atribuye cierta</w:t>
      </w:r>
    </w:p>
    <w:p>
      <w:pPr>
        <w:spacing w:after="0" w:line="360" w:lineRule="auto"/>
        <w:jc w:val="both"/>
        <w:sectPr>
          <w:pgSz w:w="12240" w:h="15840"/>
          <w:pgMar w:header="685" w:footer="1146" w:top="880" w:bottom="1340" w:left="1300" w:right="1320"/>
        </w:sectPr>
      </w:pPr>
    </w:p>
    <w:p>
      <w:pPr>
        <w:pStyle w:val="BodyText"/>
        <w:rPr>
          <w:sz w:val="20"/>
        </w:rPr>
      </w:pPr>
    </w:p>
    <w:p>
      <w:pPr>
        <w:pStyle w:val="BodyText"/>
        <w:spacing w:before="7"/>
        <w:rPr>
          <w:sz w:val="20"/>
        </w:rPr>
      </w:pPr>
    </w:p>
    <w:p>
      <w:pPr>
        <w:pStyle w:val="BodyText"/>
        <w:spacing w:line="360" w:lineRule="auto" w:before="70"/>
        <w:ind w:left="116" w:right="111"/>
        <w:jc w:val="both"/>
      </w:pPr>
      <w:r>
        <w:rPr/>
        <w:t>estabilidad, debido a que cuentan con infraestructura e investigadores que contribuyen al funcionamiento del </w:t>
      </w:r>
      <w:r>
        <w:rPr>
          <w:spacing w:val="-2"/>
        </w:rPr>
        <w:t>mismo, </w:t>
      </w:r>
      <w:r>
        <w:rPr/>
        <w:t>como es el caso del Parque Universitario “Las  Orquídeas”, que pertenece a la Universidad Autónoma del Estado de</w:t>
      </w:r>
      <w:r>
        <w:rPr>
          <w:spacing w:val="-25"/>
        </w:rPr>
        <w:t> </w:t>
      </w:r>
      <w:r>
        <w:rPr/>
        <w:t>México.</w:t>
      </w:r>
    </w:p>
    <w:p>
      <w:pPr>
        <w:pStyle w:val="BodyText"/>
      </w:pPr>
    </w:p>
    <w:p>
      <w:pPr>
        <w:pStyle w:val="BodyText"/>
        <w:spacing w:before="144"/>
        <w:ind w:left="116"/>
        <w:jc w:val="both"/>
      </w:pPr>
      <w:r>
        <w:rPr/>
        <w:t>Por todo lo anteriormente señalado se precisa lo siguiente:</w:t>
      </w:r>
    </w:p>
    <w:p>
      <w:pPr>
        <w:pStyle w:val="BodyText"/>
      </w:pPr>
    </w:p>
    <w:p>
      <w:pPr>
        <w:pStyle w:val="BodyText"/>
        <w:spacing w:before="9"/>
        <w:rPr>
          <w:sz w:val="23"/>
        </w:rPr>
      </w:pPr>
    </w:p>
    <w:p>
      <w:pPr>
        <w:pStyle w:val="BodyText"/>
        <w:spacing w:line="362" w:lineRule="auto"/>
        <w:ind w:left="116" w:right="111"/>
        <w:jc w:val="both"/>
      </w:pPr>
      <w:r>
        <w:rPr/>
        <w:t>Los resultados obtenidos permitirán establecer un área destinada a la conservación de las especies.</w:t>
      </w:r>
    </w:p>
    <w:p>
      <w:pPr>
        <w:pStyle w:val="BodyText"/>
        <w:spacing w:before="11"/>
        <w:rPr>
          <w:sz w:val="35"/>
        </w:rPr>
      </w:pPr>
    </w:p>
    <w:p>
      <w:pPr>
        <w:pStyle w:val="BodyText"/>
        <w:spacing w:line="360" w:lineRule="auto"/>
        <w:ind w:left="116" w:right="109"/>
        <w:jc w:val="both"/>
      </w:pPr>
      <w:r>
        <w:rPr/>
        <w:t>La información sobre los usos, distribución geográfica, especies en riesgo y/o protección, tóxicas o con potencial ornamental y medicinal podrá ser utilizado en los programas de educación ambiental.</w:t>
      </w:r>
    </w:p>
    <w:p>
      <w:pPr>
        <w:pStyle w:val="BodyText"/>
      </w:pPr>
    </w:p>
    <w:p>
      <w:pPr>
        <w:pStyle w:val="BodyText"/>
        <w:spacing w:line="360" w:lineRule="auto" w:before="140"/>
        <w:ind w:left="116" w:right="110"/>
        <w:jc w:val="both"/>
      </w:pPr>
      <w:r>
        <w:rPr/>
        <w:t>Los problemas ambientales detectados, contribuirán a realizar acciones de restauracióny conservación de las Zona de Manejo Ambiental</w:t>
      </w:r>
      <w:r>
        <w:rPr>
          <w:spacing w:val="-26"/>
        </w:rPr>
        <w:t> </w:t>
      </w:r>
      <w:r>
        <w:rPr/>
        <w:t>(ZMA).</w:t>
      </w:r>
    </w:p>
    <w:p>
      <w:pPr>
        <w:pStyle w:val="BodyText"/>
      </w:pPr>
    </w:p>
    <w:p>
      <w:pPr>
        <w:pStyle w:val="BodyText"/>
        <w:spacing w:line="360" w:lineRule="auto" w:before="144"/>
        <w:ind w:left="116" w:right="110"/>
        <w:jc w:val="both"/>
      </w:pPr>
      <w:r>
        <w:rPr/>
        <w:t>La identificación de las especies por ZMA, permitirán mantener documentadas las colecciones de plantas vivas, mediante un sistema de registro y ubicación dentro del Jardín. Disponer de material útil para investigación en campos como: la sistemática, farmacología, etnobotánica, horticultura, biología de la conservación ficiología vegetal, entre otras.</w:t>
      </w:r>
    </w:p>
    <w:p>
      <w:pPr>
        <w:pStyle w:val="BodyText"/>
      </w:pPr>
    </w:p>
    <w:p>
      <w:pPr>
        <w:pStyle w:val="BodyText"/>
      </w:pPr>
    </w:p>
    <w:p>
      <w:pPr>
        <w:pStyle w:val="BodyText"/>
      </w:pPr>
    </w:p>
    <w:p>
      <w:pPr>
        <w:pStyle w:val="BodyText"/>
        <w:spacing w:before="11"/>
        <w:rPr>
          <w:sz w:val="35"/>
        </w:rPr>
      </w:pPr>
    </w:p>
    <w:p>
      <w:pPr>
        <w:pStyle w:val="Heading2"/>
        <w:numPr>
          <w:ilvl w:val="1"/>
          <w:numId w:val="16"/>
        </w:numPr>
        <w:tabs>
          <w:tab w:pos="587" w:val="left" w:leader="none"/>
        </w:tabs>
        <w:spacing w:line="240" w:lineRule="auto" w:before="0" w:after="0"/>
        <w:ind w:left="586" w:right="0" w:hanging="470"/>
        <w:jc w:val="both"/>
      </w:pPr>
      <w:r>
        <w:rPr/>
        <w:t>Artículo</w:t>
      </w:r>
      <w:r>
        <w:rPr>
          <w:spacing w:val="-8"/>
        </w:rPr>
        <w:t> </w:t>
      </w:r>
      <w:r>
        <w:rPr/>
        <w:t>Científico</w:t>
      </w:r>
    </w:p>
    <w:p>
      <w:pPr>
        <w:pStyle w:val="BodyText"/>
        <w:spacing w:before="141"/>
        <w:ind w:left="116"/>
        <w:jc w:val="both"/>
      </w:pPr>
      <w:r>
        <w:rPr/>
        <w:t>El  proyecto  de  investigación  fue  enviado  para  su  posible  publicación  a  la  Revista</w:t>
      </w:r>
    </w:p>
    <w:p>
      <w:pPr>
        <w:spacing w:before="137"/>
        <w:ind w:left="116" w:right="0" w:firstLine="0"/>
        <w:jc w:val="both"/>
        <w:rPr>
          <w:sz w:val="24"/>
        </w:rPr>
      </w:pPr>
      <w:r>
        <w:rPr>
          <w:b/>
          <w:i/>
          <w:sz w:val="24"/>
        </w:rPr>
        <w:t>POLIBOTÁNICA</w:t>
      </w:r>
      <w:r>
        <w:rPr>
          <w:sz w:val="24"/>
        </w:rPr>
        <w:t>, según consta el acuse de recibido siguiente:</w:t>
      </w:r>
    </w:p>
    <w:p>
      <w:pPr>
        <w:spacing w:after="0"/>
        <w:jc w:val="both"/>
        <w:rPr>
          <w:sz w:val="24"/>
        </w:rPr>
        <w:sectPr>
          <w:pgSz w:w="12240" w:h="15840"/>
          <w:pgMar w:header="685" w:footer="1146" w:top="880" w:bottom="1340" w:left="1300" w:right="1300"/>
        </w:sectPr>
      </w:pPr>
    </w:p>
    <w:p>
      <w:pPr>
        <w:pStyle w:val="BodyText"/>
        <w:rPr>
          <w:rFonts w:ascii="Times New Roman"/>
          <w:sz w:val="20"/>
        </w:rPr>
      </w:pPr>
    </w:p>
    <w:p>
      <w:pPr>
        <w:pStyle w:val="BodyText"/>
        <w:rPr>
          <w:rFonts w:ascii="Times New Roman"/>
          <w:sz w:val="27"/>
        </w:rPr>
      </w:pPr>
    </w:p>
    <w:p>
      <w:pPr>
        <w:pStyle w:val="BodyText"/>
        <w:ind w:left="110"/>
        <w:rPr>
          <w:rFonts w:ascii="Times New Roman"/>
          <w:sz w:val="20"/>
        </w:rPr>
      </w:pPr>
      <w:r>
        <w:rPr>
          <w:rFonts w:ascii="Times New Roman"/>
          <w:sz w:val="20"/>
        </w:rPr>
        <w:drawing>
          <wp:inline distT="0" distB="0" distL="0" distR="0">
            <wp:extent cx="5675415" cy="8058911"/>
            <wp:effectExtent l="0" t="0" r="0" b="0"/>
            <wp:docPr id="115" name="image108.jpeg" descr=""/>
            <wp:cNvGraphicFramePr>
              <a:graphicFrameLocks noChangeAspect="1"/>
            </wp:cNvGraphicFramePr>
            <a:graphic>
              <a:graphicData uri="http://schemas.openxmlformats.org/drawingml/2006/picture">
                <pic:pic>
                  <pic:nvPicPr>
                    <pic:cNvPr id="116" name="image108.jpeg"/>
                    <pic:cNvPicPr/>
                  </pic:nvPicPr>
                  <pic:blipFill>
                    <a:blip r:embed="rId169" cstate="print"/>
                    <a:stretch>
                      <a:fillRect/>
                    </a:stretch>
                  </pic:blipFill>
                  <pic:spPr>
                    <a:xfrm>
                      <a:off x="0" y="0"/>
                      <a:ext cx="5675415" cy="805891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5" w:footer="1146" w:top="880" w:bottom="1340" w:left="1540" w:right="132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25" w:right="130"/>
        <w:jc w:val="center"/>
        <w:rPr>
          <w:rFonts w:ascii="Times New Roman" w:hAnsi="Times New Roman"/>
        </w:rPr>
      </w:pPr>
      <w:r>
        <w:rPr>
          <w:rFonts w:ascii="Times New Roman" w:hAnsi="Times New Roman"/>
        </w:rPr>
        <w:t>ESTUDIO FLORÍSTICO POR ZONAS, DEL PARQUE UNIVERSITARIO “LAS ORQUÍDEAS”, TEMASCALTEPEC, ESTADO DE MÉXICO.</w:t>
      </w:r>
    </w:p>
    <w:p>
      <w:pPr>
        <w:pStyle w:val="BodyText"/>
        <w:spacing w:before="11"/>
        <w:ind w:left="112" w:right="130"/>
        <w:jc w:val="center"/>
        <w:rPr>
          <w:rFonts w:ascii="Times New Roman" w:hAnsi="Times New Roman"/>
        </w:rPr>
      </w:pPr>
      <w:r>
        <w:rPr>
          <w:rFonts w:ascii="Times New Roman" w:hAnsi="Times New Roman"/>
        </w:rPr>
        <w:t>Floristic study for areas of University Park "Las Orquídeas", Temascaltepec, State of Mexico.</w:t>
      </w:r>
    </w:p>
    <w:p>
      <w:pPr>
        <w:pStyle w:val="BodyText"/>
        <w:rPr>
          <w:rFonts w:ascii="Times New Roman"/>
        </w:rPr>
      </w:pPr>
    </w:p>
    <w:p>
      <w:pPr>
        <w:pStyle w:val="BodyText"/>
        <w:rPr>
          <w:rFonts w:ascii="Times New Roman"/>
        </w:rPr>
      </w:pPr>
    </w:p>
    <w:p>
      <w:pPr>
        <w:pStyle w:val="BodyText"/>
        <w:spacing w:before="11"/>
        <w:rPr>
          <w:rFonts w:ascii="Times New Roman"/>
          <w:sz w:val="20"/>
        </w:rPr>
      </w:pPr>
    </w:p>
    <w:p>
      <w:pPr>
        <w:pStyle w:val="BodyText"/>
        <w:spacing w:line="448" w:lineRule="auto"/>
        <w:ind w:left="1369" w:right="1370"/>
        <w:jc w:val="center"/>
        <w:rPr>
          <w:rFonts w:ascii="Times New Roman" w:hAnsi="Times New Roman"/>
          <w:sz w:val="16"/>
        </w:rPr>
      </w:pPr>
      <w:r>
        <w:rPr>
          <w:rFonts w:ascii="Times New Roman" w:hAnsi="Times New Roman"/>
        </w:rPr>
        <w:t>Cristina Berenice Monsalvo-Jiménez</w:t>
      </w:r>
      <w:r>
        <w:rPr>
          <w:rFonts w:ascii="Times New Roman" w:hAnsi="Times New Roman"/>
          <w:position w:val="11"/>
          <w:sz w:val="16"/>
        </w:rPr>
        <w:t>1</w:t>
      </w:r>
      <w:r>
        <w:rPr>
          <w:rFonts w:ascii="Times New Roman" w:hAnsi="Times New Roman"/>
        </w:rPr>
        <w:t>, Jesús Gastón Gutiérrez-Cedillo</w:t>
      </w:r>
      <w:r>
        <w:rPr>
          <w:rFonts w:ascii="Times New Roman" w:hAnsi="Times New Roman"/>
          <w:position w:val="11"/>
          <w:sz w:val="16"/>
        </w:rPr>
        <w:t>2</w:t>
      </w:r>
      <w:r>
        <w:rPr>
          <w:rFonts w:ascii="Times New Roman" w:hAnsi="Times New Roman"/>
        </w:rPr>
        <w:t>, Manuel Antonio Pérez-Chávez</w:t>
      </w:r>
      <w:r>
        <w:rPr>
          <w:rFonts w:ascii="Times New Roman" w:hAnsi="Times New Roman"/>
          <w:position w:val="11"/>
          <w:sz w:val="16"/>
        </w:rPr>
        <w:t>3 </w:t>
      </w:r>
      <w:r>
        <w:rPr>
          <w:rFonts w:ascii="Times New Roman" w:hAnsi="Times New Roman"/>
        </w:rPr>
        <w:t>y María Cristina Chávez-Mejía</w:t>
      </w:r>
      <w:r>
        <w:rPr>
          <w:rFonts w:ascii="Times New Roman" w:hAnsi="Times New Roman"/>
          <w:position w:val="11"/>
          <w:sz w:val="16"/>
        </w:rPr>
        <w:t>4</w:t>
      </w:r>
    </w:p>
    <w:p>
      <w:pPr>
        <w:pStyle w:val="BodyText"/>
        <w:rPr>
          <w:rFonts w:ascii="Times New Roman"/>
          <w:sz w:val="28"/>
        </w:rPr>
      </w:pPr>
    </w:p>
    <w:p>
      <w:pPr>
        <w:pStyle w:val="BodyText"/>
        <w:spacing w:line="460" w:lineRule="auto" w:before="206"/>
        <w:ind w:left="120" w:right="130"/>
        <w:jc w:val="center"/>
        <w:rPr>
          <w:rFonts w:ascii="Times New Roman" w:hAnsi="Times New Roman"/>
        </w:rPr>
      </w:pPr>
      <w:r>
        <w:rPr>
          <w:rFonts w:ascii="Times New Roman" w:hAnsi="Times New Roman"/>
          <w:position w:val="11"/>
          <w:sz w:val="16"/>
        </w:rPr>
        <w:t>1</w:t>
      </w:r>
      <w:r>
        <w:rPr>
          <w:rFonts w:ascii="Times New Roman" w:hAnsi="Times New Roman"/>
        </w:rPr>
        <w:t>Universidad Autónoma del Estado de México. Facultad de Química. </w:t>
      </w:r>
      <w:r>
        <w:rPr>
          <w:rFonts w:ascii="Times New Roman" w:hAnsi="Times New Roman"/>
          <w:color w:val="212121"/>
        </w:rPr>
        <w:t>Paseo Colón esquina Paseo Tollocan S/N, Toluca de Lerdo, Estado de México. </w:t>
      </w:r>
      <w:r>
        <w:rPr>
          <w:rFonts w:ascii="Times New Roman" w:hAnsi="Times New Roman"/>
          <w:position w:val="11"/>
          <w:sz w:val="16"/>
        </w:rPr>
        <w:t>2</w:t>
      </w:r>
      <w:r>
        <w:rPr>
          <w:rFonts w:ascii="Times New Roman" w:hAnsi="Times New Roman"/>
        </w:rPr>
        <w:t>Universidad Autónoma del Estado de México. Facultad de Geografía. Cerro de Coatepec, Toluca, Estado de México. </w:t>
      </w:r>
      <w:r>
        <w:rPr>
          <w:rFonts w:ascii="Times New Roman" w:hAnsi="Times New Roman"/>
          <w:position w:val="11"/>
          <w:sz w:val="16"/>
        </w:rPr>
        <w:t>3</w:t>
      </w:r>
      <w:r>
        <w:rPr>
          <w:rFonts w:ascii="Times New Roman" w:hAnsi="Times New Roman"/>
          <w:color w:val="221F1F"/>
        </w:rPr>
        <w:t>Universidad Autónoma del Estado de México. Centro Universitario Temascaltepec. </w:t>
      </w:r>
      <w:r>
        <w:rPr>
          <w:rFonts w:ascii="Times New Roman" w:hAnsi="Times New Roman"/>
          <w:color w:val="212121"/>
        </w:rPr>
        <w:t>Carretera Toluca- Tejupilco Km. 67.5, Barrio de Santiago, Temascaltepec de González, Estado de México </w:t>
      </w:r>
      <w:r>
        <w:rPr>
          <w:rFonts w:ascii="Times New Roman" w:hAnsi="Times New Roman"/>
          <w:position w:val="11"/>
          <w:sz w:val="16"/>
        </w:rPr>
        <w:t>4</w:t>
      </w:r>
      <w:r>
        <w:rPr>
          <w:rFonts w:ascii="Times New Roman" w:hAnsi="Times New Roman"/>
          <w:color w:val="221F1F"/>
        </w:rPr>
        <w:t>Universidad Autónoma del Estado de México. Instituto de Ciencias Agropecuaria y Rurales.</w:t>
      </w:r>
    </w:p>
    <w:p>
      <w:pPr>
        <w:pStyle w:val="BodyText"/>
        <w:spacing w:line="272" w:lineRule="exact"/>
        <w:ind w:left="122" w:right="130"/>
        <w:jc w:val="center"/>
        <w:rPr>
          <w:rFonts w:ascii="Times New Roman" w:hAnsi="Times New Roman"/>
        </w:rPr>
      </w:pPr>
      <w:r>
        <w:rPr>
          <w:rFonts w:ascii="Times New Roman" w:hAnsi="Times New Roman"/>
          <w:color w:val="221F1F"/>
        </w:rPr>
        <w:t>Carretera Toluca-Ixtlahuaca Km 14.5 San Cayetano, Toluca, Estado de México.</w:t>
      </w:r>
    </w:p>
    <w:p>
      <w:pPr>
        <w:pStyle w:val="BodyText"/>
        <w:rPr>
          <w:rFonts w:ascii="Times New Roman"/>
        </w:rPr>
      </w:pPr>
    </w:p>
    <w:p>
      <w:pPr>
        <w:pStyle w:val="BodyText"/>
        <w:spacing w:line="480" w:lineRule="auto"/>
        <w:ind w:left="128" w:right="130"/>
        <w:jc w:val="center"/>
        <w:rPr>
          <w:rFonts w:ascii="Times New Roman" w:hAnsi="Times New Roman"/>
        </w:rPr>
      </w:pPr>
      <w:r>
        <w:rPr>
          <w:rFonts w:ascii="Times New Roman" w:hAnsi="Times New Roman"/>
          <w:color w:val="221F1F"/>
        </w:rPr>
        <w:t>Correo electrónico: cbmj_cris@hotmail.com; jggc1321@yahoo.com.mx; maperezch@yahoo.com.mx; </w:t>
      </w:r>
      <w:hyperlink r:id="rId170">
        <w:r>
          <w:rPr>
            <w:rFonts w:ascii="Times New Roman" w:hAnsi="Times New Roman"/>
            <w:color w:val="221F1F"/>
          </w:rPr>
          <w:t>cchavezm@uaemex.mx</w:t>
        </w:r>
      </w:hyperlink>
    </w:p>
    <w:p>
      <w:pPr>
        <w:pStyle w:val="BodyText"/>
        <w:rPr>
          <w:rFonts w:ascii="Times New Roman"/>
        </w:rPr>
      </w:pPr>
    </w:p>
    <w:p>
      <w:pPr>
        <w:pStyle w:val="BodyText"/>
        <w:spacing w:before="10"/>
        <w:rPr>
          <w:rFonts w:ascii="Times New Roman"/>
        </w:rPr>
      </w:pPr>
    </w:p>
    <w:p>
      <w:pPr>
        <w:pStyle w:val="BodyText"/>
        <w:ind w:left="116"/>
        <w:jc w:val="both"/>
        <w:rPr>
          <w:rFonts w:ascii="Times New Roman"/>
        </w:rPr>
      </w:pPr>
      <w:r>
        <w:rPr>
          <w:rFonts w:ascii="Times New Roman"/>
        </w:rPr>
        <w:t>RESUMEN</w:t>
      </w:r>
    </w:p>
    <w:p>
      <w:pPr>
        <w:pStyle w:val="BodyText"/>
        <w:rPr>
          <w:rFonts w:ascii="Times New Roman"/>
        </w:rPr>
      </w:pPr>
    </w:p>
    <w:p>
      <w:pPr>
        <w:pStyle w:val="BodyText"/>
        <w:spacing w:line="480" w:lineRule="auto"/>
        <w:ind w:left="116" w:right="114"/>
        <w:jc w:val="both"/>
        <w:rPr>
          <w:rFonts w:ascii="Times New Roman" w:hAnsi="Times New Roman"/>
        </w:rPr>
      </w:pPr>
      <w:r>
        <w:rPr>
          <w:rFonts w:ascii="Times New Roman" w:hAnsi="Times New Roman"/>
        </w:rPr>
        <w:t>Los objetivos del presente trabajo fueron conocer </w:t>
      </w:r>
      <w:r>
        <w:rPr>
          <w:rFonts w:ascii="Times New Roman" w:hAnsi="Times New Roman"/>
          <w:spacing w:val="-3"/>
        </w:rPr>
        <w:t>la </w:t>
      </w:r>
      <w:r>
        <w:rPr>
          <w:rFonts w:ascii="Times New Roman" w:hAnsi="Times New Roman"/>
        </w:rPr>
        <w:t>distribución de </w:t>
      </w:r>
      <w:r>
        <w:rPr>
          <w:rFonts w:ascii="Times New Roman" w:hAnsi="Times New Roman"/>
          <w:spacing w:val="-3"/>
        </w:rPr>
        <w:t>las </w:t>
      </w:r>
      <w:r>
        <w:rPr>
          <w:rFonts w:ascii="Times New Roman" w:hAnsi="Times New Roman"/>
        </w:rPr>
        <w:t>especies de flora dentro del parque, su identificación taxonómica, usos asignados que les atribuye </w:t>
      </w:r>
      <w:r>
        <w:rPr>
          <w:rFonts w:ascii="Times New Roman" w:hAnsi="Times New Roman"/>
          <w:spacing w:val="-3"/>
        </w:rPr>
        <w:t>la </w:t>
      </w:r>
      <w:r>
        <w:rPr>
          <w:rFonts w:ascii="Times New Roman" w:hAnsi="Times New Roman"/>
        </w:rPr>
        <w:t>población, realizar el análisis de </w:t>
      </w:r>
      <w:r>
        <w:rPr>
          <w:rFonts w:ascii="Times New Roman" w:hAnsi="Times New Roman"/>
          <w:spacing w:val="-3"/>
        </w:rPr>
        <w:t>la </w:t>
      </w:r>
      <w:r>
        <w:rPr>
          <w:rFonts w:ascii="Times New Roman" w:hAnsi="Times New Roman"/>
        </w:rPr>
        <w:t>problemática y potenciales para fundamentar estrategias de conservación y educación</w:t>
      </w:r>
      <w:r>
        <w:rPr>
          <w:rFonts w:ascii="Times New Roman" w:hAnsi="Times New Roman"/>
          <w:spacing w:val="-16"/>
        </w:rPr>
        <w:t> </w:t>
      </w:r>
      <w:r>
        <w:rPr>
          <w:rFonts w:ascii="Times New Roman" w:hAnsi="Times New Roman"/>
        </w:rPr>
        <w:t>ambiental.</w:t>
      </w:r>
    </w:p>
    <w:p>
      <w:pPr>
        <w:pStyle w:val="BodyText"/>
        <w:spacing w:before="10"/>
        <w:ind w:left="111" w:right="130"/>
        <w:jc w:val="center"/>
        <w:rPr>
          <w:rFonts w:ascii="Times New Roman" w:hAnsi="Times New Roman"/>
        </w:rPr>
      </w:pPr>
      <w:r>
        <w:rPr>
          <w:rFonts w:ascii="Times New Roman" w:hAnsi="Times New Roman"/>
        </w:rPr>
        <w:t>Las Zonas de Manejo Ambiental que se identificaron son siete: Plantas medicinales y aromáticas,</w:t>
      </w:r>
    </w:p>
    <w:p>
      <w:pPr>
        <w:pStyle w:val="BodyText"/>
        <w:spacing w:before="11"/>
        <w:rPr>
          <w:rFonts w:ascii="Times New Roman"/>
          <w:sz w:val="23"/>
        </w:rPr>
      </w:pPr>
    </w:p>
    <w:p>
      <w:pPr>
        <w:pStyle w:val="BodyText"/>
        <w:ind w:left="114" w:right="130"/>
        <w:jc w:val="center"/>
        <w:rPr>
          <w:rFonts w:ascii="Times New Roman" w:hAnsi="Times New Roman"/>
        </w:rPr>
      </w:pPr>
      <w:r>
        <w:rPr>
          <w:rFonts w:ascii="Times New Roman" w:hAnsi="Times New Roman"/>
        </w:rPr>
        <w:t>Cafetal,  Hortalizas,  Frutales,  Mariposario,  Orquídeario  y  Área  Natural.  El  listado  florístico</w:t>
      </w:r>
    </w:p>
    <w:p>
      <w:pPr>
        <w:spacing w:after="0"/>
        <w:jc w:val="center"/>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17"/>
        <w:jc w:val="both"/>
        <w:rPr>
          <w:rFonts w:ascii="Times New Roman" w:hAnsi="Times New Roman"/>
        </w:rPr>
      </w:pPr>
      <w:r>
        <w:rPr>
          <w:rFonts w:ascii="Times New Roman" w:hAnsi="Times New Roman"/>
        </w:rPr>
        <w:t>comprende 83 especies, representadas en 77 géneros y 43 familias. El 60.3 % de las especies son silvestres y el 39.7 % restante, han sido introducidas en el Parque.</w:t>
      </w:r>
    </w:p>
    <w:p>
      <w:pPr>
        <w:pStyle w:val="BodyText"/>
        <w:spacing w:line="480" w:lineRule="auto" w:before="11"/>
        <w:ind w:left="116" w:right="116"/>
        <w:jc w:val="both"/>
        <w:rPr>
          <w:rFonts w:ascii="Times New Roman" w:hAnsi="Times New Roman"/>
        </w:rPr>
      </w:pPr>
      <w:r>
        <w:rPr>
          <w:rFonts w:ascii="Times New Roman" w:hAnsi="Times New Roman"/>
        </w:rPr>
        <w:t>Para el estudio etnobotánico, se realizaron entrevistas utilizando cuestionarios con preguntas de tipo abierto, a personas entre 50 y 80 años de edad, en su mayoría mujeres. Los usos asignados a las especies son: medicinal (41 sp.), alimenticio (17 sp.), ornamental (9 sp.) y leña (14 sp.). Del total de especies identificadas, 19 no presentan ningún uso, 17 especies presentan dos usos distintos.</w:t>
      </w:r>
    </w:p>
    <w:p>
      <w:pPr>
        <w:pStyle w:val="BodyText"/>
        <w:spacing w:line="480" w:lineRule="auto" w:before="11"/>
        <w:ind w:left="116" w:right="118"/>
        <w:jc w:val="both"/>
        <w:rPr>
          <w:rFonts w:ascii="Times New Roman" w:hAnsi="Times New Roman"/>
        </w:rPr>
      </w:pPr>
      <w:r>
        <w:rPr>
          <w:rFonts w:ascii="Times New Roman" w:hAnsi="Times New Roman"/>
        </w:rPr>
        <w:t>Como estrategia para la conservación y educación ambiental del parque, a partir del análisis FODA y del Enfoque del Marco Lógico (EML), se plantea una propuesta para que en dicho lugar se establezca un jardín botánico, y así contribuir con la Estrategia Global para la Conservación Vegetal y la Estrategia Mexicana para la Conservación Vegetal.</w:t>
      </w:r>
    </w:p>
    <w:p>
      <w:pPr>
        <w:pStyle w:val="BodyText"/>
        <w:spacing w:line="480" w:lineRule="auto" w:before="10"/>
        <w:ind w:left="116" w:right="117"/>
        <w:jc w:val="both"/>
        <w:rPr>
          <w:rFonts w:ascii="Times New Roman" w:hAnsi="Times New Roman"/>
        </w:rPr>
      </w:pPr>
      <w:r>
        <w:rPr>
          <w:rFonts w:ascii="Times New Roman" w:hAnsi="Times New Roman"/>
        </w:rPr>
        <w:t>La delimitación de Zonas de Manejo Ambiental, permitió ubicar las especies de flora para posteriormente ser identificadas y caracterizadas con precisión. El listado florístico consistió en recopilar información sobre la taxonomía de cada una de ellas y el estudio etnobotánico sobre el uso que se le atribuye; datos importantes para incluirlos dentro de los programas de educación ambiental, y como información fundamental en la planeación de la propuesta del establecimiento de un Jardín Botánico en este parque. El Parque y futuro Jardín Botánico constituye un valioso recurso para el desarrollo de la investigación científica en áreas como la botánica, taxonomía, hidrología y entomología, entre otras; así como para actividades de conservación, educación ambiental y divulgación.</w:t>
      </w:r>
    </w:p>
    <w:p>
      <w:pPr>
        <w:pStyle w:val="BodyText"/>
        <w:spacing w:line="480" w:lineRule="auto" w:before="10"/>
        <w:ind w:left="116" w:right="119"/>
        <w:jc w:val="both"/>
        <w:rPr>
          <w:rFonts w:ascii="Times New Roman" w:hAnsi="Times New Roman"/>
        </w:rPr>
      </w:pPr>
      <w:r>
        <w:rPr>
          <w:rFonts w:ascii="Times New Roman" w:hAnsi="Times New Roman"/>
          <w:b/>
        </w:rPr>
        <w:t>Palabras clave: </w:t>
      </w:r>
      <w:r>
        <w:rPr>
          <w:rFonts w:ascii="Times New Roman" w:hAnsi="Times New Roman"/>
        </w:rPr>
        <w:t>estrategia para la conservación, estudio florístico, estudio etnobotánico, propuesta de jardín botánico y zonas de manejo ambiental.</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before="69"/>
        <w:ind w:left="116"/>
        <w:jc w:val="both"/>
        <w:rPr>
          <w:rFonts w:ascii="Times New Roman"/>
        </w:rPr>
      </w:pPr>
      <w:r>
        <w:rPr>
          <w:rFonts w:ascii="Times New Roman"/>
        </w:rPr>
        <w:t>ABSTRACT</w:t>
      </w:r>
    </w:p>
    <w:p>
      <w:pPr>
        <w:pStyle w:val="BodyText"/>
        <w:rPr>
          <w:rFonts w:ascii="Times New Roman"/>
        </w:rPr>
      </w:pPr>
    </w:p>
    <w:p>
      <w:pPr>
        <w:pStyle w:val="BodyText"/>
        <w:spacing w:line="480" w:lineRule="auto"/>
        <w:ind w:left="116" w:right="130"/>
        <w:jc w:val="both"/>
        <w:rPr>
          <w:rFonts w:ascii="Times New Roman"/>
        </w:rPr>
      </w:pPr>
      <w:r>
        <w:rPr>
          <w:rFonts w:ascii="Times New Roman"/>
          <w:color w:val="212121"/>
        </w:rPr>
        <w:t>The objectives of this study were to determine the distribution of plant species within the park, taxonomic identification and uses assigned population attributed to them, the analysis of the problems and potential strategies to support conservation and environmental education.</w:t>
      </w:r>
    </w:p>
    <w:p>
      <w:pPr>
        <w:pStyle w:val="BodyText"/>
        <w:spacing w:line="480" w:lineRule="auto" w:before="10"/>
        <w:ind w:left="116" w:right="127"/>
        <w:jc w:val="both"/>
        <w:rPr>
          <w:rFonts w:ascii="Times New Roman"/>
        </w:rPr>
      </w:pPr>
      <w:r>
        <w:rPr>
          <w:rFonts w:ascii="Times New Roman"/>
          <w:color w:val="212121"/>
        </w:rPr>
        <w:t>Environmental Management Areas that were identified are seven: Medicinal and Aromatic Plants, Coffee, Vegetables, Fruit, Butterfly, Orchid and Natural Area. The floristic list includes 80 species, represented by 75 genera and 41 families. 46% of the species are wild and the remaining 34% have been introduced into the</w:t>
      </w:r>
      <w:r>
        <w:rPr>
          <w:rFonts w:ascii="Times New Roman"/>
          <w:color w:val="212121"/>
          <w:spacing w:val="-19"/>
        </w:rPr>
        <w:t> </w:t>
      </w:r>
      <w:r>
        <w:rPr>
          <w:rFonts w:ascii="Times New Roman"/>
          <w:color w:val="212121"/>
        </w:rPr>
        <w:t>park.</w:t>
      </w:r>
    </w:p>
    <w:p>
      <w:pPr>
        <w:pStyle w:val="BodyText"/>
        <w:spacing w:line="480" w:lineRule="auto" w:before="10"/>
        <w:ind w:left="116" w:right="121"/>
        <w:jc w:val="both"/>
        <w:rPr>
          <w:rFonts w:ascii="Times New Roman"/>
        </w:rPr>
      </w:pPr>
      <w:r>
        <w:rPr>
          <w:rFonts w:ascii="Times New Roman"/>
          <w:color w:val="212121"/>
        </w:rPr>
        <w:t>For ethno-botanical study, interviews with people between 50 and 80 years </w:t>
      </w:r>
      <w:r>
        <w:rPr>
          <w:rFonts w:ascii="Times New Roman"/>
          <w:color w:val="212121"/>
          <w:spacing w:val="4"/>
        </w:rPr>
        <w:t>of </w:t>
      </w:r>
      <w:r>
        <w:rPr>
          <w:rFonts w:ascii="Times New Roman"/>
          <w:color w:val="212121"/>
        </w:rPr>
        <w:t>age were  conducted </w:t>
      </w:r>
      <w:r>
        <w:rPr>
          <w:rFonts w:ascii="Times New Roman"/>
          <w:color w:val="212121"/>
          <w:spacing w:val="-3"/>
        </w:rPr>
        <w:t>using </w:t>
      </w:r>
      <w:r>
        <w:rPr>
          <w:rFonts w:ascii="Times New Roman"/>
          <w:color w:val="212121"/>
        </w:rPr>
        <w:t>questionnaires with open-ended questions, mostly</w:t>
      </w:r>
      <w:r>
        <w:rPr>
          <w:rFonts w:ascii="Times New Roman"/>
          <w:color w:val="212121"/>
          <w:spacing w:val="-8"/>
        </w:rPr>
        <w:t> </w:t>
      </w:r>
      <w:r>
        <w:rPr>
          <w:rFonts w:ascii="Times New Roman"/>
          <w:color w:val="212121"/>
        </w:rPr>
        <w:t>women.</w:t>
      </w:r>
    </w:p>
    <w:p>
      <w:pPr>
        <w:pStyle w:val="BodyText"/>
        <w:spacing w:line="480" w:lineRule="auto" w:before="10"/>
        <w:ind w:left="116" w:right="121"/>
        <w:jc w:val="both"/>
        <w:rPr>
          <w:rFonts w:ascii="Times New Roman"/>
        </w:rPr>
      </w:pPr>
      <w:r>
        <w:rPr>
          <w:rFonts w:ascii="Times New Roman"/>
          <w:color w:val="212121"/>
        </w:rPr>
        <w:t>As a strategy for conservation and environmental education in the park, from the SWOT analysis and the Logical Framework Approach (LFA), a proposal that arises therein a botanical garden is established, thus contributing to the Global Strategy for Plant Conservation and the Mexican Strategy for Plant conservation.</w:t>
      </w:r>
    </w:p>
    <w:p>
      <w:pPr>
        <w:pStyle w:val="BodyText"/>
        <w:spacing w:line="480" w:lineRule="auto" w:before="10"/>
        <w:ind w:left="116" w:right="115"/>
        <w:jc w:val="both"/>
        <w:rPr>
          <w:rFonts w:ascii="Times New Roman"/>
        </w:rPr>
      </w:pPr>
      <w:r>
        <w:rPr>
          <w:rFonts w:ascii="Times New Roman"/>
          <w:color w:val="212121"/>
        </w:rPr>
        <w:t>The delimitation of Environmental Management Areas, allowed locating the flora to be subsequently identified and characterized accurately. The floristic list was to gather information on the taxonomy of each and ethno-botanical study on the use that is attributed; important to include within the environmental education programs, and fundamental information on the planning of the proposed establishment of a botanical garden in this park data. The Park and future Botanic Garden is a valuable resource for the development of scientific research in areas such as botany, taxonomy, hydrology and entomology, among others; as well as for conservation, environmental education and dissemination.</w:t>
      </w:r>
    </w:p>
    <w:p>
      <w:pPr>
        <w:pStyle w:val="BodyText"/>
        <w:spacing w:before="10"/>
        <w:ind w:left="116"/>
        <w:jc w:val="both"/>
        <w:rPr>
          <w:rFonts w:ascii="Times New Roman"/>
        </w:rPr>
      </w:pPr>
      <w:r>
        <w:rPr>
          <w:rFonts w:ascii="Times New Roman"/>
          <w:b/>
          <w:color w:val="212121"/>
        </w:rPr>
        <w:t>Key  words:  </w:t>
      </w:r>
      <w:r>
        <w:rPr>
          <w:rFonts w:ascii="Times New Roman"/>
          <w:color w:val="212121"/>
        </w:rPr>
        <w:t>conservation  strategy,  floristic  study,  ethno-botanical  study,  proposed botanical</w:t>
      </w:r>
    </w:p>
    <w:p>
      <w:pPr>
        <w:pStyle w:val="BodyText"/>
        <w:spacing w:before="11"/>
        <w:rPr>
          <w:rFonts w:ascii="Times New Roman"/>
          <w:sz w:val="23"/>
        </w:rPr>
      </w:pPr>
    </w:p>
    <w:p>
      <w:pPr>
        <w:pStyle w:val="BodyText"/>
        <w:ind w:left="116"/>
        <w:jc w:val="both"/>
        <w:rPr>
          <w:rFonts w:ascii="Times New Roman"/>
        </w:rPr>
      </w:pPr>
      <w:r>
        <w:rPr>
          <w:rFonts w:ascii="Times New Roman"/>
          <w:color w:val="212121"/>
        </w:rPr>
        <w:t>garden and areas of environmental management.</w:t>
      </w:r>
    </w:p>
    <w:p>
      <w:pPr>
        <w:spacing w:after="0"/>
        <w:jc w:val="both"/>
        <w:rPr>
          <w:rFonts w:ascii="Times New Roman"/>
        </w:rPr>
        <w:sectPr>
          <w:footerReference w:type="default" r:id="rId171"/>
          <w:pgSz w:w="12240" w:h="15840"/>
          <w:pgMar w:footer="1146" w:header="685" w:top="880" w:bottom="13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p>
    <w:p>
      <w:pPr>
        <w:pStyle w:val="Heading2"/>
        <w:spacing w:before="70"/>
        <w:rPr>
          <w:rFonts w:ascii="Times New Roman" w:hAnsi="Times New Roman"/>
        </w:rPr>
      </w:pPr>
      <w:r>
        <w:rPr>
          <w:rFonts w:ascii="Times New Roman" w:hAnsi="Times New Roman"/>
          <w:color w:val="212121"/>
        </w:rPr>
        <w:t>INTRODUCCIÓN</w:t>
      </w:r>
    </w:p>
    <w:p>
      <w:pPr>
        <w:pStyle w:val="BodyText"/>
        <w:spacing w:before="7"/>
        <w:rPr>
          <w:rFonts w:ascii="Times New Roman"/>
          <w:b/>
          <w:sz w:val="23"/>
        </w:rPr>
      </w:pPr>
    </w:p>
    <w:p>
      <w:pPr>
        <w:pStyle w:val="BodyText"/>
        <w:spacing w:line="480" w:lineRule="auto"/>
        <w:ind w:left="116" w:right="107"/>
        <w:jc w:val="both"/>
        <w:rPr>
          <w:rFonts w:ascii="Times New Roman" w:hAnsi="Times New Roman"/>
        </w:rPr>
      </w:pPr>
      <w:r>
        <w:rPr>
          <w:rFonts w:ascii="Times New Roman" w:hAnsi="Times New Roman"/>
        </w:rPr>
        <w:t>Existen diferentes estimaciones sobre la cantidad de especies de plantas en México, debido, principalmente, a la falta de un inventario de todas las especies conocidas, pero también a que un número significativo de taxones aún no han sido descubiertos y descritos (Rzedowski, 1998).</w:t>
      </w:r>
    </w:p>
    <w:p>
      <w:pPr>
        <w:pStyle w:val="BodyText"/>
        <w:spacing w:line="480" w:lineRule="auto" w:before="10"/>
        <w:ind w:left="116" w:right="102"/>
        <w:jc w:val="both"/>
        <w:rPr>
          <w:rFonts w:ascii="Times New Roman" w:hAnsi="Times New Roman"/>
        </w:rPr>
      </w:pPr>
      <w:r>
        <w:rPr>
          <w:rFonts w:ascii="Times New Roman" w:hAnsi="Times New Roman"/>
        </w:rPr>
        <w:t>La propuesta de Rzedowski (1998), </w:t>
      </w:r>
      <w:r>
        <w:rPr>
          <w:rFonts w:ascii="Times New Roman" w:hAnsi="Times New Roman"/>
          <w:spacing w:val="-2"/>
        </w:rPr>
        <w:t>indica </w:t>
      </w:r>
      <w:r>
        <w:rPr>
          <w:rFonts w:ascii="Times New Roman" w:hAnsi="Times New Roman"/>
        </w:rPr>
        <w:t>que en el territorio nacional existen 220 familias, 2  410</w:t>
      </w:r>
      <w:r>
        <w:rPr>
          <w:rFonts w:ascii="Times New Roman" w:hAnsi="Times New Roman"/>
          <w:spacing w:val="35"/>
        </w:rPr>
        <w:t> </w:t>
      </w:r>
      <w:r>
        <w:rPr>
          <w:rFonts w:ascii="Times New Roman" w:hAnsi="Times New Roman"/>
        </w:rPr>
        <w:t>géneros</w:t>
      </w:r>
      <w:r>
        <w:rPr>
          <w:rFonts w:ascii="Times New Roman" w:hAnsi="Times New Roman"/>
          <w:spacing w:val="38"/>
        </w:rPr>
        <w:t> </w:t>
      </w:r>
      <w:r>
        <w:rPr>
          <w:rFonts w:ascii="Times New Roman" w:hAnsi="Times New Roman"/>
        </w:rPr>
        <w:t>y</w:t>
      </w:r>
      <w:r>
        <w:rPr>
          <w:rFonts w:ascii="Times New Roman" w:hAnsi="Times New Roman"/>
          <w:spacing w:val="26"/>
        </w:rPr>
        <w:t> </w:t>
      </w:r>
      <w:r>
        <w:rPr>
          <w:rFonts w:ascii="Times New Roman" w:hAnsi="Times New Roman"/>
        </w:rPr>
        <w:t>22</w:t>
      </w:r>
      <w:r>
        <w:rPr>
          <w:rFonts w:ascii="Times New Roman" w:hAnsi="Times New Roman"/>
          <w:spacing w:val="35"/>
        </w:rPr>
        <w:t> </w:t>
      </w:r>
      <w:r>
        <w:rPr>
          <w:rFonts w:ascii="Times New Roman" w:hAnsi="Times New Roman"/>
        </w:rPr>
        <w:t>000</w:t>
      </w:r>
      <w:r>
        <w:rPr>
          <w:rFonts w:ascii="Times New Roman" w:hAnsi="Times New Roman"/>
          <w:spacing w:val="35"/>
        </w:rPr>
        <w:t> </w:t>
      </w:r>
      <w:r>
        <w:rPr>
          <w:rFonts w:ascii="Times New Roman" w:hAnsi="Times New Roman"/>
        </w:rPr>
        <w:t>especies</w:t>
      </w:r>
      <w:r>
        <w:rPr>
          <w:rFonts w:ascii="Times New Roman" w:hAnsi="Times New Roman"/>
          <w:spacing w:val="33"/>
        </w:rPr>
        <w:t> </w:t>
      </w:r>
      <w:r>
        <w:rPr>
          <w:rFonts w:ascii="Times New Roman" w:hAnsi="Times New Roman"/>
        </w:rPr>
        <w:t>aproximadamente,</w:t>
      </w:r>
      <w:r>
        <w:rPr>
          <w:rFonts w:ascii="Times New Roman" w:hAnsi="Times New Roman"/>
          <w:spacing w:val="37"/>
        </w:rPr>
        <w:t> </w:t>
      </w:r>
      <w:r>
        <w:rPr>
          <w:rFonts w:ascii="Times New Roman" w:hAnsi="Times New Roman"/>
          <w:spacing w:val="-5"/>
        </w:rPr>
        <w:t>lo</w:t>
      </w:r>
      <w:r>
        <w:rPr>
          <w:rFonts w:ascii="Times New Roman" w:hAnsi="Times New Roman"/>
          <w:spacing w:val="40"/>
        </w:rPr>
        <w:t> </w:t>
      </w:r>
      <w:r>
        <w:rPr>
          <w:rFonts w:ascii="Times New Roman" w:hAnsi="Times New Roman"/>
        </w:rPr>
        <w:t>cual</w:t>
      </w:r>
      <w:r>
        <w:rPr>
          <w:rFonts w:ascii="Times New Roman" w:hAnsi="Times New Roman"/>
          <w:spacing w:val="26"/>
        </w:rPr>
        <w:t> </w:t>
      </w:r>
      <w:r>
        <w:rPr>
          <w:rFonts w:ascii="Times New Roman" w:hAnsi="Times New Roman"/>
        </w:rPr>
        <w:t>representa</w:t>
      </w:r>
      <w:r>
        <w:rPr>
          <w:rFonts w:ascii="Times New Roman" w:hAnsi="Times New Roman"/>
          <w:spacing w:val="34"/>
        </w:rPr>
        <w:t> </w:t>
      </w:r>
      <w:r>
        <w:rPr>
          <w:rFonts w:ascii="Times New Roman" w:hAnsi="Times New Roman"/>
        </w:rPr>
        <w:t>entre</w:t>
      </w:r>
      <w:r>
        <w:rPr>
          <w:rFonts w:ascii="Times New Roman" w:hAnsi="Times New Roman"/>
          <w:spacing w:val="34"/>
        </w:rPr>
        <w:t> </w:t>
      </w:r>
      <w:r>
        <w:rPr>
          <w:rFonts w:ascii="Times New Roman" w:hAnsi="Times New Roman"/>
        </w:rPr>
        <w:t>10</w:t>
      </w:r>
      <w:r>
        <w:rPr>
          <w:rFonts w:ascii="Times New Roman" w:hAnsi="Times New Roman"/>
          <w:spacing w:val="35"/>
        </w:rPr>
        <w:t> </w:t>
      </w:r>
      <w:r>
        <w:rPr>
          <w:rFonts w:ascii="Times New Roman" w:hAnsi="Times New Roman"/>
        </w:rPr>
        <w:t>y</w:t>
      </w:r>
      <w:r>
        <w:rPr>
          <w:rFonts w:ascii="Times New Roman" w:hAnsi="Times New Roman"/>
          <w:spacing w:val="26"/>
        </w:rPr>
        <w:t> </w:t>
      </w:r>
      <w:r>
        <w:rPr>
          <w:rFonts w:ascii="Times New Roman" w:hAnsi="Times New Roman"/>
        </w:rPr>
        <w:t>12%</w:t>
      </w:r>
      <w:r>
        <w:rPr>
          <w:rFonts w:ascii="Times New Roman" w:hAnsi="Times New Roman"/>
          <w:spacing w:val="37"/>
        </w:rPr>
        <w:t> </w:t>
      </w:r>
      <w:r>
        <w:rPr>
          <w:rFonts w:ascii="Times New Roman" w:hAnsi="Times New Roman"/>
        </w:rPr>
        <w:t>del</w:t>
      </w:r>
      <w:r>
        <w:rPr>
          <w:rFonts w:ascii="Times New Roman" w:hAnsi="Times New Roman"/>
          <w:spacing w:val="26"/>
        </w:rPr>
        <w:t> </w:t>
      </w:r>
      <w:r>
        <w:rPr>
          <w:rFonts w:ascii="Times New Roman" w:hAnsi="Times New Roman"/>
        </w:rPr>
        <w:t>total</w:t>
      </w:r>
    </w:p>
    <w:p>
      <w:pPr>
        <w:pStyle w:val="BodyText"/>
        <w:spacing w:line="480" w:lineRule="auto" w:before="11"/>
        <w:ind w:left="116" w:right="104"/>
        <w:jc w:val="both"/>
        <w:rPr>
          <w:rFonts w:ascii="Times New Roman" w:hAnsi="Times New Roman"/>
        </w:rPr>
      </w:pPr>
      <w:r>
        <w:rPr>
          <w:rFonts w:ascii="Times New Roman" w:hAnsi="Times New Roman"/>
        </w:rPr>
        <w:t>mundial (Toledo y Ordoñez, 1998). CONABIO (1998), calcula 26, 000 especies de plantas; Villaseñor (2004), </w:t>
      </w:r>
      <w:r>
        <w:rPr>
          <w:rFonts w:ascii="Times New Roman" w:hAnsi="Times New Roman"/>
          <w:spacing w:val="-3"/>
        </w:rPr>
        <w:t>estimó </w:t>
      </w:r>
      <w:r>
        <w:rPr>
          <w:rFonts w:ascii="Times New Roman" w:hAnsi="Times New Roman"/>
        </w:rPr>
        <w:t>que </w:t>
      </w:r>
      <w:r>
        <w:rPr>
          <w:rFonts w:ascii="Times New Roman" w:hAnsi="Times New Roman"/>
          <w:spacing w:val="-3"/>
        </w:rPr>
        <w:t>la </w:t>
      </w:r>
      <w:r>
        <w:rPr>
          <w:rFonts w:ascii="Times New Roman" w:hAnsi="Times New Roman"/>
        </w:rPr>
        <w:t>flora de México tiene más de 22 000 especies y de 2 663 géneros, de los cuales 218 se consideran endémicos al</w:t>
      </w:r>
      <w:r>
        <w:rPr>
          <w:rFonts w:ascii="Times New Roman" w:hAnsi="Times New Roman"/>
          <w:spacing w:val="-30"/>
        </w:rPr>
        <w:t> </w:t>
      </w:r>
      <w:r>
        <w:rPr>
          <w:rFonts w:ascii="Times New Roman" w:hAnsi="Times New Roman"/>
        </w:rPr>
        <w:t>país.</w:t>
      </w:r>
    </w:p>
    <w:p>
      <w:pPr>
        <w:pStyle w:val="BodyText"/>
        <w:rPr>
          <w:rFonts w:ascii="Times New Roman"/>
        </w:rPr>
      </w:pPr>
    </w:p>
    <w:p>
      <w:pPr>
        <w:pStyle w:val="BodyText"/>
        <w:spacing w:before="10"/>
        <w:rPr>
          <w:rFonts w:ascii="Times New Roman"/>
        </w:rPr>
      </w:pPr>
    </w:p>
    <w:p>
      <w:pPr>
        <w:pStyle w:val="BodyText"/>
        <w:spacing w:line="480" w:lineRule="auto"/>
        <w:ind w:left="116" w:right="100"/>
        <w:jc w:val="both"/>
        <w:rPr>
          <w:rFonts w:ascii="Times New Roman" w:hAnsi="Times New Roman"/>
        </w:rPr>
      </w:pPr>
      <w:r>
        <w:rPr>
          <w:rFonts w:ascii="Times New Roman" w:hAnsi="Times New Roman"/>
        </w:rPr>
        <w:t>México es considerado como uno de los países megadiversos (Villaseñor, 2003; Marinelli, 2006). La gran diversidad florística que existe en México se debe a la amplia variedad de condiciones fisiográficas y climáticas (Rzedowski, 1988). A nivel internacional, México está entre los cinco países con mayor número de especies de plantas vasculares (Llorente y Ocegueda, 2008).</w:t>
      </w:r>
    </w:p>
    <w:p>
      <w:pPr>
        <w:pStyle w:val="BodyText"/>
        <w:rPr>
          <w:rFonts w:ascii="Times New Roman"/>
        </w:rPr>
      </w:pPr>
    </w:p>
    <w:p>
      <w:pPr>
        <w:pStyle w:val="BodyText"/>
        <w:spacing w:before="10"/>
        <w:rPr>
          <w:rFonts w:ascii="Times New Roman"/>
        </w:rPr>
      </w:pPr>
    </w:p>
    <w:p>
      <w:pPr>
        <w:pStyle w:val="BodyText"/>
        <w:spacing w:line="480" w:lineRule="auto" w:before="1"/>
        <w:ind w:left="116" w:right="105"/>
        <w:jc w:val="both"/>
        <w:rPr>
          <w:rFonts w:ascii="Times New Roman" w:hAnsi="Times New Roman"/>
        </w:rPr>
      </w:pPr>
      <w:r>
        <w:rPr>
          <w:rFonts w:ascii="Times New Roman" w:hAnsi="Times New Roman"/>
        </w:rPr>
        <w:t>Por todo lo anterior, es necesario realizar acciones educativas que contribuya a una conciencia pública sobre la importancia de la diversidad vegetal, así como de su conservación y aprovechamiento sostenible, para evitar que se pierdan especies de flora, que aún falta por conocer (Toledo, 1994). Además de continuar realizando trabajos que coadyuven a generar conocimiento sobre el número y ubicación geográfica de las especies de flora.</w:t>
      </w:r>
    </w:p>
    <w:p>
      <w:pPr>
        <w:pStyle w:val="BodyText"/>
        <w:spacing w:before="1"/>
        <w:rPr>
          <w:rFonts w:ascii="Times New Roman"/>
          <w:sz w:val="25"/>
        </w:rPr>
      </w:pPr>
    </w:p>
    <w:p>
      <w:pPr>
        <w:pStyle w:val="BodyText"/>
        <w:spacing w:line="550" w:lineRule="atLeast"/>
        <w:ind w:left="116" w:right="111"/>
        <w:jc w:val="both"/>
        <w:rPr>
          <w:rFonts w:ascii="Times New Roman" w:hAnsi="Times New Roman"/>
        </w:rPr>
      </w:pPr>
      <w:r>
        <w:rPr>
          <w:rFonts w:ascii="Times New Roman" w:hAnsi="Times New Roman"/>
        </w:rPr>
        <w:t>A nivel internacional se estableció el convenio sobre la diversidad biológica (CDB), el cual fue firmado en 1992, en el marco de la Cumbre de la Tierra de Río de Janeiro, Brasil. El CDB tiene</w:t>
      </w:r>
    </w:p>
    <w:p>
      <w:pPr>
        <w:spacing w:after="0" w:line="550" w:lineRule="atLeast"/>
        <w:jc w:val="both"/>
        <w:rPr>
          <w:rFonts w:ascii="Times New Roman" w:hAnsi="Times New Roman"/>
        </w:rPr>
        <w:sectPr>
          <w:footerReference w:type="default" r:id="rId172"/>
          <w:pgSz w:w="12240" w:h="15840"/>
          <w:pgMar w:footer="1146" w:header="685" w:top="880" w:bottom="1340" w:left="1300" w:right="1320"/>
          <w:pgNumType w:start="131"/>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19"/>
        <w:jc w:val="both"/>
        <w:rPr>
          <w:rFonts w:ascii="Times New Roman" w:hAnsi="Times New Roman"/>
        </w:rPr>
      </w:pPr>
      <w:r>
        <w:rPr>
          <w:rFonts w:ascii="Times New Roman" w:hAnsi="Times New Roman"/>
        </w:rPr>
        <w:t>tres objetivos principales: 1) Conservar la biodiversidad, 2) Hacer un uso sostenible de los componentes de la diversidad biológica, y 3) Propiciar la participación justa y equitativa en los beneficios derivados del uso de los recursos genéticos (CONABIO, CONANP y SEMARNAT, 2008). México firmó el CDB en 1992, y lo ratificó en 1993, por lo que adquirió estos compromisos.</w:t>
      </w:r>
    </w:p>
    <w:p>
      <w:pPr>
        <w:pStyle w:val="BodyText"/>
        <w:rPr>
          <w:rFonts w:ascii="Times New Roman"/>
        </w:rPr>
      </w:pPr>
    </w:p>
    <w:p>
      <w:pPr>
        <w:pStyle w:val="BodyText"/>
        <w:spacing w:before="10"/>
        <w:rPr>
          <w:rFonts w:ascii="Times New Roman"/>
        </w:rPr>
      </w:pPr>
    </w:p>
    <w:p>
      <w:pPr>
        <w:pStyle w:val="BodyText"/>
        <w:spacing w:line="480" w:lineRule="auto"/>
        <w:ind w:left="116" w:right="116"/>
        <w:jc w:val="both"/>
        <w:rPr>
          <w:rFonts w:ascii="Times New Roman" w:hAnsi="Times New Roman"/>
        </w:rPr>
      </w:pPr>
      <w:r>
        <w:rPr>
          <w:rFonts w:ascii="Times New Roman" w:hAnsi="Times New Roman"/>
        </w:rPr>
        <w:t>En este </w:t>
      </w:r>
      <w:r>
        <w:rPr>
          <w:rFonts w:ascii="Times New Roman" w:hAnsi="Times New Roman"/>
          <w:spacing w:val="-3"/>
        </w:rPr>
        <w:t>marco </w:t>
      </w:r>
      <w:r>
        <w:rPr>
          <w:rFonts w:ascii="Times New Roman" w:hAnsi="Times New Roman"/>
        </w:rPr>
        <w:t>y en respuesta, México, </w:t>
      </w:r>
      <w:r>
        <w:rPr>
          <w:rFonts w:ascii="Times New Roman" w:hAnsi="Times New Roman"/>
          <w:spacing w:val="-4"/>
        </w:rPr>
        <w:t>inició </w:t>
      </w:r>
      <w:r>
        <w:rPr>
          <w:rFonts w:ascii="Times New Roman" w:hAnsi="Times New Roman"/>
        </w:rPr>
        <w:t>los trabajos de coordinación de </w:t>
      </w:r>
      <w:r>
        <w:rPr>
          <w:rFonts w:ascii="Times New Roman" w:hAnsi="Times New Roman"/>
          <w:spacing w:val="-3"/>
        </w:rPr>
        <w:t>la </w:t>
      </w:r>
      <w:r>
        <w:rPr>
          <w:rFonts w:ascii="Times New Roman" w:hAnsi="Times New Roman"/>
        </w:rPr>
        <w:t>Estrategia Mexicana para </w:t>
      </w:r>
      <w:r>
        <w:rPr>
          <w:rFonts w:ascii="Times New Roman" w:hAnsi="Times New Roman"/>
          <w:spacing w:val="-3"/>
        </w:rPr>
        <w:t>la </w:t>
      </w:r>
      <w:r>
        <w:rPr>
          <w:rFonts w:ascii="Times New Roman" w:hAnsi="Times New Roman"/>
        </w:rPr>
        <w:t>Conservación Vegetal (EMCV). Dicha estrategia consiste en 5 objetivos y 22 metas (CONABIO, CONANP y SEMARNAT, 2008). La presente investigación contribuye con el objetivo 2 “Conservar </w:t>
      </w:r>
      <w:r>
        <w:rPr>
          <w:rFonts w:ascii="Times New Roman" w:hAnsi="Times New Roman"/>
          <w:spacing w:val="-3"/>
        </w:rPr>
        <w:t>la </w:t>
      </w:r>
      <w:r>
        <w:rPr>
          <w:rFonts w:ascii="Times New Roman" w:hAnsi="Times New Roman"/>
        </w:rPr>
        <w:t>diversidad vegetal”, determinando </w:t>
      </w:r>
      <w:r>
        <w:rPr>
          <w:rFonts w:ascii="Times New Roman" w:hAnsi="Times New Roman"/>
          <w:spacing w:val="-3"/>
        </w:rPr>
        <w:t>las </w:t>
      </w:r>
      <w:r>
        <w:rPr>
          <w:rFonts w:ascii="Times New Roman" w:hAnsi="Times New Roman"/>
        </w:rPr>
        <w:t>especies importantes en </w:t>
      </w:r>
      <w:r>
        <w:rPr>
          <w:rFonts w:ascii="Times New Roman" w:hAnsi="Times New Roman"/>
          <w:spacing w:val="4"/>
        </w:rPr>
        <w:t>el </w:t>
      </w:r>
      <w:r>
        <w:rPr>
          <w:rFonts w:ascii="Times New Roman" w:hAnsi="Times New Roman"/>
        </w:rPr>
        <w:t>parque y fomentar su reproducción y conservación; objetivo 4 “Promover </w:t>
      </w:r>
      <w:r>
        <w:rPr>
          <w:rFonts w:ascii="Times New Roman" w:hAnsi="Times New Roman"/>
          <w:spacing w:val="-3"/>
        </w:rPr>
        <w:t>la </w:t>
      </w:r>
      <w:r>
        <w:rPr>
          <w:rFonts w:ascii="Times New Roman" w:hAnsi="Times New Roman"/>
        </w:rPr>
        <w:t>educación y concientización acerca de </w:t>
      </w:r>
      <w:r>
        <w:rPr>
          <w:rFonts w:ascii="Times New Roman" w:hAnsi="Times New Roman"/>
          <w:spacing w:val="-3"/>
        </w:rPr>
        <w:t>la </w:t>
      </w:r>
      <w:r>
        <w:rPr>
          <w:rFonts w:ascii="Times New Roman" w:hAnsi="Times New Roman"/>
        </w:rPr>
        <w:t>diversidad vegetal”, a través de </w:t>
      </w:r>
      <w:r>
        <w:rPr>
          <w:rFonts w:ascii="Times New Roman" w:hAnsi="Times New Roman"/>
          <w:spacing w:val="-3"/>
        </w:rPr>
        <w:t>la </w:t>
      </w:r>
      <w:r>
        <w:rPr>
          <w:rFonts w:ascii="Times New Roman" w:hAnsi="Times New Roman"/>
        </w:rPr>
        <w:t>propuesta del diseño del Jardín Botánico Regional. </w:t>
      </w:r>
      <w:r>
        <w:rPr>
          <w:rFonts w:ascii="Times New Roman" w:hAnsi="Times New Roman"/>
          <w:spacing w:val="3"/>
        </w:rPr>
        <w:t>El </w:t>
      </w:r>
      <w:r>
        <w:rPr>
          <w:rFonts w:ascii="Times New Roman" w:hAnsi="Times New Roman"/>
        </w:rPr>
        <w:t>presente trabajo tiene gran importancia debido a que permite detectar elementos que son relevantes para </w:t>
      </w:r>
      <w:r>
        <w:rPr>
          <w:rFonts w:ascii="Times New Roman" w:hAnsi="Times New Roman"/>
          <w:spacing w:val="-5"/>
        </w:rPr>
        <w:t>la </w:t>
      </w:r>
      <w:r>
        <w:rPr>
          <w:rFonts w:ascii="Times New Roman" w:hAnsi="Times New Roman"/>
        </w:rPr>
        <w:t>conservación tales como especies que están en peligro de extinción </w:t>
      </w:r>
      <w:r>
        <w:rPr>
          <w:rFonts w:ascii="Times New Roman" w:hAnsi="Times New Roman"/>
          <w:spacing w:val="-3"/>
        </w:rPr>
        <w:t>ya </w:t>
      </w:r>
      <w:r>
        <w:rPr>
          <w:rFonts w:ascii="Times New Roman" w:hAnsi="Times New Roman"/>
        </w:rPr>
        <w:t>sea por normas federales o internacionales; especies endémicas, de distribución restringida o</w:t>
      </w:r>
      <w:r>
        <w:rPr>
          <w:rFonts w:ascii="Times New Roman" w:hAnsi="Times New Roman"/>
          <w:spacing w:val="-5"/>
        </w:rPr>
        <w:t> </w:t>
      </w:r>
      <w:r>
        <w:rPr>
          <w:rFonts w:ascii="Times New Roman" w:hAnsi="Times New Roman"/>
        </w:rPr>
        <w:t>rara.</w:t>
      </w:r>
    </w:p>
    <w:p>
      <w:pPr>
        <w:pStyle w:val="BodyText"/>
        <w:rPr>
          <w:rFonts w:ascii="Times New Roman"/>
        </w:rPr>
      </w:pPr>
    </w:p>
    <w:p>
      <w:pPr>
        <w:pStyle w:val="BodyText"/>
        <w:spacing w:before="3"/>
        <w:rPr>
          <w:rFonts w:ascii="Times New Roman"/>
          <w:sz w:val="25"/>
        </w:rPr>
      </w:pPr>
    </w:p>
    <w:p>
      <w:pPr>
        <w:pStyle w:val="Heading2"/>
        <w:rPr>
          <w:rFonts w:ascii="Times New Roman" w:hAnsi="Times New Roman"/>
        </w:rPr>
      </w:pPr>
      <w:r>
        <w:rPr>
          <w:rFonts w:ascii="Times New Roman" w:hAnsi="Times New Roman"/>
          <w:color w:val="212121"/>
        </w:rPr>
        <w:t>ÁREA DE ESTUDIO</w:t>
      </w:r>
    </w:p>
    <w:p>
      <w:pPr>
        <w:pStyle w:val="BodyText"/>
        <w:spacing w:before="7"/>
        <w:rPr>
          <w:rFonts w:ascii="Times New Roman"/>
          <w:b/>
          <w:sz w:val="23"/>
        </w:rPr>
      </w:pPr>
    </w:p>
    <w:p>
      <w:pPr>
        <w:pStyle w:val="BodyText"/>
        <w:spacing w:line="472" w:lineRule="auto"/>
        <w:ind w:left="116" w:right="120"/>
        <w:jc w:val="both"/>
        <w:rPr>
          <w:rFonts w:ascii="Times New Roman" w:hAnsi="Times New Roman"/>
        </w:rPr>
      </w:pPr>
      <w:r>
        <w:rPr>
          <w:rFonts w:ascii="Times New Roman" w:hAnsi="Times New Roman"/>
        </w:rPr>
        <w:t>El Parque Universitario “Las Orquídeas” pertenece al Centro Universitario Temascaltepec, de la Universidad Autónoma del Estado de México, localizado en el Barrio de Santiago, municipio de Temascaltepec de González. Este municipio se ubica al suroeste del Estado de México, posee una extensión de 547.5 km</w:t>
      </w:r>
      <w:r>
        <w:rPr>
          <w:rFonts w:ascii="Times New Roman" w:hAnsi="Times New Roman"/>
          <w:position w:val="11"/>
          <w:sz w:val="16"/>
        </w:rPr>
        <w:t>2</w:t>
      </w:r>
      <w:r>
        <w:rPr>
          <w:rFonts w:ascii="Times New Roman" w:hAnsi="Times New Roman"/>
        </w:rPr>
        <w:t>, cantidad que representa el 2.43% del total de la superficie del estado y sus límites son: al noreste con Zinacantepec, al norte con Valle de Bravo y Amanalco de Becerra;</w:t>
      </w:r>
    </w:p>
    <w:p>
      <w:pPr>
        <w:pStyle w:val="BodyText"/>
        <w:spacing w:before="18"/>
        <w:ind w:left="116"/>
        <w:jc w:val="both"/>
        <w:rPr>
          <w:rFonts w:ascii="Times New Roman" w:hAnsi="Times New Roman"/>
        </w:rPr>
      </w:pPr>
      <w:r>
        <w:rPr>
          <w:rFonts w:ascii="Times New Roman" w:hAnsi="Times New Roman"/>
        </w:rPr>
        <w:t>al oeste  con  Zacazonapan,  al  sur  con  San  Simón  de  Guerrero  y Texcaltitlán;  al  sureste con</w:t>
      </w:r>
    </w:p>
    <w:p>
      <w:pPr>
        <w:spacing w:after="0"/>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09"/>
        <w:jc w:val="both"/>
        <w:rPr>
          <w:rFonts w:ascii="Times New Roman"/>
        </w:rPr>
      </w:pPr>
      <w:r>
        <w:rPr>
          <w:rFonts w:ascii="Times New Roman"/>
        </w:rPr>
        <w:t>Coatepec Harinas, y al suroeste Tejupilco (Mapa 1) (Borboa, 1999; IGECEM, 2011 y SEDESOL, 2012).</w:t>
      </w:r>
    </w:p>
    <w:p>
      <w:pPr>
        <w:pStyle w:val="BodyText"/>
        <w:rPr>
          <w:rFonts w:ascii="Times New Roman"/>
        </w:rPr>
      </w:pPr>
    </w:p>
    <w:p>
      <w:pPr>
        <w:pStyle w:val="BodyText"/>
        <w:spacing w:before="10"/>
        <w:rPr>
          <w:rFonts w:ascii="Times New Roman"/>
        </w:rPr>
      </w:pPr>
    </w:p>
    <w:p>
      <w:pPr>
        <w:pStyle w:val="BodyText"/>
        <w:spacing w:line="480" w:lineRule="auto" w:before="1"/>
        <w:ind w:left="116" w:right="101"/>
        <w:jc w:val="both"/>
        <w:rPr>
          <w:rFonts w:ascii="Times New Roman" w:hAnsi="Times New Roman"/>
        </w:rPr>
      </w:pPr>
      <w:r>
        <w:rPr>
          <w:rFonts w:ascii="Times New Roman" w:hAnsi="Times New Roman"/>
        </w:rPr>
        <w:t>El Parque se ubica en las coordenadas geográficas 19° 2' 41.54" de latitud norte y 100° 3' 16.97" de longitud oeste. Presenta una topografía de sierra alta compleja con cañadas de diversas altitudes, </w:t>
      </w:r>
      <w:r>
        <w:rPr>
          <w:rFonts w:ascii="Times New Roman" w:hAnsi="Times New Roman"/>
          <w:spacing w:val="-5"/>
        </w:rPr>
        <w:t>la </w:t>
      </w:r>
      <w:r>
        <w:rPr>
          <w:rFonts w:ascii="Times New Roman" w:hAnsi="Times New Roman"/>
        </w:rPr>
        <w:t>mínima se localiza en </w:t>
      </w:r>
      <w:r>
        <w:rPr>
          <w:rFonts w:ascii="Times New Roman" w:hAnsi="Times New Roman"/>
          <w:spacing w:val="-3"/>
        </w:rPr>
        <w:t>la </w:t>
      </w:r>
      <w:r>
        <w:rPr>
          <w:rFonts w:ascii="Times New Roman" w:hAnsi="Times New Roman"/>
        </w:rPr>
        <w:t>ribera </w:t>
      </w:r>
      <w:r>
        <w:rPr>
          <w:rFonts w:ascii="Times New Roman" w:hAnsi="Times New Roman"/>
          <w:spacing w:val="2"/>
        </w:rPr>
        <w:t>del </w:t>
      </w:r>
      <w:r>
        <w:rPr>
          <w:rFonts w:ascii="Times New Roman" w:hAnsi="Times New Roman"/>
          <w:spacing w:val="-3"/>
        </w:rPr>
        <w:t>Río </w:t>
      </w:r>
      <w:r>
        <w:rPr>
          <w:rFonts w:ascii="Times New Roman" w:hAnsi="Times New Roman"/>
        </w:rPr>
        <w:t>Temascaltepec donde se registran 1 600 msnm. La máxima altitud se registra en </w:t>
      </w:r>
      <w:r>
        <w:rPr>
          <w:rFonts w:ascii="Times New Roman" w:hAnsi="Times New Roman"/>
          <w:spacing w:val="-3"/>
        </w:rPr>
        <w:t>la </w:t>
      </w:r>
      <w:r>
        <w:rPr>
          <w:rFonts w:ascii="Times New Roman" w:hAnsi="Times New Roman"/>
        </w:rPr>
        <w:t>porción noreste del parque con 1 740 </w:t>
      </w:r>
      <w:r>
        <w:rPr>
          <w:rFonts w:ascii="Times New Roman" w:hAnsi="Times New Roman"/>
          <w:spacing w:val="-3"/>
        </w:rPr>
        <w:t>msnm. </w:t>
      </w:r>
      <w:r>
        <w:rPr>
          <w:rFonts w:ascii="Times New Roman" w:hAnsi="Times New Roman"/>
        </w:rPr>
        <w:t>Debido a su ubicación geográfica y a su topografía, el parque </w:t>
      </w:r>
      <w:r>
        <w:rPr>
          <w:rFonts w:ascii="Times New Roman" w:hAnsi="Times New Roman"/>
          <w:spacing w:val="-3"/>
        </w:rPr>
        <w:t>forma </w:t>
      </w:r>
      <w:r>
        <w:rPr>
          <w:rFonts w:ascii="Times New Roman" w:hAnsi="Times New Roman"/>
        </w:rPr>
        <w:t>parte de </w:t>
      </w:r>
      <w:r>
        <w:rPr>
          <w:rFonts w:ascii="Times New Roman" w:hAnsi="Times New Roman"/>
          <w:spacing w:val="-5"/>
        </w:rPr>
        <w:t>la </w:t>
      </w:r>
      <w:r>
        <w:rPr>
          <w:rFonts w:ascii="Times New Roman" w:hAnsi="Times New Roman"/>
        </w:rPr>
        <w:t>Provincia Sierra Madre </w:t>
      </w:r>
      <w:r>
        <w:rPr>
          <w:rFonts w:ascii="Times New Roman" w:hAnsi="Times New Roman"/>
          <w:spacing w:val="2"/>
        </w:rPr>
        <w:t>del </w:t>
      </w:r>
      <w:r>
        <w:rPr>
          <w:rFonts w:ascii="Times New Roman" w:hAnsi="Times New Roman"/>
        </w:rPr>
        <w:t>Sur y de </w:t>
      </w:r>
      <w:r>
        <w:rPr>
          <w:rFonts w:ascii="Times New Roman" w:hAnsi="Times New Roman"/>
          <w:spacing w:val="-3"/>
        </w:rPr>
        <w:t>la </w:t>
      </w:r>
      <w:r>
        <w:rPr>
          <w:rFonts w:ascii="Times New Roman" w:hAnsi="Times New Roman"/>
        </w:rPr>
        <w:t>Subprovincia Depresión </w:t>
      </w:r>
      <w:r>
        <w:rPr>
          <w:rFonts w:ascii="Times New Roman" w:hAnsi="Times New Roman"/>
          <w:spacing w:val="2"/>
        </w:rPr>
        <w:t>del </w:t>
      </w:r>
      <w:r>
        <w:rPr>
          <w:rFonts w:ascii="Times New Roman" w:hAnsi="Times New Roman"/>
        </w:rPr>
        <w:t>Balsas. Presenta una composición geológica del suelo de origen volcánico (las pizarras arcillosas) e ígneas (granito, rhyolita, andesita, basalto y tobas volcánicas) (Borboa,</w:t>
      </w:r>
      <w:r>
        <w:rPr>
          <w:rFonts w:ascii="Times New Roman" w:hAnsi="Times New Roman"/>
          <w:spacing w:val="-11"/>
        </w:rPr>
        <w:t> </w:t>
      </w:r>
      <w:r>
        <w:rPr>
          <w:rFonts w:ascii="Times New Roman" w:hAnsi="Times New Roman"/>
        </w:rPr>
        <w:t>1999).</w:t>
      </w:r>
    </w:p>
    <w:p>
      <w:pPr>
        <w:pStyle w:val="BodyText"/>
        <w:rPr>
          <w:rFonts w:ascii="Times New Roman"/>
        </w:rPr>
      </w:pPr>
    </w:p>
    <w:p>
      <w:pPr>
        <w:pStyle w:val="BodyText"/>
        <w:spacing w:before="10"/>
        <w:rPr>
          <w:rFonts w:ascii="Times New Roman"/>
        </w:rPr>
      </w:pPr>
    </w:p>
    <w:p>
      <w:pPr>
        <w:pStyle w:val="BodyText"/>
        <w:spacing w:line="480" w:lineRule="auto"/>
        <w:ind w:left="116" w:right="100"/>
        <w:jc w:val="both"/>
        <w:rPr>
          <w:rFonts w:ascii="Times New Roman" w:hAnsi="Times New Roman"/>
        </w:rPr>
      </w:pPr>
      <w:r>
        <w:rPr>
          <w:rFonts w:ascii="Times New Roman" w:hAnsi="Times New Roman"/>
        </w:rPr>
        <w:t>La diversidad de estos materiales ha permitido el desarrollo edáfico de andosoles, leptosoles y luvisoles. El clima predominante es templado subhúmedo con lluvias en verano C(w)Z(w). La temperatura media anual varía entre 18 y 22 ºC. La máxima se registra entre los meses de abril y mayo (26 ºC); la mínima en diciembre y enero (17 ºC) La precipitación pluvial media anual varía entre 800 y 1 600 mm. Los meses más lluviosos son agosto y septiembre (Borboa, 1999).</w:t>
      </w:r>
    </w:p>
    <w:p>
      <w:pPr>
        <w:pStyle w:val="BodyText"/>
        <w:rPr>
          <w:rFonts w:ascii="Times New Roman"/>
        </w:rPr>
      </w:pPr>
    </w:p>
    <w:p>
      <w:pPr>
        <w:pStyle w:val="BodyText"/>
        <w:spacing w:before="10"/>
        <w:rPr>
          <w:rFonts w:ascii="Times New Roman"/>
        </w:rPr>
      </w:pPr>
    </w:p>
    <w:p>
      <w:pPr>
        <w:pStyle w:val="BodyText"/>
        <w:spacing w:line="480" w:lineRule="auto"/>
        <w:ind w:left="116" w:right="105"/>
        <w:jc w:val="both"/>
        <w:rPr>
          <w:rFonts w:ascii="Times New Roman" w:hAnsi="Times New Roman"/>
        </w:rPr>
      </w:pPr>
      <w:r>
        <w:rPr>
          <w:rFonts w:ascii="Times New Roman" w:hAnsi="Times New Roman"/>
        </w:rPr>
        <w:t>De acuerdo con el último Censo de Población y vivienda 2010, el municipio de Temascaltepec cuenta con 32 870 habitantes (INEGI, 2010; IGECEM, 2011). Las delegaciones con mayor número de habitantes que hablan alguna lengua indígena y además español son: Potrero de San José (365 Hab.), San Francisco Oxtotilpan (694 Hab.), San Mateo Almomoloa (309 Hab.) y San Miguel Oxtotilpan (161 Hab.) (INEGI, 2010).</w:t>
      </w:r>
    </w:p>
    <w:p>
      <w:pPr>
        <w:spacing w:after="0" w:line="480" w:lineRule="auto"/>
        <w:jc w:val="both"/>
        <w:rPr>
          <w:rFonts w:ascii="Times New Roman" w:hAnsi="Times New Roman"/>
        </w:rPr>
        <w:sectPr>
          <w:pgSz w:w="12240" w:h="15840"/>
          <w:pgMar w:header="685" w:footer="1146" w:top="880" w:bottom="1340" w:left="130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p>
      <w:pPr>
        <w:pStyle w:val="BodyText"/>
        <w:spacing w:line="480" w:lineRule="auto" w:before="69"/>
        <w:ind w:left="2325" w:right="78" w:hanging="2142"/>
        <w:rPr>
          <w:rFonts w:ascii="Times New Roman" w:hAnsi="Times New Roman"/>
        </w:rPr>
      </w:pPr>
      <w:r>
        <w:rPr>
          <w:rFonts w:ascii="Times New Roman" w:hAnsi="Times New Roman"/>
          <w:b/>
          <w:color w:val="212121"/>
        </w:rPr>
        <w:t>Mapa 1. </w:t>
      </w:r>
      <w:r>
        <w:rPr>
          <w:rFonts w:ascii="Times New Roman" w:hAnsi="Times New Roman"/>
          <w:color w:val="212121"/>
        </w:rPr>
        <w:t>Ubicación geográfica del municipio de Temascaltepec, Estado de México (Elaboración propia a partir de información vectorial del INEGI).</w:t>
      </w:r>
    </w:p>
    <w:p>
      <w:pPr>
        <w:pStyle w:val="BodyText"/>
        <w:rPr>
          <w:rFonts w:ascii="Times New Roman"/>
        </w:rPr>
      </w:pPr>
    </w:p>
    <w:p>
      <w:pPr>
        <w:pStyle w:val="BodyText"/>
        <w:spacing w:before="4"/>
        <w:rPr>
          <w:rFonts w:ascii="Times New Roman"/>
          <w:sz w:val="25"/>
        </w:rPr>
      </w:pPr>
    </w:p>
    <w:p>
      <w:pPr>
        <w:pStyle w:val="Heading2"/>
        <w:rPr>
          <w:rFonts w:ascii="Times New Roman" w:hAnsi="Times New Roman"/>
        </w:rPr>
      </w:pPr>
      <w:r>
        <w:rPr>
          <w:rFonts w:ascii="Times New Roman" w:hAnsi="Times New Roman"/>
        </w:rPr>
        <w:t>MATERIALES Y MÉTODOS</w:t>
      </w:r>
    </w:p>
    <w:p>
      <w:pPr>
        <w:pStyle w:val="BodyText"/>
        <w:spacing w:before="6"/>
        <w:rPr>
          <w:rFonts w:ascii="Times New Roman"/>
          <w:b/>
          <w:sz w:val="23"/>
        </w:rPr>
      </w:pPr>
    </w:p>
    <w:p>
      <w:pPr>
        <w:pStyle w:val="BodyText"/>
        <w:spacing w:line="480" w:lineRule="auto"/>
        <w:ind w:left="116" w:right="116"/>
        <w:jc w:val="both"/>
        <w:rPr>
          <w:rFonts w:ascii="Times New Roman" w:hAnsi="Times New Roman"/>
        </w:rPr>
      </w:pPr>
      <w:r>
        <w:rPr>
          <w:rFonts w:ascii="Times New Roman" w:hAnsi="Times New Roman"/>
        </w:rPr>
        <w:t>La metodología se realizó en cuatro fases: la primera consistió en delimitar las Zonas de Manejo Ambiental; la segunda incluyó colecta, herborización e identificación taxonómica de las especies de flora dentro de cada Zona de Manejo Ambiental; en la tercera se realizó el estudio etno- botánico; y en la cuarta, se incluyó una propuesta para la conservación y educación ambiental del Parque. A continuación se describe cada una de las etapas metodológicas.</w:t>
      </w:r>
    </w:p>
    <w:p>
      <w:pPr>
        <w:pStyle w:val="BodyText"/>
        <w:rPr>
          <w:rFonts w:ascii="Times New Roman"/>
        </w:rPr>
      </w:pPr>
    </w:p>
    <w:p>
      <w:pPr>
        <w:pStyle w:val="BodyText"/>
        <w:spacing w:before="4"/>
        <w:rPr>
          <w:rFonts w:ascii="Times New Roman"/>
          <w:sz w:val="25"/>
        </w:rPr>
      </w:pPr>
    </w:p>
    <w:p>
      <w:pPr>
        <w:pStyle w:val="Heading2"/>
        <w:rPr>
          <w:rFonts w:ascii="Times New Roman" w:hAnsi="Times New Roman"/>
        </w:rPr>
      </w:pPr>
      <w:r>
        <w:rPr>
          <w:rFonts w:ascii="Times New Roman" w:hAnsi="Times New Roman"/>
        </w:rPr>
        <w:t>Delimitación de las Zonas de Manejo Ambiental</w:t>
      </w:r>
    </w:p>
    <w:p>
      <w:pPr>
        <w:pStyle w:val="BodyText"/>
        <w:spacing w:before="6"/>
        <w:rPr>
          <w:rFonts w:ascii="Times New Roman"/>
          <w:b/>
          <w:sz w:val="23"/>
        </w:rPr>
      </w:pPr>
    </w:p>
    <w:p>
      <w:pPr>
        <w:pStyle w:val="BodyText"/>
        <w:spacing w:line="480" w:lineRule="auto"/>
        <w:ind w:left="116" w:right="124"/>
        <w:jc w:val="both"/>
        <w:rPr>
          <w:rFonts w:ascii="Times New Roman" w:hAnsi="Times New Roman"/>
        </w:rPr>
      </w:pPr>
      <w:r>
        <w:rPr>
          <w:rFonts w:ascii="Times New Roman" w:hAnsi="Times New Roman"/>
        </w:rPr>
        <w:t>Para la delimitación del Parque y la elaboración de cartografía básica, se utilizó como base el Plano Topográfico del Parque Universitario “Las Orquídeas”, escala 1:1 000 de la Facultad de Ciencias Agrícolas de la Universidad Autónoma del Estado de México, así como la información vectorial en escala 1: 50 000 (límite estatal, curvas de nivel, hidrología y vías de comunicación) del Instituto Nacional de Estadística, Geografía e Informática (INEGI, 1996). Para lograr mayor precisión, las Zonas de Manejo Ambiental se delimitaron por medio de un  geoposicionador (GPS), considerando el tipo de especies de flora presentes.</w:t>
      </w:r>
    </w:p>
    <w:p>
      <w:pPr>
        <w:pStyle w:val="BodyText"/>
        <w:rPr>
          <w:rFonts w:ascii="Times New Roman"/>
        </w:rPr>
      </w:pPr>
    </w:p>
    <w:p>
      <w:pPr>
        <w:pStyle w:val="BodyText"/>
        <w:spacing w:before="3"/>
        <w:rPr>
          <w:rFonts w:ascii="Times New Roman"/>
          <w:sz w:val="25"/>
        </w:rPr>
      </w:pPr>
    </w:p>
    <w:p>
      <w:pPr>
        <w:pStyle w:val="Heading2"/>
        <w:rPr>
          <w:rFonts w:ascii="Times New Roman" w:hAnsi="Times New Roman"/>
        </w:rPr>
      </w:pPr>
      <w:r>
        <w:rPr>
          <w:rFonts w:ascii="Times New Roman" w:hAnsi="Times New Roman"/>
        </w:rPr>
        <w:t>Identificación taxonómica de las especies de flora</w:t>
      </w:r>
    </w:p>
    <w:p>
      <w:pPr>
        <w:pStyle w:val="BodyText"/>
        <w:spacing w:line="552" w:lineRule="exact" w:before="54"/>
        <w:ind w:left="116" w:right="123"/>
        <w:jc w:val="both"/>
        <w:rPr>
          <w:rFonts w:ascii="Times New Roman" w:hAnsi="Times New Roman"/>
        </w:rPr>
      </w:pPr>
      <w:r>
        <w:rPr>
          <w:rFonts w:ascii="Times New Roman" w:hAnsi="Times New Roman"/>
        </w:rPr>
        <w:t>La recolección se realizó sobre organismos cuya forma biológica fuera herbácea (para las Zonas de Plantas Medicinales y Aromáticas y el Mariposario), arbustivos y arbóreos (para todas las zonas);  Los  ejemplares  se  procesaron  mediante  las  técnicas  convencionales,  siguiendo    los</w:t>
      </w:r>
    </w:p>
    <w:p>
      <w:pPr>
        <w:spacing w:after="0" w:line="552" w:lineRule="exact"/>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24"/>
        <w:jc w:val="both"/>
        <w:rPr>
          <w:rFonts w:ascii="Times New Roman" w:hAnsi="Times New Roman"/>
        </w:rPr>
      </w:pPr>
      <w:r>
        <w:rPr>
          <w:rFonts w:ascii="Times New Roman" w:hAnsi="Times New Roman"/>
        </w:rPr>
        <w:t>criterios de Lot y Chiang (1986) y Villareal (1993). La colecta se realizó de diciembre de 2012 a noviembre de 2013, tres salidas de campo por cada estación del año.</w:t>
      </w:r>
    </w:p>
    <w:p>
      <w:pPr>
        <w:pStyle w:val="BodyText"/>
        <w:rPr>
          <w:rFonts w:ascii="Times New Roman"/>
        </w:rPr>
      </w:pPr>
    </w:p>
    <w:p>
      <w:pPr>
        <w:pStyle w:val="BodyText"/>
        <w:spacing w:before="10"/>
        <w:rPr>
          <w:rFonts w:ascii="Times New Roman"/>
        </w:rPr>
      </w:pPr>
    </w:p>
    <w:p>
      <w:pPr>
        <w:pStyle w:val="BodyText"/>
        <w:spacing w:line="480" w:lineRule="auto" w:before="1"/>
        <w:ind w:left="116" w:right="114"/>
        <w:jc w:val="both"/>
        <w:rPr>
          <w:rFonts w:ascii="Times New Roman" w:hAnsi="Times New Roman"/>
        </w:rPr>
      </w:pPr>
      <w:r>
        <w:rPr>
          <w:rFonts w:ascii="Times New Roman" w:hAnsi="Times New Roman"/>
        </w:rPr>
        <w:t>Cada planta se recolectó por duplicado, </w:t>
      </w:r>
      <w:r>
        <w:rPr>
          <w:rFonts w:ascii="Times New Roman" w:hAnsi="Times New Roman"/>
          <w:spacing w:val="2"/>
        </w:rPr>
        <w:t>con </w:t>
      </w:r>
      <w:r>
        <w:rPr>
          <w:rFonts w:ascii="Times New Roman" w:hAnsi="Times New Roman"/>
        </w:rPr>
        <w:t>el fin de conservar un ejemplar </w:t>
      </w:r>
      <w:r>
        <w:rPr>
          <w:rFonts w:ascii="Times New Roman" w:hAnsi="Times New Roman"/>
          <w:spacing w:val="-3"/>
        </w:rPr>
        <w:t>bajo </w:t>
      </w:r>
      <w:r>
        <w:rPr>
          <w:rFonts w:ascii="Times New Roman" w:hAnsi="Times New Roman"/>
        </w:rPr>
        <w:t>resguardo del personal administrativo del Parque Universitario “Las Orquídeas”, y el otro se depositó en el Herbario Nacional de México (MEXU), del Instituto de Biología de </w:t>
      </w:r>
      <w:r>
        <w:rPr>
          <w:rFonts w:ascii="Times New Roman" w:hAnsi="Times New Roman"/>
          <w:spacing w:val="-3"/>
        </w:rPr>
        <w:t>la </w:t>
      </w:r>
      <w:r>
        <w:rPr>
          <w:rFonts w:ascii="Times New Roman" w:hAnsi="Times New Roman"/>
        </w:rPr>
        <w:t>Universidad Nacional Autónoma de México (IBUNAM). La identificación taxonómica se </w:t>
      </w:r>
      <w:r>
        <w:rPr>
          <w:rFonts w:ascii="Times New Roman" w:hAnsi="Times New Roman"/>
          <w:spacing w:val="-3"/>
        </w:rPr>
        <w:t>llevó </w:t>
      </w:r>
      <w:r>
        <w:rPr>
          <w:rFonts w:ascii="Times New Roman" w:hAnsi="Times New Roman"/>
        </w:rPr>
        <w:t>a cabo en el Herbario MEXU, del IBUNAM, utilizando claves taxonómicas, principalmente del acervo bibliográfico  del IBUNAM. Estas identificaciones fueron confirmadas haciendo el cotejo con ejemplares </w:t>
      </w:r>
      <w:r>
        <w:rPr>
          <w:rFonts w:ascii="Times New Roman" w:hAnsi="Times New Roman"/>
          <w:spacing w:val="2"/>
        </w:rPr>
        <w:t>del </w:t>
      </w:r>
      <w:r>
        <w:rPr>
          <w:rFonts w:ascii="Times New Roman" w:hAnsi="Times New Roman"/>
        </w:rPr>
        <w:t>Herbario MEXU. En los casos que existió duda, fueron verificadas por especialistas en las respectivas</w:t>
      </w:r>
      <w:r>
        <w:rPr>
          <w:rFonts w:ascii="Times New Roman" w:hAnsi="Times New Roman"/>
          <w:spacing w:val="-12"/>
        </w:rPr>
        <w:t> </w:t>
      </w:r>
      <w:r>
        <w:rPr>
          <w:rFonts w:ascii="Times New Roman" w:hAnsi="Times New Roman"/>
        </w:rPr>
        <w:t>familias.</w:t>
      </w:r>
    </w:p>
    <w:p>
      <w:pPr>
        <w:pStyle w:val="BodyText"/>
        <w:spacing w:before="10"/>
        <w:ind w:left="116"/>
        <w:jc w:val="both"/>
        <w:rPr>
          <w:rFonts w:ascii="Times New Roman" w:hAnsi="Times New Roman"/>
        </w:rPr>
      </w:pPr>
      <w:r>
        <w:rPr>
          <w:rFonts w:ascii="Times New Roman" w:hAnsi="Times New Roman"/>
        </w:rPr>
        <w:t>Posteriormente se realizó la revisión bibliográfica para conocer la distribución de las especies.</w:t>
      </w:r>
    </w:p>
    <w:p>
      <w:pPr>
        <w:pStyle w:val="BodyText"/>
        <w:rPr>
          <w:rFonts w:ascii="Times New Roman"/>
        </w:rPr>
      </w:pPr>
    </w:p>
    <w:p>
      <w:pPr>
        <w:pStyle w:val="BodyText"/>
        <w:rPr>
          <w:rFonts w:ascii="Times New Roman"/>
        </w:rPr>
      </w:pPr>
    </w:p>
    <w:p>
      <w:pPr>
        <w:pStyle w:val="BodyText"/>
        <w:rPr>
          <w:rFonts w:ascii="Times New Roman"/>
        </w:rPr>
      </w:pPr>
    </w:p>
    <w:p>
      <w:pPr>
        <w:pStyle w:val="Heading2"/>
        <w:spacing w:before="202"/>
        <w:rPr>
          <w:rFonts w:ascii="Times New Roman" w:hAnsi="Times New Roman"/>
        </w:rPr>
      </w:pPr>
      <w:r>
        <w:rPr>
          <w:rFonts w:ascii="Times New Roman" w:hAnsi="Times New Roman"/>
        </w:rPr>
        <w:t>Estudio Etnobotánico</w:t>
      </w:r>
    </w:p>
    <w:p>
      <w:pPr>
        <w:pStyle w:val="BodyText"/>
        <w:spacing w:before="6"/>
        <w:rPr>
          <w:rFonts w:ascii="Times New Roman"/>
          <w:b/>
          <w:sz w:val="23"/>
        </w:rPr>
      </w:pPr>
    </w:p>
    <w:p>
      <w:pPr>
        <w:pStyle w:val="BodyText"/>
        <w:spacing w:line="480" w:lineRule="auto"/>
        <w:ind w:left="116" w:right="114"/>
        <w:jc w:val="both"/>
        <w:rPr>
          <w:rFonts w:ascii="Times New Roman" w:hAnsi="Times New Roman"/>
        </w:rPr>
      </w:pPr>
      <w:r>
        <w:rPr>
          <w:rFonts w:ascii="Times New Roman" w:hAnsi="Times New Roman"/>
        </w:rPr>
        <w:t>La información se obtuvo mediante el procedimiento de informantes clave, del tipo </w:t>
      </w:r>
      <w:r>
        <w:rPr>
          <w:rFonts w:ascii="Times New Roman" w:hAnsi="Times New Roman"/>
          <w:spacing w:val="-3"/>
        </w:rPr>
        <w:t>no </w:t>
      </w:r>
      <w:r>
        <w:rPr>
          <w:rFonts w:ascii="Times New Roman" w:hAnsi="Times New Roman"/>
        </w:rPr>
        <w:t>probabilístico, según el método de bola de nieve (Luján – Álvarez </w:t>
      </w:r>
      <w:r>
        <w:rPr>
          <w:rFonts w:ascii="Times New Roman" w:hAnsi="Times New Roman"/>
          <w:i/>
        </w:rPr>
        <w:t>et al., </w:t>
      </w:r>
      <w:r>
        <w:rPr>
          <w:rFonts w:ascii="Times New Roman" w:hAnsi="Times New Roman"/>
        </w:rPr>
        <w:t>2000), que algunos autores denominan "muestreo intencional u opinático" (Goetz y Le Compte, 1988). En  tal sentido, se establecieron algunos criterios para seleccionar las personas que a nuestro juicio, presentan </w:t>
      </w:r>
      <w:r>
        <w:rPr>
          <w:rFonts w:ascii="Times New Roman" w:hAnsi="Times New Roman"/>
          <w:spacing w:val="-3"/>
        </w:rPr>
        <w:t>las </w:t>
      </w:r>
      <w:r>
        <w:rPr>
          <w:rFonts w:ascii="Times New Roman" w:hAnsi="Times New Roman"/>
        </w:rPr>
        <w:t>"características típicas" para </w:t>
      </w:r>
      <w:r>
        <w:rPr>
          <w:rFonts w:ascii="Times New Roman" w:hAnsi="Times New Roman"/>
          <w:spacing w:val="-5"/>
        </w:rPr>
        <w:t>la </w:t>
      </w:r>
      <w:r>
        <w:rPr>
          <w:rFonts w:ascii="Times New Roman" w:hAnsi="Times New Roman"/>
        </w:rPr>
        <w:t>investigación, </w:t>
      </w:r>
      <w:r>
        <w:rPr>
          <w:rFonts w:ascii="Times New Roman" w:hAnsi="Times New Roman"/>
          <w:spacing w:val="2"/>
        </w:rPr>
        <w:t>como: </w:t>
      </w:r>
      <w:r>
        <w:rPr>
          <w:rFonts w:ascii="Times New Roman" w:hAnsi="Times New Roman"/>
        </w:rPr>
        <w:t>ser originarios del municipio  de Temascaltepec de González y mayores de 50 años de edad. En este caso, el muestreo de datos consistió en un cuestionario con preguntas de tipo mixto (Sampieri </w:t>
      </w:r>
      <w:r>
        <w:rPr>
          <w:rFonts w:ascii="Times New Roman" w:hAnsi="Times New Roman"/>
          <w:i/>
        </w:rPr>
        <w:t>et al.</w:t>
      </w:r>
      <w:r>
        <w:rPr>
          <w:rFonts w:ascii="Times New Roman" w:hAnsi="Times New Roman"/>
        </w:rPr>
        <w:t>, 1998) a través del diálogo y entrevista con los informantes claves de </w:t>
      </w:r>
      <w:r>
        <w:rPr>
          <w:rFonts w:ascii="Times New Roman" w:hAnsi="Times New Roman"/>
          <w:spacing w:val="-3"/>
        </w:rPr>
        <w:t>la</w:t>
      </w:r>
      <w:r>
        <w:rPr>
          <w:rFonts w:ascii="Times New Roman" w:hAnsi="Times New Roman"/>
          <w:spacing w:val="-17"/>
        </w:rPr>
        <w:t> </w:t>
      </w:r>
      <w:r>
        <w:rPr>
          <w:rFonts w:ascii="Times New Roman" w:hAnsi="Times New Roman"/>
        </w:rPr>
        <w:t>comunidad.</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8"/>
        <w:rPr>
          <w:rFonts w:ascii="Times New Roman"/>
          <w:sz w:val="20"/>
        </w:rPr>
      </w:pPr>
    </w:p>
    <w:p>
      <w:pPr>
        <w:pStyle w:val="Heading2"/>
        <w:spacing w:before="70"/>
        <w:rPr>
          <w:rFonts w:ascii="Times New Roman" w:hAnsi="Times New Roman"/>
        </w:rPr>
      </w:pPr>
      <w:r>
        <w:rPr>
          <w:rFonts w:ascii="Times New Roman" w:hAnsi="Times New Roman"/>
        </w:rPr>
        <w:t>Propuesta de conservación</w:t>
      </w:r>
    </w:p>
    <w:p>
      <w:pPr>
        <w:pStyle w:val="BodyText"/>
        <w:spacing w:before="6"/>
        <w:rPr>
          <w:rFonts w:ascii="Times New Roman"/>
          <w:b/>
          <w:sz w:val="23"/>
        </w:rPr>
      </w:pPr>
    </w:p>
    <w:p>
      <w:pPr>
        <w:pStyle w:val="BodyText"/>
        <w:spacing w:line="480" w:lineRule="auto"/>
        <w:ind w:left="116" w:right="109"/>
        <w:jc w:val="both"/>
        <w:rPr>
          <w:rFonts w:ascii="Times New Roman" w:hAnsi="Times New Roman"/>
        </w:rPr>
      </w:pPr>
      <w:r>
        <w:rPr>
          <w:rFonts w:ascii="Times New Roman" w:hAnsi="Times New Roman"/>
        </w:rPr>
        <w:t>Se realizó el análisis FODA (SWOT por sus siglas en inglés), acrónimo que señala las Fortalezas (strenghths); las Debilidades (weaknesses), </w:t>
      </w:r>
      <w:r>
        <w:rPr>
          <w:rFonts w:ascii="Times New Roman" w:hAnsi="Times New Roman"/>
          <w:spacing w:val="-4"/>
        </w:rPr>
        <w:t>las </w:t>
      </w:r>
      <w:r>
        <w:rPr>
          <w:rFonts w:ascii="Times New Roman" w:hAnsi="Times New Roman"/>
        </w:rPr>
        <w:t>Oportunidades (opportunities) y las Amenazas (threats). El análisis FODA se aplicó al Parque Universitario “Las Orquídeas”, a través de entrevistas </w:t>
      </w:r>
      <w:r>
        <w:rPr>
          <w:rFonts w:ascii="Times New Roman" w:hAnsi="Times New Roman"/>
          <w:spacing w:val="-3"/>
        </w:rPr>
        <w:t>no </w:t>
      </w:r>
      <w:r>
        <w:rPr>
          <w:rFonts w:ascii="Times New Roman" w:hAnsi="Times New Roman"/>
        </w:rPr>
        <w:t>estructuradas, contando con </w:t>
      </w:r>
      <w:r>
        <w:rPr>
          <w:rFonts w:ascii="Times New Roman" w:hAnsi="Times New Roman"/>
          <w:spacing w:val="-5"/>
        </w:rPr>
        <w:t>la </w:t>
      </w:r>
      <w:r>
        <w:rPr>
          <w:rFonts w:ascii="Times New Roman" w:hAnsi="Times New Roman"/>
        </w:rPr>
        <w:t>participación del director, auxiliar administrativo e investigadores del Centro Universitario Temascaltepec. Para </w:t>
      </w:r>
      <w:r>
        <w:rPr>
          <w:rFonts w:ascii="Times New Roman" w:hAnsi="Times New Roman"/>
          <w:spacing w:val="-3"/>
        </w:rPr>
        <w:t>la </w:t>
      </w:r>
      <w:r>
        <w:rPr>
          <w:rFonts w:ascii="Times New Roman" w:hAnsi="Times New Roman"/>
        </w:rPr>
        <w:t>preparación de </w:t>
      </w:r>
      <w:r>
        <w:rPr>
          <w:rFonts w:ascii="Times New Roman" w:hAnsi="Times New Roman"/>
          <w:spacing w:val="-3"/>
        </w:rPr>
        <w:t>la </w:t>
      </w:r>
      <w:r>
        <w:rPr>
          <w:rFonts w:ascii="Times New Roman" w:hAnsi="Times New Roman"/>
        </w:rPr>
        <w:t>propuesta, se realizaron recorridos por el área de estudio, así como revisión de información sobre </w:t>
      </w:r>
      <w:r>
        <w:rPr>
          <w:rFonts w:ascii="Times New Roman" w:hAnsi="Times New Roman"/>
          <w:spacing w:val="-5"/>
        </w:rPr>
        <w:t>la </w:t>
      </w:r>
      <w:r>
        <w:rPr>
          <w:rFonts w:ascii="Times New Roman" w:hAnsi="Times New Roman"/>
        </w:rPr>
        <w:t>estructura  y funcionamiento de diversos Jardines</w:t>
      </w:r>
      <w:r>
        <w:rPr>
          <w:rFonts w:ascii="Times New Roman" w:hAnsi="Times New Roman"/>
          <w:spacing w:val="-26"/>
        </w:rPr>
        <w:t> </w:t>
      </w:r>
      <w:r>
        <w:rPr>
          <w:rFonts w:ascii="Times New Roman" w:hAnsi="Times New Roman"/>
        </w:rPr>
        <w:t>Botánicos.</w:t>
      </w:r>
    </w:p>
    <w:p>
      <w:pPr>
        <w:pStyle w:val="BodyText"/>
        <w:spacing w:line="480" w:lineRule="auto" w:before="130"/>
        <w:ind w:left="116" w:right="112"/>
        <w:jc w:val="both"/>
        <w:rPr>
          <w:rFonts w:ascii="Times New Roman" w:hAnsi="Times New Roman"/>
        </w:rPr>
      </w:pPr>
      <w:r>
        <w:rPr>
          <w:rFonts w:ascii="Times New Roman" w:hAnsi="Times New Roman"/>
        </w:rPr>
        <w:t>Además se realizó el análisis bajo el Enfoque del Marco Lógico (EML) (Camacho, </w:t>
      </w:r>
      <w:r>
        <w:rPr>
          <w:rFonts w:ascii="Times New Roman" w:hAnsi="Times New Roman"/>
          <w:i/>
        </w:rPr>
        <w:t>et. al., </w:t>
      </w:r>
      <w:r>
        <w:rPr>
          <w:rFonts w:ascii="Times New Roman" w:hAnsi="Times New Roman"/>
        </w:rPr>
        <w:t>2001), este análisis está basado en identificar problemas en el estado actual, planteando objetivos, entendiendo como objetivo el dar solución a futuro a una dificultad, por medio de estrategias.</w:t>
      </w:r>
    </w:p>
    <w:p>
      <w:pPr>
        <w:pStyle w:val="BodyText"/>
        <w:rPr>
          <w:rFonts w:ascii="Times New Roman"/>
        </w:rPr>
      </w:pPr>
    </w:p>
    <w:p>
      <w:pPr>
        <w:pStyle w:val="BodyText"/>
        <w:spacing w:before="9"/>
        <w:rPr>
          <w:rFonts w:ascii="Times New Roman"/>
          <w:sz w:val="35"/>
        </w:rPr>
      </w:pPr>
    </w:p>
    <w:p>
      <w:pPr>
        <w:pStyle w:val="Heading2"/>
        <w:rPr>
          <w:rFonts w:ascii="Times New Roman" w:hAnsi="Times New Roman"/>
        </w:rPr>
      </w:pPr>
      <w:r>
        <w:rPr>
          <w:rFonts w:ascii="Times New Roman" w:hAnsi="Times New Roman"/>
        </w:rPr>
        <w:t>RESULTADOS Y DISCUSIÓN</w:t>
      </w:r>
    </w:p>
    <w:p>
      <w:pPr>
        <w:pStyle w:val="BodyText"/>
        <w:rPr>
          <w:rFonts w:ascii="Times New Roman"/>
          <w:b/>
        </w:rPr>
      </w:pPr>
    </w:p>
    <w:p>
      <w:pPr>
        <w:spacing w:before="0"/>
        <w:ind w:left="116" w:right="0" w:firstLine="0"/>
        <w:jc w:val="both"/>
        <w:rPr>
          <w:rFonts w:ascii="Times New Roman" w:hAnsi="Times New Roman"/>
          <w:b/>
          <w:sz w:val="24"/>
        </w:rPr>
      </w:pPr>
      <w:r>
        <w:rPr>
          <w:rFonts w:ascii="Times New Roman" w:hAnsi="Times New Roman"/>
          <w:b/>
          <w:sz w:val="24"/>
        </w:rPr>
        <w:t>Delimitación de las Zonas de Manejo Ambiental</w:t>
      </w:r>
    </w:p>
    <w:p>
      <w:pPr>
        <w:pStyle w:val="BodyText"/>
        <w:spacing w:before="6"/>
        <w:rPr>
          <w:rFonts w:ascii="Times New Roman"/>
          <w:b/>
          <w:sz w:val="23"/>
        </w:rPr>
      </w:pPr>
    </w:p>
    <w:p>
      <w:pPr>
        <w:pStyle w:val="BodyText"/>
        <w:spacing w:line="480" w:lineRule="auto"/>
        <w:ind w:left="116" w:right="127"/>
        <w:jc w:val="both"/>
        <w:rPr>
          <w:rFonts w:ascii="Times New Roman" w:hAnsi="Times New Roman"/>
        </w:rPr>
      </w:pPr>
      <w:r>
        <w:rPr>
          <w:rFonts w:ascii="Times New Roman" w:hAnsi="Times New Roman"/>
        </w:rPr>
        <w:t>Se establecieron siete Zonas de Manejo Ambiental: Plantas Medicinales y Aromáticas, Cafetal, Hortalizas, Frutales, Mariposario, Orquídeario y Vegetación Natural, que fueron representadas en un mapa geográfico (Mapa 2).</w:t>
      </w:r>
    </w:p>
    <w:p>
      <w:pPr>
        <w:pStyle w:val="BodyText"/>
        <w:rPr>
          <w:rFonts w:ascii="Times New Roman"/>
        </w:rPr>
      </w:pPr>
    </w:p>
    <w:p>
      <w:pPr>
        <w:pStyle w:val="BodyText"/>
        <w:spacing w:before="9"/>
        <w:rPr>
          <w:rFonts w:ascii="Times New Roman"/>
        </w:rPr>
      </w:pPr>
    </w:p>
    <w:p>
      <w:pPr>
        <w:spacing w:line="480" w:lineRule="auto" w:before="0"/>
        <w:ind w:left="129" w:right="77" w:firstLine="0"/>
        <w:jc w:val="center"/>
        <w:rPr>
          <w:rFonts w:ascii="Times New Roman" w:hAnsi="Times New Roman"/>
          <w:sz w:val="20"/>
        </w:rPr>
      </w:pPr>
      <w:r>
        <w:rPr>
          <w:rFonts w:ascii="Times New Roman" w:hAnsi="Times New Roman"/>
          <w:sz w:val="20"/>
        </w:rPr>
        <w:t>Mapa 2. Delimitación de las Zonas de Manejo Ambiental (Elaboración propia a partir de información vectorial de INEGI, 2012 y trabajo de campo)</w:t>
      </w:r>
    </w:p>
    <w:p>
      <w:pPr>
        <w:pStyle w:val="BodyText"/>
        <w:rPr>
          <w:rFonts w:ascii="Times New Roman"/>
          <w:sz w:val="20"/>
        </w:rPr>
      </w:pPr>
    </w:p>
    <w:p>
      <w:pPr>
        <w:pStyle w:val="BodyText"/>
        <w:spacing w:before="6"/>
        <w:rPr>
          <w:rFonts w:ascii="Times New Roman"/>
          <w:sz w:val="28"/>
        </w:rPr>
      </w:pPr>
    </w:p>
    <w:p>
      <w:pPr>
        <w:pStyle w:val="BodyText"/>
        <w:spacing w:line="480" w:lineRule="auto"/>
        <w:ind w:left="116" w:right="116"/>
        <w:jc w:val="both"/>
        <w:rPr>
          <w:rFonts w:ascii="Times New Roman" w:hAnsi="Times New Roman"/>
        </w:rPr>
      </w:pPr>
      <w:r>
        <w:rPr>
          <w:rFonts w:ascii="Times New Roman" w:hAnsi="Times New Roman"/>
        </w:rPr>
        <w:t>La delimitación de áreas con un tipo de vegetación o agrupando un determinado número de plantas con algún interés especial, es una característica que presentan los Jardines Botánicos.</w:t>
      </w:r>
      <w:r>
        <w:rPr>
          <w:rFonts w:ascii="Times New Roman" w:hAnsi="Times New Roman"/>
          <w:spacing w:val="59"/>
        </w:rPr>
        <w:t> </w:t>
      </w:r>
      <w:r>
        <w:rPr>
          <w:rFonts w:ascii="Times New Roman" w:hAnsi="Times New Roman"/>
        </w:rPr>
        <w:t>Por</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17"/>
        <w:jc w:val="both"/>
        <w:rPr>
          <w:rFonts w:ascii="Times New Roman" w:hAnsi="Times New Roman"/>
        </w:rPr>
      </w:pPr>
      <w:r>
        <w:rPr>
          <w:rFonts w:ascii="Times New Roman" w:hAnsi="Times New Roman"/>
        </w:rPr>
        <w:t>ejemplo, considerando en este caso, al Jardín Botánico del Instituto de Biológica (IB) de la Universidad Nacional Autónoma de México, el cual se constituye por dos instalaciones: El Invernadero Faustino Miranda que alberga una colección de plantas tropicales y el Jardín Botánico Exterior que cuenta con 15 Colecciones: 7 Colecciones Taxonómicas (Crasuláceas, Agaváceas, Cactáceas, Opuntias y Orquidáceas, entre otras) y 8 Áreas Temáticas (Plantas Medicinales, Ornamentales, Acuáticas, Atrayentes de Insectos y Arboretum) (Vovides </w:t>
      </w:r>
      <w:r>
        <w:rPr>
          <w:rFonts w:ascii="Times New Roman" w:hAnsi="Times New Roman"/>
          <w:i/>
        </w:rPr>
        <w:t>et al., </w:t>
      </w:r>
      <w:r>
        <w:rPr>
          <w:rFonts w:ascii="Times New Roman" w:hAnsi="Times New Roman"/>
        </w:rPr>
        <w:t>2010), en comparación con las siete Zonas de Manejo Ambiental establecidas en el Parque Universitario “Las Orquídeas”, se observa que el Jardín Botánico del IB cuenta con Áreas Temáticas, en tanto que el Parque son Zonas de Manejo Ambiental. En el área estudiada no existen Colecciones Taxonómicas en el presente.</w:t>
      </w:r>
    </w:p>
    <w:p>
      <w:pPr>
        <w:pStyle w:val="BodyText"/>
        <w:rPr>
          <w:rFonts w:ascii="Times New Roman"/>
        </w:rPr>
      </w:pPr>
    </w:p>
    <w:p>
      <w:pPr>
        <w:pStyle w:val="BodyText"/>
        <w:spacing w:before="4"/>
        <w:rPr>
          <w:rFonts w:ascii="Times New Roman"/>
          <w:sz w:val="25"/>
        </w:rPr>
      </w:pPr>
    </w:p>
    <w:p>
      <w:pPr>
        <w:pStyle w:val="Heading2"/>
        <w:rPr>
          <w:rFonts w:ascii="Times New Roman" w:hAnsi="Times New Roman"/>
        </w:rPr>
      </w:pPr>
      <w:r>
        <w:rPr>
          <w:rFonts w:ascii="Times New Roman" w:hAnsi="Times New Roman"/>
        </w:rPr>
        <w:t>Identificación taxonómica de las especies de flora</w:t>
      </w:r>
    </w:p>
    <w:p>
      <w:pPr>
        <w:pStyle w:val="BodyText"/>
        <w:spacing w:before="6"/>
        <w:rPr>
          <w:rFonts w:ascii="Times New Roman"/>
          <w:b/>
          <w:sz w:val="23"/>
        </w:rPr>
      </w:pPr>
    </w:p>
    <w:p>
      <w:pPr>
        <w:pStyle w:val="BodyText"/>
        <w:spacing w:line="480" w:lineRule="auto"/>
        <w:ind w:left="116" w:right="112"/>
        <w:jc w:val="both"/>
        <w:rPr>
          <w:rFonts w:ascii="Times New Roman" w:hAnsi="Times New Roman"/>
        </w:rPr>
      </w:pPr>
      <w:r>
        <w:rPr>
          <w:rFonts w:ascii="Times New Roman" w:hAnsi="Times New Roman"/>
        </w:rPr>
        <w:t>Se identificaron 83 especies distribuidas en 43 familias y 77 géneros. La familias mejor representadas a nivel de especie son: Lamiaceae con 7 (8.7%), Asteraceae y Fabaceae con 6 (7.5%). Las dos primeras familias ocupan los primeros lugares en los listados florísticos de la Cuenca del Río Balsas (Fernández </w:t>
      </w:r>
      <w:r>
        <w:rPr>
          <w:rFonts w:ascii="Times New Roman" w:hAnsi="Times New Roman"/>
          <w:i/>
        </w:rPr>
        <w:t>et al., </w:t>
      </w:r>
      <w:r>
        <w:rPr>
          <w:rFonts w:ascii="Times New Roman" w:hAnsi="Times New Roman"/>
        </w:rPr>
        <w:t>1998; Torres-Zúñiga y Tejero-Díez, 1998). Asteraceae y Fabaceae son las familias mejor representadas en la Flora Fanerogámica de México (Rzedowski, 1998). </w:t>
      </w:r>
      <w:r>
        <w:rPr>
          <w:rFonts w:ascii="Times New Roman" w:hAnsi="Times New Roman"/>
          <w:color w:val="221F1F"/>
        </w:rPr>
        <w:t>En el mismo sentido, Zepeda-Gómez y Velázquez-Montes (1999), en su estudio de composición y afinidad geográfica del bosque tropical caducifolio de la vertiente sur de la Sierra de Nanchititla mencionan que las familias más sobresalientes son: Asteraceae y Fabaceae, lo que concuerda con el presente estudio.</w:t>
      </w:r>
    </w:p>
    <w:p>
      <w:pPr>
        <w:pStyle w:val="BodyText"/>
        <w:spacing w:before="1"/>
        <w:rPr>
          <w:rFonts w:ascii="Times New Roman"/>
          <w:sz w:val="25"/>
        </w:rPr>
      </w:pPr>
    </w:p>
    <w:p>
      <w:pPr>
        <w:pStyle w:val="BodyText"/>
        <w:spacing w:line="550" w:lineRule="atLeast"/>
        <w:ind w:left="116" w:right="117"/>
        <w:jc w:val="both"/>
        <w:rPr>
          <w:rFonts w:ascii="Times New Roman" w:hAnsi="Times New Roman"/>
        </w:rPr>
      </w:pPr>
      <w:r>
        <w:rPr>
          <w:rFonts w:ascii="Times New Roman" w:hAnsi="Times New Roman"/>
        </w:rPr>
        <w:t>Villaseñor (1987) menciona que </w:t>
      </w:r>
      <w:r>
        <w:rPr>
          <w:rFonts w:ascii="Times New Roman" w:hAnsi="Times New Roman"/>
          <w:spacing w:val="-3"/>
        </w:rPr>
        <w:t>la </w:t>
      </w:r>
      <w:r>
        <w:rPr>
          <w:rFonts w:ascii="Times New Roman" w:hAnsi="Times New Roman"/>
        </w:rPr>
        <w:t>familia Asteraceae es un grupo que está muy bien representado en dicha zona, en el presente trabajo se documentaron 6 géneros y 6 especies para</w:t>
      </w:r>
      <w:r>
        <w:rPr>
          <w:rFonts w:ascii="Times New Roman" w:hAnsi="Times New Roman"/>
          <w:spacing w:val="3"/>
        </w:rPr>
        <w:t> </w:t>
      </w:r>
      <w:r>
        <w:rPr>
          <w:rFonts w:ascii="Times New Roman" w:hAnsi="Times New Roman"/>
          <w:spacing w:val="-3"/>
        </w:rPr>
        <w:t>la</w:t>
      </w:r>
    </w:p>
    <w:p>
      <w:pPr>
        <w:spacing w:after="0" w:line="550" w:lineRule="atLeast"/>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ind w:left="116" w:right="121"/>
        <w:jc w:val="both"/>
        <w:rPr>
          <w:rFonts w:ascii="Times New Roman" w:hAnsi="Times New Roman"/>
        </w:rPr>
      </w:pPr>
      <w:r>
        <w:rPr>
          <w:rFonts w:ascii="Times New Roman" w:hAnsi="Times New Roman"/>
        </w:rPr>
        <w:t>familia. De los cerca de 1 300 géneros existentes en el mundo, 340 están ubicados en México, de ellos 131 se encuentran en la Cuenca del Río Balsas.</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
        <w:rPr>
          <w:rFonts w:ascii="Times New Roman"/>
        </w:rPr>
      </w:pPr>
    </w:p>
    <w:p>
      <w:pPr>
        <w:spacing w:line="480" w:lineRule="auto" w:before="0"/>
        <w:ind w:left="116" w:right="121" w:firstLine="0"/>
        <w:jc w:val="both"/>
        <w:rPr>
          <w:rFonts w:ascii="Times New Roman" w:hAnsi="Times New Roman"/>
          <w:sz w:val="24"/>
        </w:rPr>
      </w:pPr>
      <w:r>
        <w:rPr>
          <w:rFonts w:ascii="Times New Roman" w:hAnsi="Times New Roman"/>
          <w:sz w:val="24"/>
        </w:rPr>
        <w:t>Los géneros con dos o </w:t>
      </w:r>
      <w:r>
        <w:rPr>
          <w:rFonts w:ascii="Times New Roman" w:hAnsi="Times New Roman"/>
          <w:spacing w:val="-4"/>
          <w:sz w:val="24"/>
        </w:rPr>
        <w:t>más </w:t>
      </w:r>
      <w:r>
        <w:rPr>
          <w:rFonts w:ascii="Times New Roman" w:hAnsi="Times New Roman"/>
          <w:sz w:val="24"/>
        </w:rPr>
        <w:t>especies fueron </w:t>
      </w:r>
      <w:r>
        <w:rPr>
          <w:rFonts w:ascii="Times New Roman" w:hAnsi="Times New Roman"/>
          <w:i/>
          <w:sz w:val="24"/>
        </w:rPr>
        <w:t>Quercus</w:t>
      </w:r>
      <w:r>
        <w:rPr>
          <w:rFonts w:ascii="Times New Roman" w:hAnsi="Times New Roman"/>
          <w:sz w:val="24"/>
        </w:rPr>
        <w:t>, </w:t>
      </w:r>
      <w:r>
        <w:rPr>
          <w:rFonts w:ascii="Times New Roman" w:hAnsi="Times New Roman"/>
          <w:i/>
          <w:sz w:val="24"/>
        </w:rPr>
        <w:t>Citrus</w:t>
      </w:r>
      <w:r>
        <w:rPr>
          <w:rFonts w:ascii="Times New Roman" w:hAnsi="Times New Roman"/>
          <w:sz w:val="24"/>
        </w:rPr>
        <w:t>, </w:t>
      </w:r>
      <w:r>
        <w:rPr>
          <w:rFonts w:ascii="Times New Roman" w:hAnsi="Times New Roman"/>
          <w:i/>
          <w:sz w:val="24"/>
        </w:rPr>
        <w:t>Euphorbia, Hibiscus </w:t>
      </w:r>
      <w:r>
        <w:rPr>
          <w:rFonts w:ascii="Times New Roman" w:hAnsi="Times New Roman"/>
          <w:sz w:val="24"/>
        </w:rPr>
        <w:t>y </w:t>
      </w:r>
      <w:r>
        <w:rPr>
          <w:rFonts w:ascii="Times New Roman" w:hAnsi="Times New Roman"/>
          <w:i/>
          <w:sz w:val="24"/>
        </w:rPr>
        <w:t>Kalanchoe</w:t>
      </w:r>
      <w:r>
        <w:rPr>
          <w:rFonts w:ascii="Times New Roman" w:hAnsi="Times New Roman"/>
          <w:sz w:val="24"/>
        </w:rPr>
        <w:t>,  el primer género con tres especies y los demás con dos</w:t>
      </w:r>
      <w:r>
        <w:rPr>
          <w:rFonts w:ascii="Times New Roman" w:hAnsi="Times New Roman"/>
          <w:spacing w:val="-32"/>
          <w:sz w:val="24"/>
        </w:rPr>
        <w:t> </w:t>
      </w:r>
      <w:r>
        <w:rPr>
          <w:rFonts w:ascii="Times New Roman" w:hAnsi="Times New Roman"/>
          <w:sz w:val="24"/>
        </w:rPr>
        <w:t>especies.</w:t>
      </w:r>
    </w:p>
    <w:p>
      <w:pPr>
        <w:pStyle w:val="BodyText"/>
        <w:rPr>
          <w:rFonts w:ascii="Times New Roman"/>
        </w:rPr>
      </w:pPr>
    </w:p>
    <w:p>
      <w:pPr>
        <w:pStyle w:val="BodyText"/>
        <w:spacing w:before="10"/>
        <w:rPr>
          <w:rFonts w:ascii="Times New Roman"/>
        </w:rPr>
      </w:pPr>
    </w:p>
    <w:p>
      <w:pPr>
        <w:pStyle w:val="BodyText"/>
        <w:spacing w:line="480" w:lineRule="auto" w:before="1"/>
        <w:ind w:left="116" w:right="112"/>
        <w:jc w:val="both"/>
        <w:rPr>
          <w:rFonts w:ascii="Times New Roman" w:hAnsi="Times New Roman"/>
        </w:rPr>
      </w:pPr>
      <w:r>
        <w:rPr>
          <w:rFonts w:ascii="Times New Roman" w:hAnsi="Times New Roman"/>
        </w:rPr>
        <w:t>La forma biológica con mayor número de especies, son los árboles con 38 especies (45%); seguida por las herbáceas 26 especies (32%) y la menor representada por los arbustos con 19 especies (23%). El número de especies identificadas por zona fue: Plantas Medicinales y Aromáticas (33 sp.), Cafetal (8 sp.), Hortalizas (10 sp.), Frutales (13 sp.), Mariposario (18 sp.), Orquídeario (28 sp.) y Zona de Vegetación Natural (9 sp.). El 39.7% de las especies son cultivadas, mientras que el 60.3% son silvestres (Cuadros 1, 2, 3, 4, 5, 6 y 7).</w:t>
      </w:r>
    </w:p>
    <w:p>
      <w:pPr>
        <w:spacing w:line="480" w:lineRule="auto" w:before="10"/>
        <w:ind w:left="116" w:right="113" w:firstLine="0"/>
        <w:jc w:val="both"/>
        <w:rPr>
          <w:rFonts w:ascii="Times New Roman" w:hAnsi="Times New Roman"/>
          <w:sz w:val="24"/>
        </w:rPr>
      </w:pPr>
      <w:r>
        <w:rPr>
          <w:rFonts w:ascii="Times New Roman" w:hAnsi="Times New Roman"/>
          <w:sz w:val="24"/>
        </w:rPr>
        <w:t>Con base en la revisión bibliográfica de la distribución geográfica de las especies de flora, se reporta que 21 especies tienen un origen diferente al Continente Americano, tal es el caso: </w:t>
      </w:r>
      <w:r>
        <w:rPr>
          <w:rFonts w:ascii="Times New Roman" w:hAnsi="Times New Roman"/>
          <w:i/>
          <w:sz w:val="24"/>
        </w:rPr>
        <w:t>Agapanthus africanus </w:t>
      </w:r>
      <w:r>
        <w:rPr>
          <w:rFonts w:ascii="Times New Roman" w:hAnsi="Times New Roman"/>
          <w:sz w:val="24"/>
        </w:rPr>
        <w:t>(L.) Hoffmanns., </w:t>
      </w:r>
      <w:r>
        <w:rPr>
          <w:rFonts w:ascii="Times New Roman" w:hAnsi="Times New Roman"/>
          <w:i/>
          <w:sz w:val="24"/>
        </w:rPr>
        <w:t>Artemisia absinthium </w:t>
      </w:r>
      <w:r>
        <w:rPr>
          <w:rFonts w:ascii="Times New Roman" w:hAnsi="Times New Roman"/>
          <w:sz w:val="24"/>
        </w:rPr>
        <w:t>L., </w:t>
      </w:r>
      <w:r>
        <w:rPr>
          <w:rFonts w:ascii="Times New Roman" w:hAnsi="Times New Roman"/>
          <w:i/>
          <w:sz w:val="24"/>
        </w:rPr>
        <w:t>Coffea arabica </w:t>
      </w:r>
      <w:r>
        <w:rPr>
          <w:rFonts w:ascii="Times New Roman" w:hAnsi="Times New Roman"/>
          <w:sz w:val="24"/>
        </w:rPr>
        <w:t>L., </w:t>
      </w:r>
      <w:r>
        <w:rPr>
          <w:rFonts w:ascii="Times New Roman" w:hAnsi="Times New Roman"/>
          <w:i/>
          <w:sz w:val="24"/>
        </w:rPr>
        <w:t>Citrus </w:t>
      </w:r>
      <w:r>
        <w:rPr>
          <w:rFonts w:ascii="Times New Roman" w:hAnsi="Times New Roman"/>
          <w:i/>
          <w:sz w:val="24"/>
        </w:rPr>
        <w:t>aurantium </w:t>
      </w:r>
      <w:r>
        <w:rPr>
          <w:rFonts w:ascii="Times New Roman" w:hAnsi="Times New Roman"/>
          <w:sz w:val="24"/>
        </w:rPr>
        <w:t>L., </w:t>
      </w:r>
      <w:r>
        <w:rPr>
          <w:rFonts w:ascii="Times New Roman" w:hAnsi="Times New Roman"/>
          <w:i/>
          <w:sz w:val="24"/>
        </w:rPr>
        <w:t>Citrus sinensis </w:t>
      </w:r>
      <w:r>
        <w:rPr>
          <w:rFonts w:ascii="Times New Roman" w:hAnsi="Times New Roman"/>
          <w:sz w:val="24"/>
        </w:rPr>
        <w:t>(L.) Osbeck, </w:t>
      </w:r>
      <w:r>
        <w:rPr>
          <w:rFonts w:ascii="Times New Roman" w:hAnsi="Times New Roman"/>
          <w:i/>
          <w:sz w:val="24"/>
        </w:rPr>
        <w:t>Cymbopogon citratus </w:t>
      </w:r>
      <w:r>
        <w:rPr>
          <w:rFonts w:ascii="Times New Roman" w:hAnsi="Times New Roman"/>
          <w:sz w:val="24"/>
        </w:rPr>
        <w:t>(DC.), </w:t>
      </w:r>
      <w:r>
        <w:rPr>
          <w:rFonts w:ascii="Times New Roman" w:hAnsi="Times New Roman"/>
          <w:i/>
          <w:sz w:val="24"/>
        </w:rPr>
        <w:t>Eriobotrya japonica </w:t>
      </w:r>
      <w:r>
        <w:rPr>
          <w:rFonts w:ascii="Times New Roman" w:hAnsi="Times New Roman"/>
          <w:sz w:val="24"/>
        </w:rPr>
        <w:t>(Thunb. Lindl.), </w:t>
      </w:r>
      <w:r>
        <w:rPr>
          <w:rFonts w:ascii="Times New Roman" w:hAnsi="Times New Roman"/>
          <w:i/>
          <w:sz w:val="24"/>
        </w:rPr>
        <w:t>Foeniculum vulgare </w:t>
      </w:r>
      <w:r>
        <w:rPr>
          <w:rFonts w:ascii="Times New Roman" w:hAnsi="Times New Roman"/>
          <w:sz w:val="24"/>
        </w:rPr>
        <w:t>Mill., </w:t>
      </w:r>
      <w:r>
        <w:rPr>
          <w:rFonts w:ascii="Times New Roman" w:hAnsi="Times New Roman"/>
          <w:i/>
          <w:sz w:val="24"/>
        </w:rPr>
        <w:t>Hibiscus sabdariffa </w:t>
      </w:r>
      <w:r>
        <w:rPr>
          <w:rFonts w:ascii="Times New Roman" w:hAnsi="Times New Roman"/>
          <w:sz w:val="24"/>
        </w:rPr>
        <w:t>L., </w:t>
      </w:r>
      <w:r>
        <w:rPr>
          <w:rFonts w:ascii="Times New Roman" w:hAnsi="Times New Roman"/>
          <w:i/>
          <w:sz w:val="24"/>
        </w:rPr>
        <w:t>Ocimum basilicum </w:t>
      </w:r>
      <w:r>
        <w:rPr>
          <w:rFonts w:ascii="Times New Roman" w:hAnsi="Times New Roman"/>
          <w:sz w:val="24"/>
        </w:rPr>
        <w:t>L., </w:t>
      </w:r>
      <w:r>
        <w:rPr>
          <w:rFonts w:ascii="Times New Roman" w:hAnsi="Times New Roman"/>
          <w:i/>
          <w:sz w:val="24"/>
        </w:rPr>
        <w:t>Mangifera indica </w:t>
      </w:r>
      <w:r>
        <w:rPr>
          <w:rFonts w:ascii="Times New Roman" w:hAnsi="Times New Roman"/>
          <w:sz w:val="24"/>
        </w:rPr>
        <w:t>L., </w:t>
      </w:r>
      <w:r>
        <w:rPr>
          <w:rFonts w:ascii="Times New Roman" w:hAnsi="Times New Roman"/>
          <w:i/>
          <w:sz w:val="24"/>
        </w:rPr>
        <w:t>Melissa Officinalis </w:t>
      </w:r>
      <w:r>
        <w:rPr>
          <w:rFonts w:ascii="Times New Roman" w:hAnsi="Times New Roman"/>
          <w:sz w:val="24"/>
        </w:rPr>
        <w:t>L., </w:t>
      </w:r>
      <w:r>
        <w:rPr>
          <w:rFonts w:ascii="Times New Roman" w:hAnsi="Times New Roman"/>
          <w:i/>
          <w:sz w:val="24"/>
        </w:rPr>
        <w:t>Mentha arvensis </w:t>
      </w:r>
      <w:r>
        <w:rPr>
          <w:rFonts w:ascii="Times New Roman" w:hAnsi="Times New Roman"/>
          <w:sz w:val="24"/>
        </w:rPr>
        <w:t>L., </w:t>
      </w:r>
      <w:r>
        <w:rPr>
          <w:rFonts w:ascii="Times New Roman" w:hAnsi="Times New Roman"/>
          <w:i/>
          <w:sz w:val="24"/>
        </w:rPr>
        <w:t>Morus nigra </w:t>
      </w:r>
      <w:r>
        <w:rPr>
          <w:rFonts w:ascii="Times New Roman" w:hAnsi="Times New Roman"/>
          <w:sz w:val="24"/>
        </w:rPr>
        <w:t>L., </w:t>
      </w:r>
      <w:r>
        <w:rPr>
          <w:rFonts w:ascii="Times New Roman" w:hAnsi="Times New Roman"/>
          <w:i/>
          <w:sz w:val="24"/>
        </w:rPr>
        <w:t>Kalanchoe </w:t>
      </w:r>
      <w:r>
        <w:rPr>
          <w:rFonts w:ascii="Times New Roman" w:hAnsi="Times New Roman"/>
          <w:i/>
          <w:sz w:val="24"/>
        </w:rPr>
        <w:t>pinnata </w:t>
      </w:r>
      <w:r>
        <w:rPr>
          <w:rFonts w:ascii="Times New Roman" w:hAnsi="Times New Roman"/>
          <w:sz w:val="24"/>
        </w:rPr>
        <w:t>(Lam.) Pers, </w:t>
      </w:r>
      <w:r>
        <w:rPr>
          <w:rFonts w:ascii="Times New Roman" w:hAnsi="Times New Roman"/>
          <w:i/>
          <w:sz w:val="24"/>
        </w:rPr>
        <w:t>Kalanchoe blossfeldiana </w:t>
      </w:r>
      <w:r>
        <w:rPr>
          <w:rFonts w:ascii="Times New Roman" w:hAnsi="Times New Roman"/>
          <w:sz w:val="24"/>
        </w:rPr>
        <w:t>Poelln, </w:t>
      </w:r>
      <w:r>
        <w:rPr>
          <w:rFonts w:ascii="Times New Roman" w:hAnsi="Times New Roman"/>
          <w:i/>
          <w:sz w:val="24"/>
        </w:rPr>
        <w:t>Macadamia sp., Mangifera indica L., </w:t>
      </w:r>
      <w:r>
        <w:rPr>
          <w:rFonts w:ascii="Times New Roman" w:hAnsi="Times New Roman"/>
          <w:i/>
          <w:sz w:val="24"/>
        </w:rPr>
        <w:t>Ricinus communis </w:t>
      </w:r>
      <w:r>
        <w:rPr>
          <w:rFonts w:ascii="Times New Roman" w:hAnsi="Times New Roman"/>
          <w:sz w:val="24"/>
        </w:rPr>
        <w:t>L., </w:t>
      </w:r>
      <w:r>
        <w:rPr>
          <w:rFonts w:ascii="Times New Roman" w:hAnsi="Times New Roman"/>
          <w:i/>
          <w:sz w:val="24"/>
        </w:rPr>
        <w:t>Rosmarinus officinalis </w:t>
      </w:r>
      <w:r>
        <w:rPr>
          <w:rFonts w:ascii="Times New Roman" w:hAnsi="Times New Roman"/>
          <w:sz w:val="24"/>
        </w:rPr>
        <w:t>L., </w:t>
      </w:r>
      <w:r>
        <w:rPr>
          <w:rFonts w:ascii="Times New Roman" w:hAnsi="Times New Roman"/>
          <w:i/>
          <w:sz w:val="24"/>
        </w:rPr>
        <w:t>y Ruta chalepensis </w:t>
      </w:r>
      <w:r>
        <w:rPr>
          <w:rFonts w:ascii="Times New Roman" w:hAnsi="Times New Roman"/>
          <w:sz w:val="24"/>
        </w:rPr>
        <w:t>L. Las plantas antes mencionadas se encuentran ampliamente domesticadas.</w:t>
      </w:r>
    </w:p>
    <w:p>
      <w:pPr>
        <w:spacing w:after="0" w:line="480" w:lineRule="auto"/>
        <w:jc w:val="both"/>
        <w:rPr>
          <w:rFonts w:ascii="Times New Roman" w:hAnsi="Times New Roman"/>
          <w:sz w:val="24"/>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spacing w:before="69"/>
        <w:ind w:left="116" w:right="78" w:firstLine="0"/>
        <w:jc w:val="left"/>
        <w:rPr>
          <w:rFonts w:ascii="Times New Roman" w:hAnsi="Times New Roman"/>
          <w:sz w:val="24"/>
        </w:rPr>
      </w:pPr>
      <w:r>
        <w:rPr>
          <w:rFonts w:ascii="Times New Roman" w:hAnsi="Times New Roman"/>
          <w:sz w:val="24"/>
        </w:rPr>
        <w:t>Así  mismo,  se  reportan  dos  especies  endémicas  de  México:  </w:t>
      </w:r>
      <w:r>
        <w:rPr>
          <w:rFonts w:ascii="Times New Roman" w:hAnsi="Times New Roman"/>
          <w:i/>
          <w:sz w:val="24"/>
        </w:rPr>
        <w:t>Dicliptera  inaequalis </w:t>
      </w:r>
      <w:r>
        <w:rPr>
          <w:rFonts w:ascii="Times New Roman" w:hAnsi="Times New Roman"/>
          <w:sz w:val="24"/>
        </w:rPr>
        <w:t>Greenm.,</w:t>
      </w:r>
    </w:p>
    <w:p>
      <w:pPr>
        <w:pStyle w:val="BodyText"/>
        <w:rPr>
          <w:rFonts w:ascii="Times New Roman"/>
        </w:rPr>
      </w:pPr>
    </w:p>
    <w:p>
      <w:pPr>
        <w:spacing w:before="0"/>
        <w:ind w:left="116" w:right="78" w:firstLine="0"/>
        <w:jc w:val="left"/>
        <w:rPr>
          <w:rFonts w:ascii="Times New Roman" w:hAnsi="Times New Roman"/>
          <w:sz w:val="24"/>
        </w:rPr>
      </w:pPr>
      <w:r>
        <w:rPr>
          <w:rFonts w:ascii="Times New Roman" w:hAnsi="Times New Roman"/>
          <w:i/>
          <w:sz w:val="24"/>
        </w:rPr>
        <w:t>Quercus Hintonii </w:t>
      </w:r>
      <w:r>
        <w:rPr>
          <w:rFonts w:ascii="Times New Roman" w:hAnsi="Times New Roman"/>
          <w:sz w:val="24"/>
        </w:rPr>
        <w:t>E. F. Warb., y </w:t>
      </w:r>
      <w:r>
        <w:rPr>
          <w:rFonts w:ascii="Times New Roman" w:hAnsi="Times New Roman"/>
          <w:i/>
          <w:sz w:val="24"/>
        </w:rPr>
        <w:t>Quercus peduncularis </w:t>
      </w:r>
      <w:r>
        <w:rPr>
          <w:rFonts w:ascii="Times New Roman" w:hAnsi="Times New Roman"/>
          <w:sz w:val="24"/>
        </w:rPr>
        <w:t>Née</w:t>
      </w:r>
    </w:p>
    <w:p>
      <w:pPr>
        <w:pStyle w:val="BodyText"/>
        <w:rPr>
          <w:rFonts w:ascii="Times New Roman"/>
        </w:rPr>
      </w:pPr>
    </w:p>
    <w:p>
      <w:pPr>
        <w:pStyle w:val="BodyText"/>
        <w:rPr>
          <w:rFonts w:ascii="Times New Roman"/>
        </w:rPr>
      </w:pPr>
    </w:p>
    <w:p>
      <w:pPr>
        <w:pStyle w:val="BodyText"/>
        <w:rPr>
          <w:rFonts w:ascii="Times New Roman"/>
        </w:rPr>
      </w:pPr>
    </w:p>
    <w:p>
      <w:pPr>
        <w:pStyle w:val="BodyText"/>
        <w:ind w:left="116" w:right="78"/>
        <w:rPr>
          <w:rFonts w:ascii="Times New Roman" w:hAnsi="Times New Roman"/>
        </w:rPr>
      </w:pPr>
      <w:r>
        <w:rPr>
          <w:rFonts w:ascii="Times New Roman" w:hAnsi="Times New Roman"/>
        </w:rPr>
        <w:t>Del total de especies identificadas, el 28.7% se localizan en dos o más áreas dentro del Parque.</w:t>
      </w:r>
    </w:p>
    <w:p>
      <w:pPr>
        <w:spacing w:after="0"/>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20"/>
        </w:rPr>
      </w:pPr>
    </w:p>
    <w:p>
      <w:pPr>
        <w:pStyle w:val="BodyText"/>
        <w:spacing w:line="480" w:lineRule="auto" w:before="69" w:after="5"/>
        <w:ind w:left="4285" w:right="302" w:hanging="3938"/>
        <w:rPr>
          <w:rFonts w:ascii="Times New Roman" w:hAnsi="Times New Roman"/>
        </w:rPr>
      </w:pPr>
      <w:r>
        <w:rPr>
          <w:rFonts w:ascii="Times New Roman" w:hAnsi="Times New Roman"/>
        </w:rPr>
        <w:t>Cuadro 1. Listado de especies de flora, en la Zona de Manejo Ambiental de Plantas Medicinales y Aromáticas.</w:t>
      </w: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33"/>
        <w:gridCol w:w="2012"/>
        <w:gridCol w:w="1392"/>
        <w:gridCol w:w="4591"/>
      </w:tblGrid>
      <w:tr>
        <w:trPr>
          <w:trHeight w:val="643" w:hRule="exact"/>
        </w:trPr>
        <w:tc>
          <w:tcPr>
            <w:tcW w:w="1633" w:type="dxa"/>
            <w:tcBorders>
              <w:bottom w:val="thinThickMediumGap" w:sz="17" w:space="0" w:color="000000"/>
              <w:right w:val="thinThickMediumGap" w:sz="17" w:space="0" w:color="000000"/>
            </w:tcBorders>
          </w:tcPr>
          <w:p>
            <w:pPr>
              <w:pStyle w:val="TableParagraph"/>
              <w:spacing w:before="150"/>
              <w:ind w:left="44" w:right="47"/>
              <w:jc w:val="center"/>
              <w:rPr>
                <w:rFonts w:ascii="Times New Roman"/>
                <w:b/>
                <w:sz w:val="24"/>
              </w:rPr>
            </w:pPr>
            <w:r>
              <w:rPr>
                <w:rFonts w:ascii="Times New Roman"/>
                <w:b/>
                <w:sz w:val="24"/>
              </w:rPr>
              <w:t>FAMILIA</w:t>
            </w:r>
          </w:p>
        </w:tc>
        <w:tc>
          <w:tcPr>
            <w:tcW w:w="2012" w:type="dxa"/>
            <w:tcBorders>
              <w:bottom w:val="thinThickMediumGap" w:sz="17" w:space="0" w:color="000000"/>
              <w:right w:val="thinThickMediumGap" w:sz="17" w:space="0" w:color="000000"/>
            </w:tcBorders>
          </w:tcPr>
          <w:p>
            <w:pPr>
              <w:pStyle w:val="TableParagraph"/>
              <w:spacing w:line="274" w:lineRule="exact" w:before="20"/>
              <w:ind w:left="240" w:right="65" w:firstLine="187"/>
              <w:rPr>
                <w:rFonts w:ascii="Times New Roman" w:hAnsi="Times New Roman"/>
                <w:b/>
                <w:sz w:val="24"/>
              </w:rPr>
            </w:pPr>
            <w:r>
              <w:rPr>
                <w:rFonts w:ascii="Times New Roman" w:hAnsi="Times New Roman"/>
                <w:b/>
                <w:sz w:val="24"/>
              </w:rPr>
              <w:t>NOMBRE CIENTÍFICO</w:t>
            </w:r>
          </w:p>
        </w:tc>
        <w:tc>
          <w:tcPr>
            <w:tcW w:w="1392" w:type="dxa"/>
            <w:tcBorders>
              <w:bottom w:val="thinThickMediumGap" w:sz="17" w:space="0" w:color="000000"/>
              <w:right w:val="thinThickMediumGap" w:sz="17" w:space="0" w:color="000000"/>
            </w:tcBorders>
          </w:tcPr>
          <w:p>
            <w:pPr>
              <w:pStyle w:val="TableParagraph"/>
              <w:spacing w:line="274" w:lineRule="exact" w:before="20"/>
              <w:ind w:left="187" w:right="91" w:hanging="72"/>
              <w:rPr>
                <w:rFonts w:ascii="Times New Roman" w:hAnsi="Times New Roman"/>
                <w:b/>
                <w:sz w:val="24"/>
              </w:rPr>
            </w:pPr>
            <w:r>
              <w:rPr>
                <w:rFonts w:ascii="Times New Roman" w:hAnsi="Times New Roman"/>
                <w:b/>
                <w:sz w:val="24"/>
              </w:rPr>
              <w:t>NOMBRE COMÚN</w:t>
            </w:r>
          </w:p>
        </w:tc>
        <w:tc>
          <w:tcPr>
            <w:tcW w:w="4591" w:type="dxa"/>
            <w:tcBorders>
              <w:bottom w:val="thinThickMediumGap" w:sz="17" w:space="0" w:color="000000"/>
              <w:right w:val="thinThickMediumGap" w:sz="17" w:space="0" w:color="000000"/>
            </w:tcBorders>
          </w:tcPr>
          <w:p>
            <w:pPr>
              <w:pStyle w:val="TableParagraph"/>
              <w:spacing w:before="150"/>
              <w:ind w:left="1358" w:right="72"/>
              <w:rPr>
                <w:rFonts w:ascii="Times New Roman" w:hAnsi="Times New Roman"/>
                <w:b/>
                <w:sz w:val="24"/>
              </w:rPr>
            </w:pPr>
            <w:r>
              <w:rPr>
                <w:rFonts w:ascii="Times New Roman" w:hAnsi="Times New Roman"/>
                <w:b/>
                <w:sz w:val="24"/>
              </w:rPr>
              <w:t>DISTRIBUCIÓN</w:t>
            </w:r>
          </w:p>
        </w:tc>
      </w:tr>
      <w:tr>
        <w:trPr>
          <w:trHeight w:val="1191"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Apiaceae</w:t>
            </w:r>
          </w:p>
        </w:tc>
        <w:tc>
          <w:tcPr>
            <w:tcW w:w="2012"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67" w:right="65"/>
              <w:rPr>
                <w:rFonts w:ascii="Times New Roman"/>
                <w:sz w:val="24"/>
              </w:rPr>
            </w:pPr>
            <w:r>
              <w:rPr>
                <w:rFonts w:ascii="Times New Roman"/>
                <w:i/>
                <w:sz w:val="24"/>
              </w:rPr>
              <w:t>Foeniculum </w:t>
            </w:r>
            <w:r>
              <w:rPr>
                <w:rFonts w:ascii="Times New Roman"/>
                <w:i/>
                <w:sz w:val="24"/>
              </w:rPr>
              <w:t>vulgare </w:t>
            </w:r>
            <w:r>
              <w:rPr>
                <w:rFonts w:ascii="Times New Roman"/>
                <w:sz w:val="24"/>
              </w:rPr>
              <w:t>Mill.</w:t>
            </w:r>
          </w:p>
        </w:tc>
        <w:tc>
          <w:tcPr>
            <w:tcW w:w="1392"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321" w:right="91"/>
              <w:rPr>
                <w:rFonts w:ascii="Times New Roman"/>
                <w:sz w:val="24"/>
              </w:rPr>
            </w:pPr>
            <w:r>
              <w:rPr>
                <w:rFonts w:ascii="Times New Roman"/>
                <w:sz w:val="24"/>
              </w:rPr>
              <w:t>Hinojo</w:t>
            </w:r>
          </w:p>
        </w:tc>
        <w:tc>
          <w:tcPr>
            <w:tcW w:w="4591" w:type="dxa"/>
            <w:tcBorders>
              <w:bottom w:val="thinThickMediumGap" w:sz="17" w:space="0" w:color="000000"/>
              <w:right w:val="thinThickMediumGap" w:sz="17" w:space="0" w:color="000000"/>
            </w:tcBorders>
          </w:tcPr>
          <w:p>
            <w:pPr>
              <w:pStyle w:val="TableParagraph"/>
              <w:spacing w:before="6"/>
              <w:ind w:left="67" w:right="66"/>
              <w:jc w:val="both"/>
              <w:rPr>
                <w:rFonts w:ascii="Times New Roman" w:hAnsi="Times New Roman"/>
                <w:sz w:val="24"/>
              </w:rPr>
            </w:pPr>
            <w:r>
              <w:rPr>
                <w:rFonts w:ascii="Times New Roman" w:hAnsi="Times New Roman"/>
                <w:sz w:val="24"/>
              </w:rPr>
              <w:t>Origen. Europa. Se registra como maleza en Baja California Norte, Chiapas, Coahuila, Jalisco, Oaxaca, Querétaro, Sinaloa, Sonora  y Veracruz (Villaseñor y Espinosa,</w:t>
            </w:r>
            <w:r>
              <w:rPr>
                <w:rFonts w:ascii="Times New Roman" w:hAnsi="Times New Roman"/>
                <w:spacing w:val="-14"/>
                <w:sz w:val="24"/>
              </w:rPr>
              <w:t> </w:t>
            </w:r>
            <w:r>
              <w:rPr>
                <w:rFonts w:ascii="Times New Roman" w:hAnsi="Times New Roman"/>
                <w:sz w:val="24"/>
              </w:rPr>
              <w:t>1998).</w:t>
            </w:r>
          </w:p>
        </w:tc>
      </w:tr>
      <w:tr>
        <w:trPr>
          <w:trHeight w:val="1196"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Asteraceae</w:t>
            </w:r>
          </w:p>
        </w:tc>
        <w:tc>
          <w:tcPr>
            <w:tcW w:w="2012" w:type="dxa"/>
            <w:tcBorders>
              <w:bottom w:val="thinThickMediumGap" w:sz="17" w:space="0" w:color="000000"/>
              <w:right w:val="thinThickMediumGap" w:sz="17" w:space="0" w:color="000000"/>
            </w:tcBorders>
          </w:tcPr>
          <w:p>
            <w:pPr>
              <w:pStyle w:val="TableParagraph"/>
              <w:tabs>
                <w:tab w:pos="1074" w:val="left" w:leader="none"/>
                <w:tab w:pos="1587" w:val="left" w:leader="none"/>
              </w:tabs>
              <w:spacing w:before="11"/>
              <w:ind w:left="67" w:right="65"/>
              <w:rPr>
                <w:rFonts w:ascii="Times New Roman"/>
                <w:sz w:val="24"/>
              </w:rPr>
            </w:pPr>
            <w:r>
              <w:rPr>
                <w:rFonts w:ascii="Times New Roman"/>
                <w:i/>
                <w:sz w:val="24"/>
              </w:rPr>
              <w:t>Ageratina </w:t>
            </w:r>
            <w:r>
              <w:rPr>
                <w:rFonts w:ascii="Times New Roman"/>
                <w:i/>
                <w:sz w:val="24"/>
              </w:rPr>
              <w:t>grandifolia </w:t>
            </w:r>
            <w:r>
              <w:rPr>
                <w:rFonts w:ascii="Times New Roman"/>
                <w:sz w:val="24"/>
              </w:rPr>
              <w:t>(Regel)</w:t>
              <w:tab/>
              <w:t>R.</w:t>
              <w:tab/>
            </w:r>
            <w:r>
              <w:rPr>
                <w:rFonts w:ascii="Times New Roman"/>
                <w:spacing w:val="-1"/>
                <w:sz w:val="24"/>
              </w:rPr>
              <w:t>M. </w:t>
            </w:r>
            <w:r>
              <w:rPr>
                <w:rFonts w:ascii="Times New Roman"/>
                <w:sz w:val="24"/>
              </w:rPr>
              <w:t>King y H.</w:t>
            </w:r>
            <w:r>
              <w:rPr>
                <w:rFonts w:ascii="Times New Roman"/>
                <w:spacing w:val="-8"/>
                <w:sz w:val="24"/>
              </w:rPr>
              <w:t> </w:t>
            </w:r>
            <w:r>
              <w:rPr>
                <w:rFonts w:ascii="Times New Roman"/>
                <w:sz w:val="24"/>
              </w:rPr>
              <w:t>Rob.</w:t>
            </w:r>
          </w:p>
        </w:tc>
        <w:tc>
          <w:tcPr>
            <w:tcW w:w="1392" w:type="dxa"/>
            <w:tcBorders>
              <w:bottom w:val="thinThickMediumGap" w:sz="17" w:space="0" w:color="000000"/>
              <w:right w:val="thinThickMediumGap" w:sz="17" w:space="0" w:color="000000"/>
            </w:tcBorders>
          </w:tcPr>
          <w:p>
            <w:pPr/>
          </w:p>
        </w:tc>
        <w:tc>
          <w:tcPr>
            <w:tcW w:w="4591" w:type="dxa"/>
            <w:tcBorders>
              <w:bottom w:val="thinThickMediumGap" w:sz="17" w:space="0" w:color="000000"/>
              <w:right w:val="thinThickMediumGap" w:sz="17" w:space="0" w:color="000000"/>
            </w:tcBorders>
          </w:tcPr>
          <w:p>
            <w:pPr>
              <w:pStyle w:val="TableParagraph"/>
              <w:spacing w:before="11"/>
              <w:ind w:left="67" w:right="67"/>
              <w:jc w:val="both"/>
              <w:rPr>
                <w:rFonts w:ascii="Times New Roman" w:hAnsi="Times New Roman"/>
                <w:sz w:val="24"/>
              </w:rPr>
            </w:pPr>
            <w:r>
              <w:rPr>
                <w:rFonts w:ascii="Times New Roman" w:hAnsi="Times New Roman"/>
                <w:sz w:val="24"/>
              </w:rPr>
              <w:t>Distribución en todo México, introducido esporádicamente en los Estados Unidos y Centroamérica hasta Panamá y en las Antillas.</w:t>
            </w:r>
          </w:p>
        </w:tc>
      </w:tr>
      <w:tr>
        <w:trPr>
          <w:trHeight w:val="1195"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Asteraceae</w:t>
            </w:r>
          </w:p>
        </w:tc>
        <w:tc>
          <w:tcPr>
            <w:tcW w:w="2012"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spacing w:line="242" w:lineRule="auto"/>
              <w:ind w:left="67" w:right="65"/>
              <w:rPr>
                <w:rFonts w:ascii="Times New Roman"/>
                <w:sz w:val="24"/>
              </w:rPr>
            </w:pPr>
            <w:r>
              <w:rPr>
                <w:rFonts w:ascii="Times New Roman"/>
                <w:i/>
                <w:sz w:val="24"/>
              </w:rPr>
              <w:t>Artemisia </w:t>
            </w:r>
            <w:r>
              <w:rPr>
                <w:rFonts w:ascii="Times New Roman"/>
                <w:i/>
                <w:sz w:val="24"/>
              </w:rPr>
              <w:t>absinthium </w:t>
            </w:r>
            <w:r>
              <w:rPr>
                <w:rFonts w:ascii="Times New Roman"/>
                <w:sz w:val="24"/>
              </w:rPr>
              <w:t>L.</w:t>
            </w:r>
          </w:p>
        </w:tc>
        <w:tc>
          <w:tcPr>
            <w:tcW w:w="1392"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326" w:right="91"/>
              <w:rPr>
                <w:rFonts w:ascii="Times New Roman"/>
                <w:sz w:val="24"/>
              </w:rPr>
            </w:pPr>
            <w:r>
              <w:rPr>
                <w:rFonts w:ascii="Times New Roman"/>
                <w:sz w:val="24"/>
              </w:rPr>
              <w:t>Ajenjo</w:t>
            </w:r>
          </w:p>
        </w:tc>
        <w:tc>
          <w:tcPr>
            <w:tcW w:w="4591" w:type="dxa"/>
            <w:tcBorders>
              <w:bottom w:val="thinThickMediumGap" w:sz="17" w:space="0" w:color="000000"/>
              <w:right w:val="thinThickMediumGap" w:sz="17" w:space="0" w:color="000000"/>
            </w:tcBorders>
          </w:tcPr>
          <w:p>
            <w:pPr>
              <w:pStyle w:val="TableParagraph"/>
              <w:spacing w:before="11"/>
              <w:ind w:left="67" w:right="66"/>
              <w:jc w:val="both"/>
              <w:rPr>
                <w:rFonts w:ascii="Times New Roman" w:hAnsi="Times New Roman"/>
                <w:sz w:val="24"/>
              </w:rPr>
            </w:pPr>
            <w:r>
              <w:rPr>
                <w:rFonts w:ascii="Times New Roman" w:hAnsi="Times New Roman"/>
                <w:sz w:val="24"/>
              </w:rPr>
              <w:t>Originaria de Europa. Distribución: Méx. Nuevo León, Oaxaca, San Luis Potosí y Veracruz. Asia, América del Norte. Sudamérica. (Tropicos, 2014)</w:t>
            </w:r>
          </w:p>
        </w:tc>
      </w:tr>
      <w:tr>
        <w:trPr>
          <w:trHeight w:val="1469" w:hRule="exact"/>
        </w:trPr>
        <w:tc>
          <w:tcPr>
            <w:tcW w:w="1633"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45" w:right="47"/>
              <w:jc w:val="center"/>
              <w:rPr>
                <w:rFonts w:ascii="Times New Roman"/>
                <w:sz w:val="24"/>
              </w:rPr>
            </w:pPr>
            <w:r>
              <w:rPr>
                <w:rFonts w:ascii="Times New Roman"/>
                <w:sz w:val="24"/>
              </w:rPr>
              <w:t>Capparidaceae</w:t>
            </w:r>
          </w:p>
        </w:tc>
        <w:tc>
          <w:tcPr>
            <w:tcW w:w="2012"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tabs>
                <w:tab w:pos="1036" w:val="left" w:leader="none"/>
              </w:tabs>
              <w:spacing w:line="275" w:lineRule="exact" w:before="148"/>
              <w:ind w:left="67"/>
              <w:rPr>
                <w:rFonts w:ascii="Times New Roman"/>
                <w:i/>
                <w:sz w:val="24"/>
              </w:rPr>
            </w:pPr>
            <w:r>
              <w:rPr>
                <w:rFonts w:ascii="Times New Roman"/>
                <w:i/>
                <w:sz w:val="24"/>
              </w:rPr>
              <w:t>Cleome</w:t>
              <w:tab/>
              <w:t>speciosa</w:t>
            </w:r>
          </w:p>
          <w:p>
            <w:pPr>
              <w:pStyle w:val="TableParagraph"/>
              <w:spacing w:line="275" w:lineRule="exact"/>
              <w:ind w:left="67" w:right="65"/>
              <w:rPr>
                <w:rFonts w:ascii="Times New Roman"/>
                <w:sz w:val="24"/>
              </w:rPr>
            </w:pPr>
            <w:r>
              <w:rPr>
                <w:rFonts w:ascii="Times New Roman"/>
                <w:sz w:val="24"/>
              </w:rPr>
              <w:t>Raf.</w:t>
            </w:r>
          </w:p>
        </w:tc>
        <w:tc>
          <w:tcPr>
            <w:tcW w:w="1392"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line="274" w:lineRule="exact" w:before="153"/>
              <w:ind w:left="412" w:right="91" w:hanging="188"/>
              <w:rPr>
                <w:rFonts w:ascii="Times New Roman"/>
                <w:sz w:val="24"/>
              </w:rPr>
            </w:pPr>
            <w:r>
              <w:rPr>
                <w:rFonts w:ascii="Times New Roman"/>
                <w:sz w:val="24"/>
              </w:rPr>
              <w:t>Barba de viejo</w:t>
            </w:r>
          </w:p>
        </w:tc>
        <w:tc>
          <w:tcPr>
            <w:tcW w:w="4591" w:type="dxa"/>
            <w:tcBorders>
              <w:top w:val="thickThinMediumGap" w:sz="17" w:space="0" w:color="000000"/>
              <w:bottom w:val="thinThickMediumGap" w:sz="17" w:space="0" w:color="000000"/>
              <w:right w:val="thinThickMediumGap" w:sz="17" w:space="0" w:color="000000"/>
            </w:tcBorders>
          </w:tcPr>
          <w:p>
            <w:pPr>
              <w:pStyle w:val="TableParagraph"/>
              <w:spacing w:before="11"/>
              <w:ind w:left="67" w:right="62"/>
              <w:jc w:val="both"/>
              <w:rPr>
                <w:rFonts w:ascii="Times New Roman" w:hAnsi="Times New Roman"/>
                <w:sz w:val="24"/>
              </w:rPr>
            </w:pPr>
            <w:r>
              <w:rPr>
                <w:rFonts w:ascii="Times New Roman" w:hAnsi="Times New Roman"/>
                <w:sz w:val="24"/>
              </w:rPr>
              <w:t>Se encuentra distribuida del sur de México al norte de Sudamérica. Gto., Qro., Hgo., Nay., Jal., Col., Mich., Méx., Ver., Gro., Oax., Chis., Yuc., Q.R.; Centroamérica; Sudamérica (Lorea-Hernández, 2004)</w:t>
            </w:r>
          </w:p>
        </w:tc>
      </w:tr>
      <w:tr>
        <w:trPr>
          <w:trHeight w:val="2022"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40" w:right="47"/>
              <w:jc w:val="center"/>
              <w:rPr>
                <w:rFonts w:ascii="Times New Roman"/>
                <w:sz w:val="24"/>
              </w:rPr>
            </w:pPr>
            <w:r>
              <w:rPr>
                <w:rFonts w:ascii="Times New Roman"/>
                <w:sz w:val="24"/>
              </w:rPr>
              <w:t>Caprifoliaceae</w:t>
            </w:r>
          </w:p>
        </w:tc>
        <w:tc>
          <w:tcPr>
            <w:tcW w:w="2012"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tabs>
                <w:tab w:pos="1338" w:val="left" w:leader="none"/>
              </w:tabs>
              <w:spacing w:before="148"/>
              <w:ind w:left="67"/>
              <w:rPr>
                <w:rFonts w:ascii="Times New Roman"/>
                <w:i/>
                <w:sz w:val="24"/>
              </w:rPr>
            </w:pPr>
            <w:r>
              <w:rPr>
                <w:rFonts w:ascii="Times New Roman"/>
                <w:i/>
                <w:sz w:val="24"/>
              </w:rPr>
              <w:t>Sambucus</w:t>
              <w:tab/>
              <w:t>nigra</w:t>
            </w:r>
          </w:p>
          <w:p>
            <w:pPr>
              <w:pStyle w:val="TableParagraph"/>
              <w:tabs>
                <w:tab w:pos="1257" w:val="left" w:leader="none"/>
              </w:tabs>
              <w:spacing w:line="275" w:lineRule="exact" w:before="2"/>
              <w:ind w:left="67"/>
              <w:rPr>
                <w:rFonts w:ascii="Times New Roman"/>
                <w:sz w:val="24"/>
              </w:rPr>
            </w:pPr>
            <w:r>
              <w:rPr>
                <w:rFonts w:ascii="Times New Roman"/>
                <w:sz w:val="24"/>
              </w:rPr>
              <w:t>L.</w:t>
              <w:tab/>
              <w:t>subsp.</w:t>
            </w:r>
          </w:p>
          <w:p>
            <w:pPr>
              <w:pStyle w:val="TableParagraph"/>
              <w:tabs>
                <w:tab w:pos="1492" w:val="left" w:leader="none"/>
              </w:tabs>
              <w:spacing w:line="278" w:lineRule="exact"/>
              <w:ind w:left="67" w:right="64"/>
              <w:rPr>
                <w:rFonts w:ascii="Times New Roman"/>
                <w:i/>
                <w:sz w:val="16"/>
              </w:rPr>
            </w:pPr>
            <w:r>
              <w:rPr>
                <w:rFonts w:ascii="Times New Roman"/>
                <w:sz w:val="24"/>
              </w:rPr>
              <w:t>canadensis</w:t>
              <w:tab/>
              <w:t>(L.) Bolli</w:t>
            </w:r>
            <w:r>
              <w:rPr>
                <w:rFonts w:ascii="Times New Roman"/>
                <w:spacing w:val="-5"/>
                <w:sz w:val="24"/>
              </w:rPr>
              <w:t> </w:t>
            </w:r>
            <w:r>
              <w:rPr>
                <w:rFonts w:ascii="Times New Roman"/>
                <w:i/>
                <w:position w:val="11"/>
                <w:sz w:val="16"/>
              </w:rPr>
              <w:t>1</w:t>
            </w:r>
          </w:p>
        </w:tc>
        <w:tc>
          <w:tcPr>
            <w:tcW w:w="1392"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360" w:right="91"/>
              <w:rPr>
                <w:rFonts w:ascii="Times New Roman"/>
                <w:sz w:val="24"/>
              </w:rPr>
            </w:pPr>
            <w:r>
              <w:rPr>
                <w:rFonts w:ascii="Times New Roman"/>
                <w:sz w:val="24"/>
              </w:rPr>
              <w:t>Sauco</w:t>
            </w:r>
          </w:p>
        </w:tc>
        <w:tc>
          <w:tcPr>
            <w:tcW w:w="4591" w:type="dxa"/>
            <w:tcBorders>
              <w:bottom w:val="thinThickMediumGap" w:sz="17" w:space="0" w:color="000000"/>
              <w:right w:val="thinThickMediumGap" w:sz="17" w:space="0" w:color="000000"/>
            </w:tcBorders>
          </w:tcPr>
          <w:p>
            <w:pPr>
              <w:pStyle w:val="TableParagraph"/>
              <w:spacing w:before="11"/>
              <w:ind w:left="67" w:right="63"/>
              <w:jc w:val="both"/>
              <w:rPr>
                <w:rFonts w:ascii="Times New Roman" w:hAnsi="Times New Roman"/>
                <w:sz w:val="24"/>
              </w:rPr>
            </w:pPr>
            <w:r>
              <w:rPr>
                <w:rFonts w:ascii="Times New Roman" w:hAnsi="Times New Roman"/>
                <w:sz w:val="24"/>
              </w:rPr>
              <w:t>Canadá, E.U.A., México y Centroamérica, incluyendo las Antillas. En México: D.F. Chiapas, Chihuahua, Guanajuato, Guerrero, Hidalgo, México, Michoacán, Morelos, Nayarit, Oaxaca, Puebla, Quintana Roo, San Luis Potosí, Tabasco, Tamaulipas, Tlaxcala, Veracruz y Yucatán (Villarreal, 2008)</w:t>
            </w:r>
          </w:p>
        </w:tc>
      </w:tr>
      <w:tr>
        <w:trPr>
          <w:trHeight w:val="1474"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40" w:right="47"/>
              <w:jc w:val="center"/>
              <w:rPr>
                <w:rFonts w:ascii="Times New Roman"/>
                <w:sz w:val="24"/>
              </w:rPr>
            </w:pPr>
            <w:r>
              <w:rPr>
                <w:rFonts w:ascii="Times New Roman"/>
                <w:sz w:val="24"/>
              </w:rPr>
              <w:t>Crassulaceae</w:t>
            </w:r>
          </w:p>
        </w:tc>
        <w:tc>
          <w:tcPr>
            <w:tcW w:w="2012"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67" w:right="558"/>
              <w:rPr>
                <w:rFonts w:ascii="Times New Roman"/>
                <w:sz w:val="24"/>
              </w:rPr>
            </w:pPr>
            <w:r>
              <w:rPr>
                <w:rFonts w:ascii="Times New Roman"/>
                <w:i/>
                <w:sz w:val="24"/>
              </w:rPr>
              <w:t>Kalanchoe </w:t>
            </w:r>
            <w:r>
              <w:rPr>
                <w:rFonts w:ascii="Times New Roman"/>
                <w:i/>
                <w:sz w:val="24"/>
              </w:rPr>
              <w:t>blossfeldiana </w:t>
            </w:r>
            <w:r>
              <w:rPr>
                <w:rFonts w:ascii="Times New Roman"/>
                <w:sz w:val="24"/>
              </w:rPr>
              <w:t>Poelln.</w:t>
            </w:r>
          </w:p>
        </w:tc>
        <w:tc>
          <w:tcPr>
            <w:tcW w:w="1392"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line="242" w:lineRule="auto" w:before="148"/>
              <w:ind w:left="187" w:right="91" w:firstLine="172"/>
              <w:rPr>
                <w:rFonts w:ascii="Times New Roman"/>
                <w:sz w:val="24"/>
              </w:rPr>
            </w:pPr>
            <w:r>
              <w:rPr>
                <w:rFonts w:ascii="Times New Roman"/>
                <w:sz w:val="24"/>
              </w:rPr>
              <w:t>Bruja, Maravilla</w:t>
            </w:r>
          </w:p>
        </w:tc>
        <w:tc>
          <w:tcPr>
            <w:tcW w:w="4591" w:type="dxa"/>
            <w:tcBorders>
              <w:bottom w:val="thinThickMediumGap" w:sz="17" w:space="0" w:color="000000"/>
              <w:right w:val="thinThickMediumGap" w:sz="17" w:space="0" w:color="000000"/>
            </w:tcBorders>
          </w:tcPr>
          <w:p>
            <w:pPr>
              <w:pStyle w:val="TableParagraph"/>
              <w:spacing w:before="11"/>
              <w:ind w:left="67" w:right="63"/>
              <w:jc w:val="both"/>
              <w:rPr>
                <w:rFonts w:ascii="Times New Roman" w:hAnsi="Times New Roman"/>
                <w:sz w:val="24"/>
              </w:rPr>
            </w:pPr>
            <w:r>
              <w:rPr>
                <w:rFonts w:ascii="Times New Roman" w:hAnsi="Times New Roman"/>
                <w:sz w:val="24"/>
              </w:rPr>
              <w:t>En el Herbario Nacional, MEXU, cuenta con 3 ejemplares de esta especie, colectados en la Delegación Xochimilco, Distrito Federal; Sierra Santa Marta, Veracruz y Sierra de Juárez, Oaxaca.</w:t>
            </w:r>
          </w:p>
        </w:tc>
      </w:tr>
      <w:tr>
        <w:trPr>
          <w:trHeight w:val="1191"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7"/>
              <w:jc w:val="center"/>
              <w:rPr>
                <w:rFonts w:ascii="Times New Roman"/>
                <w:sz w:val="24"/>
              </w:rPr>
            </w:pPr>
            <w:r>
              <w:rPr>
                <w:rFonts w:ascii="Times New Roman"/>
                <w:sz w:val="24"/>
              </w:rPr>
              <w:t>Crassulaceae</w:t>
            </w:r>
          </w:p>
        </w:tc>
        <w:tc>
          <w:tcPr>
            <w:tcW w:w="2012" w:type="dxa"/>
            <w:tcBorders>
              <w:bottom w:val="thinThickMediumGap" w:sz="17" w:space="0" w:color="000000"/>
              <w:right w:val="thinThickMediumGap" w:sz="17" w:space="0" w:color="000000"/>
            </w:tcBorders>
          </w:tcPr>
          <w:p>
            <w:pPr>
              <w:pStyle w:val="TableParagraph"/>
              <w:tabs>
                <w:tab w:pos="1205" w:val="left" w:leader="none"/>
              </w:tabs>
              <w:spacing w:before="145"/>
              <w:ind w:left="67" w:right="63"/>
              <w:rPr>
                <w:rFonts w:ascii="Times New Roman"/>
                <w:sz w:val="24"/>
              </w:rPr>
            </w:pPr>
            <w:r>
              <w:rPr>
                <w:rFonts w:ascii="Times New Roman"/>
                <w:i/>
                <w:sz w:val="24"/>
              </w:rPr>
              <w:t>Kalanchoe </w:t>
            </w:r>
            <w:r>
              <w:rPr>
                <w:rFonts w:ascii="Times New Roman"/>
                <w:i/>
                <w:sz w:val="24"/>
              </w:rPr>
              <w:t>pinnata</w:t>
              <w:tab/>
            </w:r>
            <w:r>
              <w:rPr>
                <w:rFonts w:ascii="Times New Roman"/>
                <w:spacing w:val="-1"/>
                <w:sz w:val="24"/>
              </w:rPr>
              <w:t>(Lam.) </w:t>
            </w:r>
            <w:r>
              <w:rPr>
                <w:rFonts w:ascii="Times New Roman"/>
                <w:sz w:val="24"/>
              </w:rPr>
              <w:t>Pers</w:t>
            </w:r>
          </w:p>
        </w:tc>
        <w:tc>
          <w:tcPr>
            <w:tcW w:w="1392"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spacing w:line="274" w:lineRule="exact"/>
              <w:ind w:left="446" w:right="232" w:hanging="192"/>
              <w:rPr>
                <w:rFonts w:ascii="Times New Roman"/>
                <w:sz w:val="24"/>
              </w:rPr>
            </w:pPr>
            <w:r>
              <w:rPr>
                <w:rFonts w:ascii="Times New Roman"/>
                <w:sz w:val="24"/>
              </w:rPr>
              <w:t>Siempre viva</w:t>
            </w:r>
          </w:p>
        </w:tc>
        <w:tc>
          <w:tcPr>
            <w:tcW w:w="4591" w:type="dxa"/>
            <w:tcBorders>
              <w:bottom w:val="thinThickMediumGap" w:sz="17" w:space="0" w:color="000000"/>
              <w:right w:val="thinThickMediumGap" w:sz="17" w:space="0" w:color="000000"/>
            </w:tcBorders>
          </w:tcPr>
          <w:p>
            <w:pPr>
              <w:pStyle w:val="TableParagraph"/>
              <w:spacing w:before="6"/>
              <w:ind w:left="67" w:right="70"/>
              <w:jc w:val="both"/>
              <w:rPr>
                <w:rFonts w:ascii="Times New Roman" w:hAnsi="Times New Roman"/>
                <w:sz w:val="24"/>
              </w:rPr>
            </w:pPr>
            <w:r>
              <w:rPr>
                <w:rFonts w:ascii="Times New Roman" w:hAnsi="Times New Roman"/>
                <w:sz w:val="24"/>
              </w:rPr>
              <w:t>Endemismo propio de Madagascar que también cuenta con algunas especies diseminadas por el Sur y Sureste africano, India, China, Brasil y México.</w:t>
            </w:r>
          </w:p>
        </w:tc>
      </w:tr>
      <w:tr>
        <w:trPr>
          <w:trHeight w:val="1214"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Cupressaceae</w:t>
            </w:r>
          </w:p>
        </w:tc>
        <w:tc>
          <w:tcPr>
            <w:tcW w:w="2012" w:type="dxa"/>
            <w:tcBorders>
              <w:bottom w:val="thinThickMediumGap" w:sz="17" w:space="0" w:color="000000"/>
              <w:right w:val="thinThickMediumGap" w:sz="17" w:space="0" w:color="000000"/>
            </w:tcBorders>
          </w:tcPr>
          <w:p>
            <w:pPr>
              <w:pStyle w:val="TableParagraph"/>
              <w:spacing w:line="274" w:lineRule="exact" w:before="155"/>
              <w:ind w:left="67" w:right="65"/>
              <w:rPr>
                <w:rFonts w:ascii="Times New Roman"/>
                <w:sz w:val="24"/>
              </w:rPr>
            </w:pPr>
            <w:r>
              <w:rPr>
                <w:rFonts w:ascii="Times New Roman"/>
                <w:i/>
                <w:sz w:val="24"/>
              </w:rPr>
              <w:t>Taxodium </w:t>
            </w:r>
            <w:r>
              <w:rPr>
                <w:rFonts w:ascii="Times New Roman"/>
                <w:i/>
                <w:sz w:val="24"/>
              </w:rPr>
              <w:t>mucronatum  </w:t>
            </w:r>
            <w:r>
              <w:rPr>
                <w:rFonts w:ascii="Times New Roman"/>
                <w:sz w:val="24"/>
              </w:rPr>
              <w:t>Ten.</w:t>
            </w:r>
          </w:p>
          <w:p>
            <w:pPr>
              <w:pStyle w:val="TableParagraph"/>
              <w:spacing w:line="148" w:lineRule="exact"/>
              <w:ind w:left="67"/>
              <w:rPr>
                <w:rFonts w:ascii="Times New Roman"/>
                <w:i/>
                <w:sz w:val="16"/>
              </w:rPr>
            </w:pPr>
            <w:r>
              <w:rPr>
                <w:rFonts w:ascii="Times New Roman"/>
                <w:i/>
                <w:w w:val="99"/>
                <w:sz w:val="16"/>
              </w:rPr>
              <w:t>1</w:t>
            </w:r>
          </w:p>
        </w:tc>
        <w:tc>
          <w:tcPr>
            <w:tcW w:w="1392"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spacing w:line="242" w:lineRule="auto"/>
              <w:ind w:left="230" w:right="112" w:hanging="96"/>
              <w:rPr>
                <w:rFonts w:ascii="Times New Roman"/>
                <w:sz w:val="24"/>
              </w:rPr>
            </w:pPr>
            <w:r>
              <w:rPr>
                <w:rFonts w:ascii="Times New Roman"/>
                <w:sz w:val="24"/>
              </w:rPr>
              <w:t>Ahuehuete o Sabino</w:t>
            </w:r>
          </w:p>
        </w:tc>
        <w:tc>
          <w:tcPr>
            <w:tcW w:w="4591" w:type="dxa"/>
            <w:tcBorders>
              <w:bottom w:val="thinThickMediumGap" w:sz="17" w:space="0" w:color="000000"/>
              <w:right w:val="thinThickMediumGap" w:sz="17" w:space="0" w:color="000000"/>
            </w:tcBorders>
          </w:tcPr>
          <w:p>
            <w:pPr>
              <w:pStyle w:val="TableParagraph"/>
              <w:spacing w:before="11"/>
              <w:ind w:left="67" w:right="68"/>
              <w:jc w:val="both"/>
              <w:rPr>
                <w:rFonts w:ascii="Times New Roman" w:hAnsi="Times New Roman"/>
                <w:sz w:val="24"/>
              </w:rPr>
            </w:pPr>
            <w:r>
              <w:rPr>
                <w:rFonts w:ascii="Times New Roman" w:hAnsi="Times New Roman"/>
                <w:sz w:val="24"/>
              </w:rPr>
              <w:t>Amplia distribución en la República Mexicana. Texas; Son., Sin., Coah., N.L. Tamps., Dgo., Zac., S.L.P., Gto., Qro., Hgo.,</w:t>
            </w:r>
          </w:p>
          <w:p>
            <w:pPr>
              <w:pStyle w:val="TableParagraph"/>
              <w:spacing w:line="274" w:lineRule="exact"/>
              <w:ind w:left="67"/>
              <w:jc w:val="both"/>
              <w:rPr>
                <w:rFonts w:ascii="Times New Roman" w:hAnsi="Times New Roman"/>
                <w:sz w:val="24"/>
              </w:rPr>
            </w:pPr>
            <w:r>
              <w:rPr>
                <w:rFonts w:ascii="Times New Roman" w:hAnsi="Times New Roman"/>
                <w:sz w:val="24"/>
              </w:rPr>
              <w:t>Nay.,  Jal.,  Mich.,  Méx.,  D.F.,  Mor.,  Pue.,</w:t>
            </w:r>
          </w:p>
        </w:tc>
      </w:tr>
    </w:tbl>
    <w:p>
      <w:pPr>
        <w:spacing w:after="0" w:line="274" w:lineRule="exact"/>
        <w:jc w:val="both"/>
        <w:rPr>
          <w:rFonts w:ascii="Times New Roman" w:hAnsi="Times New Roman"/>
          <w:sz w:val="24"/>
        </w:rPr>
        <w:sectPr>
          <w:footerReference w:type="default" r:id="rId173"/>
          <w:pgSz w:w="12240" w:h="15840"/>
          <w:pgMar w:footer="1146" w:header="685" w:top="880" w:bottom="1340" w:left="1160" w:right="11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9"/>
        </w:rPr>
      </w:pPr>
    </w:p>
    <w:p>
      <w:pPr>
        <w:pStyle w:val="BodyText"/>
        <w:spacing w:before="78"/>
        <w:ind w:left="256" w:right="302"/>
        <w:rPr>
          <w:rFonts w:ascii="Times New Roman" w:hAnsi="Times New Roman"/>
        </w:rPr>
      </w:pPr>
      <w:r>
        <w:rPr/>
        <w:pict>
          <v:shape style="position:absolute;margin-left:63.144001pt;margin-top:-31.161226pt;width:487.9pt;height:37.2pt;mso-position-horizontal-relative:page;mso-position-vertical-relative:paragraph;z-index:5128" type="#_x0000_t202" filled="false" stroked="false">
            <v:textbox inset="0,0,0,0">
              <w:txbxContent>
                <w:tbl>
                  <w:tblPr>
                    <w:tblW w:w="0" w:type="auto"/>
                    <w:jc w:val="left"/>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33"/>
                    <w:gridCol w:w="2012"/>
                    <w:gridCol w:w="1392"/>
                    <w:gridCol w:w="4591"/>
                  </w:tblGrid>
                  <w:tr>
                    <w:trPr>
                      <w:trHeight w:val="658" w:hRule="exact"/>
                    </w:trPr>
                    <w:tc>
                      <w:tcPr>
                        <w:tcW w:w="1633" w:type="dxa"/>
                        <w:tcBorders>
                          <w:bottom w:val="thinThickMediumGap" w:sz="17" w:space="0" w:color="000000"/>
                          <w:right w:val="thinThickMediumGap" w:sz="17" w:space="0" w:color="000000"/>
                        </w:tcBorders>
                      </w:tcPr>
                      <w:p>
                        <w:pPr/>
                      </w:p>
                    </w:tc>
                    <w:tc>
                      <w:tcPr>
                        <w:tcW w:w="2012" w:type="dxa"/>
                        <w:tcBorders>
                          <w:bottom w:val="thinThickMediumGap" w:sz="17" w:space="0" w:color="000000"/>
                          <w:right w:val="thinThickMediumGap" w:sz="17" w:space="0" w:color="000000"/>
                        </w:tcBorders>
                      </w:tcPr>
                      <w:p>
                        <w:pPr/>
                      </w:p>
                    </w:tc>
                    <w:tc>
                      <w:tcPr>
                        <w:tcW w:w="1392" w:type="dxa"/>
                        <w:tcBorders>
                          <w:bottom w:val="thinThickMediumGap" w:sz="17" w:space="0" w:color="000000"/>
                          <w:right w:val="thinThickMediumGap" w:sz="17" w:space="0" w:color="000000"/>
                        </w:tcBorders>
                      </w:tcPr>
                      <w:p>
                        <w:pPr/>
                      </w:p>
                    </w:tc>
                    <w:tc>
                      <w:tcPr>
                        <w:tcW w:w="4591" w:type="dxa"/>
                        <w:tcBorders>
                          <w:bottom w:val="thinThickMediumGap" w:sz="17" w:space="0" w:color="000000"/>
                          <w:right w:val="thinThickMediumGap" w:sz="17" w:space="0" w:color="000000"/>
                        </w:tcBorders>
                      </w:tcPr>
                      <w:p>
                        <w:pPr>
                          <w:pStyle w:val="TableParagraph"/>
                          <w:tabs>
                            <w:tab w:pos="877" w:val="left" w:leader="none"/>
                            <w:tab w:pos="1610" w:val="left" w:leader="none"/>
                            <w:tab w:pos="2353" w:val="left" w:leader="none"/>
                            <w:tab w:pos="3121" w:val="left" w:leader="none"/>
                            <w:tab w:pos="3864" w:val="left" w:leader="none"/>
                          </w:tabs>
                          <w:spacing w:line="274" w:lineRule="exact" w:before="16"/>
                          <w:ind w:left="67" w:right="72"/>
                          <w:rPr>
                            <w:rFonts w:ascii="Times New Roman"/>
                            <w:sz w:val="24"/>
                          </w:rPr>
                        </w:pPr>
                        <w:r>
                          <w:rPr>
                            <w:rFonts w:ascii="Times New Roman"/>
                            <w:sz w:val="24"/>
                          </w:rPr>
                          <w:t>Tlax.,</w:t>
                          <w:tab/>
                          <w:t>Ver.,</w:t>
                          <w:tab/>
                          <w:t>Gro.,</w:t>
                          <w:tab/>
                          <w:t>Oax.,</w:t>
                          <w:tab/>
                          <w:t>Tab.,</w:t>
                          <w:tab/>
                        </w:r>
                        <w:r>
                          <w:rPr>
                            <w:rFonts w:ascii="Times New Roman"/>
                            <w:spacing w:val="-1"/>
                            <w:sz w:val="24"/>
                          </w:rPr>
                          <w:t>Chis.; </w:t>
                        </w:r>
                        <w:r>
                          <w:rPr>
                            <w:rFonts w:ascii="Times New Roman"/>
                            <w:sz w:val="24"/>
                          </w:rPr>
                          <w:t>Guatemala (Carranza,</w:t>
                        </w:r>
                        <w:r>
                          <w:rPr>
                            <w:rFonts w:ascii="Times New Roman"/>
                            <w:spacing w:val="-10"/>
                            <w:sz w:val="24"/>
                          </w:rPr>
                          <w:t> </w:t>
                        </w:r>
                        <w:r>
                          <w:rPr>
                            <w:rFonts w:ascii="Times New Roman"/>
                            <w:sz w:val="24"/>
                          </w:rPr>
                          <w:t>1992)</w:t>
                        </w:r>
                      </w:p>
                    </w:tc>
                  </w:tr>
                </w:tbl>
                <w:p>
                  <w:pPr>
                    <w:pStyle w:val="BodyText"/>
                  </w:pPr>
                </w:p>
              </w:txbxContent>
            </v:textbox>
            <w10:wrap type="none"/>
          </v:shape>
        </w:pict>
      </w:r>
      <w:r>
        <w:rPr>
          <w:rFonts w:ascii="Times New Roman" w:hAnsi="Times New Roman"/>
          <w:i/>
          <w:position w:val="11"/>
          <w:sz w:val="16"/>
        </w:rPr>
        <w:t>1 </w:t>
      </w:r>
      <w:r>
        <w:rPr>
          <w:rFonts w:ascii="Times New Roman" w:hAnsi="Times New Roman"/>
        </w:rPr>
        <w:t>Además, localizadas en las Zonas de Manejo Ambiental de Hortalizas y Mariposario.</w:t>
      </w:r>
    </w:p>
    <w:p>
      <w:pPr>
        <w:pStyle w:val="BodyText"/>
        <w:spacing w:line="480" w:lineRule="auto" w:before="2" w:after="4"/>
        <w:ind w:left="3733" w:right="302" w:hanging="3386"/>
        <w:rPr>
          <w:rFonts w:ascii="Times New Roman" w:hAnsi="Times New Roman"/>
        </w:rPr>
      </w:pPr>
      <w:r>
        <w:rPr>
          <w:rFonts w:ascii="Times New Roman" w:hAnsi="Times New Roman"/>
        </w:rPr>
        <w:t>Cuadro 1. Listado de especies de flora, en la Zona de Manejo Ambiental de Plantas Medicinales y Aromáticas. (Continúa)</w:t>
      </w: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47"/>
        <w:gridCol w:w="2060"/>
        <w:gridCol w:w="1383"/>
        <w:gridCol w:w="4538"/>
      </w:tblGrid>
      <w:tr>
        <w:trPr>
          <w:trHeight w:val="644" w:hRule="exact"/>
        </w:trPr>
        <w:tc>
          <w:tcPr>
            <w:tcW w:w="1647" w:type="dxa"/>
            <w:tcBorders>
              <w:bottom w:val="thinThickMediumGap" w:sz="17" w:space="0" w:color="000000"/>
              <w:right w:val="thinThickMediumGap" w:sz="17" w:space="0" w:color="000000"/>
            </w:tcBorders>
          </w:tcPr>
          <w:p>
            <w:pPr>
              <w:pStyle w:val="TableParagraph"/>
              <w:spacing w:before="150"/>
              <w:ind w:left="41" w:right="48"/>
              <w:jc w:val="center"/>
              <w:rPr>
                <w:rFonts w:ascii="Times New Roman"/>
                <w:b/>
                <w:sz w:val="24"/>
              </w:rPr>
            </w:pPr>
            <w:r>
              <w:rPr>
                <w:rFonts w:ascii="Times New Roman"/>
                <w:b/>
                <w:sz w:val="24"/>
              </w:rPr>
              <w:t>FAMILIA</w:t>
            </w:r>
          </w:p>
        </w:tc>
        <w:tc>
          <w:tcPr>
            <w:tcW w:w="2060" w:type="dxa"/>
            <w:tcBorders>
              <w:bottom w:val="thinThickMediumGap" w:sz="17" w:space="0" w:color="000000"/>
              <w:right w:val="thinThickMediumGap" w:sz="17" w:space="0" w:color="000000"/>
            </w:tcBorders>
          </w:tcPr>
          <w:p>
            <w:pPr>
              <w:pStyle w:val="TableParagraph"/>
              <w:spacing w:line="274" w:lineRule="exact" w:before="21"/>
              <w:ind w:left="254" w:firstLine="187"/>
              <w:rPr>
                <w:rFonts w:ascii="Times New Roman" w:hAnsi="Times New Roman"/>
                <w:b/>
                <w:sz w:val="24"/>
              </w:rPr>
            </w:pPr>
            <w:r>
              <w:rPr>
                <w:rFonts w:ascii="Times New Roman" w:hAnsi="Times New Roman"/>
                <w:b/>
                <w:sz w:val="24"/>
              </w:rPr>
              <w:t>NOMBRE CIENTÍFICO</w:t>
            </w:r>
          </w:p>
        </w:tc>
        <w:tc>
          <w:tcPr>
            <w:tcW w:w="1383" w:type="dxa"/>
            <w:tcBorders>
              <w:bottom w:val="thinThickMediumGap" w:sz="17" w:space="0" w:color="000000"/>
              <w:right w:val="thinThickMediumGap" w:sz="17" w:space="0" w:color="000000"/>
            </w:tcBorders>
          </w:tcPr>
          <w:p>
            <w:pPr>
              <w:pStyle w:val="TableParagraph"/>
              <w:spacing w:line="274" w:lineRule="exact" w:before="21"/>
              <w:ind w:left="182" w:right="86" w:hanging="72"/>
              <w:rPr>
                <w:rFonts w:ascii="Times New Roman" w:hAnsi="Times New Roman"/>
                <w:b/>
                <w:sz w:val="24"/>
              </w:rPr>
            </w:pPr>
            <w:r>
              <w:rPr>
                <w:rFonts w:ascii="Times New Roman" w:hAnsi="Times New Roman"/>
                <w:b/>
                <w:sz w:val="24"/>
              </w:rPr>
              <w:t>NOMBRE COMÚN</w:t>
            </w:r>
          </w:p>
        </w:tc>
        <w:tc>
          <w:tcPr>
            <w:tcW w:w="4538" w:type="dxa"/>
            <w:tcBorders>
              <w:bottom w:val="thinThickMediumGap" w:sz="17" w:space="0" w:color="000000"/>
              <w:right w:val="thinThickMediumGap" w:sz="17" w:space="0" w:color="000000"/>
            </w:tcBorders>
          </w:tcPr>
          <w:p>
            <w:pPr>
              <w:pStyle w:val="TableParagraph"/>
              <w:spacing w:before="150"/>
              <w:ind w:left="1334" w:right="69"/>
              <w:rPr>
                <w:rFonts w:ascii="Times New Roman" w:hAnsi="Times New Roman"/>
                <w:b/>
                <w:sz w:val="24"/>
              </w:rPr>
            </w:pPr>
            <w:r>
              <w:rPr>
                <w:rFonts w:ascii="Times New Roman" w:hAnsi="Times New Roman"/>
                <w:b/>
                <w:sz w:val="24"/>
              </w:rPr>
              <w:t>DISTRIBUCIÓN</w:t>
            </w:r>
          </w:p>
        </w:tc>
      </w:tr>
      <w:tr>
        <w:trPr>
          <w:trHeight w:val="1469" w:hRule="exact"/>
        </w:trPr>
        <w:tc>
          <w:tcPr>
            <w:tcW w:w="164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6"/>
              <w:rPr>
                <w:rFonts w:ascii="Times New Roman"/>
                <w:sz w:val="24"/>
              </w:rPr>
            </w:pPr>
          </w:p>
          <w:p>
            <w:pPr>
              <w:pStyle w:val="TableParagraph"/>
              <w:ind w:left="45" w:right="48"/>
              <w:jc w:val="center"/>
              <w:rPr>
                <w:rFonts w:ascii="Times New Roman"/>
                <w:sz w:val="24"/>
              </w:rPr>
            </w:pPr>
            <w:r>
              <w:rPr>
                <w:rFonts w:ascii="Times New Roman"/>
                <w:sz w:val="24"/>
              </w:rPr>
              <w:t>Euphorbiaceae</w:t>
            </w:r>
          </w:p>
        </w:tc>
        <w:tc>
          <w:tcPr>
            <w:tcW w:w="2060"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line="274" w:lineRule="exact" w:before="153"/>
              <w:ind w:left="62" w:right="638"/>
              <w:rPr>
                <w:rFonts w:ascii="Times New Roman"/>
                <w:sz w:val="24"/>
              </w:rPr>
            </w:pPr>
            <w:r>
              <w:rPr>
                <w:rFonts w:ascii="Times New Roman"/>
                <w:i/>
                <w:sz w:val="24"/>
              </w:rPr>
              <w:t>Euphorbia </w:t>
            </w:r>
            <w:r>
              <w:rPr>
                <w:rFonts w:ascii="Times New Roman"/>
                <w:i/>
                <w:sz w:val="24"/>
              </w:rPr>
              <w:t>cotinifolia </w:t>
            </w:r>
            <w:r>
              <w:rPr>
                <w:rFonts w:ascii="Times New Roman"/>
                <w:sz w:val="24"/>
              </w:rPr>
              <w:t>L.</w:t>
            </w:r>
          </w:p>
        </w:tc>
        <w:tc>
          <w:tcPr>
            <w:tcW w:w="138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line="274" w:lineRule="exact" w:before="153"/>
              <w:ind w:left="456" w:right="86" w:hanging="202"/>
              <w:rPr>
                <w:rFonts w:ascii="Times New Roman"/>
                <w:sz w:val="24"/>
              </w:rPr>
            </w:pPr>
            <w:r>
              <w:rPr>
                <w:rFonts w:ascii="Times New Roman"/>
                <w:sz w:val="24"/>
              </w:rPr>
              <w:t>Lechero rojo</w:t>
            </w:r>
          </w:p>
        </w:tc>
        <w:tc>
          <w:tcPr>
            <w:tcW w:w="4538" w:type="dxa"/>
            <w:tcBorders>
              <w:bottom w:val="thinThickMediumGap" w:sz="17" w:space="0" w:color="000000"/>
              <w:right w:val="thinThickMediumGap" w:sz="17" w:space="0" w:color="000000"/>
            </w:tcBorders>
          </w:tcPr>
          <w:p>
            <w:pPr>
              <w:pStyle w:val="TableParagraph"/>
              <w:spacing w:before="6"/>
              <w:ind w:left="67" w:right="65"/>
              <w:jc w:val="both"/>
              <w:rPr>
                <w:rFonts w:ascii="Times New Roman" w:hAnsi="Times New Roman"/>
                <w:sz w:val="24"/>
              </w:rPr>
            </w:pPr>
            <w:r>
              <w:rPr>
                <w:rFonts w:ascii="Times New Roman" w:hAnsi="Times New Roman"/>
                <w:sz w:val="24"/>
              </w:rPr>
              <w:t>Bolivia, Brasil, China, Colombia, Costa Rica, Ecuador, El Salvador, Guatemala, Guyana, Honduras, México (Chiapas, Oaxaca) Nicaragua, Panamá y Venezuela (Tropicos, 2014).</w:t>
            </w:r>
          </w:p>
        </w:tc>
      </w:tr>
      <w:tr>
        <w:trPr>
          <w:trHeight w:val="2021" w:hRule="exact"/>
        </w:trPr>
        <w:tc>
          <w:tcPr>
            <w:tcW w:w="164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4"/>
              </w:rPr>
            </w:pPr>
          </w:p>
          <w:p>
            <w:pPr>
              <w:pStyle w:val="TableParagraph"/>
              <w:spacing w:before="1"/>
              <w:ind w:left="45" w:right="48"/>
              <w:jc w:val="center"/>
              <w:rPr>
                <w:rFonts w:ascii="Times New Roman"/>
                <w:sz w:val="24"/>
              </w:rPr>
            </w:pPr>
            <w:r>
              <w:rPr>
                <w:rFonts w:ascii="Times New Roman"/>
                <w:sz w:val="24"/>
              </w:rPr>
              <w:t>Euphorbiaceae</w:t>
            </w:r>
          </w:p>
        </w:tc>
        <w:tc>
          <w:tcPr>
            <w:tcW w:w="2060"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line="260" w:lineRule="exact" w:before="145"/>
              <w:ind w:left="62"/>
              <w:rPr>
                <w:rFonts w:ascii="Times New Roman"/>
                <w:i/>
                <w:sz w:val="24"/>
              </w:rPr>
            </w:pPr>
            <w:r>
              <w:rPr>
                <w:rFonts w:ascii="Times New Roman"/>
                <w:i/>
                <w:sz w:val="24"/>
              </w:rPr>
              <w:t>Ricinus  communis</w:t>
            </w:r>
          </w:p>
          <w:p>
            <w:pPr>
              <w:pStyle w:val="TableParagraph"/>
              <w:spacing w:line="295" w:lineRule="exact"/>
              <w:ind w:left="62"/>
              <w:rPr>
                <w:rFonts w:ascii="Times New Roman"/>
                <w:sz w:val="16"/>
              </w:rPr>
            </w:pPr>
            <w:r>
              <w:rPr>
                <w:rFonts w:ascii="Times New Roman"/>
                <w:sz w:val="24"/>
              </w:rPr>
              <w:t>L. </w:t>
            </w:r>
            <w:r>
              <w:rPr>
                <w:rFonts w:ascii="Times New Roman"/>
                <w:position w:val="11"/>
                <w:sz w:val="16"/>
              </w:rPr>
              <w:t>2</w:t>
            </w:r>
          </w:p>
        </w:tc>
        <w:tc>
          <w:tcPr>
            <w:tcW w:w="138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4"/>
              </w:rPr>
            </w:pPr>
          </w:p>
          <w:p>
            <w:pPr>
              <w:pStyle w:val="TableParagraph"/>
              <w:spacing w:before="1"/>
              <w:ind w:left="163" w:right="86"/>
              <w:rPr>
                <w:rFonts w:ascii="Times New Roman"/>
                <w:sz w:val="24"/>
              </w:rPr>
            </w:pPr>
            <w:r>
              <w:rPr>
                <w:rFonts w:ascii="Times New Roman"/>
                <w:sz w:val="24"/>
              </w:rPr>
              <w:t>Higuerilla</w:t>
            </w:r>
          </w:p>
        </w:tc>
        <w:tc>
          <w:tcPr>
            <w:tcW w:w="4538" w:type="dxa"/>
            <w:tcBorders>
              <w:bottom w:val="thinThickMediumGap" w:sz="17" w:space="0" w:color="000000"/>
              <w:right w:val="thinThickMediumGap" w:sz="17" w:space="0" w:color="000000"/>
            </w:tcBorders>
          </w:tcPr>
          <w:p>
            <w:pPr>
              <w:pStyle w:val="TableParagraph"/>
              <w:spacing w:before="11"/>
              <w:ind w:left="67" w:right="65"/>
              <w:jc w:val="both"/>
              <w:rPr>
                <w:rFonts w:ascii="Times New Roman" w:hAnsi="Times New Roman"/>
                <w:sz w:val="24"/>
              </w:rPr>
            </w:pPr>
            <w:r>
              <w:rPr>
                <w:rFonts w:ascii="Times New Roman" w:hAnsi="Times New Roman"/>
                <w:sz w:val="24"/>
              </w:rPr>
              <w:t>En México se registra de Chiapas, Chihuahua, Coahuila, Colima, Distrito Federal, Guanajuato, Guerrero, Jalisco, Estado de México, Michoacán, Morelos, Nayarit, Oaxaca, Sinaloa, Sonora, Tabasco, Tamaulipas, Tlaxcala, Veracruz, Yucatán (Villaseñor y Espinosa, 1998).</w:t>
            </w:r>
          </w:p>
        </w:tc>
      </w:tr>
      <w:tr>
        <w:trPr>
          <w:trHeight w:val="1469" w:hRule="exact"/>
        </w:trPr>
        <w:tc>
          <w:tcPr>
            <w:tcW w:w="164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5"/>
              </w:rPr>
            </w:pPr>
          </w:p>
          <w:p>
            <w:pPr>
              <w:pStyle w:val="TableParagraph"/>
              <w:ind w:left="41" w:right="48"/>
              <w:jc w:val="center"/>
              <w:rPr>
                <w:rFonts w:ascii="Times New Roman"/>
                <w:sz w:val="24"/>
              </w:rPr>
            </w:pPr>
            <w:r>
              <w:rPr>
                <w:rFonts w:ascii="Times New Roman"/>
                <w:sz w:val="24"/>
              </w:rPr>
              <w:t>Fabaceae</w:t>
            </w:r>
          </w:p>
        </w:tc>
        <w:tc>
          <w:tcPr>
            <w:tcW w:w="2060"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62"/>
              <w:rPr>
                <w:rFonts w:ascii="Times New Roman"/>
                <w:i/>
                <w:sz w:val="24"/>
              </w:rPr>
            </w:pPr>
            <w:r>
              <w:rPr>
                <w:rFonts w:ascii="Times New Roman"/>
                <w:i/>
                <w:sz w:val="24"/>
              </w:rPr>
              <w:t>Acacia  farnesiana</w:t>
            </w:r>
          </w:p>
          <w:p>
            <w:pPr>
              <w:pStyle w:val="TableParagraph"/>
              <w:spacing w:before="2"/>
              <w:ind w:left="62"/>
              <w:rPr>
                <w:rFonts w:ascii="Times New Roman"/>
                <w:sz w:val="24"/>
              </w:rPr>
            </w:pPr>
            <w:r>
              <w:rPr>
                <w:rFonts w:ascii="Times New Roman"/>
                <w:sz w:val="24"/>
              </w:rPr>
              <w:t>(L.) Willd.</w:t>
            </w:r>
          </w:p>
        </w:tc>
        <w:tc>
          <w:tcPr>
            <w:tcW w:w="138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5"/>
              </w:rPr>
            </w:pPr>
          </w:p>
          <w:p>
            <w:pPr>
              <w:pStyle w:val="TableParagraph"/>
              <w:ind w:left="196" w:right="86"/>
              <w:rPr>
                <w:rFonts w:ascii="Times New Roman"/>
                <w:sz w:val="24"/>
              </w:rPr>
            </w:pPr>
            <w:r>
              <w:rPr>
                <w:rFonts w:ascii="Times New Roman"/>
                <w:sz w:val="24"/>
              </w:rPr>
              <w:t>Huizache</w:t>
            </w:r>
          </w:p>
        </w:tc>
        <w:tc>
          <w:tcPr>
            <w:tcW w:w="4538" w:type="dxa"/>
            <w:tcBorders>
              <w:bottom w:val="thinThickMediumGap" w:sz="17" w:space="0" w:color="000000"/>
              <w:right w:val="thinThickMediumGap" w:sz="17" w:space="0" w:color="000000"/>
            </w:tcBorders>
          </w:tcPr>
          <w:p>
            <w:pPr>
              <w:pStyle w:val="TableParagraph"/>
              <w:spacing w:before="11"/>
              <w:ind w:left="67" w:right="65"/>
              <w:jc w:val="both"/>
              <w:rPr>
                <w:rFonts w:ascii="Times New Roman" w:hAnsi="Times New Roman"/>
                <w:sz w:val="24"/>
              </w:rPr>
            </w:pPr>
            <w:r>
              <w:rPr>
                <w:rFonts w:ascii="Times New Roman" w:hAnsi="Times New Roman"/>
                <w:sz w:val="24"/>
              </w:rPr>
              <w:t>Probablemente nativa de América tropical, cultivada en todo el mundo. En la vertiente Pacífica: desde el sur de Sonora hasta Chiapas y de manera discontinua en la vertiente Atlántica.</w:t>
            </w:r>
          </w:p>
        </w:tc>
      </w:tr>
      <w:tr>
        <w:trPr>
          <w:trHeight w:val="643" w:hRule="exact"/>
        </w:trPr>
        <w:tc>
          <w:tcPr>
            <w:tcW w:w="1647" w:type="dxa"/>
            <w:tcBorders>
              <w:bottom w:val="thinThickMediumGap" w:sz="17" w:space="0" w:color="000000"/>
              <w:right w:val="thinThickMediumGap" w:sz="17" w:space="0" w:color="000000"/>
            </w:tcBorders>
          </w:tcPr>
          <w:p>
            <w:pPr>
              <w:pStyle w:val="TableParagraph"/>
              <w:spacing w:before="150"/>
              <w:ind w:left="41" w:right="48"/>
              <w:jc w:val="center"/>
              <w:rPr>
                <w:rFonts w:ascii="Times New Roman"/>
                <w:sz w:val="24"/>
              </w:rPr>
            </w:pPr>
            <w:r>
              <w:rPr>
                <w:rFonts w:ascii="Times New Roman"/>
                <w:sz w:val="24"/>
              </w:rPr>
              <w:t>Fabaceae</w:t>
            </w:r>
          </w:p>
        </w:tc>
        <w:tc>
          <w:tcPr>
            <w:tcW w:w="2060" w:type="dxa"/>
            <w:tcBorders>
              <w:bottom w:val="thinThickMediumGap" w:sz="17" w:space="0" w:color="000000"/>
              <w:right w:val="thinThickMediumGap" w:sz="17" w:space="0" w:color="000000"/>
            </w:tcBorders>
          </w:tcPr>
          <w:p>
            <w:pPr>
              <w:pStyle w:val="TableParagraph"/>
              <w:spacing w:before="11"/>
              <w:ind w:left="62"/>
              <w:rPr>
                <w:rFonts w:ascii="Times New Roman"/>
                <w:i/>
                <w:sz w:val="24"/>
              </w:rPr>
            </w:pPr>
            <w:r>
              <w:rPr>
                <w:rFonts w:ascii="Times New Roman"/>
                <w:i/>
                <w:sz w:val="24"/>
              </w:rPr>
              <w:t>Amicia   zygomeris</w:t>
            </w:r>
          </w:p>
          <w:p>
            <w:pPr>
              <w:pStyle w:val="TableParagraph"/>
              <w:spacing w:before="2"/>
              <w:ind w:left="62"/>
              <w:rPr>
                <w:rFonts w:ascii="Times New Roman"/>
                <w:sz w:val="24"/>
              </w:rPr>
            </w:pPr>
            <w:r>
              <w:rPr>
                <w:rFonts w:ascii="Times New Roman"/>
                <w:sz w:val="24"/>
              </w:rPr>
              <w:t>DC.</w:t>
            </w:r>
          </w:p>
        </w:tc>
        <w:tc>
          <w:tcPr>
            <w:tcW w:w="1383" w:type="dxa"/>
            <w:tcBorders>
              <w:bottom w:val="thinThickMediumGap" w:sz="17" w:space="0" w:color="000000"/>
              <w:right w:val="thinThickMediumGap" w:sz="17" w:space="0" w:color="000000"/>
            </w:tcBorders>
          </w:tcPr>
          <w:p>
            <w:pPr/>
          </w:p>
        </w:tc>
        <w:tc>
          <w:tcPr>
            <w:tcW w:w="4538" w:type="dxa"/>
            <w:tcBorders>
              <w:bottom w:val="thinThickMediumGap" w:sz="17" w:space="0" w:color="000000"/>
              <w:right w:val="thinThickMediumGap" w:sz="17" w:space="0" w:color="000000"/>
            </w:tcBorders>
          </w:tcPr>
          <w:p>
            <w:pPr>
              <w:pStyle w:val="TableParagraph"/>
              <w:spacing w:line="242" w:lineRule="auto" w:before="11"/>
              <w:ind w:left="67" w:right="69"/>
              <w:rPr>
                <w:rFonts w:ascii="Times New Roman" w:hAnsi="Times New Roman"/>
                <w:sz w:val="24"/>
              </w:rPr>
            </w:pPr>
            <w:r>
              <w:rPr>
                <w:rFonts w:ascii="Times New Roman" w:hAnsi="Times New Roman"/>
                <w:sz w:val="24"/>
              </w:rPr>
              <w:t>Distribución. México (Chihuahua, Oaxaca, Veracruz) (Trópicos, 2014)</w:t>
            </w:r>
          </w:p>
        </w:tc>
      </w:tr>
      <w:tr>
        <w:trPr>
          <w:trHeight w:val="3126" w:hRule="exact"/>
        </w:trPr>
        <w:tc>
          <w:tcPr>
            <w:tcW w:w="1647"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41" w:right="48"/>
              <w:jc w:val="center"/>
              <w:rPr>
                <w:rFonts w:ascii="Times New Roman"/>
                <w:sz w:val="24"/>
              </w:rPr>
            </w:pPr>
            <w:r>
              <w:rPr>
                <w:rFonts w:ascii="Times New Roman"/>
                <w:sz w:val="24"/>
              </w:rPr>
              <w:t>Fabaceae</w:t>
            </w:r>
          </w:p>
        </w:tc>
        <w:tc>
          <w:tcPr>
            <w:tcW w:w="2060"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tabs>
                <w:tab w:pos="867" w:val="left" w:leader="none"/>
                <w:tab w:pos="1541" w:val="left" w:leader="none"/>
                <w:tab w:pos="1788" w:val="left" w:leader="none"/>
              </w:tabs>
              <w:ind w:left="62" w:right="63"/>
              <w:rPr>
                <w:rFonts w:ascii="Times New Roman"/>
                <w:sz w:val="24"/>
              </w:rPr>
            </w:pPr>
            <w:r>
              <w:rPr>
                <w:rFonts w:ascii="Times New Roman"/>
                <w:i/>
                <w:sz w:val="24"/>
              </w:rPr>
              <w:t>Acaciella </w:t>
            </w:r>
            <w:r>
              <w:rPr>
                <w:rFonts w:ascii="Times New Roman"/>
                <w:i/>
                <w:sz w:val="24"/>
              </w:rPr>
              <w:t>angustissima</w:t>
              <w:tab/>
            </w:r>
            <w:r>
              <w:rPr>
                <w:rFonts w:ascii="Times New Roman"/>
                <w:sz w:val="24"/>
              </w:rPr>
              <w:t>var. angustissima (Mill)</w:t>
              <w:tab/>
              <w:t>Britton</w:t>
              <w:tab/>
              <w:t>y Rose</w:t>
            </w:r>
          </w:p>
        </w:tc>
        <w:tc>
          <w:tcPr>
            <w:tcW w:w="1383"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50"/>
              <w:ind w:left="187" w:right="86" w:firstLine="81"/>
              <w:rPr>
                <w:rFonts w:ascii="Times New Roman"/>
                <w:sz w:val="24"/>
              </w:rPr>
            </w:pPr>
            <w:r>
              <w:rPr>
                <w:rFonts w:ascii="Times New Roman"/>
                <w:sz w:val="24"/>
              </w:rPr>
              <w:t>Timbre, Timbrillo</w:t>
            </w:r>
          </w:p>
        </w:tc>
        <w:tc>
          <w:tcPr>
            <w:tcW w:w="4538" w:type="dxa"/>
            <w:tcBorders>
              <w:top w:val="thickThinMediumGap" w:sz="17" w:space="0" w:color="000000"/>
              <w:bottom w:val="thinThickMediumGap" w:sz="17" w:space="0" w:color="000000"/>
              <w:right w:val="thinThickMediumGap" w:sz="17" w:space="0" w:color="000000"/>
            </w:tcBorders>
          </w:tcPr>
          <w:p>
            <w:pPr>
              <w:pStyle w:val="TableParagraph"/>
              <w:spacing w:before="11"/>
              <w:ind w:left="67" w:right="58"/>
              <w:jc w:val="both"/>
              <w:rPr>
                <w:rFonts w:ascii="Times New Roman" w:hAnsi="Times New Roman"/>
                <w:sz w:val="24"/>
              </w:rPr>
            </w:pPr>
            <w:r>
              <w:rPr>
                <w:rFonts w:ascii="Times New Roman" w:hAnsi="Times New Roman"/>
                <w:sz w:val="24"/>
              </w:rPr>
              <w:t>Estados Unidos de América, sur a través de México y Centroamérica a Venezuela, Colombia, Perú, Ecuador, Bolivia y Argentina. No ha sido registrado desde Guianas, Uruguay y Paraguay, pero probablemente ha sido introducido con propósitos forestales. Se cultiva en Brasil y </w:t>
            </w:r>
            <w:r>
              <w:rPr>
                <w:rFonts w:ascii="Times New Roman" w:hAnsi="Times New Roman"/>
                <w:spacing w:val="-3"/>
                <w:sz w:val="24"/>
              </w:rPr>
              <w:t>la </w:t>
            </w:r>
            <w:r>
              <w:rPr>
                <w:rFonts w:ascii="Times New Roman" w:hAnsi="Times New Roman"/>
                <w:sz w:val="24"/>
              </w:rPr>
              <w:t>Republica Dominicana. Introducido en Australia, Tailandia, Indonesia, Las  Filipinas y Papua Nueva Guinea (Rico y Bachman,</w:t>
            </w:r>
            <w:r>
              <w:rPr>
                <w:rFonts w:ascii="Times New Roman" w:hAnsi="Times New Roman"/>
                <w:spacing w:val="-3"/>
                <w:sz w:val="24"/>
              </w:rPr>
              <w:t> </w:t>
            </w:r>
            <w:r>
              <w:rPr>
                <w:rFonts w:ascii="Times New Roman" w:hAnsi="Times New Roman"/>
                <w:sz w:val="24"/>
              </w:rPr>
              <w:t>2006).</w:t>
            </w:r>
          </w:p>
        </w:tc>
      </w:tr>
      <w:tr>
        <w:trPr>
          <w:trHeight w:val="1214" w:hRule="exact"/>
        </w:trPr>
        <w:tc>
          <w:tcPr>
            <w:tcW w:w="164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1" w:right="48"/>
              <w:jc w:val="center"/>
              <w:rPr>
                <w:rFonts w:ascii="Times New Roman"/>
                <w:sz w:val="24"/>
              </w:rPr>
            </w:pPr>
            <w:r>
              <w:rPr>
                <w:rFonts w:ascii="Times New Roman"/>
                <w:sz w:val="24"/>
              </w:rPr>
              <w:t>Fabaceae</w:t>
            </w:r>
          </w:p>
        </w:tc>
        <w:tc>
          <w:tcPr>
            <w:tcW w:w="2060" w:type="dxa"/>
            <w:tcBorders>
              <w:bottom w:val="thinThickMediumGap" w:sz="17" w:space="0" w:color="000000"/>
              <w:right w:val="thinThickMediumGap" w:sz="17" w:space="0" w:color="000000"/>
            </w:tcBorders>
          </w:tcPr>
          <w:p>
            <w:pPr>
              <w:pStyle w:val="TableParagraph"/>
              <w:spacing w:line="225" w:lineRule="auto" w:before="163"/>
              <w:ind w:left="62"/>
              <w:rPr>
                <w:rFonts w:ascii="Times New Roman"/>
                <w:sz w:val="16"/>
              </w:rPr>
            </w:pPr>
            <w:r>
              <w:rPr>
                <w:rFonts w:ascii="Times New Roman"/>
                <w:i/>
                <w:sz w:val="24"/>
              </w:rPr>
              <w:t>Lysiloma </w:t>
            </w:r>
            <w:r>
              <w:rPr>
                <w:rFonts w:ascii="Times New Roman"/>
                <w:i/>
                <w:sz w:val="24"/>
              </w:rPr>
              <w:t>acapulcense </w:t>
            </w:r>
            <w:r>
              <w:rPr>
                <w:rFonts w:ascii="Times New Roman"/>
                <w:sz w:val="24"/>
              </w:rPr>
              <w:t>(Kunth) Benth. </w:t>
            </w:r>
            <w:r>
              <w:rPr>
                <w:rFonts w:ascii="Times New Roman"/>
                <w:position w:val="11"/>
                <w:sz w:val="16"/>
              </w:rPr>
              <w:t>3</w:t>
            </w:r>
          </w:p>
        </w:tc>
        <w:tc>
          <w:tcPr>
            <w:tcW w:w="138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48" w:right="86"/>
              <w:rPr>
                <w:rFonts w:ascii="Times New Roman"/>
                <w:sz w:val="24"/>
              </w:rPr>
            </w:pPr>
            <w:r>
              <w:rPr>
                <w:rFonts w:ascii="Times New Roman"/>
                <w:sz w:val="24"/>
              </w:rPr>
              <w:t>Tepehuaje</w:t>
            </w:r>
          </w:p>
        </w:tc>
        <w:tc>
          <w:tcPr>
            <w:tcW w:w="4538" w:type="dxa"/>
            <w:tcBorders>
              <w:bottom w:val="thinThickMediumGap" w:sz="17" w:space="0" w:color="000000"/>
              <w:right w:val="thinThickMediumGap" w:sz="17" w:space="0" w:color="000000"/>
            </w:tcBorders>
          </w:tcPr>
          <w:p>
            <w:pPr>
              <w:pStyle w:val="TableParagraph"/>
              <w:spacing w:before="11"/>
              <w:ind w:left="67" w:right="65"/>
              <w:jc w:val="both"/>
              <w:rPr>
                <w:rFonts w:ascii="Times New Roman" w:hAnsi="Times New Roman"/>
                <w:sz w:val="24"/>
              </w:rPr>
            </w:pPr>
            <w:r>
              <w:rPr>
                <w:rFonts w:ascii="Times New Roman" w:hAnsi="Times New Roman"/>
                <w:sz w:val="24"/>
              </w:rPr>
              <w:t>Los estados donde se distribuye son Chihuahua, Durango, Sinaloa, Nayarit, Aguascalientes, Jalisco, Michoacán, Guerrero,     México,     Querétaro,  </w:t>
            </w:r>
            <w:r>
              <w:rPr>
                <w:rFonts w:ascii="Times New Roman" w:hAnsi="Times New Roman"/>
                <w:spacing w:val="53"/>
                <w:sz w:val="24"/>
              </w:rPr>
              <w:t> </w:t>
            </w:r>
            <w:r>
              <w:rPr>
                <w:rFonts w:ascii="Times New Roman" w:hAnsi="Times New Roman"/>
                <w:sz w:val="24"/>
              </w:rPr>
              <w:t>Distrito</w:t>
            </w:r>
          </w:p>
        </w:tc>
      </w:tr>
    </w:tbl>
    <w:p>
      <w:pPr>
        <w:spacing w:after="0"/>
        <w:jc w:val="both"/>
        <w:rPr>
          <w:rFonts w:ascii="Times New Roman" w:hAnsi="Times New Roman"/>
          <w:sz w:val="24"/>
        </w:rPr>
        <w:sectPr>
          <w:footerReference w:type="default" r:id="rId174"/>
          <w:pgSz w:w="12240" w:h="15840"/>
          <w:pgMar w:footer="1146" w:header="685" w:top="880" w:bottom="1340" w:left="1160" w:right="1100"/>
          <w:pgNumType w:start="141"/>
        </w:sectPr>
      </w:pPr>
    </w:p>
    <w:p>
      <w:pPr>
        <w:pStyle w:val="BodyText"/>
        <w:rPr>
          <w:rFonts w:ascii="Times New Roman"/>
          <w:sz w:val="20"/>
        </w:rPr>
      </w:pPr>
    </w:p>
    <w:p>
      <w:pPr>
        <w:pStyle w:val="BodyText"/>
        <w:spacing w:before="9"/>
        <w:rPr>
          <w:rFonts w:ascii="Times New Roman"/>
          <w:sz w:val="25"/>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47"/>
        <w:gridCol w:w="2060"/>
        <w:gridCol w:w="1383"/>
        <w:gridCol w:w="4538"/>
      </w:tblGrid>
      <w:tr>
        <w:trPr>
          <w:trHeight w:val="643" w:hRule="exact"/>
        </w:trPr>
        <w:tc>
          <w:tcPr>
            <w:tcW w:w="1647" w:type="dxa"/>
            <w:tcBorders>
              <w:bottom w:val="thinThickMediumGap" w:sz="17" w:space="0" w:color="000000"/>
              <w:right w:val="thinThickMediumGap" w:sz="17" w:space="0" w:color="000000"/>
            </w:tcBorders>
          </w:tcPr>
          <w:p>
            <w:pPr/>
          </w:p>
        </w:tc>
        <w:tc>
          <w:tcPr>
            <w:tcW w:w="2060" w:type="dxa"/>
            <w:tcBorders>
              <w:bottom w:val="thinThickMediumGap" w:sz="17" w:space="0" w:color="000000"/>
              <w:right w:val="thinThickMediumGap" w:sz="17" w:space="0" w:color="000000"/>
            </w:tcBorders>
          </w:tcPr>
          <w:p>
            <w:pPr/>
          </w:p>
        </w:tc>
        <w:tc>
          <w:tcPr>
            <w:tcW w:w="1383" w:type="dxa"/>
            <w:tcBorders>
              <w:bottom w:val="thinThickMediumGap" w:sz="17" w:space="0" w:color="000000"/>
              <w:right w:val="thinThickMediumGap" w:sz="17" w:space="0" w:color="000000"/>
            </w:tcBorders>
          </w:tcPr>
          <w:p>
            <w:pPr/>
          </w:p>
        </w:tc>
        <w:tc>
          <w:tcPr>
            <w:tcW w:w="4538" w:type="dxa"/>
            <w:tcBorders>
              <w:bottom w:val="thinThickMediumGap" w:sz="17" w:space="0" w:color="000000"/>
              <w:right w:val="thinThickMediumGap" w:sz="17" w:space="0" w:color="000000"/>
            </w:tcBorders>
          </w:tcPr>
          <w:p>
            <w:pPr>
              <w:pStyle w:val="TableParagraph"/>
              <w:tabs>
                <w:tab w:pos="1107" w:val="left" w:leader="none"/>
                <w:tab w:pos="2153" w:val="left" w:leader="none"/>
                <w:tab w:pos="3126" w:val="left" w:leader="none"/>
                <w:tab w:pos="4273" w:val="left" w:leader="none"/>
              </w:tabs>
              <w:spacing w:line="274" w:lineRule="exact" w:before="16"/>
              <w:ind w:left="67" w:right="69"/>
              <w:rPr>
                <w:rFonts w:ascii="Times New Roman"/>
                <w:sz w:val="24"/>
              </w:rPr>
            </w:pPr>
            <w:r>
              <w:rPr>
                <w:rFonts w:ascii="Times New Roman"/>
                <w:sz w:val="24"/>
              </w:rPr>
              <w:t>Federal,</w:t>
              <w:tab/>
              <w:t>Oaxaca,</w:t>
              <w:tab/>
              <w:t>Puebla,</w:t>
              <w:tab/>
              <w:t>Veracruz</w:t>
              <w:tab/>
              <w:t>e Hidalgo (McVaugh,</w:t>
            </w:r>
            <w:r>
              <w:rPr>
                <w:rFonts w:ascii="Times New Roman"/>
                <w:spacing w:val="-8"/>
                <w:sz w:val="24"/>
              </w:rPr>
              <w:t> </w:t>
            </w:r>
            <w:r>
              <w:rPr>
                <w:rFonts w:ascii="Times New Roman"/>
                <w:sz w:val="24"/>
              </w:rPr>
              <w:t>1992).</w:t>
            </w:r>
          </w:p>
        </w:tc>
      </w:tr>
      <w:tr>
        <w:trPr>
          <w:trHeight w:val="639" w:hRule="exact"/>
        </w:trPr>
        <w:tc>
          <w:tcPr>
            <w:tcW w:w="1647" w:type="dxa"/>
            <w:tcBorders>
              <w:bottom w:val="thinThickMediumGap" w:sz="17" w:space="0" w:color="000000"/>
              <w:right w:val="thinThickMediumGap" w:sz="17" w:space="0" w:color="000000"/>
            </w:tcBorders>
          </w:tcPr>
          <w:p>
            <w:pPr>
              <w:pStyle w:val="TableParagraph"/>
              <w:spacing w:before="146"/>
              <w:ind w:left="41" w:right="48"/>
              <w:jc w:val="center"/>
              <w:rPr>
                <w:rFonts w:ascii="Times New Roman"/>
                <w:sz w:val="24"/>
              </w:rPr>
            </w:pPr>
            <w:r>
              <w:rPr>
                <w:rFonts w:ascii="Times New Roman"/>
                <w:sz w:val="24"/>
              </w:rPr>
              <w:t>Lamiaceae</w:t>
            </w:r>
          </w:p>
        </w:tc>
        <w:tc>
          <w:tcPr>
            <w:tcW w:w="2060" w:type="dxa"/>
            <w:tcBorders>
              <w:bottom w:val="thinThickMediumGap" w:sz="17" w:space="0" w:color="000000"/>
              <w:right w:val="thinThickMediumGap" w:sz="17" w:space="0" w:color="000000"/>
            </w:tcBorders>
          </w:tcPr>
          <w:p>
            <w:pPr>
              <w:pStyle w:val="TableParagraph"/>
              <w:spacing w:before="7"/>
              <w:ind w:left="62"/>
              <w:rPr>
                <w:rFonts w:ascii="Times New Roman"/>
                <w:i/>
                <w:sz w:val="24"/>
              </w:rPr>
            </w:pPr>
            <w:r>
              <w:rPr>
                <w:rFonts w:ascii="Times New Roman"/>
                <w:i/>
                <w:sz w:val="24"/>
              </w:rPr>
              <w:t>Ocimum basilicum</w:t>
            </w:r>
          </w:p>
          <w:p>
            <w:pPr>
              <w:pStyle w:val="TableParagraph"/>
              <w:spacing w:before="2"/>
              <w:ind w:left="62"/>
              <w:rPr>
                <w:rFonts w:ascii="Times New Roman"/>
                <w:sz w:val="24"/>
              </w:rPr>
            </w:pPr>
            <w:r>
              <w:rPr>
                <w:rFonts w:ascii="Times New Roman"/>
                <w:sz w:val="24"/>
              </w:rPr>
              <w:t>L.</w:t>
            </w:r>
          </w:p>
        </w:tc>
        <w:tc>
          <w:tcPr>
            <w:tcW w:w="1383" w:type="dxa"/>
            <w:tcBorders>
              <w:bottom w:val="thinThickMediumGap" w:sz="17" w:space="0" w:color="000000"/>
              <w:right w:val="thinThickMediumGap" w:sz="17" w:space="0" w:color="000000"/>
            </w:tcBorders>
          </w:tcPr>
          <w:p>
            <w:pPr>
              <w:pStyle w:val="TableParagraph"/>
              <w:spacing w:before="146"/>
              <w:ind w:right="194"/>
              <w:jc w:val="right"/>
              <w:rPr>
                <w:rFonts w:ascii="Times New Roman"/>
                <w:sz w:val="24"/>
              </w:rPr>
            </w:pPr>
            <w:r>
              <w:rPr>
                <w:rFonts w:ascii="Times New Roman"/>
                <w:sz w:val="24"/>
              </w:rPr>
              <w:t>Albahaca</w:t>
            </w:r>
          </w:p>
        </w:tc>
        <w:tc>
          <w:tcPr>
            <w:tcW w:w="4538" w:type="dxa"/>
            <w:tcBorders>
              <w:bottom w:val="thinThickMediumGap" w:sz="17" w:space="0" w:color="000000"/>
              <w:right w:val="thinThickMediumGap" w:sz="17" w:space="0" w:color="000000"/>
            </w:tcBorders>
          </w:tcPr>
          <w:p>
            <w:pPr>
              <w:pStyle w:val="TableParagraph"/>
              <w:spacing w:line="242" w:lineRule="auto" w:before="7"/>
              <w:ind w:left="67"/>
              <w:rPr>
                <w:rFonts w:ascii="Times New Roman" w:hAnsi="Times New Roman"/>
                <w:sz w:val="24"/>
              </w:rPr>
            </w:pPr>
            <w:r>
              <w:rPr>
                <w:rFonts w:ascii="Times New Roman" w:hAnsi="Times New Roman"/>
                <w:sz w:val="24"/>
              </w:rPr>
              <w:t>Originaria de Asia Meridional. Distribución: Campeche, Oaxaca, Tabasco y Yucatán.</w:t>
            </w:r>
          </w:p>
        </w:tc>
      </w:tr>
      <w:tr>
        <w:trPr>
          <w:trHeight w:val="1215" w:hRule="exact"/>
        </w:trPr>
        <w:tc>
          <w:tcPr>
            <w:tcW w:w="164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1" w:right="48"/>
              <w:jc w:val="center"/>
              <w:rPr>
                <w:rFonts w:ascii="Times New Roman"/>
                <w:sz w:val="24"/>
              </w:rPr>
            </w:pPr>
            <w:r>
              <w:rPr>
                <w:rFonts w:ascii="Times New Roman"/>
                <w:sz w:val="24"/>
              </w:rPr>
              <w:t>Lamiaceae</w:t>
            </w:r>
          </w:p>
        </w:tc>
        <w:tc>
          <w:tcPr>
            <w:tcW w:w="2060" w:type="dxa"/>
            <w:tcBorders>
              <w:bottom w:val="thinThickMediumGap" w:sz="17" w:space="0" w:color="000000"/>
              <w:right w:val="thinThickMediumGap" w:sz="17" w:space="0" w:color="000000"/>
            </w:tcBorders>
          </w:tcPr>
          <w:p>
            <w:pPr>
              <w:pStyle w:val="TableParagraph"/>
              <w:spacing w:before="6"/>
              <w:rPr>
                <w:rFonts w:ascii="Times New Roman"/>
                <w:sz w:val="25"/>
              </w:rPr>
            </w:pPr>
          </w:p>
          <w:p>
            <w:pPr>
              <w:pStyle w:val="TableParagraph"/>
              <w:spacing w:line="274" w:lineRule="exact" w:before="1"/>
              <w:ind w:left="62" w:right="665"/>
              <w:rPr>
                <w:rFonts w:ascii="Times New Roman"/>
                <w:sz w:val="24"/>
              </w:rPr>
            </w:pPr>
            <w:r>
              <w:rPr>
                <w:rFonts w:ascii="Times New Roman"/>
                <w:i/>
                <w:sz w:val="24"/>
              </w:rPr>
              <w:t>Rosmarinus </w:t>
            </w:r>
            <w:r>
              <w:rPr>
                <w:rFonts w:ascii="Times New Roman"/>
                <w:i/>
                <w:sz w:val="24"/>
              </w:rPr>
              <w:t>officinalis </w:t>
            </w:r>
            <w:r>
              <w:rPr>
                <w:rFonts w:ascii="Times New Roman"/>
                <w:sz w:val="24"/>
              </w:rPr>
              <w:t>L.</w:t>
            </w:r>
          </w:p>
        </w:tc>
        <w:tc>
          <w:tcPr>
            <w:tcW w:w="138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right="262"/>
              <w:jc w:val="right"/>
              <w:rPr>
                <w:rFonts w:ascii="Times New Roman"/>
                <w:sz w:val="24"/>
              </w:rPr>
            </w:pPr>
            <w:r>
              <w:rPr>
                <w:rFonts w:ascii="Times New Roman"/>
                <w:sz w:val="24"/>
              </w:rPr>
              <w:t>Romero</w:t>
            </w:r>
          </w:p>
        </w:tc>
        <w:tc>
          <w:tcPr>
            <w:tcW w:w="4538" w:type="dxa"/>
            <w:tcBorders>
              <w:bottom w:val="thinThickMediumGap" w:sz="17" w:space="0" w:color="000000"/>
              <w:right w:val="thinThickMediumGap" w:sz="17" w:space="0" w:color="000000"/>
            </w:tcBorders>
          </w:tcPr>
          <w:p>
            <w:pPr>
              <w:pStyle w:val="TableParagraph"/>
              <w:spacing w:before="11"/>
              <w:ind w:left="67" w:right="62"/>
              <w:jc w:val="both"/>
              <w:rPr>
                <w:rFonts w:ascii="Times New Roman" w:hAnsi="Times New Roman"/>
                <w:sz w:val="24"/>
              </w:rPr>
            </w:pPr>
            <w:r>
              <w:rPr>
                <w:rFonts w:ascii="Times New Roman" w:hAnsi="Times New Roman"/>
                <w:sz w:val="24"/>
              </w:rPr>
              <w:t>Origen en la región mediterránea del Sur de Europa. Actualmente cultivada en todo el mundo</w:t>
            </w:r>
          </w:p>
        </w:tc>
      </w:tr>
    </w:tbl>
    <w:p>
      <w:pPr>
        <w:spacing w:after="0"/>
        <w:jc w:val="both"/>
        <w:rPr>
          <w:rFonts w:ascii="Times New Roman" w:hAnsi="Times New Roman"/>
          <w:sz w:val="24"/>
        </w:rPr>
        <w:sectPr>
          <w:pgSz w:w="12240" w:h="15840"/>
          <w:pgMar w:header="685" w:footer="1146" w:top="880" w:bottom="1340" w:left="1160" w:right="1100"/>
        </w:sectPr>
      </w:pPr>
    </w:p>
    <w:p>
      <w:pPr>
        <w:pStyle w:val="BodyText"/>
        <w:rPr>
          <w:rFonts w:ascii="Times New Roman"/>
          <w:sz w:val="20"/>
        </w:rPr>
      </w:pPr>
    </w:p>
    <w:p>
      <w:pPr>
        <w:pStyle w:val="BodyText"/>
        <w:spacing w:before="5"/>
        <w:rPr>
          <w:rFonts w:ascii="Times New Roman"/>
          <w:sz w:val="19"/>
        </w:rPr>
      </w:pPr>
    </w:p>
    <w:p>
      <w:pPr>
        <w:pStyle w:val="BodyText"/>
        <w:spacing w:before="70"/>
        <w:ind w:left="347" w:right="302"/>
        <w:rPr>
          <w:rFonts w:ascii="Times New Roman"/>
        </w:rPr>
      </w:pPr>
      <w:r>
        <w:rPr>
          <w:rFonts w:ascii="Times New Roman"/>
        </w:rPr>
        <w:t>Cuadro 1. Listado de especies de flora, en la Zona de Manejo Ambiental de Plantas Medicinales</w:t>
      </w:r>
    </w:p>
    <w:p>
      <w:pPr>
        <w:pStyle w:val="BodyText"/>
        <w:rPr>
          <w:rFonts w:ascii="Times New Roman"/>
          <w:sz w:val="20"/>
        </w:rPr>
      </w:pPr>
    </w:p>
    <w:p>
      <w:pPr>
        <w:pStyle w:val="BodyText"/>
        <w:rPr>
          <w:rFonts w:ascii="Times New Roman"/>
          <w:sz w:val="20"/>
        </w:rPr>
      </w:pPr>
    </w:p>
    <w:p>
      <w:pPr>
        <w:pStyle w:val="BodyText"/>
        <w:spacing w:before="11"/>
        <w:rPr>
          <w:rFonts w:ascii="Times New Roman"/>
          <w:sz w:val="13"/>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287"/>
        <w:gridCol w:w="2036"/>
        <w:gridCol w:w="1426"/>
        <w:gridCol w:w="4879"/>
      </w:tblGrid>
      <w:tr>
        <w:trPr>
          <w:trHeight w:val="643" w:hRule="exact"/>
        </w:trPr>
        <w:tc>
          <w:tcPr>
            <w:tcW w:w="1287" w:type="dxa"/>
            <w:tcBorders>
              <w:bottom w:val="thinThickMediumGap" w:sz="17" w:space="0" w:color="000000"/>
              <w:right w:val="thinThickMediumGap" w:sz="17" w:space="0" w:color="000000"/>
            </w:tcBorders>
          </w:tcPr>
          <w:p>
            <w:pPr>
              <w:pStyle w:val="TableParagraph"/>
              <w:spacing w:before="155"/>
              <w:ind w:left="67"/>
              <w:rPr>
                <w:rFonts w:ascii="Times New Roman"/>
                <w:b/>
                <w:sz w:val="24"/>
              </w:rPr>
            </w:pPr>
            <w:r>
              <w:rPr>
                <w:rFonts w:ascii="Times New Roman"/>
                <w:b/>
                <w:sz w:val="24"/>
              </w:rPr>
              <w:t>FAMILIA</w:t>
            </w:r>
          </w:p>
        </w:tc>
        <w:tc>
          <w:tcPr>
            <w:tcW w:w="2036" w:type="dxa"/>
            <w:tcBorders>
              <w:bottom w:val="thinThickMediumGap" w:sz="17" w:space="0" w:color="000000"/>
              <w:right w:val="thinThickMediumGap" w:sz="17" w:space="0" w:color="000000"/>
            </w:tcBorders>
          </w:tcPr>
          <w:p>
            <w:pPr>
              <w:pStyle w:val="TableParagraph"/>
              <w:spacing w:line="242" w:lineRule="auto" w:before="16"/>
              <w:ind w:left="249" w:firstLine="187"/>
              <w:rPr>
                <w:rFonts w:ascii="Times New Roman" w:hAnsi="Times New Roman"/>
                <w:b/>
                <w:sz w:val="24"/>
              </w:rPr>
            </w:pPr>
            <w:r>
              <w:rPr>
                <w:rFonts w:ascii="Times New Roman" w:hAnsi="Times New Roman"/>
                <w:b/>
                <w:sz w:val="24"/>
              </w:rPr>
              <w:t>NOMBRE CIENTÍFICO</w:t>
            </w:r>
          </w:p>
        </w:tc>
        <w:tc>
          <w:tcPr>
            <w:tcW w:w="1426" w:type="dxa"/>
            <w:tcBorders>
              <w:bottom w:val="thinThickMediumGap" w:sz="17" w:space="0" w:color="000000"/>
              <w:right w:val="thinThickMediumGap" w:sz="17" w:space="0" w:color="000000"/>
            </w:tcBorders>
          </w:tcPr>
          <w:p>
            <w:pPr>
              <w:pStyle w:val="TableParagraph"/>
              <w:spacing w:line="242" w:lineRule="auto" w:before="16"/>
              <w:ind w:left="206" w:right="110" w:hanging="77"/>
              <w:rPr>
                <w:rFonts w:ascii="Times New Roman" w:hAnsi="Times New Roman"/>
                <w:b/>
                <w:sz w:val="24"/>
              </w:rPr>
            </w:pPr>
            <w:r>
              <w:rPr>
                <w:rFonts w:ascii="Times New Roman" w:hAnsi="Times New Roman"/>
                <w:b/>
                <w:sz w:val="24"/>
              </w:rPr>
              <w:t>NOMBRE COMÚN</w:t>
            </w:r>
          </w:p>
        </w:tc>
        <w:tc>
          <w:tcPr>
            <w:tcW w:w="4879" w:type="dxa"/>
            <w:tcBorders>
              <w:bottom w:val="thinThickMediumGap" w:sz="17" w:space="0" w:color="000000"/>
              <w:right w:val="thinThickMediumGap" w:sz="17" w:space="0" w:color="000000"/>
            </w:tcBorders>
          </w:tcPr>
          <w:p>
            <w:pPr>
              <w:pStyle w:val="TableParagraph"/>
              <w:spacing w:before="155"/>
              <w:ind w:left="1502" w:right="18"/>
              <w:rPr>
                <w:rFonts w:ascii="Times New Roman" w:hAnsi="Times New Roman"/>
                <w:b/>
                <w:sz w:val="24"/>
              </w:rPr>
            </w:pPr>
            <w:r>
              <w:rPr>
                <w:rFonts w:ascii="Times New Roman" w:hAnsi="Times New Roman"/>
                <w:b/>
                <w:sz w:val="24"/>
              </w:rPr>
              <w:t>DISTRIBUCIÓN</w:t>
            </w:r>
          </w:p>
        </w:tc>
      </w:tr>
      <w:tr>
        <w:trPr>
          <w:trHeight w:val="917" w:hRule="exact"/>
        </w:trPr>
        <w:tc>
          <w:tcPr>
            <w:tcW w:w="1287"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81"/>
              <w:rPr>
                <w:rFonts w:ascii="Times New Roman"/>
                <w:sz w:val="24"/>
              </w:rPr>
            </w:pPr>
            <w:r>
              <w:rPr>
                <w:rFonts w:ascii="Times New Roman"/>
                <w:sz w:val="24"/>
              </w:rPr>
              <w:t>Lamiaceae</w:t>
            </w:r>
          </w:p>
        </w:tc>
        <w:tc>
          <w:tcPr>
            <w:tcW w:w="2036" w:type="dxa"/>
            <w:tcBorders>
              <w:bottom w:val="thinThickMediumGap" w:sz="17" w:space="0" w:color="000000"/>
              <w:right w:val="thinThickMediumGap" w:sz="17" w:space="0" w:color="000000"/>
            </w:tcBorders>
          </w:tcPr>
          <w:p>
            <w:pPr>
              <w:pStyle w:val="TableParagraph"/>
              <w:spacing w:before="11"/>
              <w:ind w:left="67"/>
              <w:rPr>
                <w:rFonts w:ascii="Times New Roman"/>
                <w:sz w:val="24"/>
              </w:rPr>
            </w:pPr>
            <w:r>
              <w:rPr>
                <w:rFonts w:ascii="Times New Roman"/>
                <w:i/>
                <w:sz w:val="24"/>
              </w:rPr>
              <w:t>Agastache </w:t>
            </w:r>
            <w:r>
              <w:rPr>
                <w:rFonts w:ascii="Times New Roman"/>
                <w:i/>
                <w:sz w:val="24"/>
              </w:rPr>
              <w:t>mexicana </w:t>
            </w:r>
            <w:r>
              <w:rPr>
                <w:rFonts w:ascii="Times New Roman"/>
                <w:sz w:val="24"/>
              </w:rPr>
              <w:t>(Kunth.) Lint &amp; Epling</w:t>
            </w:r>
          </w:p>
        </w:tc>
        <w:tc>
          <w:tcPr>
            <w:tcW w:w="1426" w:type="dxa"/>
            <w:tcBorders>
              <w:bottom w:val="thinThickMediumGap" w:sz="17" w:space="0" w:color="000000"/>
              <w:right w:val="thinThickMediumGap" w:sz="17" w:space="0" w:color="000000"/>
            </w:tcBorders>
          </w:tcPr>
          <w:p>
            <w:pPr>
              <w:pStyle w:val="TableParagraph"/>
              <w:spacing w:line="274" w:lineRule="exact" w:before="155"/>
              <w:ind w:left="302" w:right="251" w:hanging="20"/>
              <w:rPr>
                <w:rFonts w:ascii="Times New Roman"/>
                <w:sz w:val="24"/>
              </w:rPr>
            </w:pPr>
            <w:r>
              <w:rPr>
                <w:rFonts w:ascii="Times New Roman"/>
                <w:sz w:val="24"/>
              </w:rPr>
              <w:t>Toronjil morado</w:t>
            </w:r>
          </w:p>
        </w:tc>
        <w:tc>
          <w:tcPr>
            <w:tcW w:w="4879" w:type="dxa"/>
            <w:tcBorders>
              <w:bottom w:val="thinThickMediumGap" w:sz="17" w:space="0" w:color="000000"/>
              <w:right w:val="thinThickMediumGap" w:sz="17" w:space="0" w:color="000000"/>
            </w:tcBorders>
          </w:tcPr>
          <w:p>
            <w:pPr>
              <w:pStyle w:val="TableParagraph"/>
              <w:spacing w:before="11"/>
              <w:ind w:left="67" w:right="67"/>
              <w:jc w:val="both"/>
              <w:rPr>
                <w:rFonts w:ascii="Times New Roman" w:hAnsi="Times New Roman"/>
                <w:sz w:val="24"/>
              </w:rPr>
            </w:pPr>
            <w:r>
              <w:rPr>
                <w:rFonts w:ascii="Times New Roman" w:hAnsi="Times New Roman"/>
                <w:sz w:val="24"/>
              </w:rPr>
              <w:t>Distribución en todo México, introducido esporádicamente en los Estados Unidos y Centroamérica hasta Panamá y en las Antillas.</w:t>
            </w:r>
          </w:p>
        </w:tc>
      </w:tr>
      <w:tr>
        <w:trPr>
          <w:trHeight w:val="1748" w:hRule="exact"/>
        </w:trPr>
        <w:tc>
          <w:tcPr>
            <w:tcW w:w="128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150"/>
              <w:ind w:left="81"/>
              <w:rPr>
                <w:rFonts w:ascii="Times New Roman"/>
                <w:sz w:val="24"/>
              </w:rPr>
            </w:pPr>
            <w:r>
              <w:rPr>
                <w:rFonts w:ascii="Times New Roman"/>
                <w:sz w:val="24"/>
              </w:rPr>
              <w:t>Lamiaceae</w:t>
            </w:r>
          </w:p>
        </w:tc>
        <w:tc>
          <w:tcPr>
            <w:tcW w:w="2036"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tabs>
                <w:tab w:pos="1156" w:val="left" w:leader="none"/>
              </w:tabs>
              <w:ind w:left="67"/>
              <w:rPr>
                <w:rFonts w:ascii="Times New Roman"/>
                <w:i/>
                <w:sz w:val="24"/>
              </w:rPr>
            </w:pPr>
            <w:r>
              <w:rPr>
                <w:rFonts w:ascii="Times New Roman"/>
                <w:i/>
                <w:sz w:val="24"/>
              </w:rPr>
              <w:t>Salvia</w:t>
              <w:tab/>
              <w:t>elegans</w:t>
            </w:r>
          </w:p>
          <w:p>
            <w:pPr>
              <w:pStyle w:val="TableParagraph"/>
              <w:spacing w:before="2"/>
              <w:ind w:left="67"/>
              <w:rPr>
                <w:rFonts w:ascii="Times New Roman"/>
                <w:sz w:val="24"/>
              </w:rPr>
            </w:pPr>
            <w:r>
              <w:rPr>
                <w:rFonts w:ascii="Times New Roman"/>
                <w:sz w:val="24"/>
              </w:rPr>
              <w:t>Vahl</w:t>
            </w:r>
          </w:p>
        </w:tc>
        <w:tc>
          <w:tcPr>
            <w:tcW w:w="1426"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spacing w:line="242" w:lineRule="auto"/>
              <w:ind w:left="398" w:hanging="274"/>
              <w:rPr>
                <w:rFonts w:ascii="Times New Roman"/>
                <w:sz w:val="24"/>
              </w:rPr>
            </w:pPr>
            <w:r>
              <w:rPr>
                <w:rFonts w:ascii="Times New Roman"/>
                <w:sz w:val="24"/>
              </w:rPr>
              <w:t>Salvia roja, Mirto</w:t>
            </w:r>
          </w:p>
        </w:tc>
        <w:tc>
          <w:tcPr>
            <w:tcW w:w="4879" w:type="dxa"/>
            <w:tcBorders>
              <w:bottom w:val="thinThickMediumGap" w:sz="17" w:space="0" w:color="000000"/>
              <w:right w:val="thinThickMediumGap" w:sz="17" w:space="0" w:color="000000"/>
            </w:tcBorders>
          </w:tcPr>
          <w:p>
            <w:pPr>
              <w:pStyle w:val="TableParagraph"/>
              <w:spacing w:before="11"/>
              <w:ind w:left="67" w:right="66"/>
              <w:jc w:val="both"/>
              <w:rPr>
                <w:rFonts w:ascii="Times New Roman" w:hAnsi="Times New Roman"/>
                <w:sz w:val="24"/>
              </w:rPr>
            </w:pPr>
            <w:r>
              <w:rPr>
                <w:rFonts w:ascii="Times New Roman" w:hAnsi="Times New Roman"/>
                <w:color w:val="211E1F"/>
                <w:sz w:val="24"/>
              </w:rPr>
              <w:t>Especie nativa de México y Centroamérica. En </w:t>
            </w:r>
            <w:r>
              <w:rPr>
                <w:rFonts w:ascii="Times New Roman" w:hAnsi="Times New Roman"/>
                <w:color w:val="211E1F"/>
                <w:spacing w:val="-3"/>
                <w:sz w:val="24"/>
              </w:rPr>
              <w:t>la </w:t>
            </w:r>
            <w:r>
              <w:rPr>
                <w:rFonts w:ascii="Times New Roman" w:hAnsi="Times New Roman"/>
                <w:color w:val="211E1F"/>
                <w:sz w:val="24"/>
              </w:rPr>
              <w:t>República Mexicana se puede encontrar en los estados de Sonora, Chihuahua, Durango Michoacán, Hidalgo, Estado de México, Morelos, Distrito Federal, Veracruz y Oaxaca (Argueta </w:t>
            </w:r>
            <w:r>
              <w:rPr>
                <w:rFonts w:ascii="Times New Roman" w:hAnsi="Times New Roman"/>
                <w:i/>
                <w:color w:val="211E1F"/>
                <w:sz w:val="24"/>
              </w:rPr>
              <w:t>et al.,</w:t>
            </w:r>
            <w:r>
              <w:rPr>
                <w:rFonts w:ascii="Times New Roman" w:hAnsi="Times New Roman"/>
                <w:i/>
                <w:color w:val="211E1F"/>
                <w:spacing w:val="-5"/>
                <w:sz w:val="24"/>
              </w:rPr>
              <w:t> </w:t>
            </w:r>
            <w:r>
              <w:rPr>
                <w:rFonts w:ascii="Times New Roman" w:hAnsi="Times New Roman"/>
                <w:color w:val="211E1F"/>
                <w:sz w:val="24"/>
              </w:rPr>
              <w:t>1994).</w:t>
            </w:r>
          </w:p>
        </w:tc>
      </w:tr>
      <w:tr>
        <w:trPr>
          <w:trHeight w:val="792" w:hRule="exact"/>
        </w:trPr>
        <w:tc>
          <w:tcPr>
            <w:tcW w:w="1287" w:type="dxa"/>
            <w:tcBorders>
              <w:bottom w:val="thinThickMediumGap" w:sz="17" w:space="0" w:color="000000"/>
              <w:right w:val="thinThickMediumGap" w:sz="17" w:space="0" w:color="000000"/>
            </w:tcBorders>
          </w:tcPr>
          <w:p>
            <w:pPr>
              <w:pStyle w:val="TableParagraph"/>
              <w:spacing w:before="3"/>
              <w:rPr>
                <w:rFonts w:ascii="Times New Roman"/>
                <w:sz w:val="19"/>
              </w:rPr>
            </w:pPr>
          </w:p>
          <w:p>
            <w:pPr>
              <w:pStyle w:val="TableParagraph"/>
              <w:spacing w:before="1"/>
              <w:ind w:left="81"/>
              <w:rPr>
                <w:rFonts w:ascii="Times New Roman"/>
                <w:sz w:val="24"/>
              </w:rPr>
            </w:pPr>
            <w:r>
              <w:rPr>
                <w:rFonts w:ascii="Times New Roman"/>
                <w:sz w:val="24"/>
              </w:rPr>
              <w:t>Lamiaceae</w:t>
            </w:r>
          </w:p>
        </w:tc>
        <w:tc>
          <w:tcPr>
            <w:tcW w:w="2036" w:type="dxa"/>
            <w:tcBorders>
              <w:bottom w:val="thinThickMediumGap" w:sz="17" w:space="0" w:color="000000"/>
              <w:right w:val="thinThickMediumGap" w:sz="17" w:space="0" w:color="000000"/>
            </w:tcBorders>
          </w:tcPr>
          <w:p>
            <w:pPr>
              <w:pStyle w:val="TableParagraph"/>
              <w:spacing w:line="275" w:lineRule="exact" w:before="88"/>
              <w:ind w:left="67"/>
              <w:rPr>
                <w:rFonts w:ascii="Times New Roman"/>
                <w:i/>
                <w:sz w:val="24"/>
              </w:rPr>
            </w:pPr>
            <w:r>
              <w:rPr>
                <w:rFonts w:ascii="Times New Roman"/>
                <w:i/>
                <w:sz w:val="24"/>
              </w:rPr>
              <w:t>Melissa Officinalis</w:t>
            </w:r>
          </w:p>
          <w:p>
            <w:pPr>
              <w:pStyle w:val="TableParagraph"/>
              <w:spacing w:line="275" w:lineRule="exact"/>
              <w:ind w:left="67"/>
              <w:rPr>
                <w:rFonts w:ascii="Times New Roman"/>
                <w:sz w:val="24"/>
              </w:rPr>
            </w:pPr>
            <w:r>
              <w:rPr>
                <w:rFonts w:ascii="Times New Roman"/>
                <w:sz w:val="24"/>
              </w:rPr>
              <w:t>L.</w:t>
            </w:r>
          </w:p>
        </w:tc>
        <w:tc>
          <w:tcPr>
            <w:tcW w:w="1426" w:type="dxa"/>
            <w:tcBorders>
              <w:bottom w:val="thinThickMediumGap" w:sz="17" w:space="0" w:color="000000"/>
              <w:right w:val="thinThickMediumGap" w:sz="17" w:space="0" w:color="000000"/>
            </w:tcBorders>
          </w:tcPr>
          <w:p>
            <w:pPr>
              <w:pStyle w:val="TableParagraph"/>
              <w:spacing w:before="3"/>
              <w:rPr>
                <w:rFonts w:ascii="Times New Roman"/>
                <w:sz w:val="19"/>
              </w:rPr>
            </w:pPr>
          </w:p>
          <w:p>
            <w:pPr>
              <w:pStyle w:val="TableParagraph"/>
              <w:spacing w:before="1"/>
              <w:ind w:left="183" w:right="181"/>
              <w:jc w:val="center"/>
              <w:rPr>
                <w:rFonts w:ascii="Times New Roman"/>
                <w:sz w:val="24"/>
              </w:rPr>
            </w:pPr>
            <w:r>
              <w:rPr>
                <w:rFonts w:ascii="Times New Roman"/>
                <w:sz w:val="24"/>
              </w:rPr>
              <w:t>Toronjil</w:t>
            </w:r>
          </w:p>
        </w:tc>
        <w:tc>
          <w:tcPr>
            <w:tcW w:w="4879" w:type="dxa"/>
            <w:tcBorders>
              <w:bottom w:val="thinThickMediumGap" w:sz="17" w:space="0" w:color="000000"/>
              <w:right w:val="thinThickMediumGap" w:sz="17" w:space="0" w:color="000000"/>
            </w:tcBorders>
          </w:tcPr>
          <w:p>
            <w:pPr>
              <w:pStyle w:val="TableParagraph"/>
              <w:spacing w:before="11"/>
              <w:ind w:left="67" w:right="18"/>
              <w:rPr>
                <w:rFonts w:ascii="Times New Roman" w:hAnsi="Times New Roman"/>
                <w:sz w:val="24"/>
              </w:rPr>
            </w:pPr>
            <w:r>
              <w:rPr>
                <w:rFonts w:ascii="Times New Roman" w:hAnsi="Times New Roman"/>
                <w:sz w:val="24"/>
              </w:rPr>
              <w:t>Euroasiática y norteafricana</w:t>
            </w:r>
          </w:p>
        </w:tc>
      </w:tr>
      <w:tr>
        <w:trPr>
          <w:trHeight w:val="927" w:hRule="exact"/>
        </w:trPr>
        <w:tc>
          <w:tcPr>
            <w:tcW w:w="1287"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158"/>
              <w:rPr>
                <w:rFonts w:ascii="Times New Roman"/>
                <w:sz w:val="24"/>
              </w:rPr>
            </w:pPr>
            <w:r>
              <w:rPr>
                <w:rFonts w:ascii="Times New Roman"/>
                <w:sz w:val="24"/>
              </w:rPr>
              <w:t>Liliaceae</w:t>
            </w:r>
          </w:p>
        </w:tc>
        <w:tc>
          <w:tcPr>
            <w:tcW w:w="2036" w:type="dxa"/>
            <w:tcBorders>
              <w:bottom w:val="thinThickMediumGap" w:sz="17" w:space="0" w:color="000000"/>
              <w:right w:val="thinThickMediumGap" w:sz="17" w:space="0" w:color="000000"/>
            </w:tcBorders>
          </w:tcPr>
          <w:p>
            <w:pPr>
              <w:pStyle w:val="TableParagraph"/>
              <w:tabs>
                <w:tab w:pos="1521" w:val="left" w:leader="none"/>
              </w:tabs>
              <w:spacing w:line="237" w:lineRule="auto" w:before="13"/>
              <w:ind w:left="67" w:right="58"/>
              <w:rPr>
                <w:rFonts w:ascii="Calibri"/>
                <w:sz w:val="14"/>
              </w:rPr>
            </w:pPr>
            <w:r>
              <w:rPr>
                <w:rFonts w:ascii="Times New Roman"/>
                <w:i/>
                <w:sz w:val="24"/>
              </w:rPr>
              <w:t>Agapanthus </w:t>
            </w:r>
            <w:r>
              <w:rPr>
                <w:rFonts w:ascii="Times New Roman"/>
                <w:i/>
                <w:sz w:val="24"/>
              </w:rPr>
              <w:t>africanus</w:t>
              <w:tab/>
            </w:r>
            <w:r>
              <w:rPr>
                <w:rFonts w:ascii="Times New Roman"/>
                <w:sz w:val="24"/>
              </w:rPr>
              <w:t>(L.) Hoffmanns.</w:t>
            </w:r>
            <w:r>
              <w:rPr>
                <w:rFonts w:ascii="Calibri"/>
                <w:position w:val="10"/>
                <w:sz w:val="14"/>
              </w:rPr>
              <w:t>4</w:t>
            </w:r>
          </w:p>
        </w:tc>
        <w:tc>
          <w:tcPr>
            <w:tcW w:w="1426"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184" w:right="181"/>
              <w:jc w:val="center"/>
              <w:rPr>
                <w:rFonts w:ascii="Times New Roman"/>
                <w:sz w:val="24"/>
              </w:rPr>
            </w:pPr>
            <w:r>
              <w:rPr>
                <w:rFonts w:ascii="Times New Roman"/>
                <w:sz w:val="24"/>
              </w:rPr>
              <w:t>Agapanto</w:t>
            </w:r>
          </w:p>
        </w:tc>
        <w:tc>
          <w:tcPr>
            <w:tcW w:w="4879" w:type="dxa"/>
            <w:tcBorders>
              <w:bottom w:val="thinThickMediumGap" w:sz="17" w:space="0" w:color="000000"/>
              <w:right w:val="thinThickMediumGap" w:sz="17" w:space="0" w:color="000000"/>
            </w:tcBorders>
          </w:tcPr>
          <w:p>
            <w:pPr>
              <w:pStyle w:val="TableParagraph"/>
              <w:spacing w:before="11"/>
              <w:ind w:left="67" w:right="73"/>
              <w:jc w:val="both"/>
              <w:rPr>
                <w:rFonts w:ascii="Times New Roman" w:hAnsi="Times New Roman"/>
                <w:sz w:val="24"/>
              </w:rPr>
            </w:pPr>
            <w:r>
              <w:rPr>
                <w:rFonts w:ascii="Times New Roman" w:hAnsi="Times New Roman"/>
                <w:sz w:val="24"/>
              </w:rPr>
              <w:t>Origen sudafricano. Guatemala, Honduras, Sur de África. Actualmente, cultivado como ornamental.</w:t>
            </w:r>
          </w:p>
        </w:tc>
      </w:tr>
      <w:tr>
        <w:trPr>
          <w:trHeight w:val="917" w:hRule="exact"/>
        </w:trPr>
        <w:tc>
          <w:tcPr>
            <w:tcW w:w="1287"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81"/>
              <w:rPr>
                <w:rFonts w:ascii="Times New Roman"/>
                <w:sz w:val="24"/>
              </w:rPr>
            </w:pPr>
            <w:r>
              <w:rPr>
                <w:rFonts w:ascii="Times New Roman"/>
                <w:sz w:val="24"/>
              </w:rPr>
              <w:t>Malvaceae</w:t>
            </w:r>
          </w:p>
        </w:tc>
        <w:tc>
          <w:tcPr>
            <w:tcW w:w="2036" w:type="dxa"/>
            <w:tcBorders>
              <w:bottom w:val="thinThickMediumGap" w:sz="17" w:space="0" w:color="000000"/>
              <w:right w:val="thinThickMediumGap" w:sz="17" w:space="0" w:color="000000"/>
            </w:tcBorders>
          </w:tcPr>
          <w:p>
            <w:pPr>
              <w:pStyle w:val="TableParagraph"/>
              <w:spacing w:line="242" w:lineRule="auto" w:before="145"/>
              <w:ind w:left="67" w:right="609"/>
              <w:rPr>
                <w:rFonts w:ascii="Times New Roman"/>
                <w:sz w:val="24"/>
              </w:rPr>
            </w:pPr>
            <w:r>
              <w:rPr>
                <w:rFonts w:ascii="Times New Roman"/>
                <w:i/>
                <w:sz w:val="24"/>
              </w:rPr>
              <w:t>Hibiscus </w:t>
            </w:r>
            <w:r>
              <w:rPr>
                <w:rFonts w:ascii="Times New Roman"/>
                <w:i/>
                <w:sz w:val="24"/>
              </w:rPr>
              <w:t>sabdariffa </w:t>
            </w:r>
            <w:r>
              <w:rPr>
                <w:rFonts w:ascii="Times New Roman"/>
                <w:sz w:val="24"/>
              </w:rPr>
              <w:t>L.</w:t>
            </w:r>
          </w:p>
        </w:tc>
        <w:tc>
          <w:tcPr>
            <w:tcW w:w="1426"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179" w:right="181"/>
              <w:jc w:val="center"/>
              <w:rPr>
                <w:rFonts w:ascii="Times New Roman"/>
                <w:sz w:val="24"/>
              </w:rPr>
            </w:pPr>
            <w:r>
              <w:rPr>
                <w:rFonts w:ascii="Times New Roman"/>
                <w:sz w:val="24"/>
              </w:rPr>
              <w:t>Jamaica</w:t>
            </w:r>
          </w:p>
        </w:tc>
        <w:tc>
          <w:tcPr>
            <w:tcW w:w="4879" w:type="dxa"/>
            <w:tcBorders>
              <w:bottom w:val="thinThickMediumGap" w:sz="17" w:space="0" w:color="000000"/>
              <w:right w:val="thinThickMediumGap" w:sz="17" w:space="0" w:color="000000"/>
            </w:tcBorders>
          </w:tcPr>
          <w:p>
            <w:pPr>
              <w:pStyle w:val="TableParagraph"/>
              <w:spacing w:before="11"/>
              <w:ind w:left="67" w:right="73"/>
              <w:jc w:val="both"/>
              <w:rPr>
                <w:rFonts w:ascii="Times New Roman" w:hAnsi="Times New Roman"/>
                <w:sz w:val="24"/>
              </w:rPr>
            </w:pPr>
            <w:r>
              <w:rPr>
                <w:rFonts w:ascii="Times New Roman" w:hAnsi="Times New Roman"/>
                <w:sz w:val="24"/>
              </w:rPr>
              <w:t>Originaria de África tropical, su cultivo se extiende por México, América Central y del Sur y sudeste asiático (Morton, 1987).</w:t>
            </w:r>
          </w:p>
        </w:tc>
      </w:tr>
      <w:tr>
        <w:trPr>
          <w:trHeight w:val="2022" w:hRule="exact"/>
        </w:trPr>
        <w:tc>
          <w:tcPr>
            <w:tcW w:w="1287"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91"/>
              <w:rPr>
                <w:rFonts w:ascii="Times New Roman"/>
                <w:sz w:val="24"/>
              </w:rPr>
            </w:pPr>
            <w:r>
              <w:rPr>
                <w:rFonts w:ascii="Times New Roman"/>
                <w:sz w:val="24"/>
              </w:rPr>
              <w:t>Myrtaceae</w:t>
            </w:r>
          </w:p>
        </w:tc>
        <w:tc>
          <w:tcPr>
            <w:tcW w:w="2036"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tabs>
                <w:tab w:pos="1108" w:val="left" w:leader="none"/>
              </w:tabs>
              <w:spacing w:line="273" w:lineRule="exact" w:before="145"/>
              <w:ind w:left="67"/>
              <w:rPr>
                <w:rFonts w:ascii="Times New Roman"/>
                <w:i/>
                <w:sz w:val="24"/>
              </w:rPr>
            </w:pPr>
            <w:r>
              <w:rPr>
                <w:rFonts w:ascii="Times New Roman"/>
                <w:i/>
                <w:sz w:val="24"/>
              </w:rPr>
              <w:t>Psidium</w:t>
              <w:tab/>
              <w:t>guajava</w:t>
            </w:r>
          </w:p>
          <w:p>
            <w:pPr>
              <w:pStyle w:val="TableParagraph"/>
              <w:spacing w:line="282" w:lineRule="exact"/>
              <w:ind w:left="67"/>
              <w:rPr>
                <w:rFonts w:ascii="Calibri"/>
                <w:sz w:val="14"/>
              </w:rPr>
            </w:pPr>
            <w:r>
              <w:rPr>
                <w:rFonts w:ascii="Times New Roman"/>
                <w:sz w:val="24"/>
              </w:rPr>
              <w:t>L. </w:t>
            </w:r>
            <w:r>
              <w:rPr>
                <w:rFonts w:ascii="Calibri"/>
                <w:position w:val="10"/>
                <w:sz w:val="14"/>
              </w:rPr>
              <w:t>5</w:t>
            </w:r>
          </w:p>
        </w:tc>
        <w:tc>
          <w:tcPr>
            <w:tcW w:w="1426"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181" w:right="181"/>
              <w:jc w:val="center"/>
              <w:rPr>
                <w:rFonts w:ascii="Times New Roman"/>
                <w:sz w:val="24"/>
              </w:rPr>
            </w:pPr>
            <w:r>
              <w:rPr>
                <w:rFonts w:ascii="Times New Roman"/>
                <w:sz w:val="24"/>
              </w:rPr>
              <w:t>Guayaba</w:t>
            </w:r>
          </w:p>
        </w:tc>
        <w:tc>
          <w:tcPr>
            <w:tcW w:w="4879" w:type="dxa"/>
            <w:tcBorders>
              <w:top w:val="thickThinMediumGap" w:sz="17" w:space="0" w:color="000000"/>
              <w:bottom w:val="thinThickMediumGap" w:sz="17" w:space="0" w:color="000000"/>
              <w:right w:val="thinThickMediumGap" w:sz="17" w:space="0" w:color="000000"/>
            </w:tcBorders>
          </w:tcPr>
          <w:p>
            <w:pPr>
              <w:pStyle w:val="TableParagraph"/>
              <w:spacing w:before="11"/>
              <w:ind w:left="67" w:right="64"/>
              <w:jc w:val="both"/>
              <w:rPr>
                <w:rFonts w:ascii="Times New Roman" w:hAnsi="Times New Roman"/>
                <w:sz w:val="24"/>
              </w:rPr>
            </w:pPr>
            <w:r>
              <w:rPr>
                <w:rFonts w:ascii="Times New Roman" w:hAnsi="Times New Roman"/>
                <w:sz w:val="24"/>
              </w:rPr>
              <w:t>Estados Unidos, México, Mesoamérica, Colombia, Venezuela, Guayanas, Ecuador, Perú, Bolivia, Brasil, Paraguay, Uruguay, Argentina, Chile,</w:t>
            </w:r>
            <w:r>
              <w:rPr>
                <w:rFonts w:ascii="Times New Roman" w:hAnsi="Times New Roman"/>
                <w:spacing w:val="-19"/>
                <w:sz w:val="24"/>
              </w:rPr>
              <w:t> </w:t>
            </w:r>
            <w:r>
              <w:rPr>
                <w:rFonts w:ascii="Times New Roman" w:hAnsi="Times New Roman"/>
                <w:sz w:val="24"/>
              </w:rPr>
              <w:t>Antillas.</w:t>
            </w:r>
          </w:p>
          <w:p>
            <w:pPr>
              <w:pStyle w:val="TableParagraph"/>
              <w:spacing w:before="2"/>
              <w:ind w:left="67" w:right="68"/>
              <w:jc w:val="both"/>
              <w:rPr>
                <w:rFonts w:ascii="Times New Roman" w:hAnsi="Times New Roman"/>
                <w:sz w:val="24"/>
              </w:rPr>
            </w:pPr>
            <w:r>
              <w:rPr>
                <w:rFonts w:ascii="Times New Roman" w:hAnsi="Times New Roman"/>
                <w:sz w:val="24"/>
              </w:rPr>
              <w:t>Florida; a todo lo largo de México, Centroamérica; Las Antillas; zonas  tropicales de Sudamérica (Sánchez – Vindas, 1990)</w:t>
            </w:r>
          </w:p>
        </w:tc>
      </w:tr>
      <w:tr>
        <w:trPr>
          <w:trHeight w:val="1196" w:hRule="exact"/>
        </w:trPr>
        <w:tc>
          <w:tcPr>
            <w:tcW w:w="128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58"/>
              <w:rPr>
                <w:rFonts w:ascii="Times New Roman"/>
                <w:sz w:val="24"/>
              </w:rPr>
            </w:pPr>
            <w:r>
              <w:rPr>
                <w:rFonts w:ascii="Times New Roman"/>
                <w:sz w:val="24"/>
              </w:rPr>
              <w:t>Oleaceae</w:t>
            </w:r>
          </w:p>
        </w:tc>
        <w:tc>
          <w:tcPr>
            <w:tcW w:w="2036"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tabs>
                <w:tab w:pos="1353" w:val="left" w:leader="none"/>
              </w:tabs>
              <w:spacing w:line="275" w:lineRule="exact"/>
              <w:ind w:left="67"/>
              <w:rPr>
                <w:rFonts w:ascii="Times New Roman"/>
                <w:i/>
                <w:sz w:val="24"/>
              </w:rPr>
            </w:pPr>
            <w:r>
              <w:rPr>
                <w:rFonts w:ascii="Times New Roman"/>
                <w:i/>
                <w:sz w:val="24"/>
              </w:rPr>
              <w:t>Fraxinus</w:t>
              <w:tab/>
              <w:t>uhdei</w:t>
            </w:r>
          </w:p>
          <w:p>
            <w:pPr>
              <w:pStyle w:val="TableParagraph"/>
              <w:spacing w:line="275" w:lineRule="exact"/>
              <w:ind w:left="67"/>
              <w:rPr>
                <w:rFonts w:ascii="Times New Roman"/>
                <w:sz w:val="24"/>
              </w:rPr>
            </w:pPr>
            <w:r>
              <w:rPr>
                <w:rFonts w:ascii="Times New Roman"/>
                <w:sz w:val="24"/>
              </w:rPr>
              <w:t>(Wenz.) Lingelsh</w:t>
            </w:r>
          </w:p>
        </w:tc>
        <w:tc>
          <w:tcPr>
            <w:tcW w:w="1426"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81" w:right="181"/>
              <w:jc w:val="center"/>
              <w:rPr>
                <w:rFonts w:ascii="Times New Roman"/>
                <w:sz w:val="24"/>
              </w:rPr>
            </w:pPr>
            <w:r>
              <w:rPr>
                <w:rFonts w:ascii="Times New Roman"/>
                <w:sz w:val="24"/>
              </w:rPr>
              <w:t>Fresno</w:t>
            </w:r>
          </w:p>
        </w:tc>
        <w:tc>
          <w:tcPr>
            <w:tcW w:w="4879" w:type="dxa"/>
            <w:tcBorders>
              <w:bottom w:val="thinThickMediumGap" w:sz="17" w:space="0" w:color="000000"/>
              <w:right w:val="thinThickMediumGap" w:sz="17" w:space="0" w:color="000000"/>
            </w:tcBorders>
          </w:tcPr>
          <w:p>
            <w:pPr>
              <w:pStyle w:val="TableParagraph"/>
              <w:spacing w:line="242" w:lineRule="auto" w:before="11"/>
              <w:ind w:left="67" w:right="18"/>
              <w:rPr>
                <w:rFonts w:ascii="Times New Roman" w:hAnsi="Times New Roman"/>
                <w:sz w:val="24"/>
              </w:rPr>
            </w:pPr>
            <w:r>
              <w:rPr>
                <w:rFonts w:ascii="Times New Roman" w:hAnsi="Times New Roman"/>
                <w:sz w:val="24"/>
              </w:rPr>
              <w:t>Originaria de México. Col., Chis., Dgo., Gro., Hgo.,  Jal.,  Méx.,  Mich.,  Mor.,  Nay.,  N.    L.,</w:t>
            </w:r>
          </w:p>
          <w:p>
            <w:pPr>
              <w:pStyle w:val="TableParagraph"/>
              <w:spacing w:line="242" w:lineRule="auto"/>
              <w:ind w:left="67" w:right="18"/>
              <w:rPr>
                <w:rFonts w:ascii="Times New Roman"/>
                <w:sz w:val="24"/>
              </w:rPr>
            </w:pPr>
            <w:r>
              <w:rPr>
                <w:rFonts w:ascii="Times New Roman"/>
                <w:sz w:val="24"/>
              </w:rPr>
              <w:t>Oax., Pue., S. L. P. Sin., Ver. (CONABIO, 2014).</w:t>
            </w:r>
          </w:p>
        </w:tc>
      </w:tr>
      <w:tr>
        <w:trPr>
          <w:trHeight w:val="1195" w:hRule="exact"/>
        </w:trPr>
        <w:tc>
          <w:tcPr>
            <w:tcW w:w="128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06"/>
              <w:rPr>
                <w:rFonts w:ascii="Times New Roman"/>
                <w:sz w:val="24"/>
              </w:rPr>
            </w:pPr>
            <w:r>
              <w:rPr>
                <w:rFonts w:ascii="Times New Roman"/>
                <w:sz w:val="24"/>
              </w:rPr>
              <w:t>Poaceae</w:t>
            </w:r>
          </w:p>
        </w:tc>
        <w:tc>
          <w:tcPr>
            <w:tcW w:w="2036" w:type="dxa"/>
            <w:tcBorders>
              <w:bottom w:val="thinThickMediumGap" w:sz="17" w:space="0" w:color="000000"/>
              <w:right w:val="thinThickMediumGap" w:sz="17" w:space="0" w:color="000000"/>
            </w:tcBorders>
          </w:tcPr>
          <w:p>
            <w:pPr>
              <w:pStyle w:val="TableParagraph"/>
              <w:tabs>
                <w:tab w:pos="1329" w:val="left" w:leader="none"/>
              </w:tabs>
              <w:spacing w:before="150"/>
              <w:ind w:left="67" w:right="63"/>
              <w:rPr>
                <w:rFonts w:ascii="Times New Roman"/>
                <w:sz w:val="24"/>
              </w:rPr>
            </w:pPr>
            <w:r>
              <w:rPr>
                <w:rFonts w:ascii="Times New Roman"/>
                <w:i/>
                <w:sz w:val="24"/>
              </w:rPr>
              <w:t>Cymbopogon </w:t>
            </w:r>
            <w:r>
              <w:rPr>
                <w:rFonts w:ascii="Times New Roman"/>
                <w:i/>
                <w:sz w:val="24"/>
              </w:rPr>
              <w:t>citratus</w:t>
              <w:tab/>
            </w:r>
            <w:r>
              <w:rPr>
                <w:rFonts w:ascii="Times New Roman"/>
                <w:sz w:val="24"/>
              </w:rPr>
              <w:t>(DC.) Staff.</w:t>
            </w:r>
          </w:p>
        </w:tc>
        <w:tc>
          <w:tcPr>
            <w:tcW w:w="1426"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84" w:right="181"/>
              <w:jc w:val="center"/>
              <w:rPr>
                <w:rFonts w:ascii="Times New Roman" w:hAnsi="Times New Roman"/>
                <w:sz w:val="24"/>
              </w:rPr>
            </w:pPr>
            <w:r>
              <w:rPr>
                <w:rFonts w:ascii="Times New Roman" w:hAnsi="Times New Roman"/>
                <w:sz w:val="24"/>
              </w:rPr>
              <w:t>Té limón</w:t>
            </w:r>
          </w:p>
        </w:tc>
        <w:tc>
          <w:tcPr>
            <w:tcW w:w="4879" w:type="dxa"/>
            <w:tcBorders>
              <w:bottom w:val="thinThickMediumGap" w:sz="17" w:space="0" w:color="000000"/>
              <w:right w:val="thinThickMediumGap" w:sz="17" w:space="0" w:color="000000"/>
            </w:tcBorders>
          </w:tcPr>
          <w:p>
            <w:pPr>
              <w:pStyle w:val="TableParagraph"/>
              <w:spacing w:before="11"/>
              <w:ind w:left="67" w:right="69"/>
              <w:jc w:val="both"/>
              <w:rPr>
                <w:rFonts w:ascii="Times New Roman" w:hAnsi="Times New Roman"/>
                <w:sz w:val="24"/>
              </w:rPr>
            </w:pPr>
            <w:r>
              <w:rPr>
                <w:rFonts w:ascii="Times New Roman" w:hAnsi="Times New Roman"/>
                <w:sz w:val="24"/>
              </w:rPr>
              <w:t>Originaria de Asia (India, Bengal y Mysore), donde </w:t>
            </w:r>
            <w:r>
              <w:rPr>
                <w:rFonts w:ascii="Times New Roman" w:hAnsi="Times New Roman"/>
                <w:spacing w:val="-3"/>
                <w:sz w:val="24"/>
              </w:rPr>
              <w:t>fue</w:t>
            </w:r>
            <w:r>
              <w:rPr>
                <w:rFonts w:ascii="Times New Roman" w:hAnsi="Times New Roman"/>
                <w:spacing w:val="54"/>
                <w:sz w:val="24"/>
              </w:rPr>
              <w:t> </w:t>
            </w:r>
            <w:r>
              <w:rPr>
                <w:rFonts w:ascii="Times New Roman" w:hAnsi="Times New Roman"/>
                <w:sz w:val="24"/>
              </w:rPr>
              <w:t>introducida y distribuida ampliamente en América (Ocampo y Valverde, 2000)</w:t>
            </w:r>
          </w:p>
        </w:tc>
      </w:tr>
      <w:tr>
        <w:trPr>
          <w:trHeight w:val="793" w:hRule="exact"/>
        </w:trPr>
        <w:tc>
          <w:tcPr>
            <w:tcW w:w="1287" w:type="dxa"/>
            <w:tcBorders>
              <w:bottom w:val="thinThickMediumGap" w:sz="17" w:space="0" w:color="000000"/>
              <w:right w:val="thinThickMediumGap" w:sz="17" w:space="0" w:color="000000"/>
            </w:tcBorders>
          </w:tcPr>
          <w:p>
            <w:pPr>
              <w:pStyle w:val="TableParagraph"/>
              <w:spacing w:before="4"/>
              <w:rPr>
                <w:rFonts w:ascii="Times New Roman"/>
                <w:sz w:val="19"/>
              </w:rPr>
            </w:pPr>
          </w:p>
          <w:p>
            <w:pPr>
              <w:pStyle w:val="TableParagraph"/>
              <w:ind w:left="100"/>
              <w:rPr>
                <w:rFonts w:ascii="Times New Roman"/>
                <w:sz w:val="24"/>
              </w:rPr>
            </w:pPr>
            <w:r>
              <w:rPr>
                <w:rFonts w:ascii="Times New Roman"/>
                <w:sz w:val="24"/>
              </w:rPr>
              <w:t>Rubiaceae</w:t>
            </w:r>
          </w:p>
        </w:tc>
        <w:tc>
          <w:tcPr>
            <w:tcW w:w="2036" w:type="dxa"/>
            <w:tcBorders>
              <w:bottom w:val="thinThickMediumGap" w:sz="17" w:space="0" w:color="000000"/>
              <w:right w:val="thinThickMediumGap" w:sz="17" w:space="0" w:color="000000"/>
            </w:tcBorders>
          </w:tcPr>
          <w:p>
            <w:pPr>
              <w:pStyle w:val="TableParagraph"/>
              <w:spacing w:before="83"/>
              <w:ind w:left="67"/>
              <w:rPr>
                <w:rFonts w:ascii="Times New Roman"/>
                <w:i/>
                <w:sz w:val="24"/>
              </w:rPr>
            </w:pPr>
            <w:r>
              <w:rPr>
                <w:rFonts w:ascii="Times New Roman"/>
                <w:i/>
                <w:sz w:val="24"/>
              </w:rPr>
              <w:t>Randia  monantha</w:t>
            </w:r>
          </w:p>
          <w:p>
            <w:pPr>
              <w:pStyle w:val="TableParagraph"/>
              <w:spacing w:before="2"/>
              <w:ind w:left="67"/>
              <w:rPr>
                <w:rFonts w:ascii="Times New Roman"/>
                <w:sz w:val="24"/>
              </w:rPr>
            </w:pPr>
            <w:r>
              <w:rPr>
                <w:rFonts w:ascii="Times New Roman"/>
                <w:sz w:val="24"/>
              </w:rPr>
              <w:t>Benth</w:t>
            </w:r>
          </w:p>
        </w:tc>
        <w:tc>
          <w:tcPr>
            <w:tcW w:w="1426" w:type="dxa"/>
            <w:tcBorders>
              <w:bottom w:val="thinThickMediumGap" w:sz="17" w:space="0" w:color="000000"/>
              <w:right w:val="thinThickMediumGap" w:sz="17" w:space="0" w:color="000000"/>
            </w:tcBorders>
          </w:tcPr>
          <w:p>
            <w:pPr/>
          </w:p>
        </w:tc>
        <w:tc>
          <w:tcPr>
            <w:tcW w:w="4879" w:type="dxa"/>
            <w:tcBorders>
              <w:bottom w:val="thinThickMediumGap" w:sz="17" w:space="0" w:color="000000"/>
              <w:right w:val="thinThickMediumGap" w:sz="17" w:space="0" w:color="000000"/>
            </w:tcBorders>
          </w:tcPr>
          <w:p>
            <w:pPr>
              <w:pStyle w:val="TableParagraph"/>
              <w:spacing w:line="274" w:lineRule="exact" w:before="16"/>
              <w:ind w:left="67" w:right="18"/>
              <w:rPr>
                <w:rFonts w:ascii="Times New Roman" w:hAnsi="Times New Roman"/>
                <w:sz w:val="24"/>
              </w:rPr>
            </w:pPr>
            <w:r>
              <w:rPr>
                <w:rFonts w:ascii="Times New Roman" w:hAnsi="Times New Roman"/>
                <w:sz w:val="24"/>
              </w:rPr>
              <w:t>México: Estado de México, Oaxaca y Veracruz) Guatemala (Borhidi, 2006)</w:t>
            </w:r>
          </w:p>
        </w:tc>
      </w:tr>
      <w:tr>
        <w:trPr>
          <w:trHeight w:val="811" w:hRule="exact"/>
        </w:trPr>
        <w:tc>
          <w:tcPr>
            <w:tcW w:w="1287" w:type="dxa"/>
            <w:tcBorders>
              <w:bottom w:val="thinThickMediumGap" w:sz="17" w:space="0" w:color="000000"/>
              <w:right w:val="thinThickMediumGap" w:sz="17" w:space="0" w:color="000000"/>
            </w:tcBorders>
          </w:tcPr>
          <w:p>
            <w:pPr>
              <w:pStyle w:val="TableParagraph"/>
              <w:spacing w:before="3"/>
              <w:rPr>
                <w:rFonts w:ascii="Times New Roman"/>
                <w:sz w:val="19"/>
              </w:rPr>
            </w:pPr>
          </w:p>
          <w:p>
            <w:pPr>
              <w:pStyle w:val="TableParagraph"/>
              <w:ind w:left="158"/>
              <w:rPr>
                <w:rFonts w:ascii="Times New Roman"/>
                <w:sz w:val="24"/>
              </w:rPr>
            </w:pPr>
            <w:r>
              <w:rPr>
                <w:rFonts w:ascii="Times New Roman"/>
                <w:sz w:val="24"/>
              </w:rPr>
              <w:t>Rutaceae</w:t>
            </w:r>
          </w:p>
        </w:tc>
        <w:tc>
          <w:tcPr>
            <w:tcW w:w="2036" w:type="dxa"/>
            <w:tcBorders>
              <w:bottom w:val="thinThickMediumGap" w:sz="17" w:space="0" w:color="000000"/>
              <w:right w:val="thinThickMediumGap" w:sz="17" w:space="0" w:color="000000"/>
            </w:tcBorders>
          </w:tcPr>
          <w:p>
            <w:pPr>
              <w:pStyle w:val="TableParagraph"/>
              <w:tabs>
                <w:tab w:pos="772" w:val="left" w:leader="none"/>
              </w:tabs>
              <w:spacing w:line="257" w:lineRule="exact" w:before="88"/>
              <w:ind w:left="67"/>
              <w:rPr>
                <w:rFonts w:ascii="Times New Roman"/>
                <w:i/>
                <w:sz w:val="24"/>
              </w:rPr>
            </w:pPr>
            <w:r>
              <w:rPr>
                <w:rFonts w:ascii="Times New Roman"/>
                <w:i/>
                <w:sz w:val="24"/>
              </w:rPr>
              <w:t>Ruta</w:t>
              <w:tab/>
              <w:t>chalepensis</w:t>
            </w:r>
          </w:p>
          <w:p>
            <w:pPr>
              <w:pStyle w:val="TableParagraph"/>
              <w:spacing w:line="292" w:lineRule="exact"/>
              <w:ind w:left="67"/>
              <w:rPr>
                <w:rFonts w:ascii="Times New Roman"/>
                <w:sz w:val="16"/>
              </w:rPr>
            </w:pPr>
            <w:r>
              <w:rPr>
                <w:rFonts w:ascii="Times New Roman"/>
                <w:sz w:val="24"/>
              </w:rPr>
              <w:t>L. </w:t>
            </w:r>
            <w:r>
              <w:rPr>
                <w:rFonts w:ascii="Times New Roman"/>
                <w:position w:val="11"/>
                <w:sz w:val="16"/>
              </w:rPr>
              <w:t>6</w:t>
            </w:r>
          </w:p>
        </w:tc>
        <w:tc>
          <w:tcPr>
            <w:tcW w:w="1426" w:type="dxa"/>
            <w:tcBorders>
              <w:bottom w:val="thinThickMediumGap" w:sz="17" w:space="0" w:color="000000"/>
              <w:right w:val="thinThickMediumGap" w:sz="17" w:space="0" w:color="000000"/>
            </w:tcBorders>
          </w:tcPr>
          <w:p>
            <w:pPr>
              <w:pStyle w:val="TableParagraph"/>
              <w:spacing w:before="3"/>
              <w:rPr>
                <w:rFonts w:ascii="Times New Roman"/>
                <w:sz w:val="19"/>
              </w:rPr>
            </w:pPr>
          </w:p>
          <w:p>
            <w:pPr>
              <w:pStyle w:val="TableParagraph"/>
              <w:ind w:left="181" w:right="181"/>
              <w:jc w:val="center"/>
              <w:rPr>
                <w:rFonts w:ascii="Times New Roman"/>
                <w:sz w:val="24"/>
              </w:rPr>
            </w:pPr>
            <w:r>
              <w:rPr>
                <w:rFonts w:ascii="Times New Roman"/>
                <w:sz w:val="24"/>
              </w:rPr>
              <w:t>Chaya</w:t>
            </w:r>
          </w:p>
        </w:tc>
        <w:tc>
          <w:tcPr>
            <w:tcW w:w="4879" w:type="dxa"/>
            <w:tcBorders>
              <w:bottom w:val="thinThickMediumGap" w:sz="17" w:space="0" w:color="000000"/>
              <w:right w:val="thinThickMediumGap" w:sz="17" w:space="0" w:color="000000"/>
            </w:tcBorders>
          </w:tcPr>
          <w:p>
            <w:pPr>
              <w:pStyle w:val="TableParagraph"/>
              <w:spacing w:line="274" w:lineRule="exact" w:before="92"/>
              <w:ind w:left="67" w:right="87"/>
              <w:rPr>
                <w:rFonts w:ascii="Times New Roman" w:hAnsi="Times New Roman"/>
                <w:sz w:val="24"/>
              </w:rPr>
            </w:pPr>
            <w:r>
              <w:rPr>
                <w:rFonts w:ascii="Times New Roman" w:hAnsi="Times New Roman"/>
                <w:sz w:val="24"/>
              </w:rPr>
              <w:t>Procede de los países mediterráneos, orientales y </w:t>
            </w:r>
            <w:r>
              <w:rPr>
                <w:rFonts w:ascii="Times New Roman" w:hAnsi="Times New Roman"/>
                <w:spacing w:val="2"/>
                <w:sz w:val="24"/>
              </w:rPr>
              <w:t>del </w:t>
            </w:r>
            <w:r>
              <w:rPr>
                <w:rFonts w:ascii="Times New Roman" w:hAnsi="Times New Roman"/>
                <w:sz w:val="24"/>
              </w:rPr>
              <w:t>Asia</w:t>
            </w:r>
            <w:r>
              <w:rPr>
                <w:rFonts w:ascii="Times New Roman" w:hAnsi="Times New Roman"/>
                <w:spacing w:val="-18"/>
                <w:sz w:val="24"/>
              </w:rPr>
              <w:t> </w:t>
            </w:r>
            <w:r>
              <w:rPr>
                <w:rFonts w:ascii="Times New Roman" w:hAnsi="Times New Roman"/>
                <w:sz w:val="24"/>
              </w:rPr>
              <w:t>menor</w:t>
            </w:r>
          </w:p>
        </w:tc>
      </w:tr>
    </w:tbl>
    <w:p>
      <w:pPr>
        <w:spacing w:after="0" w:line="274" w:lineRule="exact"/>
        <w:rPr>
          <w:rFonts w:ascii="Times New Roman" w:hAnsi="Times New Roman"/>
          <w:sz w:val="24"/>
        </w:rPr>
        <w:sectPr>
          <w:pgSz w:w="12240" w:h="15840"/>
          <w:pgMar w:header="685" w:footer="1146" w:top="880" w:bottom="1340" w:left="1160" w:right="1100"/>
        </w:sectPr>
      </w:pPr>
    </w:p>
    <w:p>
      <w:pPr>
        <w:pStyle w:val="BodyText"/>
        <w:rPr>
          <w:rFonts w:ascii="Times New Roman"/>
          <w:sz w:val="20"/>
        </w:rPr>
      </w:pPr>
    </w:p>
    <w:p>
      <w:pPr>
        <w:pStyle w:val="BodyText"/>
        <w:spacing w:before="5"/>
        <w:rPr>
          <w:rFonts w:ascii="Times New Roman"/>
          <w:sz w:val="19"/>
        </w:rPr>
      </w:pPr>
    </w:p>
    <w:p>
      <w:pPr>
        <w:pStyle w:val="BodyText"/>
        <w:spacing w:before="70"/>
        <w:ind w:left="382" w:right="794"/>
        <w:jc w:val="center"/>
        <w:rPr>
          <w:rFonts w:ascii="Times New Roman" w:hAnsi="Times New Roman"/>
        </w:rPr>
      </w:pPr>
      <w:r>
        <w:rPr>
          <w:rFonts w:ascii="Times New Roman" w:hAnsi="Times New Roman"/>
        </w:rPr>
        <w:t>y Aromáticas. (Continúa)</w:t>
      </w:r>
    </w:p>
    <w:p>
      <w:pPr>
        <w:spacing w:after="0"/>
        <w:jc w:val="center"/>
        <w:rPr>
          <w:rFonts w:ascii="Times New Roman" w:hAnsi="Times New Roman"/>
        </w:rPr>
        <w:sectPr>
          <w:pgSz w:w="12240" w:h="15840"/>
          <w:pgMar w:header="685" w:footer="1146" w:top="880" w:bottom="1340" w:left="1720" w:right="1320"/>
        </w:sectPr>
      </w:pPr>
    </w:p>
    <w:p>
      <w:pPr>
        <w:pStyle w:val="BodyText"/>
        <w:rPr>
          <w:rFonts w:ascii="Times New Roman"/>
          <w:sz w:val="20"/>
        </w:rPr>
      </w:pPr>
    </w:p>
    <w:p>
      <w:pPr>
        <w:pStyle w:val="BodyText"/>
        <w:spacing w:before="5"/>
        <w:rPr>
          <w:rFonts w:ascii="Times New Roman"/>
          <w:sz w:val="19"/>
        </w:rPr>
      </w:pPr>
    </w:p>
    <w:p>
      <w:pPr>
        <w:pStyle w:val="BodyText"/>
        <w:spacing w:before="70"/>
        <w:ind w:left="784" w:right="302"/>
        <w:rPr>
          <w:rFonts w:ascii="Times New Roman"/>
        </w:rPr>
      </w:pPr>
      <w:r>
        <w:rPr>
          <w:rFonts w:ascii="Times New Roman"/>
        </w:rPr>
        <w:t>Cuadro 2. Listado de especies de flora, en la Zona de Manejo Ambiental de Hortalizas.</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527"/>
        <w:gridCol w:w="1979"/>
        <w:gridCol w:w="1632"/>
        <w:gridCol w:w="4490"/>
      </w:tblGrid>
      <w:tr>
        <w:trPr>
          <w:trHeight w:val="644" w:hRule="exact"/>
        </w:trPr>
        <w:tc>
          <w:tcPr>
            <w:tcW w:w="1527" w:type="dxa"/>
            <w:tcBorders>
              <w:left w:val="thickThinMediumGap" w:sz="17" w:space="0" w:color="000000"/>
              <w:bottom w:val="thinThickMediumGap" w:sz="17" w:space="0" w:color="000000"/>
              <w:right w:val="thinThickMediumGap" w:sz="17" w:space="0" w:color="000000"/>
            </w:tcBorders>
          </w:tcPr>
          <w:p>
            <w:pPr>
              <w:pStyle w:val="TableParagraph"/>
              <w:spacing w:before="155"/>
              <w:ind w:left="45" w:right="48"/>
              <w:jc w:val="center"/>
              <w:rPr>
                <w:rFonts w:ascii="Times New Roman"/>
                <w:b/>
                <w:sz w:val="24"/>
              </w:rPr>
            </w:pPr>
            <w:r>
              <w:rPr>
                <w:rFonts w:ascii="Times New Roman"/>
                <w:b/>
                <w:sz w:val="24"/>
              </w:rPr>
              <w:t>FAMILIA</w:t>
            </w:r>
          </w:p>
        </w:tc>
        <w:tc>
          <w:tcPr>
            <w:tcW w:w="1979"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216" w:right="62" w:firstLine="187"/>
              <w:rPr>
                <w:rFonts w:ascii="Times New Roman" w:hAnsi="Times New Roman"/>
                <w:b/>
                <w:sz w:val="24"/>
              </w:rPr>
            </w:pPr>
            <w:r>
              <w:rPr>
                <w:rFonts w:ascii="Times New Roman" w:hAnsi="Times New Roman"/>
                <w:b/>
                <w:sz w:val="24"/>
              </w:rPr>
              <w:t>NOMBRE CIENTÍFICO</w:t>
            </w:r>
          </w:p>
        </w:tc>
        <w:tc>
          <w:tcPr>
            <w:tcW w:w="1632"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307" w:right="211" w:hanging="72"/>
              <w:rPr>
                <w:rFonts w:ascii="Times New Roman" w:hAnsi="Times New Roman"/>
                <w:b/>
                <w:sz w:val="24"/>
              </w:rPr>
            </w:pPr>
            <w:r>
              <w:rPr>
                <w:rFonts w:ascii="Times New Roman" w:hAnsi="Times New Roman"/>
                <w:b/>
                <w:sz w:val="24"/>
              </w:rPr>
              <w:t>NOMBRE COMÚN</w:t>
            </w:r>
          </w:p>
        </w:tc>
        <w:tc>
          <w:tcPr>
            <w:tcW w:w="4490" w:type="dxa"/>
            <w:tcBorders>
              <w:left w:val="thickThinMediumGap" w:sz="17" w:space="0" w:color="000000"/>
              <w:bottom w:val="thinThickMediumGap" w:sz="17" w:space="0" w:color="000000"/>
              <w:right w:val="thinThickMediumGap" w:sz="17" w:space="0" w:color="000000"/>
            </w:tcBorders>
          </w:tcPr>
          <w:p>
            <w:pPr>
              <w:pStyle w:val="TableParagraph"/>
              <w:spacing w:before="155"/>
              <w:ind w:left="1310"/>
              <w:rPr>
                <w:rFonts w:ascii="Times New Roman" w:hAnsi="Times New Roman"/>
                <w:b/>
                <w:sz w:val="24"/>
              </w:rPr>
            </w:pPr>
            <w:r>
              <w:rPr>
                <w:rFonts w:ascii="Times New Roman" w:hAnsi="Times New Roman"/>
                <w:b/>
                <w:sz w:val="24"/>
              </w:rPr>
              <w:t>DISTRIBUCIÓN</w:t>
            </w:r>
          </w:p>
        </w:tc>
      </w:tr>
      <w:tr>
        <w:trPr>
          <w:trHeight w:val="1469"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41" w:right="48"/>
              <w:jc w:val="center"/>
              <w:rPr>
                <w:rFonts w:ascii="Times New Roman"/>
                <w:sz w:val="24"/>
              </w:rPr>
            </w:pPr>
            <w:r>
              <w:rPr>
                <w:rFonts w:ascii="Times New Roman"/>
                <w:sz w:val="24"/>
              </w:rPr>
              <w:t>Caricaceae</w:t>
            </w:r>
          </w:p>
        </w:tc>
        <w:tc>
          <w:tcPr>
            <w:tcW w:w="1979"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62" w:right="62"/>
              <w:rPr>
                <w:rFonts w:ascii="Times New Roman"/>
                <w:sz w:val="24"/>
              </w:rPr>
            </w:pPr>
            <w:r>
              <w:rPr>
                <w:rFonts w:ascii="Times New Roman"/>
                <w:i/>
                <w:sz w:val="24"/>
              </w:rPr>
              <w:t>Carica papaya </w:t>
            </w:r>
            <w:r>
              <w:rPr>
                <w:rFonts w:ascii="Times New Roman"/>
                <w:sz w:val="24"/>
              </w:rPr>
              <w:t>L.</w:t>
            </w:r>
          </w:p>
        </w:tc>
        <w:tc>
          <w:tcPr>
            <w:tcW w:w="1632"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234" w:right="236"/>
              <w:jc w:val="center"/>
              <w:rPr>
                <w:rFonts w:ascii="Times New Roman"/>
                <w:sz w:val="24"/>
              </w:rPr>
            </w:pPr>
            <w:r>
              <w:rPr>
                <w:rFonts w:ascii="Times New Roman"/>
                <w:sz w:val="24"/>
              </w:rPr>
              <w:t>Papaya</w:t>
            </w:r>
          </w:p>
        </w:tc>
        <w:tc>
          <w:tcPr>
            <w:tcW w:w="4490"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4"/>
              <w:jc w:val="both"/>
              <w:rPr>
                <w:rFonts w:ascii="Times New Roman" w:hAnsi="Times New Roman"/>
                <w:sz w:val="24"/>
              </w:rPr>
            </w:pPr>
            <w:r>
              <w:rPr>
                <w:rFonts w:ascii="Times New Roman" w:hAnsi="Times New Roman"/>
                <w:sz w:val="24"/>
              </w:rPr>
              <w:t>Nativo de América tropical pero se desconoce su origen; ahora crece generalmente en todas las regiones tropicales, incluyendo Nueva Galicia.</w:t>
            </w:r>
          </w:p>
        </w:tc>
      </w:tr>
      <w:tr>
        <w:trPr>
          <w:trHeight w:val="1748"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150"/>
              <w:ind w:left="45" w:right="47"/>
              <w:jc w:val="center"/>
              <w:rPr>
                <w:rFonts w:ascii="Times New Roman"/>
                <w:sz w:val="24"/>
              </w:rPr>
            </w:pPr>
            <w:r>
              <w:rPr>
                <w:rFonts w:ascii="Times New Roman"/>
                <w:sz w:val="24"/>
              </w:rPr>
              <w:t>Fabaceae</w:t>
            </w:r>
          </w:p>
        </w:tc>
        <w:tc>
          <w:tcPr>
            <w:tcW w:w="1979"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38"/>
              </w:rPr>
            </w:pPr>
          </w:p>
          <w:p>
            <w:pPr>
              <w:pStyle w:val="TableParagraph"/>
              <w:tabs>
                <w:tab w:pos="1522" w:val="left" w:leader="none"/>
              </w:tabs>
              <w:spacing w:line="225" w:lineRule="auto"/>
              <w:ind w:left="62" w:right="62"/>
              <w:rPr>
                <w:rFonts w:ascii="Times New Roman" w:hAnsi="Times New Roman"/>
                <w:sz w:val="16"/>
              </w:rPr>
            </w:pPr>
            <w:r>
              <w:rPr>
                <w:rFonts w:ascii="Times New Roman" w:hAnsi="Times New Roman"/>
                <w:i/>
                <w:sz w:val="24"/>
              </w:rPr>
              <w:t>Calliandra </w:t>
            </w:r>
            <w:r>
              <w:rPr>
                <w:rFonts w:ascii="Times New Roman" w:hAnsi="Times New Roman"/>
                <w:i/>
                <w:sz w:val="24"/>
              </w:rPr>
              <w:t>grandiflora</w:t>
              <w:tab/>
            </w:r>
            <w:r>
              <w:rPr>
                <w:rFonts w:ascii="Times New Roman" w:hAnsi="Times New Roman"/>
                <w:sz w:val="24"/>
              </w:rPr>
              <w:t>(L’</w:t>
            </w:r>
            <w:r>
              <w:rPr>
                <w:rFonts w:ascii="Times New Roman" w:hAnsi="Times New Roman"/>
                <w:w w:val="99"/>
                <w:sz w:val="24"/>
              </w:rPr>
              <w:t> </w:t>
            </w:r>
            <w:r>
              <w:rPr>
                <w:rFonts w:ascii="Times New Roman" w:hAnsi="Times New Roman"/>
                <w:sz w:val="24"/>
              </w:rPr>
              <w:t>Hér.) Benth</w:t>
            </w:r>
            <w:r>
              <w:rPr>
                <w:rFonts w:ascii="Times New Roman" w:hAnsi="Times New Roman"/>
                <w:spacing w:val="-1"/>
                <w:sz w:val="24"/>
              </w:rPr>
              <w:t> </w:t>
            </w:r>
            <w:r>
              <w:rPr>
                <w:rFonts w:ascii="Times New Roman" w:hAnsi="Times New Roman"/>
                <w:position w:val="11"/>
                <w:sz w:val="16"/>
              </w:rPr>
              <w:t>7</w:t>
            </w:r>
          </w:p>
        </w:tc>
        <w:tc>
          <w:tcPr>
            <w:tcW w:w="1632"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238" w:right="236"/>
              <w:jc w:val="center"/>
              <w:rPr>
                <w:rFonts w:ascii="Times New Roman" w:hAnsi="Times New Roman"/>
                <w:sz w:val="24"/>
              </w:rPr>
            </w:pPr>
            <w:r>
              <w:rPr>
                <w:rFonts w:ascii="Times New Roman" w:hAnsi="Times New Roman"/>
                <w:sz w:val="24"/>
              </w:rPr>
              <w:t>Cabello de Ángel (Riviera Maya)</w:t>
            </w:r>
          </w:p>
        </w:tc>
        <w:tc>
          <w:tcPr>
            <w:tcW w:w="4490"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1"/>
              <w:jc w:val="both"/>
              <w:rPr>
                <w:rFonts w:ascii="Times New Roman" w:hAnsi="Times New Roman"/>
                <w:sz w:val="24"/>
              </w:rPr>
            </w:pPr>
            <w:r>
              <w:rPr>
                <w:rFonts w:ascii="Times New Roman" w:hAnsi="Times New Roman"/>
                <w:sz w:val="24"/>
              </w:rPr>
              <w:t>Es originaria del Sur de México y Guatemala. Áreas de distribución: Colima, Durango, Sinaloa (Trópicos, 2014),  Chiapas, D.F., Guanajuato, Guerrero, Hidalgo, Jalisco, Mich., Mor., Edo de Méx., Nayarit, Oaxaca y</w:t>
            </w:r>
            <w:r>
              <w:rPr>
                <w:rFonts w:ascii="Times New Roman" w:hAnsi="Times New Roman"/>
                <w:spacing w:val="-14"/>
                <w:sz w:val="24"/>
              </w:rPr>
              <w:t> </w:t>
            </w:r>
            <w:r>
              <w:rPr>
                <w:rFonts w:ascii="Times New Roman" w:hAnsi="Times New Roman"/>
                <w:sz w:val="24"/>
              </w:rPr>
              <w:t>Veracruz.</w:t>
            </w:r>
          </w:p>
        </w:tc>
      </w:tr>
      <w:tr>
        <w:trPr>
          <w:trHeight w:val="1191"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8"/>
              <w:jc w:val="center"/>
              <w:rPr>
                <w:rFonts w:ascii="Times New Roman"/>
                <w:sz w:val="24"/>
              </w:rPr>
            </w:pPr>
            <w:r>
              <w:rPr>
                <w:rFonts w:ascii="Times New Roman"/>
                <w:sz w:val="24"/>
              </w:rPr>
              <w:t>Papaveraceae</w:t>
            </w:r>
          </w:p>
        </w:tc>
        <w:tc>
          <w:tcPr>
            <w:tcW w:w="1979"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spacing w:line="257" w:lineRule="exact"/>
              <w:ind w:left="62"/>
              <w:rPr>
                <w:rFonts w:ascii="Times New Roman"/>
                <w:i/>
                <w:sz w:val="24"/>
              </w:rPr>
            </w:pPr>
            <w:r>
              <w:rPr>
                <w:rFonts w:ascii="Times New Roman"/>
                <w:i/>
                <w:sz w:val="24"/>
              </w:rPr>
              <w:t>Bocconia arborea</w:t>
            </w:r>
          </w:p>
          <w:p>
            <w:pPr>
              <w:pStyle w:val="TableParagraph"/>
              <w:spacing w:line="293" w:lineRule="exact"/>
              <w:ind w:left="62" w:right="62"/>
              <w:rPr>
                <w:rFonts w:ascii="Times New Roman"/>
                <w:sz w:val="16"/>
              </w:rPr>
            </w:pPr>
            <w:r>
              <w:rPr>
                <w:rFonts w:ascii="Times New Roman"/>
                <w:sz w:val="24"/>
              </w:rPr>
              <w:t>S. Watson </w:t>
            </w:r>
            <w:r>
              <w:rPr>
                <w:rFonts w:ascii="Times New Roman"/>
                <w:position w:val="11"/>
                <w:sz w:val="16"/>
              </w:rPr>
              <w:t>8</w:t>
            </w:r>
          </w:p>
        </w:tc>
        <w:tc>
          <w:tcPr>
            <w:tcW w:w="1632"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191" w:hanging="111"/>
              <w:rPr>
                <w:rFonts w:ascii="Times New Roman"/>
                <w:sz w:val="24"/>
              </w:rPr>
            </w:pPr>
            <w:r>
              <w:rPr>
                <w:rFonts w:ascii="Times New Roman"/>
                <w:sz w:val="24"/>
              </w:rPr>
              <w:t>Llora sangre o Chincualule</w:t>
            </w:r>
          </w:p>
        </w:tc>
        <w:tc>
          <w:tcPr>
            <w:tcW w:w="4490"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2"/>
              <w:jc w:val="both"/>
              <w:rPr>
                <w:rFonts w:ascii="Times New Roman" w:hAnsi="Times New Roman"/>
                <w:sz w:val="24"/>
              </w:rPr>
            </w:pPr>
            <w:r>
              <w:rPr>
                <w:rFonts w:ascii="Times New Roman" w:hAnsi="Times New Roman"/>
                <w:sz w:val="24"/>
              </w:rPr>
              <w:t>Vertiente pacífica, donde habita en ambientes no muy húmedos, principalmente en zonas de transición entre encinares y bosques tropicales caducifolios.</w:t>
            </w:r>
          </w:p>
        </w:tc>
      </w:tr>
      <w:tr>
        <w:trPr>
          <w:trHeight w:val="922"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40" w:right="48"/>
              <w:jc w:val="center"/>
              <w:rPr>
                <w:rFonts w:ascii="Times New Roman"/>
                <w:sz w:val="24"/>
              </w:rPr>
            </w:pPr>
            <w:r>
              <w:rPr>
                <w:rFonts w:ascii="Times New Roman"/>
                <w:sz w:val="24"/>
              </w:rPr>
              <w:t>Solanaceae</w:t>
            </w:r>
          </w:p>
        </w:tc>
        <w:tc>
          <w:tcPr>
            <w:tcW w:w="1979"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2" w:right="62"/>
              <w:rPr>
                <w:rFonts w:ascii="Times New Roman"/>
                <w:sz w:val="24"/>
              </w:rPr>
            </w:pPr>
            <w:r>
              <w:rPr>
                <w:rFonts w:ascii="Times New Roman"/>
                <w:i/>
                <w:sz w:val="24"/>
              </w:rPr>
              <w:t>Capsicum </w:t>
            </w:r>
            <w:r>
              <w:rPr>
                <w:rFonts w:ascii="Times New Roman"/>
                <w:i/>
                <w:sz w:val="24"/>
              </w:rPr>
              <w:t>pubescens </w:t>
            </w:r>
            <w:r>
              <w:rPr>
                <w:rFonts w:ascii="Times New Roman"/>
                <w:sz w:val="24"/>
              </w:rPr>
              <w:t>Ruiz y Pav.</w:t>
            </w:r>
          </w:p>
        </w:tc>
        <w:tc>
          <w:tcPr>
            <w:tcW w:w="1632"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74" w:lineRule="exact" w:before="155"/>
              <w:ind w:left="340" w:right="211" w:firstLine="177"/>
              <w:rPr>
                <w:rFonts w:ascii="Times New Roman"/>
                <w:sz w:val="24"/>
              </w:rPr>
            </w:pPr>
            <w:r>
              <w:rPr>
                <w:rFonts w:ascii="Times New Roman"/>
                <w:sz w:val="24"/>
              </w:rPr>
              <w:t>Chile manzano</w:t>
            </w:r>
          </w:p>
        </w:tc>
        <w:tc>
          <w:tcPr>
            <w:tcW w:w="4490"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0"/>
              <w:jc w:val="both"/>
              <w:rPr>
                <w:rFonts w:ascii="Times New Roman" w:hAnsi="Times New Roman"/>
                <w:i/>
                <w:sz w:val="24"/>
              </w:rPr>
            </w:pPr>
            <w:r>
              <w:rPr>
                <w:rFonts w:ascii="Times New Roman" w:hAnsi="Times New Roman"/>
                <w:sz w:val="24"/>
              </w:rPr>
              <w:t>Nativa de los Andes de Sudamérica y probablemente derivada de </w:t>
            </w:r>
            <w:r>
              <w:rPr>
                <w:rFonts w:ascii="Times New Roman" w:hAnsi="Times New Roman"/>
                <w:i/>
                <w:sz w:val="24"/>
              </w:rPr>
              <w:t>Capsicum </w:t>
            </w:r>
            <w:r>
              <w:rPr>
                <w:rFonts w:ascii="Times New Roman" w:hAnsi="Times New Roman"/>
                <w:i/>
                <w:sz w:val="24"/>
              </w:rPr>
              <w:t>Cardenassi </w:t>
            </w:r>
            <w:r>
              <w:rPr>
                <w:rFonts w:ascii="Times New Roman" w:hAnsi="Times New Roman"/>
                <w:sz w:val="24"/>
              </w:rPr>
              <w:t>y </w:t>
            </w:r>
            <w:r>
              <w:rPr>
                <w:rFonts w:ascii="Times New Roman" w:hAnsi="Times New Roman"/>
                <w:i/>
                <w:sz w:val="24"/>
              </w:rPr>
              <w:t>C. eximium </w:t>
            </w:r>
            <w:r>
              <w:rPr>
                <w:rFonts w:ascii="Times New Roman" w:hAnsi="Times New Roman"/>
                <w:sz w:val="24"/>
              </w:rPr>
              <w:t>(Nee, 1986)</w:t>
            </w:r>
            <w:r>
              <w:rPr>
                <w:rFonts w:ascii="Times New Roman" w:hAnsi="Times New Roman"/>
                <w:i/>
                <w:sz w:val="24"/>
              </w:rPr>
              <w:t>.</w:t>
            </w:r>
          </w:p>
        </w:tc>
      </w:tr>
      <w:tr>
        <w:trPr>
          <w:trHeight w:val="1210"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8"/>
              <w:jc w:val="center"/>
              <w:rPr>
                <w:rFonts w:ascii="Times New Roman"/>
                <w:sz w:val="24"/>
              </w:rPr>
            </w:pPr>
            <w:r>
              <w:rPr>
                <w:rFonts w:ascii="Times New Roman"/>
                <w:sz w:val="24"/>
              </w:rPr>
              <w:t>Solanaceae</w:t>
            </w:r>
          </w:p>
        </w:tc>
        <w:tc>
          <w:tcPr>
            <w:tcW w:w="1979"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6"/>
              <w:ind w:left="62" w:right="62"/>
              <w:rPr>
                <w:rFonts w:ascii="Times New Roman"/>
                <w:sz w:val="24"/>
              </w:rPr>
            </w:pPr>
            <w:r>
              <w:rPr>
                <w:rFonts w:ascii="Times New Roman"/>
                <w:i/>
                <w:sz w:val="24"/>
              </w:rPr>
              <w:t>Physalis </w:t>
            </w:r>
            <w:r>
              <w:rPr>
                <w:rFonts w:ascii="Times New Roman"/>
                <w:i/>
                <w:sz w:val="24"/>
              </w:rPr>
              <w:t>Philadelphica </w:t>
            </w:r>
            <w:r>
              <w:rPr>
                <w:rFonts w:ascii="Times New Roman"/>
                <w:sz w:val="24"/>
              </w:rPr>
              <w:t>Lam.</w:t>
            </w:r>
          </w:p>
        </w:tc>
        <w:tc>
          <w:tcPr>
            <w:tcW w:w="1632"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38" w:right="234"/>
              <w:jc w:val="center"/>
              <w:rPr>
                <w:rFonts w:ascii="Times New Roman"/>
                <w:sz w:val="24"/>
              </w:rPr>
            </w:pPr>
            <w:r>
              <w:rPr>
                <w:rFonts w:ascii="Times New Roman"/>
                <w:sz w:val="24"/>
              </w:rPr>
              <w:t>Tomate</w:t>
            </w:r>
          </w:p>
        </w:tc>
        <w:tc>
          <w:tcPr>
            <w:tcW w:w="4490"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61"/>
              <w:jc w:val="both"/>
              <w:rPr>
                <w:rFonts w:ascii="Times New Roman" w:hAnsi="Times New Roman"/>
                <w:sz w:val="24"/>
              </w:rPr>
            </w:pPr>
            <w:r>
              <w:rPr>
                <w:rFonts w:ascii="Times New Roman" w:hAnsi="Times New Roman"/>
                <w:sz w:val="24"/>
              </w:rPr>
              <w:t>Distribución en todo México, introducido esporádicamente en los Estados Unidos y Centroamérica hasta Panamá y en las Antillas.</w:t>
            </w:r>
          </w:p>
        </w:tc>
      </w:tr>
    </w:tbl>
    <w:p>
      <w:pPr>
        <w:pStyle w:val="BodyText"/>
        <w:rPr>
          <w:rFonts w:ascii="Times New Roman"/>
          <w:sz w:val="20"/>
        </w:rPr>
      </w:pPr>
    </w:p>
    <w:p>
      <w:pPr>
        <w:pStyle w:val="BodyText"/>
        <w:rPr>
          <w:rFonts w:ascii="Times New Roman"/>
          <w:sz w:val="20"/>
        </w:rPr>
      </w:pPr>
    </w:p>
    <w:p>
      <w:pPr>
        <w:pStyle w:val="BodyText"/>
        <w:spacing w:before="10"/>
        <w:rPr>
          <w:rFonts w:ascii="Times New Roman"/>
          <w:sz w:val="18"/>
        </w:rPr>
      </w:pPr>
    </w:p>
    <w:p>
      <w:pPr>
        <w:pStyle w:val="BodyText"/>
        <w:spacing w:before="69"/>
        <w:ind w:left="929" w:right="302"/>
        <w:rPr>
          <w:rFonts w:ascii="Times New Roman"/>
        </w:rPr>
      </w:pPr>
      <w:r>
        <w:rPr>
          <w:rFonts w:ascii="Times New Roman"/>
        </w:rPr>
        <w:t>Cuadro 3. Listado de especies de flora, en la Zona de Manejo Ambiental de Cafetal.</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474"/>
        <w:gridCol w:w="3227"/>
        <w:gridCol w:w="2627"/>
        <w:gridCol w:w="2300"/>
      </w:tblGrid>
      <w:tr>
        <w:trPr>
          <w:trHeight w:val="365" w:hRule="exact"/>
        </w:trPr>
        <w:tc>
          <w:tcPr>
            <w:tcW w:w="1474" w:type="dxa"/>
            <w:tcBorders>
              <w:bottom w:val="thinThickMediumGap" w:sz="17" w:space="0" w:color="000000"/>
              <w:right w:val="thinThickMediumGap" w:sz="17" w:space="0" w:color="000000"/>
            </w:tcBorders>
          </w:tcPr>
          <w:p>
            <w:pPr>
              <w:pStyle w:val="TableParagraph"/>
              <w:spacing w:before="11"/>
              <w:ind w:left="140" w:right="140"/>
              <w:jc w:val="center"/>
              <w:rPr>
                <w:rFonts w:ascii="Times New Roman"/>
                <w:b/>
                <w:sz w:val="24"/>
              </w:rPr>
            </w:pPr>
            <w:r>
              <w:rPr>
                <w:rFonts w:ascii="Times New Roman"/>
                <w:b/>
                <w:sz w:val="24"/>
              </w:rPr>
              <w:t>FAMILIA</w:t>
            </w:r>
          </w:p>
        </w:tc>
        <w:tc>
          <w:tcPr>
            <w:tcW w:w="3227" w:type="dxa"/>
            <w:tcBorders>
              <w:bottom w:val="thinThickMediumGap" w:sz="17" w:space="0" w:color="000000"/>
              <w:right w:val="thinThickMediumGap" w:sz="17" w:space="0" w:color="000000"/>
            </w:tcBorders>
          </w:tcPr>
          <w:p>
            <w:pPr>
              <w:pStyle w:val="TableParagraph"/>
              <w:spacing w:before="11"/>
              <w:ind w:left="273"/>
              <w:rPr>
                <w:rFonts w:ascii="Times New Roman" w:hAnsi="Times New Roman"/>
                <w:b/>
                <w:sz w:val="24"/>
              </w:rPr>
            </w:pPr>
            <w:r>
              <w:rPr>
                <w:rFonts w:ascii="Times New Roman" w:hAnsi="Times New Roman"/>
                <w:b/>
                <w:sz w:val="24"/>
              </w:rPr>
              <w:t>NOMBRE CIENTÍFICO</w:t>
            </w:r>
          </w:p>
        </w:tc>
        <w:tc>
          <w:tcPr>
            <w:tcW w:w="2627" w:type="dxa"/>
            <w:tcBorders>
              <w:bottom w:val="thinThickMediumGap" w:sz="17" w:space="0" w:color="000000"/>
              <w:right w:val="thinThickMediumGap" w:sz="17" w:space="0" w:color="000000"/>
            </w:tcBorders>
          </w:tcPr>
          <w:p>
            <w:pPr>
              <w:pStyle w:val="TableParagraph"/>
              <w:spacing w:before="11"/>
              <w:ind w:left="217" w:right="209"/>
              <w:jc w:val="center"/>
              <w:rPr>
                <w:rFonts w:ascii="Times New Roman" w:hAnsi="Times New Roman"/>
                <w:b/>
                <w:sz w:val="24"/>
              </w:rPr>
            </w:pPr>
            <w:r>
              <w:rPr>
                <w:rFonts w:ascii="Times New Roman" w:hAnsi="Times New Roman"/>
                <w:b/>
                <w:sz w:val="24"/>
              </w:rPr>
              <w:t>NOMBRE COMÚN</w:t>
            </w:r>
          </w:p>
        </w:tc>
        <w:tc>
          <w:tcPr>
            <w:tcW w:w="2300" w:type="dxa"/>
            <w:tcBorders>
              <w:bottom w:val="thinThickMediumGap" w:sz="17" w:space="0" w:color="000000"/>
              <w:right w:val="thinThickMediumGap" w:sz="17" w:space="0" w:color="000000"/>
            </w:tcBorders>
          </w:tcPr>
          <w:p>
            <w:pPr>
              <w:pStyle w:val="TableParagraph"/>
              <w:spacing w:before="11"/>
              <w:ind w:left="215"/>
              <w:rPr>
                <w:rFonts w:ascii="Times New Roman" w:hAnsi="Times New Roman"/>
                <w:b/>
                <w:sz w:val="24"/>
              </w:rPr>
            </w:pPr>
            <w:r>
              <w:rPr>
                <w:rFonts w:ascii="Times New Roman" w:hAnsi="Times New Roman"/>
                <w:b/>
                <w:sz w:val="24"/>
              </w:rPr>
              <w:t>DISTRIBUCIÓN</w:t>
            </w:r>
          </w:p>
        </w:tc>
      </w:tr>
      <w:tr>
        <w:trPr>
          <w:trHeight w:val="2867" w:hRule="exact"/>
        </w:trPr>
        <w:tc>
          <w:tcPr>
            <w:tcW w:w="1474"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6"/>
              <w:ind w:left="140" w:right="140"/>
              <w:jc w:val="center"/>
              <w:rPr>
                <w:rFonts w:ascii="Times New Roman"/>
                <w:sz w:val="24"/>
              </w:rPr>
            </w:pPr>
            <w:r>
              <w:rPr>
                <w:rFonts w:ascii="Times New Roman"/>
                <w:sz w:val="24"/>
              </w:rPr>
              <w:t>Rubiaceae</w:t>
            </w:r>
          </w:p>
        </w:tc>
        <w:tc>
          <w:tcPr>
            <w:tcW w:w="322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6"/>
              <w:ind w:left="67"/>
              <w:rPr>
                <w:rFonts w:ascii="Times New Roman"/>
                <w:sz w:val="24"/>
              </w:rPr>
            </w:pPr>
            <w:r>
              <w:rPr>
                <w:rFonts w:ascii="Times New Roman"/>
                <w:i/>
                <w:sz w:val="24"/>
              </w:rPr>
              <w:t>Coffea arabica </w:t>
            </w:r>
            <w:r>
              <w:rPr>
                <w:rFonts w:ascii="Times New Roman"/>
                <w:sz w:val="24"/>
              </w:rPr>
              <w:t>L. *</w:t>
            </w:r>
          </w:p>
        </w:tc>
        <w:tc>
          <w:tcPr>
            <w:tcW w:w="2627"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6"/>
              <w:ind w:left="209" w:right="209"/>
              <w:jc w:val="center"/>
              <w:rPr>
                <w:rFonts w:ascii="Times New Roman" w:hAnsi="Times New Roman"/>
                <w:sz w:val="24"/>
              </w:rPr>
            </w:pPr>
            <w:r>
              <w:rPr>
                <w:rFonts w:ascii="Times New Roman" w:hAnsi="Times New Roman"/>
                <w:sz w:val="24"/>
              </w:rPr>
              <w:t>Café</w:t>
            </w:r>
          </w:p>
        </w:tc>
        <w:tc>
          <w:tcPr>
            <w:tcW w:w="2300" w:type="dxa"/>
            <w:tcBorders>
              <w:bottom w:val="thinThickMediumGap" w:sz="17" w:space="0" w:color="000000"/>
              <w:right w:val="thinThickMediumGap" w:sz="17" w:space="0" w:color="000000"/>
            </w:tcBorders>
          </w:tcPr>
          <w:p>
            <w:pPr>
              <w:pStyle w:val="TableParagraph"/>
              <w:tabs>
                <w:tab w:pos="1381" w:val="left" w:leader="none"/>
              </w:tabs>
              <w:spacing w:line="275" w:lineRule="exact" w:before="11"/>
              <w:ind w:left="67"/>
              <w:jc w:val="both"/>
              <w:rPr>
                <w:rFonts w:ascii="Times New Roman"/>
                <w:sz w:val="24"/>
              </w:rPr>
            </w:pPr>
            <w:r>
              <w:rPr>
                <w:rFonts w:ascii="Times New Roman"/>
                <w:sz w:val="24"/>
              </w:rPr>
              <w:t>Belice,</w:t>
              <w:tab/>
              <w:t>Bolivia,</w:t>
            </w:r>
          </w:p>
          <w:p>
            <w:pPr>
              <w:pStyle w:val="TableParagraph"/>
              <w:tabs>
                <w:tab w:pos="1233" w:val="left" w:leader="none"/>
                <w:tab w:pos="1511" w:val="left" w:leader="none"/>
              </w:tabs>
              <w:ind w:left="67" w:right="59"/>
              <w:jc w:val="both"/>
              <w:rPr>
                <w:rFonts w:ascii="Times New Roman" w:hAnsi="Times New Roman"/>
                <w:sz w:val="24"/>
              </w:rPr>
            </w:pPr>
            <w:r>
              <w:rPr>
                <w:rFonts w:ascii="Times New Roman" w:hAnsi="Times New Roman"/>
                <w:sz w:val="24"/>
              </w:rPr>
              <w:t>Brasil,</w:t>
              <w:tab/>
              <w:tab/>
              <w:t>China, Colombia, Ecuador, El</w:t>
              <w:tab/>
              <w:t>Salvador, Ethiopia, Guatemala, Honduras, Kenya Madagascar, México (Campeche, Chiapas, Oaxaca, Tabasco, Yucatán) </w:t>
            </w:r>
            <w:r>
              <w:rPr>
                <w:rFonts w:ascii="Times New Roman" w:hAnsi="Times New Roman"/>
                <w:spacing w:val="25"/>
                <w:sz w:val="24"/>
              </w:rPr>
              <w:t> </w:t>
            </w:r>
            <w:r>
              <w:rPr>
                <w:rFonts w:ascii="Times New Roman" w:hAnsi="Times New Roman"/>
                <w:sz w:val="24"/>
              </w:rPr>
              <w:t>Nicaragua,</w:t>
            </w:r>
          </w:p>
        </w:tc>
      </w:tr>
    </w:tbl>
    <w:p>
      <w:pPr>
        <w:spacing w:after="0"/>
        <w:jc w:val="both"/>
        <w:rPr>
          <w:rFonts w:ascii="Times New Roman" w:hAnsi="Times New Roman"/>
          <w:sz w:val="24"/>
        </w:rPr>
        <w:sectPr>
          <w:pgSz w:w="12240" w:h="15840"/>
          <w:pgMar w:header="685" w:footer="1146" w:top="880" w:bottom="1340" w:left="1160" w:right="1100"/>
        </w:sectPr>
      </w:pPr>
    </w:p>
    <w:p>
      <w:pPr>
        <w:pStyle w:val="BodyText"/>
        <w:rPr>
          <w:rFonts w:ascii="Times New Roman"/>
          <w:sz w:val="20"/>
        </w:rPr>
      </w:pPr>
    </w:p>
    <w:p>
      <w:pPr>
        <w:pStyle w:val="BodyText"/>
        <w:spacing w:before="11"/>
        <w:rPr>
          <w:rFonts w:ascii="Times New Roman"/>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474"/>
        <w:gridCol w:w="3227"/>
        <w:gridCol w:w="2627"/>
        <w:gridCol w:w="2300"/>
      </w:tblGrid>
      <w:tr>
        <w:trPr>
          <w:trHeight w:val="937" w:hRule="exact"/>
        </w:trPr>
        <w:tc>
          <w:tcPr>
            <w:tcW w:w="1474" w:type="dxa"/>
            <w:tcBorders>
              <w:bottom w:val="thinThickMediumGap" w:sz="17" w:space="0" w:color="000000"/>
              <w:right w:val="thinThickMediumGap" w:sz="17" w:space="0" w:color="000000"/>
            </w:tcBorders>
          </w:tcPr>
          <w:p>
            <w:pPr/>
          </w:p>
        </w:tc>
        <w:tc>
          <w:tcPr>
            <w:tcW w:w="3227" w:type="dxa"/>
            <w:tcBorders>
              <w:bottom w:val="thinThickMediumGap" w:sz="17" w:space="0" w:color="000000"/>
              <w:right w:val="thinThickMediumGap" w:sz="17" w:space="0" w:color="000000"/>
            </w:tcBorders>
          </w:tcPr>
          <w:p>
            <w:pPr/>
          </w:p>
        </w:tc>
        <w:tc>
          <w:tcPr>
            <w:tcW w:w="2627" w:type="dxa"/>
            <w:tcBorders>
              <w:bottom w:val="thinThickMediumGap" w:sz="17" w:space="0" w:color="000000"/>
              <w:right w:val="thinThickMediumGap" w:sz="17" w:space="0" w:color="000000"/>
            </w:tcBorders>
          </w:tcPr>
          <w:p>
            <w:pPr/>
          </w:p>
        </w:tc>
        <w:tc>
          <w:tcPr>
            <w:tcW w:w="2300" w:type="dxa"/>
            <w:tcBorders>
              <w:bottom w:val="thinThickMediumGap" w:sz="17" w:space="0" w:color="000000"/>
              <w:right w:val="thinThickMediumGap" w:sz="17" w:space="0" w:color="000000"/>
            </w:tcBorders>
          </w:tcPr>
          <w:p>
            <w:pPr>
              <w:pStyle w:val="TableParagraph"/>
              <w:spacing w:before="11"/>
              <w:ind w:left="67" w:right="58"/>
              <w:jc w:val="both"/>
              <w:rPr>
                <w:rFonts w:ascii="Times New Roman" w:hAnsi="Times New Roman"/>
                <w:sz w:val="24"/>
              </w:rPr>
            </w:pPr>
            <w:r>
              <w:rPr>
                <w:rFonts w:ascii="Times New Roman" w:hAnsi="Times New Roman"/>
                <w:sz w:val="24"/>
              </w:rPr>
              <w:t>Panamá, Perú y Venezuela (Trópicos, 2014.</w:t>
            </w:r>
          </w:p>
        </w:tc>
      </w:tr>
    </w:tbl>
    <w:p>
      <w:pPr>
        <w:pStyle w:val="BodyText"/>
        <w:spacing w:line="268" w:lineRule="exact"/>
        <w:ind w:left="256" w:right="302"/>
        <w:rPr>
          <w:rFonts w:ascii="Times New Roman" w:hAnsi="Times New Roman"/>
        </w:rPr>
      </w:pPr>
      <w:r>
        <w:rPr>
          <w:rFonts w:ascii="Times New Roman" w:hAnsi="Times New Roman"/>
        </w:rPr>
        <w:t>* Además, localizada en la Zona de Manejo Ambiental de Hortalizas y Orquídeario.</w:t>
      </w:r>
    </w:p>
    <w:p>
      <w:pPr>
        <w:spacing w:after="0" w:line="268" w:lineRule="exact"/>
        <w:rPr>
          <w:rFonts w:ascii="Times New Roman" w:hAnsi="Times New Roman"/>
        </w:rPr>
        <w:sectPr>
          <w:pgSz w:w="12240" w:h="15840"/>
          <w:pgMar w:header="685" w:footer="1146" w:top="880" w:bottom="1340" w:left="1160" w:right="1100"/>
        </w:sectPr>
      </w:pPr>
    </w:p>
    <w:p>
      <w:pPr>
        <w:pStyle w:val="BodyText"/>
        <w:rPr>
          <w:rFonts w:ascii="Times New Roman"/>
          <w:sz w:val="20"/>
        </w:rPr>
      </w:pPr>
    </w:p>
    <w:p>
      <w:pPr>
        <w:pStyle w:val="BodyText"/>
        <w:spacing w:before="5"/>
        <w:rPr>
          <w:rFonts w:ascii="Times New Roman"/>
          <w:sz w:val="19"/>
        </w:rPr>
      </w:pPr>
    </w:p>
    <w:p>
      <w:pPr>
        <w:pStyle w:val="BodyText"/>
        <w:spacing w:before="70"/>
        <w:ind w:left="890" w:right="302"/>
        <w:rPr>
          <w:rFonts w:ascii="Times New Roman"/>
        </w:rPr>
      </w:pPr>
      <w:r>
        <w:rPr>
          <w:rFonts w:ascii="Times New Roman"/>
        </w:rPr>
        <w:t>Cuadro 4. Listado de especies de flora, en la Zona de Manejo Ambiental de Frutales.</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33"/>
        <w:gridCol w:w="1916"/>
        <w:gridCol w:w="1436"/>
        <w:gridCol w:w="4644"/>
      </w:tblGrid>
      <w:tr>
        <w:trPr>
          <w:trHeight w:val="644" w:hRule="exact"/>
        </w:trPr>
        <w:tc>
          <w:tcPr>
            <w:tcW w:w="1633" w:type="dxa"/>
            <w:tcBorders>
              <w:left w:val="thickThinMediumGap" w:sz="17" w:space="0" w:color="000000"/>
              <w:bottom w:val="thinThickMediumGap" w:sz="17" w:space="0" w:color="000000"/>
              <w:right w:val="thinThickMediumGap" w:sz="17" w:space="0" w:color="000000"/>
            </w:tcBorders>
          </w:tcPr>
          <w:p>
            <w:pPr>
              <w:pStyle w:val="TableParagraph"/>
              <w:spacing w:before="155"/>
              <w:ind w:left="44" w:right="47"/>
              <w:jc w:val="center"/>
              <w:rPr>
                <w:rFonts w:ascii="Times New Roman"/>
                <w:b/>
                <w:sz w:val="24"/>
              </w:rPr>
            </w:pPr>
            <w:r>
              <w:rPr>
                <w:rFonts w:ascii="Times New Roman"/>
                <w:b/>
                <w:sz w:val="24"/>
              </w:rPr>
              <w:t>FAMILIA</w:t>
            </w:r>
          </w:p>
        </w:tc>
        <w:tc>
          <w:tcPr>
            <w:tcW w:w="1916"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187" w:right="49" w:firstLine="187"/>
              <w:rPr>
                <w:rFonts w:ascii="Times New Roman" w:hAnsi="Times New Roman"/>
                <w:b/>
                <w:sz w:val="24"/>
              </w:rPr>
            </w:pPr>
            <w:r>
              <w:rPr>
                <w:rFonts w:ascii="Times New Roman" w:hAnsi="Times New Roman"/>
                <w:b/>
                <w:sz w:val="24"/>
              </w:rPr>
              <w:t>NOMBRE CIENTÍFICO</w:t>
            </w:r>
          </w:p>
        </w:tc>
        <w:tc>
          <w:tcPr>
            <w:tcW w:w="1436"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211" w:right="115" w:hanging="77"/>
              <w:rPr>
                <w:rFonts w:ascii="Times New Roman" w:hAnsi="Times New Roman"/>
                <w:b/>
                <w:sz w:val="24"/>
              </w:rPr>
            </w:pPr>
            <w:r>
              <w:rPr>
                <w:rFonts w:ascii="Times New Roman" w:hAnsi="Times New Roman"/>
                <w:b/>
                <w:sz w:val="24"/>
              </w:rPr>
              <w:t>NOMBRE COMÚN</w:t>
            </w:r>
          </w:p>
        </w:tc>
        <w:tc>
          <w:tcPr>
            <w:tcW w:w="4644" w:type="dxa"/>
            <w:tcBorders>
              <w:left w:val="thickThinMediumGap" w:sz="17" w:space="0" w:color="000000"/>
              <w:bottom w:val="thinThickMediumGap" w:sz="17" w:space="0" w:color="000000"/>
              <w:right w:val="thinThickMediumGap" w:sz="17" w:space="0" w:color="000000"/>
            </w:tcBorders>
          </w:tcPr>
          <w:p>
            <w:pPr>
              <w:pStyle w:val="TableParagraph"/>
              <w:spacing w:before="155"/>
              <w:ind w:left="1387"/>
              <w:rPr>
                <w:rFonts w:ascii="Times New Roman" w:hAnsi="Times New Roman"/>
                <w:b/>
                <w:sz w:val="24"/>
              </w:rPr>
            </w:pPr>
            <w:r>
              <w:rPr>
                <w:rFonts w:ascii="Times New Roman" w:hAnsi="Times New Roman"/>
                <w:b/>
                <w:sz w:val="24"/>
              </w:rPr>
              <w:t>DISTRIBUCIÓN</w:t>
            </w:r>
          </w:p>
        </w:tc>
      </w:tr>
      <w:tr>
        <w:trPr>
          <w:trHeight w:val="1196"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Asteraceae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145"/>
              <w:ind w:left="67" w:right="49"/>
              <w:rPr>
                <w:rFonts w:ascii="Times New Roman"/>
                <w:sz w:val="24"/>
              </w:rPr>
            </w:pPr>
            <w:r>
              <w:rPr>
                <w:rFonts w:ascii="Times New Roman"/>
                <w:i/>
                <w:sz w:val="24"/>
              </w:rPr>
              <w:t>Critoniopsis </w:t>
            </w:r>
            <w:r>
              <w:rPr>
                <w:rFonts w:ascii="Times New Roman"/>
                <w:i/>
                <w:sz w:val="24"/>
              </w:rPr>
              <w:t>salicifolia   </w:t>
            </w:r>
            <w:r>
              <w:rPr>
                <w:rFonts w:ascii="Times New Roman"/>
                <w:sz w:val="24"/>
              </w:rPr>
              <w:t>(DC.)</w:t>
            </w:r>
          </w:p>
          <w:p>
            <w:pPr>
              <w:pStyle w:val="TableParagraph"/>
              <w:spacing w:line="271" w:lineRule="exact"/>
              <w:ind w:left="67" w:right="49"/>
              <w:rPr>
                <w:rFonts w:ascii="Times New Roman"/>
                <w:sz w:val="24"/>
              </w:rPr>
            </w:pPr>
            <w:r>
              <w:rPr>
                <w:rFonts w:ascii="Times New Roman"/>
                <w:sz w:val="24"/>
              </w:rPr>
              <w:t>H. Rob.</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jc w:val="center"/>
              <w:rPr>
                <w:rFonts w:ascii="Times New Roman"/>
                <w:sz w:val="24"/>
              </w:rPr>
            </w:pPr>
            <w:r>
              <w:rPr>
                <w:rFonts w:ascii="Times New Roman"/>
                <w:w w:val="99"/>
                <w:sz w:val="24"/>
              </w:rPr>
              <w:t>-</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4"/>
              <w:jc w:val="both"/>
              <w:rPr>
                <w:rFonts w:ascii="Times New Roman" w:hAnsi="Times New Roman"/>
                <w:sz w:val="24"/>
              </w:rPr>
            </w:pPr>
            <w:r>
              <w:rPr>
                <w:rFonts w:ascii="Times New Roman" w:hAnsi="Times New Roman"/>
                <w:sz w:val="24"/>
              </w:rPr>
              <w:t>México (Chiapas, Guerrero, Hidalgo, Jalisco, Veracruz, Michoacán, México, Nayarit, Oaxaca); Guatemala hasta Panamá; Sudamérica (Rzedowski, 2001).</w:t>
            </w:r>
          </w:p>
        </w:tc>
      </w:tr>
      <w:tr>
        <w:trPr>
          <w:trHeight w:val="638"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5"/>
              <w:ind w:left="44" w:right="47"/>
              <w:jc w:val="center"/>
              <w:rPr>
                <w:rFonts w:ascii="Times New Roman"/>
                <w:sz w:val="24"/>
              </w:rPr>
            </w:pPr>
            <w:r>
              <w:rPr>
                <w:rFonts w:ascii="Times New Roman"/>
                <w:sz w:val="24"/>
              </w:rPr>
              <w:t>Anacardiaceae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6"/>
              <w:ind w:left="67" w:right="49"/>
              <w:rPr>
                <w:rFonts w:ascii="Times New Roman"/>
                <w:i/>
                <w:sz w:val="24"/>
              </w:rPr>
            </w:pPr>
            <w:r>
              <w:rPr>
                <w:rFonts w:ascii="Times New Roman"/>
                <w:i/>
                <w:sz w:val="24"/>
              </w:rPr>
              <w:t>Mangifera indica </w:t>
            </w:r>
            <w:r>
              <w:rPr>
                <w:rFonts w:ascii="Times New Roman"/>
                <w:i/>
                <w:sz w:val="24"/>
              </w:rPr>
              <w:t>L.</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5"/>
              <w:ind w:left="201" w:right="201"/>
              <w:jc w:val="center"/>
              <w:rPr>
                <w:rFonts w:ascii="Times New Roman"/>
                <w:sz w:val="24"/>
              </w:rPr>
            </w:pPr>
            <w:r>
              <w:rPr>
                <w:rFonts w:ascii="Times New Roman"/>
                <w:sz w:val="24"/>
              </w:rPr>
              <w:t>Mango</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5"/>
              <w:ind w:left="67"/>
              <w:rPr>
                <w:rFonts w:ascii="Times New Roman" w:hAnsi="Times New Roman"/>
                <w:sz w:val="24"/>
              </w:rPr>
            </w:pPr>
            <w:r>
              <w:rPr>
                <w:rFonts w:ascii="Times New Roman" w:hAnsi="Times New Roman"/>
                <w:sz w:val="24"/>
              </w:rPr>
              <w:t>Árbol nativo de Asia tropical</w:t>
            </w:r>
          </w:p>
        </w:tc>
      </w:tr>
      <w:tr>
        <w:trPr>
          <w:trHeight w:val="1474"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5"/>
              </w:rPr>
            </w:pPr>
          </w:p>
          <w:p>
            <w:pPr>
              <w:pStyle w:val="TableParagraph"/>
              <w:ind w:left="44" w:right="47"/>
              <w:jc w:val="center"/>
              <w:rPr>
                <w:rFonts w:ascii="Times New Roman"/>
                <w:sz w:val="24"/>
              </w:rPr>
            </w:pPr>
            <w:r>
              <w:rPr>
                <w:rFonts w:ascii="Times New Roman"/>
                <w:sz w:val="24"/>
              </w:rPr>
              <w:t>Anacardiaceae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line="242" w:lineRule="auto" w:before="148"/>
              <w:ind w:left="67" w:right="129"/>
              <w:rPr>
                <w:rFonts w:ascii="Times New Roman"/>
                <w:sz w:val="24"/>
              </w:rPr>
            </w:pPr>
            <w:r>
              <w:rPr>
                <w:rFonts w:ascii="Times New Roman"/>
                <w:i/>
                <w:sz w:val="24"/>
              </w:rPr>
              <w:t>Spondias </w:t>
            </w:r>
            <w:r>
              <w:rPr>
                <w:rFonts w:ascii="Times New Roman"/>
                <w:i/>
                <w:sz w:val="24"/>
              </w:rPr>
              <w:t>mombin </w:t>
            </w:r>
            <w:r>
              <w:rPr>
                <w:rFonts w:ascii="Times New Roman"/>
                <w:sz w:val="24"/>
              </w:rPr>
              <w:t>L.</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5"/>
              </w:rPr>
            </w:pPr>
          </w:p>
          <w:p>
            <w:pPr>
              <w:pStyle w:val="TableParagraph"/>
              <w:ind w:left="197" w:right="201"/>
              <w:jc w:val="center"/>
              <w:rPr>
                <w:rFonts w:ascii="Times New Roman"/>
                <w:sz w:val="24"/>
              </w:rPr>
            </w:pPr>
            <w:r>
              <w:rPr>
                <w:rFonts w:ascii="Times New Roman"/>
                <w:sz w:val="24"/>
              </w:rPr>
              <w:t>Ciruela</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1"/>
              <w:jc w:val="both"/>
              <w:rPr>
                <w:rFonts w:ascii="Times New Roman" w:hAnsi="Times New Roman"/>
                <w:sz w:val="24"/>
              </w:rPr>
            </w:pPr>
            <w:r>
              <w:rPr>
                <w:rFonts w:ascii="Times New Roman" w:hAnsi="Times New Roman"/>
                <w:sz w:val="24"/>
              </w:rPr>
              <w:t>Nativa de América Central y el norte de América del Sur, y puede encontrarse cultivada originada de regeneración  natural en la mayoría de áreas bajas de la América Central tropical.</w:t>
            </w:r>
          </w:p>
        </w:tc>
      </w:tr>
      <w:tr>
        <w:trPr>
          <w:trHeight w:val="917"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40" w:right="47"/>
              <w:jc w:val="center"/>
              <w:rPr>
                <w:rFonts w:ascii="Times New Roman"/>
                <w:sz w:val="24"/>
              </w:rPr>
            </w:pPr>
            <w:r>
              <w:rPr>
                <w:rFonts w:ascii="Times New Roman"/>
                <w:sz w:val="24"/>
              </w:rPr>
              <w:t>Betulaceae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Pr>
                <w:rFonts w:ascii="Times New Roman"/>
                <w:i/>
                <w:sz w:val="24"/>
              </w:rPr>
            </w:pPr>
            <w:r>
              <w:rPr>
                <w:rFonts w:ascii="Times New Roman"/>
                <w:i/>
                <w:sz w:val="24"/>
              </w:rPr>
              <w:t>Alnus  jorullensis</w:t>
            </w:r>
          </w:p>
          <w:p>
            <w:pPr>
              <w:pStyle w:val="TableParagraph"/>
              <w:tabs>
                <w:tab w:pos="1458" w:val="left" w:leader="none"/>
              </w:tabs>
              <w:spacing w:line="275" w:lineRule="exact" w:before="2"/>
              <w:ind w:left="67"/>
              <w:rPr>
                <w:rFonts w:ascii="Times New Roman"/>
                <w:sz w:val="24"/>
              </w:rPr>
            </w:pPr>
            <w:r>
              <w:rPr>
                <w:rFonts w:ascii="Times New Roman"/>
                <w:sz w:val="24"/>
              </w:rPr>
              <w:t>H.B.K.</w:t>
              <w:tab/>
              <w:t>ssp</w:t>
            </w:r>
          </w:p>
          <w:p>
            <w:pPr>
              <w:pStyle w:val="TableParagraph"/>
              <w:spacing w:line="275" w:lineRule="exact"/>
              <w:ind w:left="67" w:right="49"/>
              <w:rPr>
                <w:rFonts w:ascii="Times New Roman"/>
                <w:i/>
                <w:sz w:val="24"/>
              </w:rPr>
            </w:pPr>
            <w:r>
              <w:rPr>
                <w:rFonts w:ascii="Times New Roman"/>
                <w:i/>
                <w:sz w:val="24"/>
              </w:rPr>
              <w:t>jorullensis</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201" w:right="201"/>
              <w:jc w:val="center"/>
              <w:rPr>
                <w:rFonts w:ascii="Times New Roman"/>
                <w:sz w:val="24"/>
              </w:rPr>
            </w:pPr>
            <w:r>
              <w:rPr>
                <w:rFonts w:ascii="Times New Roman"/>
                <w:sz w:val="24"/>
              </w:rPr>
              <w:t>Aile</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62"/>
              <w:jc w:val="both"/>
              <w:rPr>
                <w:rFonts w:ascii="Times New Roman" w:hAnsi="Times New Roman"/>
                <w:sz w:val="24"/>
              </w:rPr>
            </w:pPr>
            <w:r>
              <w:rPr>
                <w:rFonts w:ascii="Times New Roman" w:hAnsi="Times New Roman"/>
                <w:sz w:val="24"/>
              </w:rPr>
              <w:t>Distribuida en el occidente y centro de México. Ags., Nay., Jal., Col., Mich., Mex., Mor., Pue., Gro., Oax., Chis.</w:t>
            </w:r>
          </w:p>
        </w:tc>
      </w:tr>
      <w:tr>
        <w:trPr>
          <w:trHeight w:val="2021"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4"/>
              </w:rPr>
            </w:pPr>
          </w:p>
          <w:p>
            <w:pPr>
              <w:pStyle w:val="TableParagraph"/>
              <w:spacing w:before="1"/>
              <w:ind w:left="45" w:right="47"/>
              <w:jc w:val="center"/>
              <w:rPr>
                <w:rFonts w:ascii="Times New Roman"/>
                <w:sz w:val="24"/>
              </w:rPr>
            </w:pPr>
            <w:r>
              <w:rPr>
                <w:rFonts w:ascii="Times New Roman"/>
                <w:sz w:val="24"/>
              </w:rPr>
              <w:t>Cupressaceae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line="242" w:lineRule="auto" w:before="145"/>
              <w:ind w:left="67" w:right="49"/>
              <w:rPr>
                <w:rFonts w:ascii="Times New Roman"/>
                <w:sz w:val="24"/>
              </w:rPr>
            </w:pPr>
            <w:r>
              <w:rPr>
                <w:rFonts w:ascii="Times New Roman"/>
                <w:i/>
                <w:sz w:val="24"/>
              </w:rPr>
              <w:t>Cupressus </w:t>
            </w:r>
            <w:r>
              <w:rPr>
                <w:rFonts w:ascii="Times New Roman"/>
                <w:i/>
                <w:sz w:val="24"/>
              </w:rPr>
              <w:t>lusitanica </w:t>
            </w:r>
            <w:r>
              <w:rPr>
                <w:rFonts w:ascii="Times New Roman"/>
                <w:sz w:val="24"/>
              </w:rPr>
              <w:t>Mill.</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line="242" w:lineRule="auto" w:before="145"/>
              <w:ind w:left="211" w:right="115" w:firstLine="153"/>
              <w:rPr>
                <w:rFonts w:ascii="Times New Roman"/>
                <w:sz w:val="24"/>
              </w:rPr>
            </w:pPr>
            <w:r>
              <w:rPr>
                <w:rFonts w:ascii="Times New Roman"/>
                <w:sz w:val="24"/>
              </w:rPr>
              <w:t>Cipres mexicano</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66"/>
              <w:jc w:val="both"/>
              <w:rPr>
                <w:rFonts w:ascii="Times New Roman" w:hAnsi="Times New Roman"/>
                <w:sz w:val="24"/>
              </w:rPr>
            </w:pPr>
            <w:r>
              <w:rPr>
                <w:rFonts w:ascii="Times New Roman" w:hAnsi="Times New Roman"/>
                <w:sz w:val="24"/>
              </w:rPr>
              <w:t>Se le encuentra principalmente en la Sierra Volcánica Transversal. Los estados donde se distribuye son Chihuahua, Durango, Sinaloa, Nayarit, Aguascalientes, Jalisco, Michoacán, Guerrero, México, Querétaro, Distrito Federal, Oaxaca, Puebla, Veracruz e Hidalgo (McVaugh, 1992).</w:t>
            </w:r>
          </w:p>
        </w:tc>
      </w:tr>
      <w:tr>
        <w:trPr>
          <w:trHeight w:val="917"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5" w:right="47"/>
              <w:jc w:val="center"/>
              <w:rPr>
                <w:rFonts w:ascii="Times New Roman"/>
                <w:sz w:val="24"/>
              </w:rPr>
            </w:pPr>
            <w:r>
              <w:rPr>
                <w:rFonts w:ascii="Times New Roman"/>
                <w:sz w:val="24"/>
              </w:rPr>
              <w:t>Fabaceae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1021" w:val="left" w:leader="none"/>
              </w:tabs>
              <w:spacing w:line="260" w:lineRule="exact" w:before="145"/>
              <w:ind w:left="67"/>
              <w:rPr>
                <w:rFonts w:ascii="Times New Roman"/>
                <w:i/>
                <w:sz w:val="24"/>
              </w:rPr>
            </w:pPr>
            <w:r>
              <w:rPr>
                <w:rFonts w:ascii="Times New Roman"/>
                <w:i/>
                <w:sz w:val="24"/>
              </w:rPr>
              <w:t>Inga</w:t>
              <w:tab/>
              <w:t>hintonii</w:t>
            </w:r>
          </w:p>
          <w:p>
            <w:pPr>
              <w:pStyle w:val="TableParagraph"/>
              <w:spacing w:line="295" w:lineRule="exact"/>
              <w:ind w:left="67" w:right="49"/>
              <w:rPr>
                <w:rFonts w:ascii="Times New Roman"/>
                <w:sz w:val="16"/>
              </w:rPr>
            </w:pPr>
            <w:r>
              <w:rPr>
                <w:rFonts w:ascii="Times New Roman"/>
                <w:sz w:val="24"/>
              </w:rPr>
              <w:t>Sandwith </w:t>
            </w:r>
            <w:r>
              <w:rPr>
                <w:rFonts w:ascii="Times New Roman"/>
                <w:position w:val="11"/>
                <w:sz w:val="16"/>
              </w:rPr>
              <w:t>9</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145"/>
              <w:ind w:left="201" w:right="181" w:firstLine="28"/>
              <w:rPr>
                <w:rFonts w:ascii="Times New Roman"/>
                <w:sz w:val="24"/>
              </w:rPr>
            </w:pPr>
            <w:r>
              <w:rPr>
                <w:rFonts w:ascii="Times New Roman"/>
                <w:sz w:val="24"/>
              </w:rPr>
              <w:t>Jinicuil o Cajinicuil</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8"/>
              <w:jc w:val="both"/>
              <w:rPr>
                <w:rFonts w:ascii="Times New Roman" w:hAnsi="Times New Roman"/>
                <w:sz w:val="24"/>
              </w:rPr>
            </w:pPr>
            <w:r>
              <w:rPr>
                <w:rFonts w:ascii="Times New Roman" w:hAnsi="Times New Roman"/>
                <w:sz w:val="24"/>
              </w:rPr>
              <w:t>México (Chiapas, Guerrero, Hidalgo, Jalisco, Veracruz, Michoacán, México, Nayarit, Oaxaca).</w:t>
            </w:r>
          </w:p>
        </w:tc>
      </w:tr>
      <w:tr>
        <w:trPr>
          <w:trHeight w:val="1195"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7"/>
              <w:jc w:val="center"/>
              <w:rPr>
                <w:rFonts w:ascii="Times New Roman"/>
                <w:sz w:val="24"/>
              </w:rPr>
            </w:pPr>
            <w:r>
              <w:rPr>
                <w:rFonts w:ascii="Times New Roman"/>
                <w:sz w:val="24"/>
              </w:rPr>
              <w:t>Lauraceae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spacing w:line="242" w:lineRule="auto"/>
              <w:ind w:left="67" w:right="129"/>
              <w:rPr>
                <w:rFonts w:ascii="Times New Roman"/>
                <w:sz w:val="24"/>
              </w:rPr>
            </w:pPr>
            <w:r>
              <w:rPr>
                <w:rFonts w:ascii="Times New Roman"/>
                <w:i/>
                <w:sz w:val="24"/>
              </w:rPr>
              <w:t>Persea </w:t>
            </w:r>
            <w:r>
              <w:rPr>
                <w:rFonts w:ascii="Times New Roman"/>
                <w:i/>
                <w:sz w:val="24"/>
              </w:rPr>
              <w:t>americana </w:t>
            </w:r>
            <w:r>
              <w:rPr>
                <w:rFonts w:ascii="Times New Roman"/>
                <w:sz w:val="24"/>
              </w:rPr>
              <w:t>Mill.</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01" w:right="201"/>
              <w:jc w:val="center"/>
              <w:rPr>
                <w:rFonts w:ascii="Times New Roman"/>
                <w:sz w:val="24"/>
              </w:rPr>
            </w:pPr>
            <w:r>
              <w:rPr>
                <w:rFonts w:ascii="Times New Roman"/>
                <w:sz w:val="24"/>
              </w:rPr>
              <w:t>Aguacate</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6"/>
              <w:jc w:val="both"/>
              <w:rPr>
                <w:rFonts w:ascii="Times New Roman" w:hAnsi="Times New Roman"/>
                <w:sz w:val="24"/>
              </w:rPr>
            </w:pPr>
            <w:r>
              <w:rPr>
                <w:rFonts w:ascii="Times New Roman" w:hAnsi="Times New Roman"/>
                <w:sz w:val="24"/>
              </w:rPr>
              <w:t>México (Chiapas, Guerrero, Hidalgo, Jalisco, Veracruz, Michoacán, México, Nayarit, Oaxaca); Guatemala hasta Panamá; Sudamérica (Rzedowski, 2001).</w:t>
            </w:r>
          </w:p>
        </w:tc>
      </w:tr>
      <w:tr>
        <w:trPr>
          <w:trHeight w:val="917"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45" w:right="45"/>
              <w:jc w:val="center"/>
              <w:rPr>
                <w:rFonts w:ascii="Times New Roman"/>
                <w:sz w:val="24"/>
              </w:rPr>
            </w:pPr>
            <w:r>
              <w:rPr>
                <w:rFonts w:ascii="Times New Roman"/>
                <w:sz w:val="24"/>
              </w:rPr>
              <w:t>Proteaceae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67" w:right="49"/>
              <w:rPr>
                <w:rFonts w:ascii="Times New Roman"/>
                <w:i/>
                <w:sz w:val="24"/>
              </w:rPr>
            </w:pPr>
            <w:r>
              <w:rPr>
                <w:rFonts w:ascii="Times New Roman"/>
                <w:i/>
                <w:sz w:val="24"/>
              </w:rPr>
              <w:t>Macadamia sp.</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146"/>
              <w:ind w:left="115" w:firstLine="163"/>
              <w:rPr>
                <w:rFonts w:ascii="Times New Roman"/>
                <w:sz w:val="24"/>
              </w:rPr>
            </w:pPr>
            <w:r>
              <w:rPr>
                <w:rFonts w:ascii="Times New Roman"/>
                <w:sz w:val="24"/>
              </w:rPr>
              <w:t>Nuez de Macadamia</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3"/>
              <w:jc w:val="both"/>
              <w:rPr>
                <w:rFonts w:ascii="Times New Roman" w:hAnsi="Times New Roman"/>
                <w:sz w:val="24"/>
              </w:rPr>
            </w:pPr>
            <w:r>
              <w:rPr>
                <w:rFonts w:ascii="Times New Roman" w:hAnsi="Times New Roman"/>
                <w:sz w:val="24"/>
              </w:rPr>
              <w:t>Originaria de la zona subtropical de Australia en la región costera, al sur de Queensland y al norte de Nueva Gales del Sur</w:t>
            </w:r>
          </w:p>
        </w:tc>
      </w:tr>
      <w:tr>
        <w:trPr>
          <w:trHeight w:val="1196"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Rutaceae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tabs>
                <w:tab w:pos="1002" w:val="left" w:leader="none"/>
              </w:tabs>
              <w:ind w:left="67"/>
              <w:rPr>
                <w:rFonts w:ascii="Times New Roman"/>
                <w:i/>
                <w:sz w:val="24"/>
              </w:rPr>
            </w:pPr>
            <w:r>
              <w:rPr>
                <w:rFonts w:ascii="Times New Roman"/>
                <w:i/>
                <w:sz w:val="24"/>
              </w:rPr>
              <w:t>Citrus</w:t>
              <w:tab/>
              <w:t>sinensis</w:t>
            </w:r>
          </w:p>
          <w:p>
            <w:pPr>
              <w:pStyle w:val="TableParagraph"/>
              <w:spacing w:before="3"/>
              <w:ind w:left="67" w:right="49"/>
              <w:rPr>
                <w:rFonts w:ascii="Times New Roman"/>
                <w:sz w:val="24"/>
              </w:rPr>
            </w:pPr>
            <w:r>
              <w:rPr>
                <w:rFonts w:ascii="Times New Roman"/>
                <w:sz w:val="24"/>
              </w:rPr>
              <w:t>(L.) Osbeck</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01" w:right="201"/>
              <w:jc w:val="center"/>
              <w:rPr>
                <w:rFonts w:ascii="Times New Roman"/>
                <w:sz w:val="24"/>
              </w:rPr>
            </w:pPr>
            <w:r>
              <w:rPr>
                <w:rFonts w:ascii="Times New Roman"/>
                <w:sz w:val="24"/>
              </w:rPr>
              <w:t>Naranja</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1"/>
              <w:jc w:val="both"/>
              <w:rPr>
                <w:rFonts w:ascii="Times New Roman" w:hAnsi="Times New Roman"/>
                <w:sz w:val="24"/>
              </w:rPr>
            </w:pPr>
            <w:r>
              <w:rPr>
                <w:rFonts w:ascii="Times New Roman" w:hAnsi="Times New Roman"/>
                <w:sz w:val="24"/>
              </w:rPr>
              <w:t>Belice, Bolivia, China, Costa Rica, El Salvador, Guatemala, Honduras y Venezuela. México: Campeche, Oaxaca, Tabasco (Trópicos, 2014)</w:t>
            </w:r>
          </w:p>
        </w:tc>
      </w:tr>
      <w:tr>
        <w:trPr>
          <w:trHeight w:val="936" w:hRule="exact"/>
        </w:trPr>
        <w:tc>
          <w:tcPr>
            <w:tcW w:w="163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5" w:right="47"/>
              <w:jc w:val="center"/>
              <w:rPr>
                <w:rFonts w:ascii="Times New Roman"/>
                <w:sz w:val="24"/>
              </w:rPr>
            </w:pPr>
            <w:r>
              <w:rPr>
                <w:rFonts w:ascii="Times New Roman"/>
                <w:sz w:val="24"/>
              </w:rPr>
              <w:t>Rutaceae</w:t>
            </w:r>
          </w:p>
        </w:tc>
        <w:tc>
          <w:tcPr>
            <w:tcW w:w="191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59" w:lineRule="exact" w:before="145"/>
              <w:ind w:left="67" w:right="49"/>
              <w:rPr>
                <w:rFonts w:ascii="Times New Roman"/>
                <w:i/>
                <w:sz w:val="24"/>
              </w:rPr>
            </w:pPr>
            <w:r>
              <w:rPr>
                <w:rFonts w:ascii="Times New Roman"/>
                <w:i/>
                <w:sz w:val="24"/>
              </w:rPr>
              <w:t>Citrus aurantium</w:t>
            </w:r>
          </w:p>
          <w:p>
            <w:pPr>
              <w:pStyle w:val="TableParagraph"/>
              <w:spacing w:line="295" w:lineRule="exact"/>
              <w:ind w:left="67" w:right="49"/>
              <w:rPr>
                <w:rFonts w:ascii="Times New Roman"/>
                <w:sz w:val="16"/>
              </w:rPr>
            </w:pPr>
            <w:r>
              <w:rPr>
                <w:rFonts w:ascii="Times New Roman"/>
                <w:position w:val="-10"/>
                <w:sz w:val="24"/>
              </w:rPr>
              <w:t>L. </w:t>
            </w:r>
            <w:r>
              <w:rPr>
                <w:rFonts w:ascii="Times New Roman"/>
                <w:sz w:val="16"/>
              </w:rPr>
              <w:t>10</w:t>
            </w:r>
          </w:p>
        </w:tc>
        <w:tc>
          <w:tcPr>
            <w:tcW w:w="1436"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201" w:right="201"/>
              <w:jc w:val="center"/>
              <w:rPr>
                <w:rFonts w:ascii="Times New Roman" w:hAnsi="Times New Roman"/>
                <w:sz w:val="24"/>
              </w:rPr>
            </w:pPr>
            <w:r>
              <w:rPr>
                <w:rFonts w:ascii="Times New Roman" w:hAnsi="Times New Roman"/>
                <w:sz w:val="24"/>
              </w:rPr>
              <w:t>Limón</w:t>
            </w:r>
          </w:p>
        </w:tc>
        <w:tc>
          <w:tcPr>
            <w:tcW w:w="464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1"/>
              <w:jc w:val="both"/>
              <w:rPr>
                <w:rFonts w:ascii="Times New Roman" w:hAnsi="Times New Roman"/>
                <w:sz w:val="24"/>
              </w:rPr>
            </w:pPr>
            <w:r>
              <w:rPr>
                <w:rFonts w:ascii="Times New Roman" w:hAnsi="Times New Roman"/>
                <w:sz w:val="24"/>
              </w:rPr>
              <w:t>Provienen de las zonas tropicales y subtropicales de Asia y del archipiélago Malayo</w:t>
            </w:r>
          </w:p>
        </w:tc>
      </w:tr>
    </w:tbl>
    <w:p>
      <w:pPr>
        <w:spacing w:after="0"/>
        <w:jc w:val="both"/>
        <w:rPr>
          <w:rFonts w:ascii="Times New Roman" w:hAnsi="Times New Roman"/>
          <w:sz w:val="24"/>
        </w:rPr>
        <w:sectPr>
          <w:pgSz w:w="12240" w:h="15840"/>
          <w:pgMar w:header="685" w:footer="1146" w:top="880" w:bottom="1340" w:left="1160" w:right="1100"/>
        </w:sectPr>
      </w:pPr>
    </w:p>
    <w:p>
      <w:pPr>
        <w:pStyle w:val="BodyText"/>
        <w:spacing w:before="4"/>
        <w:rPr>
          <w:rFonts w:ascii="Times New Roman"/>
          <w:sz w:val="17"/>
        </w:rPr>
      </w:pPr>
    </w:p>
    <w:p>
      <w:pPr>
        <w:spacing w:after="0"/>
        <w:rPr>
          <w:rFonts w:ascii="Times New Roman"/>
          <w:sz w:val="17"/>
        </w:rPr>
        <w:sectPr>
          <w:pgSz w:w="12240" w:h="15840"/>
          <w:pgMar w:header="685" w:footer="1146" w:top="880" w:bottom="1340" w:left="1720" w:right="1320"/>
        </w:sectPr>
      </w:pPr>
    </w:p>
    <w:p>
      <w:pPr>
        <w:pStyle w:val="BodyText"/>
        <w:rPr>
          <w:rFonts w:ascii="Times New Roman"/>
          <w:sz w:val="20"/>
        </w:rPr>
      </w:pPr>
    </w:p>
    <w:p>
      <w:pPr>
        <w:pStyle w:val="BodyText"/>
        <w:spacing w:before="5"/>
        <w:rPr>
          <w:rFonts w:ascii="Times New Roman"/>
          <w:sz w:val="19"/>
        </w:rPr>
      </w:pPr>
    </w:p>
    <w:p>
      <w:pPr>
        <w:pStyle w:val="BodyText"/>
        <w:spacing w:before="70"/>
        <w:ind w:left="832" w:right="302"/>
        <w:rPr>
          <w:rFonts w:ascii="Times New Roman"/>
        </w:rPr>
      </w:pPr>
      <w:r>
        <w:rPr>
          <w:rFonts w:ascii="Times New Roman"/>
        </w:rPr>
        <w:t>Cuadro 5. Listado de especies de flora, en la Zona de Manejo Ambiental Mariposario.</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445"/>
        <w:gridCol w:w="1921"/>
        <w:gridCol w:w="1575"/>
        <w:gridCol w:w="4687"/>
      </w:tblGrid>
      <w:tr>
        <w:trPr>
          <w:trHeight w:val="644" w:hRule="exact"/>
        </w:trPr>
        <w:tc>
          <w:tcPr>
            <w:tcW w:w="1445" w:type="dxa"/>
            <w:tcBorders>
              <w:left w:val="thickThinMediumGap" w:sz="17" w:space="0" w:color="000000"/>
              <w:bottom w:val="thinThickMediumGap" w:sz="17" w:space="0" w:color="000000"/>
              <w:right w:val="thinThickMediumGap" w:sz="17" w:space="0" w:color="000000"/>
            </w:tcBorders>
          </w:tcPr>
          <w:p>
            <w:pPr>
              <w:pStyle w:val="TableParagraph"/>
              <w:spacing w:before="155"/>
              <w:ind w:left="40" w:right="47"/>
              <w:jc w:val="center"/>
              <w:rPr>
                <w:rFonts w:ascii="Times New Roman"/>
                <w:b/>
                <w:sz w:val="24"/>
              </w:rPr>
            </w:pPr>
            <w:r>
              <w:rPr>
                <w:rFonts w:ascii="Times New Roman"/>
                <w:b/>
                <w:sz w:val="24"/>
              </w:rPr>
              <w:t>FAMILIA</w:t>
            </w:r>
          </w:p>
        </w:tc>
        <w:tc>
          <w:tcPr>
            <w:tcW w:w="1921"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191" w:firstLine="187"/>
              <w:rPr>
                <w:rFonts w:ascii="Times New Roman" w:hAnsi="Times New Roman"/>
                <w:b/>
                <w:sz w:val="24"/>
              </w:rPr>
            </w:pPr>
            <w:r>
              <w:rPr>
                <w:rFonts w:ascii="Times New Roman" w:hAnsi="Times New Roman"/>
                <w:b/>
                <w:sz w:val="24"/>
              </w:rPr>
              <w:t>NOMBRE CIENTÍFICO</w:t>
            </w:r>
          </w:p>
        </w:tc>
        <w:tc>
          <w:tcPr>
            <w:tcW w:w="1575" w:type="dxa"/>
            <w:tcBorders>
              <w:left w:val="thickThinMediumGap" w:sz="17" w:space="0" w:color="000000"/>
              <w:bottom w:val="thinThickMediumGap" w:sz="17" w:space="0" w:color="000000"/>
              <w:right w:val="thinThickMediumGap" w:sz="17" w:space="0" w:color="000000"/>
            </w:tcBorders>
          </w:tcPr>
          <w:p>
            <w:pPr>
              <w:pStyle w:val="TableParagraph"/>
              <w:spacing w:line="274" w:lineRule="exact" w:before="21"/>
              <w:ind w:left="283" w:right="182" w:hanging="77"/>
              <w:rPr>
                <w:rFonts w:ascii="Times New Roman" w:hAnsi="Times New Roman"/>
                <w:b/>
                <w:sz w:val="24"/>
              </w:rPr>
            </w:pPr>
            <w:r>
              <w:rPr>
                <w:rFonts w:ascii="Times New Roman" w:hAnsi="Times New Roman"/>
                <w:b/>
                <w:sz w:val="24"/>
              </w:rPr>
              <w:t>NOMBRE COMÚN</w:t>
            </w:r>
          </w:p>
        </w:tc>
        <w:tc>
          <w:tcPr>
            <w:tcW w:w="4687" w:type="dxa"/>
            <w:tcBorders>
              <w:left w:val="thickThinMediumGap" w:sz="17" w:space="0" w:color="000000"/>
              <w:bottom w:val="thinThickMediumGap" w:sz="17" w:space="0" w:color="000000"/>
              <w:right w:val="thinThickMediumGap" w:sz="17" w:space="0" w:color="000000"/>
            </w:tcBorders>
          </w:tcPr>
          <w:p>
            <w:pPr>
              <w:pStyle w:val="TableParagraph"/>
              <w:spacing w:before="155"/>
              <w:ind w:left="1406" w:right="72"/>
              <w:rPr>
                <w:rFonts w:ascii="Times New Roman" w:hAnsi="Times New Roman"/>
                <w:b/>
                <w:sz w:val="24"/>
              </w:rPr>
            </w:pPr>
            <w:r>
              <w:rPr>
                <w:rFonts w:ascii="Times New Roman" w:hAnsi="Times New Roman"/>
                <w:b/>
                <w:sz w:val="24"/>
              </w:rPr>
              <w:t>DISTRIBUCIÓN</w:t>
            </w:r>
          </w:p>
        </w:tc>
      </w:tr>
      <w:tr>
        <w:trPr>
          <w:trHeight w:val="1196"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Acanthaceae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25" w:lineRule="auto" w:before="159"/>
              <w:ind w:left="67" w:right="765"/>
              <w:jc w:val="both"/>
              <w:rPr>
                <w:rFonts w:ascii="Times New Roman"/>
                <w:sz w:val="16"/>
              </w:rPr>
            </w:pPr>
            <w:r>
              <w:rPr>
                <w:rFonts w:ascii="Times New Roman"/>
                <w:i/>
                <w:sz w:val="24"/>
              </w:rPr>
              <w:t>Dicliptera </w:t>
            </w:r>
            <w:r>
              <w:rPr>
                <w:rFonts w:ascii="Times New Roman"/>
                <w:i/>
                <w:sz w:val="24"/>
              </w:rPr>
              <w:t>inaequalis </w:t>
            </w:r>
            <w:r>
              <w:rPr>
                <w:rFonts w:ascii="Times New Roman"/>
                <w:sz w:val="24"/>
              </w:rPr>
              <w:t>Greenm.</w:t>
            </w:r>
            <w:r>
              <w:rPr>
                <w:rFonts w:ascii="Times New Roman"/>
                <w:position w:val="11"/>
                <w:sz w:val="16"/>
              </w:rPr>
              <w:t>11</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
              <w:jc w:val="center"/>
              <w:rPr>
                <w:rFonts w:ascii="Times New Roman"/>
                <w:sz w:val="24"/>
              </w:rPr>
            </w:pPr>
            <w:r>
              <w:rPr>
                <w:rFonts w:ascii="Times New Roman"/>
                <w:w w:val="99"/>
                <w:sz w:val="24"/>
              </w:rPr>
              <w:t>-</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8"/>
              <w:jc w:val="both"/>
              <w:rPr>
                <w:rFonts w:ascii="Times New Roman" w:hAnsi="Times New Roman"/>
                <w:sz w:val="24"/>
              </w:rPr>
            </w:pPr>
            <w:r>
              <w:rPr>
                <w:rFonts w:ascii="Times New Roman" w:hAnsi="Times New Roman"/>
                <w:sz w:val="24"/>
              </w:rPr>
              <w:t>Especie endémica de México. Observada en Colima, Guanajuato, Guerrero, Jalisco, México, Michoacán, Morelos, Nayarit, Querétaro y Zacatecas (Daniel, 2009).</w:t>
            </w:r>
          </w:p>
        </w:tc>
      </w:tr>
      <w:tr>
        <w:trPr>
          <w:trHeight w:val="917"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5" w:right="45"/>
              <w:jc w:val="center"/>
              <w:rPr>
                <w:rFonts w:ascii="Times New Roman"/>
                <w:sz w:val="24"/>
              </w:rPr>
            </w:pPr>
            <w:r>
              <w:rPr>
                <w:rFonts w:ascii="Times New Roman"/>
                <w:sz w:val="24"/>
              </w:rPr>
              <w:t>Asteraceae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481"/>
              <w:rPr>
                <w:rFonts w:ascii="Times New Roman"/>
                <w:sz w:val="24"/>
              </w:rPr>
            </w:pPr>
            <w:r>
              <w:rPr>
                <w:rFonts w:ascii="Times New Roman"/>
                <w:i/>
                <w:sz w:val="24"/>
              </w:rPr>
              <w:t>Lasianthaea </w:t>
            </w:r>
            <w:r>
              <w:rPr>
                <w:rFonts w:ascii="Times New Roman"/>
                <w:i/>
                <w:sz w:val="24"/>
              </w:rPr>
              <w:t>ceanothifolia </w:t>
            </w:r>
            <w:r>
              <w:rPr>
                <w:rFonts w:ascii="Times New Roman"/>
                <w:sz w:val="24"/>
              </w:rPr>
              <w:t>(Willd.) K.</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
        </w:tc>
      </w:tr>
      <w:tr>
        <w:trPr>
          <w:trHeight w:val="644"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6"/>
              <w:ind w:left="45" w:right="45"/>
              <w:jc w:val="center"/>
              <w:rPr>
                <w:rFonts w:ascii="Times New Roman"/>
                <w:sz w:val="24"/>
              </w:rPr>
            </w:pPr>
            <w:r>
              <w:rPr>
                <w:rFonts w:ascii="Times New Roman"/>
                <w:sz w:val="24"/>
              </w:rPr>
              <w:t>Asteraceae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75" w:lineRule="exact" w:before="11"/>
              <w:ind w:left="67"/>
              <w:rPr>
                <w:rFonts w:ascii="Times New Roman"/>
                <w:i/>
                <w:sz w:val="24"/>
              </w:rPr>
            </w:pPr>
            <w:r>
              <w:rPr>
                <w:rFonts w:ascii="Times New Roman"/>
                <w:i/>
                <w:sz w:val="24"/>
              </w:rPr>
              <w:t>Tagetes  lunulata</w:t>
            </w:r>
          </w:p>
          <w:p>
            <w:pPr>
              <w:pStyle w:val="TableParagraph"/>
              <w:spacing w:line="275" w:lineRule="exact"/>
              <w:ind w:left="67"/>
              <w:rPr>
                <w:rFonts w:ascii="Times New Roman"/>
                <w:sz w:val="24"/>
              </w:rPr>
            </w:pPr>
            <w:r>
              <w:rPr>
                <w:rFonts w:ascii="Times New Roman"/>
                <w:sz w:val="24"/>
              </w:rPr>
              <w:t>Ortega *</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
        </w:tc>
      </w:tr>
      <w:tr>
        <w:trPr>
          <w:trHeight w:val="1743"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145"/>
              <w:ind w:left="44" w:right="47"/>
              <w:jc w:val="center"/>
              <w:rPr>
                <w:rFonts w:ascii="Times New Roman"/>
                <w:sz w:val="24"/>
              </w:rPr>
            </w:pPr>
            <w:r>
              <w:rPr>
                <w:rFonts w:ascii="Times New Roman"/>
                <w:sz w:val="24"/>
              </w:rPr>
              <w:t>Iridaceae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6"/>
              <w:rPr>
                <w:rFonts w:ascii="Times New Roman"/>
                <w:sz w:val="24"/>
              </w:rPr>
            </w:pPr>
          </w:p>
          <w:p>
            <w:pPr>
              <w:pStyle w:val="TableParagraph"/>
              <w:spacing w:line="260" w:lineRule="exact"/>
              <w:ind w:left="67"/>
              <w:rPr>
                <w:rFonts w:ascii="Times New Roman"/>
                <w:i/>
                <w:sz w:val="24"/>
              </w:rPr>
            </w:pPr>
            <w:r>
              <w:rPr>
                <w:rFonts w:ascii="Times New Roman"/>
                <w:i/>
                <w:sz w:val="24"/>
              </w:rPr>
              <w:t>Tigridia  pavonia</w:t>
            </w:r>
          </w:p>
          <w:p>
            <w:pPr>
              <w:pStyle w:val="TableParagraph"/>
              <w:spacing w:line="295" w:lineRule="exact"/>
              <w:ind w:left="67"/>
              <w:rPr>
                <w:rFonts w:ascii="Times New Roman"/>
                <w:sz w:val="16"/>
              </w:rPr>
            </w:pPr>
            <w:r>
              <w:rPr>
                <w:rFonts w:ascii="Times New Roman"/>
                <w:sz w:val="24"/>
              </w:rPr>
              <w:t>(L. f.) DC. </w:t>
            </w:r>
            <w:r>
              <w:rPr>
                <w:rFonts w:ascii="Times New Roman"/>
                <w:position w:val="11"/>
                <w:sz w:val="16"/>
              </w:rPr>
              <w:t>12</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145"/>
              <w:ind w:left="97" w:right="98"/>
              <w:jc w:val="center"/>
              <w:rPr>
                <w:rFonts w:ascii="Times New Roman"/>
                <w:sz w:val="24"/>
              </w:rPr>
            </w:pPr>
            <w:r>
              <w:rPr>
                <w:rFonts w:ascii="Times New Roman"/>
                <w:sz w:val="24"/>
              </w:rPr>
              <w:t>Flor del tigre</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68"/>
              <w:jc w:val="both"/>
              <w:rPr>
                <w:rFonts w:ascii="Times New Roman" w:hAnsi="Times New Roman"/>
                <w:sz w:val="24"/>
              </w:rPr>
            </w:pPr>
            <w:r>
              <w:rPr>
                <w:rFonts w:ascii="Times New Roman" w:hAnsi="Times New Roman"/>
                <w:sz w:val="24"/>
              </w:rPr>
              <w:t>México (Chihuahua, Chiapas, D.F. Durango, Guanajuato, Guerrero, Hidalgo, México, Michoacán, Morelos, Nayarit, Nuevo León, Oaxaca, Puebla, Querétaro, San Luis Potosí, Sinaloa, Tamaulipas, Veracruz y Zacatecas) (Espejo – Serna y López – Ferrari, 1998)</w:t>
            </w:r>
          </w:p>
        </w:tc>
      </w:tr>
      <w:tr>
        <w:trPr>
          <w:trHeight w:val="1196"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Olacaceae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1344" w:val="left" w:leader="none"/>
              </w:tabs>
              <w:spacing w:before="150"/>
              <w:ind w:left="67" w:right="63"/>
              <w:rPr>
                <w:rFonts w:ascii="Times New Roman"/>
                <w:sz w:val="24"/>
              </w:rPr>
            </w:pPr>
            <w:r>
              <w:rPr>
                <w:rFonts w:ascii="Times New Roman"/>
                <w:i/>
                <w:sz w:val="24"/>
              </w:rPr>
              <w:t>Schoepfia </w:t>
            </w:r>
            <w:r>
              <w:rPr>
                <w:rFonts w:ascii="Times New Roman"/>
                <w:i/>
                <w:sz w:val="24"/>
              </w:rPr>
              <w:t>pringlei</w:t>
              <w:tab/>
            </w:r>
            <w:r>
              <w:rPr>
                <w:rFonts w:ascii="Times New Roman"/>
                <w:spacing w:val="-1"/>
                <w:sz w:val="24"/>
              </w:rPr>
              <w:t>B.L. </w:t>
            </w:r>
            <w:r>
              <w:rPr>
                <w:rFonts w:ascii="Times New Roman"/>
                <w:sz w:val="24"/>
              </w:rPr>
              <w:t>Rob</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2"/>
              <w:jc w:val="center"/>
              <w:rPr>
                <w:rFonts w:ascii="Times New Roman"/>
                <w:sz w:val="24"/>
              </w:rPr>
            </w:pPr>
            <w:r>
              <w:rPr>
                <w:rFonts w:ascii="Times New Roman"/>
                <w:w w:val="99"/>
                <w:sz w:val="24"/>
              </w:rPr>
              <w:t>-</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9"/>
              <w:jc w:val="both"/>
              <w:rPr>
                <w:rFonts w:ascii="Times New Roman" w:hAnsi="Times New Roman"/>
                <w:sz w:val="24"/>
              </w:rPr>
            </w:pPr>
            <w:r>
              <w:rPr>
                <w:rFonts w:ascii="Times New Roman" w:hAnsi="Times New Roman"/>
                <w:sz w:val="24"/>
              </w:rPr>
              <w:t>México (Chiapas, Guerrero, Hidalgo, Jalisco, Veracruz, Michoacán, México, Nayarit, Oaxaca); Guatemala hasta Panamá; Sudamérica (Rzedowski, 2001).</w:t>
            </w:r>
          </w:p>
        </w:tc>
      </w:tr>
      <w:tr>
        <w:trPr>
          <w:trHeight w:val="1195"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4" w:right="47"/>
              <w:jc w:val="center"/>
              <w:rPr>
                <w:rFonts w:ascii="Times New Roman"/>
                <w:sz w:val="24"/>
              </w:rPr>
            </w:pPr>
            <w:r>
              <w:rPr>
                <w:rFonts w:ascii="Times New Roman"/>
                <w:sz w:val="24"/>
              </w:rPr>
              <w:t>Solanaceae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25" w:lineRule="auto" w:before="159"/>
              <w:ind w:left="67"/>
              <w:rPr>
                <w:rFonts w:ascii="Times New Roman"/>
                <w:sz w:val="16"/>
              </w:rPr>
            </w:pPr>
            <w:r>
              <w:rPr>
                <w:rFonts w:ascii="Times New Roman"/>
                <w:i/>
                <w:sz w:val="24"/>
              </w:rPr>
              <w:t>Solanum </w:t>
            </w:r>
            <w:r>
              <w:rPr>
                <w:rFonts w:ascii="Times New Roman"/>
                <w:i/>
                <w:sz w:val="24"/>
              </w:rPr>
              <w:t>aphyodendron </w:t>
            </w:r>
            <w:r>
              <w:rPr>
                <w:rFonts w:ascii="Times New Roman"/>
                <w:sz w:val="24"/>
              </w:rPr>
              <w:t>S. Knapp </w:t>
            </w:r>
            <w:r>
              <w:rPr>
                <w:rFonts w:ascii="Times New Roman"/>
                <w:position w:val="11"/>
                <w:sz w:val="16"/>
              </w:rPr>
              <w:t>13</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254" w:right="242" w:firstLine="7"/>
              <w:jc w:val="center"/>
              <w:rPr>
                <w:rFonts w:ascii="Times New Roman" w:hAnsi="Times New Roman"/>
                <w:sz w:val="24"/>
              </w:rPr>
            </w:pPr>
            <w:r>
              <w:rPr>
                <w:rFonts w:ascii="Times New Roman" w:hAnsi="Times New Roman"/>
                <w:sz w:val="24"/>
              </w:rPr>
              <w:t>Yerba del zopilote, capulín</w:t>
            </w:r>
            <w:r>
              <w:rPr>
                <w:rFonts w:ascii="Times New Roman" w:hAnsi="Times New Roman"/>
                <w:spacing w:val="-6"/>
                <w:sz w:val="24"/>
              </w:rPr>
              <w:t> </w:t>
            </w:r>
            <w:r>
              <w:rPr>
                <w:rFonts w:ascii="Times New Roman" w:hAnsi="Times New Roman"/>
                <w:sz w:val="24"/>
              </w:rPr>
              <w:t>de pájaro</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9"/>
              <w:jc w:val="both"/>
              <w:rPr>
                <w:rFonts w:ascii="Times New Roman" w:hAnsi="Times New Roman"/>
                <w:sz w:val="24"/>
              </w:rPr>
            </w:pPr>
            <w:r>
              <w:rPr>
                <w:rFonts w:ascii="Times New Roman" w:hAnsi="Times New Roman"/>
                <w:sz w:val="24"/>
              </w:rPr>
              <w:t>México (Chiapas, Guerrero, Hidalgo, Jalisco, Veracruz, Michoacán, México, Nayarit, Oaxaca); Guatemala hasta Panamá; Sudamérica (Rzedowski, 2001).</w:t>
            </w:r>
          </w:p>
        </w:tc>
      </w:tr>
      <w:tr>
        <w:trPr>
          <w:trHeight w:val="917"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44" w:right="47"/>
              <w:jc w:val="center"/>
              <w:rPr>
                <w:rFonts w:ascii="Times New Roman"/>
                <w:sz w:val="24"/>
              </w:rPr>
            </w:pPr>
            <w:r>
              <w:rPr>
                <w:rFonts w:ascii="Times New Roman"/>
                <w:sz w:val="24"/>
              </w:rPr>
              <w:t>Salicaceae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7"/>
              <w:ind w:left="67" w:right="414"/>
              <w:rPr>
                <w:rFonts w:ascii="Times New Roman"/>
                <w:sz w:val="24"/>
              </w:rPr>
            </w:pPr>
            <w:r>
              <w:rPr>
                <w:rFonts w:ascii="Times New Roman"/>
                <w:i/>
                <w:sz w:val="24"/>
              </w:rPr>
              <w:t>Salix </w:t>
            </w:r>
            <w:r>
              <w:rPr>
                <w:rFonts w:ascii="Times New Roman"/>
                <w:i/>
                <w:sz w:val="24"/>
              </w:rPr>
              <w:t>bonplandiana </w:t>
            </w:r>
            <w:r>
              <w:rPr>
                <w:rFonts w:ascii="Times New Roman"/>
                <w:sz w:val="24"/>
              </w:rPr>
              <w:t>Kunth</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97" w:right="97"/>
              <w:jc w:val="center"/>
              <w:rPr>
                <w:rFonts w:ascii="Times New Roman"/>
                <w:sz w:val="24"/>
              </w:rPr>
            </w:pPr>
            <w:r>
              <w:rPr>
                <w:rFonts w:ascii="Times New Roman"/>
                <w:sz w:val="24"/>
              </w:rPr>
              <w:t>Salix</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1386" w:val="left" w:leader="none"/>
                <w:tab w:pos="2273" w:val="left" w:leader="none"/>
                <w:tab w:pos="3184" w:val="left" w:leader="none"/>
                <w:tab w:pos="3640" w:val="left" w:leader="none"/>
              </w:tabs>
              <w:spacing w:line="242" w:lineRule="auto" w:before="7"/>
              <w:ind w:left="67" w:right="72"/>
              <w:rPr>
                <w:rFonts w:ascii="Times New Roman" w:hAnsi="Times New Roman"/>
                <w:sz w:val="24"/>
              </w:rPr>
            </w:pPr>
            <w:r>
              <w:rPr>
                <w:rFonts w:ascii="Times New Roman" w:hAnsi="Times New Roman"/>
                <w:sz w:val="24"/>
              </w:rPr>
              <w:t>Guatemala,</w:t>
              <w:tab/>
              <w:t>Estado</w:t>
              <w:tab/>
              <w:t>Unidos</w:t>
              <w:tab/>
              <w:t>de</w:t>
              <w:tab/>
              <w:t>América, México: Chiapas, Oaxaca (Trópicos,</w:t>
            </w:r>
            <w:r>
              <w:rPr>
                <w:rFonts w:ascii="Times New Roman" w:hAnsi="Times New Roman"/>
                <w:spacing w:val="-16"/>
                <w:sz w:val="24"/>
              </w:rPr>
              <w:t> </w:t>
            </w:r>
            <w:r>
              <w:rPr>
                <w:rFonts w:ascii="Times New Roman" w:hAnsi="Times New Roman"/>
                <w:sz w:val="24"/>
              </w:rPr>
              <w:t>2014)</w:t>
            </w:r>
          </w:p>
        </w:tc>
      </w:tr>
      <w:tr>
        <w:trPr>
          <w:trHeight w:val="917"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0" w:right="47"/>
              <w:jc w:val="center"/>
              <w:rPr>
                <w:rFonts w:ascii="Times New Roman"/>
                <w:sz w:val="24"/>
              </w:rPr>
            </w:pPr>
            <w:r>
              <w:rPr>
                <w:rFonts w:ascii="Times New Roman"/>
                <w:sz w:val="24"/>
              </w:rPr>
              <w:t>Sapindaceae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74" w:lineRule="exact" w:before="16"/>
              <w:ind w:left="67"/>
              <w:rPr>
                <w:rFonts w:ascii="Times New Roman"/>
                <w:sz w:val="24"/>
              </w:rPr>
            </w:pPr>
            <w:r>
              <w:rPr>
                <w:rFonts w:ascii="Times New Roman"/>
                <w:i/>
                <w:sz w:val="24"/>
              </w:rPr>
              <w:t>Paullinia </w:t>
            </w:r>
            <w:r>
              <w:rPr>
                <w:rFonts w:ascii="Times New Roman"/>
                <w:i/>
                <w:sz w:val="24"/>
              </w:rPr>
              <w:t>fuscescens </w:t>
            </w:r>
            <w:r>
              <w:rPr>
                <w:rFonts w:ascii="Times New Roman"/>
                <w:sz w:val="24"/>
              </w:rPr>
              <w:t>Kunth</w:t>
            </w:r>
          </w:p>
          <w:p>
            <w:pPr>
              <w:pStyle w:val="TableParagraph"/>
              <w:spacing w:line="148" w:lineRule="exact"/>
              <w:ind w:left="67"/>
              <w:rPr>
                <w:rFonts w:ascii="Times New Roman"/>
                <w:sz w:val="16"/>
              </w:rPr>
            </w:pPr>
            <w:r>
              <w:rPr>
                <w:rFonts w:ascii="Times New Roman"/>
                <w:sz w:val="16"/>
              </w:rPr>
              <w:t>14</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97" w:right="94"/>
              <w:jc w:val="center"/>
              <w:rPr>
                <w:rFonts w:ascii="Times New Roman"/>
                <w:sz w:val="24"/>
              </w:rPr>
            </w:pPr>
            <w:r>
              <w:rPr>
                <w:rFonts w:ascii="Times New Roman"/>
                <w:sz w:val="24"/>
              </w:rPr>
              <w:t>Bejuco</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742" w:val="left" w:leader="none"/>
                <w:tab w:pos="1505" w:val="left" w:leader="none"/>
                <w:tab w:pos="2420" w:val="left" w:leader="none"/>
                <w:tab w:pos="3269" w:val="left" w:leader="none"/>
                <w:tab w:pos="4099" w:val="left" w:leader="none"/>
              </w:tabs>
              <w:spacing w:line="274" w:lineRule="exact" w:before="16"/>
              <w:ind w:left="67" w:right="69"/>
              <w:rPr>
                <w:rFonts w:ascii="Times New Roman" w:hAnsi="Times New Roman"/>
                <w:sz w:val="24"/>
              </w:rPr>
            </w:pPr>
            <w:r>
              <w:rPr>
                <w:rFonts w:ascii="Times New Roman" w:hAnsi="Times New Roman"/>
                <w:sz w:val="24"/>
              </w:rPr>
              <w:t>Jal.,</w:t>
              <w:tab/>
              <w:t>Col.,</w:t>
              <w:tab/>
              <w:t>Mich.,</w:t>
              <w:tab/>
              <w:t>Méx.,</w:t>
              <w:tab/>
              <w:t>Mor.,</w:t>
              <w:tab/>
            </w:r>
            <w:r>
              <w:rPr>
                <w:rFonts w:ascii="Times New Roman" w:hAnsi="Times New Roman"/>
                <w:spacing w:val="-1"/>
                <w:sz w:val="24"/>
              </w:rPr>
              <w:t>Gro. </w:t>
            </w:r>
            <w:r>
              <w:rPr>
                <w:rFonts w:ascii="Times New Roman" w:hAnsi="Times New Roman"/>
                <w:sz w:val="24"/>
              </w:rPr>
              <w:t>(Fernández,</w:t>
            </w:r>
            <w:r>
              <w:rPr>
                <w:rFonts w:ascii="Times New Roman" w:hAnsi="Times New Roman"/>
                <w:spacing w:val="-5"/>
                <w:sz w:val="24"/>
              </w:rPr>
              <w:t> </w:t>
            </w:r>
            <w:r>
              <w:rPr>
                <w:rFonts w:ascii="Times New Roman" w:hAnsi="Times New Roman"/>
                <w:sz w:val="24"/>
              </w:rPr>
              <w:t>1996)</w:t>
            </w:r>
          </w:p>
        </w:tc>
      </w:tr>
      <w:tr>
        <w:trPr>
          <w:trHeight w:val="1489" w:hRule="exact"/>
        </w:trPr>
        <w:tc>
          <w:tcPr>
            <w:tcW w:w="144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40" w:right="47"/>
              <w:jc w:val="center"/>
              <w:rPr>
                <w:rFonts w:ascii="Times New Roman"/>
                <w:sz w:val="24"/>
              </w:rPr>
            </w:pPr>
            <w:r>
              <w:rPr>
                <w:rFonts w:ascii="Times New Roman"/>
                <w:sz w:val="24"/>
              </w:rPr>
              <w:t>Ulmaceae</w:t>
            </w:r>
          </w:p>
        </w:tc>
        <w:tc>
          <w:tcPr>
            <w:tcW w:w="1921"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line="260" w:lineRule="exact" w:before="148"/>
              <w:ind w:left="67"/>
              <w:rPr>
                <w:rFonts w:ascii="Times New Roman"/>
                <w:i/>
                <w:sz w:val="24"/>
              </w:rPr>
            </w:pPr>
            <w:r>
              <w:rPr>
                <w:rFonts w:ascii="Times New Roman"/>
                <w:i/>
                <w:sz w:val="24"/>
              </w:rPr>
              <w:t>Trema micrantha</w:t>
            </w:r>
          </w:p>
          <w:p>
            <w:pPr>
              <w:pStyle w:val="TableParagraph"/>
              <w:spacing w:line="295" w:lineRule="exact"/>
              <w:ind w:left="67"/>
              <w:rPr>
                <w:rFonts w:ascii="Times New Roman"/>
                <w:sz w:val="16"/>
              </w:rPr>
            </w:pPr>
            <w:r>
              <w:rPr>
                <w:rFonts w:ascii="Times New Roman"/>
                <w:sz w:val="24"/>
              </w:rPr>
              <w:t>(L.) Blume </w:t>
            </w:r>
            <w:r>
              <w:rPr>
                <w:rFonts w:ascii="Times New Roman"/>
                <w:position w:val="11"/>
                <w:sz w:val="16"/>
              </w:rPr>
              <w:t>15</w:t>
            </w:r>
          </w:p>
        </w:tc>
        <w:tc>
          <w:tcPr>
            <w:tcW w:w="1575"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97" w:right="93"/>
              <w:jc w:val="center"/>
              <w:rPr>
                <w:rFonts w:ascii="Times New Roman" w:hAnsi="Times New Roman"/>
                <w:sz w:val="24"/>
              </w:rPr>
            </w:pPr>
            <w:r>
              <w:rPr>
                <w:rFonts w:ascii="Times New Roman" w:hAnsi="Times New Roman"/>
                <w:sz w:val="24"/>
              </w:rPr>
              <w:t>Capulín</w:t>
            </w:r>
          </w:p>
        </w:tc>
        <w:tc>
          <w:tcPr>
            <w:tcW w:w="468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70"/>
              <w:jc w:val="both"/>
              <w:rPr>
                <w:rFonts w:ascii="Times New Roman" w:hAnsi="Times New Roman"/>
                <w:sz w:val="24"/>
              </w:rPr>
            </w:pPr>
            <w:r>
              <w:rPr>
                <w:rFonts w:ascii="Times New Roman" w:hAnsi="Times New Roman"/>
                <w:sz w:val="24"/>
              </w:rPr>
              <w:t>Estados Unidos (Florida); ambas costas de México desde Sonora y Tamaulipas hacia el sur a través de Centro América, las Antillas;  </w:t>
            </w:r>
            <w:r>
              <w:rPr>
                <w:rFonts w:ascii="Times New Roman" w:hAnsi="Times New Roman"/>
                <w:spacing w:val="-3"/>
                <w:sz w:val="24"/>
              </w:rPr>
              <w:t>la </w:t>
            </w:r>
            <w:r>
              <w:rPr>
                <w:rFonts w:ascii="Times New Roman" w:hAnsi="Times New Roman"/>
                <w:sz w:val="24"/>
              </w:rPr>
              <w:t>mayor parte de América del Sur (Nee, 1984).</w:t>
            </w:r>
          </w:p>
        </w:tc>
      </w:tr>
    </w:tbl>
    <w:p>
      <w:pPr>
        <w:spacing w:after="0"/>
        <w:jc w:val="both"/>
        <w:rPr>
          <w:rFonts w:ascii="Times New Roman" w:hAnsi="Times New Roman"/>
          <w:sz w:val="24"/>
        </w:rPr>
        <w:sectPr>
          <w:pgSz w:w="12240" w:h="15840"/>
          <w:pgMar w:header="685" w:footer="1146" w:top="880" w:bottom="1340" w:left="1160" w:right="1100"/>
        </w:sectPr>
      </w:pPr>
    </w:p>
    <w:p>
      <w:pPr>
        <w:pStyle w:val="BodyText"/>
        <w:rPr>
          <w:rFonts w:ascii="Times New Roman"/>
          <w:sz w:val="20"/>
        </w:rPr>
      </w:pPr>
    </w:p>
    <w:p>
      <w:pPr>
        <w:pStyle w:val="BodyText"/>
        <w:spacing w:before="5"/>
        <w:rPr>
          <w:rFonts w:ascii="Times New Roman"/>
          <w:sz w:val="19"/>
        </w:rPr>
      </w:pPr>
    </w:p>
    <w:p>
      <w:pPr>
        <w:pStyle w:val="BodyText"/>
        <w:spacing w:before="70"/>
        <w:ind w:left="698" w:right="302"/>
        <w:rPr>
          <w:rFonts w:ascii="Times New Roman" w:hAnsi="Times New Roman"/>
        </w:rPr>
      </w:pPr>
      <w:r>
        <w:rPr>
          <w:rFonts w:ascii="Times New Roman" w:hAnsi="Times New Roman"/>
        </w:rPr>
        <w:t>Cuadro 6. Listado de especies de flora, en la Zona de Manejo Ambiental de Orquídeario.</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527"/>
        <w:gridCol w:w="2003"/>
        <w:gridCol w:w="1464"/>
        <w:gridCol w:w="4634"/>
      </w:tblGrid>
      <w:tr>
        <w:trPr>
          <w:trHeight w:val="1196" w:hRule="exact"/>
        </w:trPr>
        <w:tc>
          <w:tcPr>
            <w:tcW w:w="1527" w:type="dxa"/>
            <w:tcBorders>
              <w:left w:val="thickThinMediumGap" w:sz="17" w:space="0" w:color="000000"/>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45" w:right="48"/>
              <w:jc w:val="center"/>
              <w:rPr>
                <w:rFonts w:ascii="Times New Roman"/>
                <w:b/>
                <w:sz w:val="24"/>
              </w:rPr>
            </w:pPr>
            <w:r>
              <w:rPr>
                <w:rFonts w:ascii="Times New Roman"/>
                <w:b/>
                <w:sz w:val="24"/>
              </w:rPr>
              <w:t>FAMILIA</w:t>
            </w:r>
          </w:p>
        </w:tc>
        <w:tc>
          <w:tcPr>
            <w:tcW w:w="2003" w:type="dxa"/>
            <w:tcBorders>
              <w:left w:val="thickThinMediumGap" w:sz="17" w:space="0" w:color="000000"/>
              <w:bottom w:val="thinThickMediumGap" w:sz="17" w:space="0" w:color="000000"/>
              <w:right w:val="thinThickMediumGap" w:sz="17" w:space="0" w:color="000000"/>
            </w:tcBorders>
          </w:tcPr>
          <w:p>
            <w:pPr>
              <w:pStyle w:val="TableParagraph"/>
              <w:spacing w:line="480" w:lineRule="auto" w:before="16"/>
              <w:ind w:left="230" w:right="62" w:firstLine="187"/>
              <w:rPr>
                <w:rFonts w:ascii="Times New Roman" w:hAnsi="Times New Roman"/>
                <w:b/>
                <w:sz w:val="24"/>
              </w:rPr>
            </w:pPr>
            <w:r>
              <w:rPr>
                <w:rFonts w:ascii="Times New Roman" w:hAnsi="Times New Roman"/>
                <w:b/>
                <w:sz w:val="24"/>
              </w:rPr>
              <w:t>NOMBRE CIENTÍFICO</w:t>
            </w:r>
          </w:p>
        </w:tc>
        <w:tc>
          <w:tcPr>
            <w:tcW w:w="1464" w:type="dxa"/>
            <w:tcBorders>
              <w:left w:val="thickThinMediumGap" w:sz="17" w:space="0" w:color="000000"/>
              <w:bottom w:val="thinThickMediumGap" w:sz="17" w:space="0" w:color="000000"/>
              <w:right w:val="thinThickMediumGap" w:sz="17" w:space="0" w:color="000000"/>
            </w:tcBorders>
          </w:tcPr>
          <w:p>
            <w:pPr>
              <w:pStyle w:val="TableParagraph"/>
              <w:spacing w:line="480" w:lineRule="auto" w:before="16"/>
              <w:ind w:left="225" w:right="130" w:hanging="77"/>
              <w:rPr>
                <w:rFonts w:ascii="Times New Roman" w:hAnsi="Times New Roman"/>
                <w:b/>
                <w:sz w:val="24"/>
              </w:rPr>
            </w:pPr>
            <w:r>
              <w:rPr>
                <w:rFonts w:ascii="Times New Roman" w:hAnsi="Times New Roman"/>
                <w:b/>
                <w:sz w:val="24"/>
              </w:rPr>
              <w:t>NOMBRE COMÚN</w:t>
            </w:r>
          </w:p>
        </w:tc>
        <w:tc>
          <w:tcPr>
            <w:tcW w:w="4634" w:type="dxa"/>
            <w:tcBorders>
              <w:left w:val="thickThinMediumGap" w:sz="17" w:space="0" w:color="000000"/>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1378" w:right="64"/>
              <w:rPr>
                <w:rFonts w:ascii="Times New Roman" w:hAnsi="Times New Roman"/>
                <w:b/>
                <w:sz w:val="24"/>
              </w:rPr>
            </w:pPr>
            <w:r>
              <w:rPr>
                <w:rFonts w:ascii="Times New Roman" w:hAnsi="Times New Roman"/>
                <w:b/>
                <w:sz w:val="24"/>
              </w:rPr>
              <w:t>DISTRIBUCIÓN</w:t>
            </w:r>
          </w:p>
        </w:tc>
      </w:tr>
      <w:tr>
        <w:trPr>
          <w:trHeight w:val="1196"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5" w:right="47"/>
              <w:jc w:val="center"/>
              <w:rPr>
                <w:rFonts w:ascii="Times New Roman"/>
                <w:sz w:val="24"/>
              </w:rPr>
            </w:pPr>
            <w:r>
              <w:rPr>
                <w:rFonts w:ascii="Times New Roman"/>
                <w:sz w:val="24"/>
              </w:rPr>
              <w:t>Asteraceae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1200" w:val="left" w:leader="none"/>
                <w:tab w:pos="1646" w:val="left" w:leader="none"/>
              </w:tabs>
              <w:spacing w:before="146"/>
              <w:ind w:left="62" w:right="63"/>
              <w:rPr>
                <w:rFonts w:ascii="Times New Roman"/>
                <w:sz w:val="24"/>
              </w:rPr>
            </w:pPr>
            <w:r>
              <w:rPr>
                <w:rFonts w:ascii="Times New Roman"/>
                <w:i/>
                <w:sz w:val="24"/>
              </w:rPr>
              <w:t>Verbesina </w:t>
            </w:r>
            <w:r>
              <w:rPr>
                <w:rFonts w:ascii="Times New Roman"/>
                <w:i/>
                <w:sz w:val="24"/>
              </w:rPr>
              <w:t>fastigiata</w:t>
              <w:tab/>
            </w:r>
            <w:r>
              <w:rPr>
                <w:rFonts w:ascii="Times New Roman"/>
                <w:sz w:val="24"/>
              </w:rPr>
              <w:t>B.</w:t>
              <w:tab/>
            </w:r>
            <w:r>
              <w:rPr>
                <w:rFonts w:ascii="Times New Roman"/>
                <w:spacing w:val="-1"/>
                <w:sz w:val="24"/>
              </w:rPr>
              <w:t>L. </w:t>
            </w:r>
            <w:r>
              <w:rPr>
                <w:rFonts w:ascii="Times New Roman"/>
                <w:sz w:val="24"/>
              </w:rPr>
              <w:t>Rob &amp;</w:t>
            </w:r>
            <w:r>
              <w:rPr>
                <w:rFonts w:ascii="Times New Roman"/>
                <w:spacing w:val="-12"/>
                <w:sz w:val="24"/>
              </w:rPr>
              <w:t> </w:t>
            </w:r>
            <w:r>
              <w:rPr>
                <w:rFonts w:ascii="Times New Roman"/>
                <w:sz w:val="24"/>
              </w:rPr>
              <w:t>Greenm.</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137" w:right="141"/>
              <w:jc w:val="center"/>
              <w:rPr>
                <w:rFonts w:ascii="Times New Roman"/>
                <w:sz w:val="24"/>
              </w:rPr>
            </w:pPr>
            <w:r>
              <w:rPr>
                <w:rFonts w:ascii="Times New Roman"/>
                <w:sz w:val="24"/>
              </w:rPr>
              <w:t>Vara negra</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4"/>
              <w:rPr>
                <w:rFonts w:ascii="Times New Roman" w:hAnsi="Times New Roman"/>
                <w:sz w:val="24"/>
              </w:rPr>
            </w:pPr>
            <w:r>
              <w:rPr>
                <w:rFonts w:ascii="Times New Roman" w:hAnsi="Times New Roman"/>
                <w:sz w:val="24"/>
              </w:rPr>
              <w:t>Distribuida en el occidente y centro de México.  Ags., Nay., Jal., Col., Mich., </w:t>
            </w:r>
            <w:r>
              <w:rPr>
                <w:rFonts w:ascii="Times New Roman" w:hAnsi="Times New Roman"/>
                <w:spacing w:val="57"/>
                <w:sz w:val="24"/>
              </w:rPr>
              <w:t> </w:t>
            </w:r>
            <w:r>
              <w:rPr>
                <w:rFonts w:ascii="Times New Roman" w:hAnsi="Times New Roman"/>
                <w:sz w:val="24"/>
              </w:rPr>
              <w:t>Mex.,</w:t>
            </w:r>
          </w:p>
          <w:p>
            <w:pPr>
              <w:pStyle w:val="TableParagraph"/>
              <w:spacing w:line="274" w:lineRule="exact" w:before="7"/>
              <w:ind w:left="67" w:right="64"/>
              <w:rPr>
                <w:rFonts w:ascii="Times New Roman"/>
                <w:sz w:val="24"/>
              </w:rPr>
            </w:pPr>
            <w:r>
              <w:rPr>
                <w:rFonts w:ascii="Times New Roman"/>
                <w:sz w:val="24"/>
              </w:rPr>
              <w:t>Mor., Pue., Gro., Oax., Chis. (Rzedowski, </w:t>
            </w:r>
            <w:r>
              <w:rPr>
                <w:rFonts w:ascii="Times New Roman"/>
                <w:i/>
                <w:sz w:val="24"/>
              </w:rPr>
              <w:t>et. </w:t>
            </w:r>
            <w:r>
              <w:rPr>
                <w:rFonts w:ascii="Times New Roman"/>
                <w:i/>
                <w:sz w:val="24"/>
              </w:rPr>
              <w:t>al., </w:t>
            </w:r>
            <w:r>
              <w:rPr>
                <w:rFonts w:ascii="Times New Roman"/>
                <w:sz w:val="24"/>
              </w:rPr>
              <w:t>2011)</w:t>
            </w:r>
          </w:p>
        </w:tc>
      </w:tr>
      <w:tr>
        <w:trPr>
          <w:trHeight w:val="365"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41" w:right="48"/>
              <w:jc w:val="center"/>
              <w:rPr>
                <w:rFonts w:ascii="Times New Roman"/>
                <w:sz w:val="24"/>
              </w:rPr>
            </w:pPr>
            <w:r>
              <w:rPr>
                <w:rFonts w:ascii="Times New Roman"/>
                <w:sz w:val="24"/>
              </w:rPr>
              <w:t>Begoniaceae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2" w:right="62"/>
              <w:rPr>
                <w:rFonts w:ascii="Times New Roman"/>
                <w:i/>
                <w:sz w:val="24"/>
              </w:rPr>
            </w:pPr>
            <w:r>
              <w:rPr>
                <w:rFonts w:ascii="Times New Roman"/>
                <w:i/>
                <w:sz w:val="24"/>
              </w:rPr>
              <w:t>Begonia sp.</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jc w:val="center"/>
              <w:rPr>
                <w:rFonts w:ascii="Times New Roman"/>
                <w:sz w:val="24"/>
              </w:rPr>
            </w:pPr>
            <w:r>
              <w:rPr>
                <w:rFonts w:ascii="Times New Roman"/>
                <w:w w:val="99"/>
                <w:sz w:val="24"/>
              </w:rPr>
              <w:t>-</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
        </w:tc>
      </w:tr>
      <w:tr>
        <w:trPr>
          <w:trHeight w:val="1196"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1" w:right="48"/>
              <w:jc w:val="center"/>
              <w:rPr>
                <w:rFonts w:ascii="Times New Roman"/>
                <w:sz w:val="24"/>
              </w:rPr>
            </w:pPr>
            <w:r>
              <w:rPr>
                <w:rFonts w:ascii="Times New Roman"/>
                <w:sz w:val="24"/>
              </w:rPr>
              <w:t>Celastraceae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tabs>
                <w:tab w:pos="1665" w:val="left" w:leader="none"/>
              </w:tabs>
              <w:spacing w:line="230" w:lineRule="auto" w:before="20"/>
              <w:ind w:left="62" w:right="62"/>
              <w:rPr>
                <w:rFonts w:ascii="Times New Roman"/>
                <w:sz w:val="16"/>
              </w:rPr>
            </w:pPr>
            <w:r>
              <w:rPr>
                <w:rFonts w:ascii="Times New Roman"/>
                <w:i/>
                <w:sz w:val="24"/>
              </w:rPr>
              <w:t>Euonymus </w:t>
            </w:r>
            <w:r>
              <w:rPr>
                <w:rFonts w:ascii="Times New Roman"/>
                <w:i/>
                <w:sz w:val="24"/>
              </w:rPr>
              <w:t>corymbosus </w:t>
            </w:r>
            <w:r>
              <w:rPr>
                <w:rFonts w:ascii="Times New Roman"/>
                <w:sz w:val="24"/>
              </w:rPr>
              <w:t>Sprague</w:t>
              <w:tab/>
              <w:t>&amp; Bullock</w:t>
            </w:r>
            <w:r>
              <w:rPr>
                <w:rFonts w:ascii="Times New Roman"/>
                <w:spacing w:val="-5"/>
                <w:sz w:val="24"/>
              </w:rPr>
              <w:t> </w:t>
            </w:r>
            <w:r>
              <w:rPr>
                <w:rFonts w:ascii="Times New Roman"/>
                <w:position w:val="11"/>
                <w:sz w:val="16"/>
              </w:rPr>
              <w:t>16</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137" w:right="141"/>
              <w:jc w:val="center"/>
              <w:rPr>
                <w:rFonts w:ascii="Times New Roman"/>
                <w:sz w:val="24"/>
              </w:rPr>
            </w:pPr>
            <w:r>
              <w:rPr>
                <w:rFonts w:ascii="Times New Roman"/>
                <w:sz w:val="24"/>
              </w:rPr>
              <w:t>No tiene</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67"/>
              <w:rPr>
                <w:rFonts w:ascii="Times New Roman" w:hAnsi="Times New Roman"/>
                <w:i/>
                <w:sz w:val="24"/>
              </w:rPr>
            </w:pPr>
            <w:r>
              <w:rPr>
                <w:rFonts w:ascii="Times New Roman" w:hAnsi="Times New Roman"/>
                <w:sz w:val="24"/>
              </w:rPr>
              <w:t>Estado de México, Guerrero (Guerrero </w:t>
            </w:r>
            <w:r>
              <w:rPr>
                <w:rFonts w:ascii="Times New Roman" w:hAnsi="Times New Roman"/>
                <w:i/>
                <w:sz w:val="24"/>
              </w:rPr>
              <w:t>et  al.,</w:t>
            </w:r>
          </w:p>
          <w:p>
            <w:pPr>
              <w:pStyle w:val="TableParagraph"/>
              <w:spacing w:before="2"/>
              <w:ind w:left="67" w:right="64"/>
              <w:rPr>
                <w:rFonts w:ascii="Times New Roman"/>
                <w:sz w:val="24"/>
              </w:rPr>
            </w:pPr>
            <w:r>
              <w:rPr>
                <w:rFonts w:ascii="Times New Roman"/>
                <w:sz w:val="24"/>
              </w:rPr>
              <w:t>2002) Oaxaca (Tropicos, 2014)</w:t>
            </w:r>
          </w:p>
        </w:tc>
      </w:tr>
      <w:tr>
        <w:trPr>
          <w:trHeight w:val="917"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5" w:right="47"/>
              <w:jc w:val="center"/>
              <w:rPr>
                <w:rFonts w:ascii="Times New Roman"/>
                <w:sz w:val="24"/>
              </w:rPr>
            </w:pPr>
            <w:r>
              <w:rPr>
                <w:rFonts w:ascii="Times New Roman"/>
                <w:sz w:val="24"/>
              </w:rPr>
              <w:t>Cupressaceae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60" w:lineRule="exact" w:before="145"/>
              <w:ind w:left="62"/>
              <w:rPr>
                <w:rFonts w:ascii="Times New Roman"/>
                <w:i/>
                <w:sz w:val="24"/>
              </w:rPr>
            </w:pPr>
            <w:r>
              <w:rPr>
                <w:rFonts w:ascii="Times New Roman"/>
                <w:i/>
                <w:sz w:val="24"/>
              </w:rPr>
              <w:t>Juniperus flaccida</w:t>
            </w:r>
          </w:p>
          <w:p>
            <w:pPr>
              <w:pStyle w:val="TableParagraph"/>
              <w:spacing w:line="295" w:lineRule="exact"/>
              <w:ind w:left="62" w:right="62"/>
              <w:rPr>
                <w:rFonts w:ascii="Times New Roman"/>
                <w:sz w:val="16"/>
              </w:rPr>
            </w:pPr>
            <w:r>
              <w:rPr>
                <w:rFonts w:ascii="Times New Roman"/>
                <w:sz w:val="24"/>
              </w:rPr>
              <w:t>Schltdl </w:t>
            </w:r>
            <w:r>
              <w:rPr>
                <w:rFonts w:ascii="Times New Roman"/>
                <w:position w:val="11"/>
                <w:sz w:val="16"/>
              </w:rPr>
              <w:t>17</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145"/>
              <w:ind w:left="369" w:right="130" w:firstLine="24"/>
              <w:rPr>
                <w:rFonts w:ascii="Times New Roman"/>
                <w:sz w:val="24"/>
              </w:rPr>
            </w:pPr>
            <w:r>
              <w:rPr>
                <w:rFonts w:ascii="Times New Roman"/>
                <w:sz w:val="24"/>
              </w:rPr>
              <w:t>Cedro blanco</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72"/>
              <w:jc w:val="both"/>
              <w:rPr>
                <w:rFonts w:ascii="Times New Roman" w:hAnsi="Times New Roman"/>
                <w:sz w:val="24"/>
              </w:rPr>
            </w:pPr>
            <w:r>
              <w:rPr>
                <w:rFonts w:ascii="Times New Roman" w:hAnsi="Times New Roman"/>
                <w:sz w:val="24"/>
              </w:rPr>
              <w:t>E.U.A., Sonora y Tamaulipas al centro y sur de México hasta Guerrero y Oaxaca. (Rzedowski, 2005)</w:t>
            </w:r>
          </w:p>
        </w:tc>
      </w:tr>
      <w:tr>
        <w:trPr>
          <w:trHeight w:val="1190"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8"/>
              <w:jc w:val="center"/>
              <w:rPr>
                <w:rFonts w:ascii="Times New Roman"/>
                <w:sz w:val="24"/>
              </w:rPr>
            </w:pPr>
            <w:r>
              <w:rPr>
                <w:rFonts w:ascii="Times New Roman"/>
                <w:sz w:val="24"/>
              </w:rPr>
              <w:t>Clusiaceae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tabs>
                <w:tab w:pos="1142" w:val="left" w:leader="none"/>
              </w:tabs>
              <w:spacing w:line="275" w:lineRule="exact"/>
              <w:ind w:left="62"/>
              <w:rPr>
                <w:rFonts w:ascii="Times New Roman"/>
                <w:i/>
                <w:sz w:val="24"/>
              </w:rPr>
            </w:pPr>
            <w:r>
              <w:rPr>
                <w:rFonts w:ascii="Times New Roman"/>
                <w:i/>
                <w:sz w:val="24"/>
              </w:rPr>
              <w:t>Clusia</w:t>
              <w:tab/>
              <w:t>salvinii</w:t>
            </w:r>
          </w:p>
          <w:p>
            <w:pPr>
              <w:pStyle w:val="TableParagraph"/>
              <w:spacing w:line="275" w:lineRule="exact"/>
              <w:ind w:left="62" w:right="62"/>
              <w:rPr>
                <w:rFonts w:ascii="Times New Roman"/>
                <w:sz w:val="24"/>
              </w:rPr>
            </w:pPr>
            <w:r>
              <w:rPr>
                <w:rFonts w:ascii="Times New Roman"/>
                <w:sz w:val="24"/>
              </w:rPr>
              <w:t>Donn. Sm.</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45"/>
              <w:ind w:left="374" w:hanging="245"/>
              <w:rPr>
                <w:rFonts w:ascii="Times New Roman"/>
                <w:sz w:val="24"/>
              </w:rPr>
            </w:pPr>
            <w:r>
              <w:rPr>
                <w:rFonts w:ascii="Times New Roman"/>
                <w:sz w:val="24"/>
              </w:rPr>
              <w:t>Guayabillo, flor de canela</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6"/>
              <w:ind w:left="67" w:right="64"/>
              <w:jc w:val="both"/>
              <w:rPr>
                <w:rFonts w:ascii="Times New Roman" w:hAnsi="Times New Roman"/>
                <w:sz w:val="24"/>
              </w:rPr>
            </w:pPr>
            <w:r>
              <w:rPr>
                <w:rFonts w:ascii="Times New Roman" w:hAnsi="Times New Roman"/>
                <w:sz w:val="24"/>
              </w:rPr>
              <w:t>Distribuida del centro de México a Venezuela. Jal., Col., Mich., Méx., Ver.,  Gro., Oax., </w:t>
            </w:r>
            <w:r>
              <w:rPr>
                <w:rFonts w:ascii="Times New Roman" w:hAnsi="Times New Roman"/>
                <w:spacing w:val="-3"/>
                <w:sz w:val="24"/>
              </w:rPr>
              <w:t>Chis., </w:t>
            </w:r>
            <w:r>
              <w:rPr>
                <w:rFonts w:ascii="Times New Roman" w:hAnsi="Times New Roman"/>
                <w:sz w:val="24"/>
              </w:rPr>
              <w:t>Q.R.; Centroamérica; Sudamérica (Rodríguez,</w:t>
            </w:r>
            <w:r>
              <w:rPr>
                <w:rFonts w:ascii="Times New Roman" w:hAnsi="Times New Roman"/>
                <w:spacing w:val="-12"/>
                <w:sz w:val="24"/>
              </w:rPr>
              <w:t> </w:t>
            </w:r>
            <w:r>
              <w:rPr>
                <w:rFonts w:ascii="Times New Roman" w:hAnsi="Times New Roman"/>
                <w:sz w:val="24"/>
              </w:rPr>
              <w:t>1996)</w:t>
            </w:r>
          </w:p>
        </w:tc>
      </w:tr>
      <w:tr>
        <w:trPr>
          <w:trHeight w:val="2852"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51"/>
              <w:ind w:left="45" w:right="47"/>
              <w:jc w:val="center"/>
              <w:rPr>
                <w:rFonts w:ascii="Times New Roman"/>
                <w:sz w:val="24"/>
              </w:rPr>
            </w:pPr>
            <w:r>
              <w:rPr>
                <w:rFonts w:ascii="Times New Roman"/>
                <w:sz w:val="24"/>
              </w:rPr>
              <w:t>Fabaceae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2"/>
              <w:rPr>
                <w:rFonts w:ascii="Times New Roman"/>
                <w:sz w:val="25"/>
              </w:rPr>
            </w:pPr>
          </w:p>
          <w:p>
            <w:pPr>
              <w:pStyle w:val="TableParagraph"/>
              <w:ind w:left="62" w:right="62"/>
              <w:jc w:val="both"/>
              <w:rPr>
                <w:rFonts w:ascii="Times New Roman"/>
                <w:sz w:val="24"/>
              </w:rPr>
            </w:pPr>
            <w:r>
              <w:rPr>
                <w:rFonts w:ascii="Times New Roman"/>
                <w:i/>
                <w:sz w:val="24"/>
              </w:rPr>
              <w:t>Mimosa albida </w:t>
            </w:r>
            <w:r>
              <w:rPr>
                <w:rFonts w:ascii="Times New Roman"/>
                <w:sz w:val="24"/>
              </w:rPr>
              <w:t>var. albida Humb y Bonpl. ex</w:t>
            </w:r>
            <w:r>
              <w:rPr>
                <w:rFonts w:ascii="Times New Roman"/>
                <w:spacing w:val="57"/>
                <w:sz w:val="24"/>
              </w:rPr>
              <w:t> </w:t>
            </w:r>
            <w:r>
              <w:rPr>
                <w:rFonts w:ascii="Times New Roman"/>
                <w:sz w:val="24"/>
              </w:rPr>
              <w:t>Willd</w:t>
            </w:r>
          </w:p>
          <w:p>
            <w:pPr>
              <w:pStyle w:val="TableParagraph"/>
              <w:spacing w:line="273" w:lineRule="exact"/>
              <w:ind w:left="62"/>
              <w:jc w:val="both"/>
              <w:rPr>
                <w:rFonts w:ascii="Times New Roman"/>
                <w:sz w:val="24"/>
              </w:rPr>
            </w:pPr>
            <w:r>
              <w:rPr>
                <w:rFonts w:ascii="Times New Roman"/>
                <w:sz w:val="16"/>
              </w:rPr>
              <w:t>18</w:t>
            </w:r>
            <w:r>
              <w:rPr>
                <w:rFonts w:ascii="Times New Roman"/>
                <w:position w:val="-10"/>
                <w:sz w:val="24"/>
              </w:rPr>
              <w:t>.</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5"/>
              </w:rPr>
            </w:pPr>
          </w:p>
          <w:p>
            <w:pPr>
              <w:pStyle w:val="TableParagraph"/>
              <w:spacing w:line="242" w:lineRule="auto"/>
              <w:ind w:left="196" w:right="130" w:firstLine="72"/>
              <w:rPr>
                <w:rFonts w:ascii="Times New Roman"/>
                <w:sz w:val="24"/>
              </w:rPr>
            </w:pPr>
            <w:r>
              <w:rPr>
                <w:rFonts w:ascii="Times New Roman"/>
                <w:sz w:val="24"/>
              </w:rPr>
              <w:t>Mimosa, dormilona</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65"/>
              <w:jc w:val="both"/>
              <w:rPr>
                <w:rFonts w:ascii="Times New Roman" w:hAnsi="Times New Roman"/>
                <w:sz w:val="24"/>
              </w:rPr>
            </w:pPr>
            <w:r>
              <w:rPr>
                <w:rFonts w:ascii="Times New Roman" w:hAnsi="Times New Roman"/>
                <w:sz w:val="24"/>
              </w:rPr>
              <w:t>México (Campeche, Chiapas,  Colima, Distrito Federal, Estado de México, Guanajuato, Guerrero, Hidalgo, Jalisco, Michoacán, Morelos, Nayarit, Oaxaca, Puebla, Querétaro, San Luis Potosí, Tabasco, Veracruz, Yucatán y Zacatecas); Centroamérica (Belice, Costa Rica, El Salvador, Guatemala, Honduras y Nicaragua) y Sudamérica (Bolivia, Brasil, Ecuador y Perú) (Grether, R., et. al., 2006).</w:t>
            </w:r>
          </w:p>
        </w:tc>
      </w:tr>
      <w:tr>
        <w:trPr>
          <w:trHeight w:val="917"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45" w:right="47"/>
              <w:jc w:val="center"/>
              <w:rPr>
                <w:rFonts w:ascii="Times New Roman"/>
                <w:sz w:val="24"/>
              </w:rPr>
            </w:pPr>
            <w:r>
              <w:rPr>
                <w:rFonts w:ascii="Times New Roman"/>
                <w:sz w:val="24"/>
              </w:rPr>
              <w:t>Fabaceae</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74" w:lineRule="exact" w:before="155"/>
              <w:ind w:left="62" w:right="94"/>
              <w:rPr>
                <w:rFonts w:ascii="Times New Roman"/>
                <w:sz w:val="24"/>
              </w:rPr>
            </w:pPr>
            <w:r>
              <w:rPr>
                <w:rFonts w:ascii="Times New Roman"/>
                <w:i/>
                <w:sz w:val="24"/>
              </w:rPr>
              <w:t>Aeschynomene </w:t>
            </w:r>
            <w:r>
              <w:rPr>
                <w:rFonts w:ascii="Times New Roman"/>
                <w:i/>
                <w:sz w:val="24"/>
              </w:rPr>
              <w:t>petraea </w:t>
            </w:r>
            <w:r>
              <w:rPr>
                <w:rFonts w:ascii="Times New Roman"/>
                <w:sz w:val="24"/>
              </w:rPr>
              <w:t>B.L. Rob.</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74" w:lineRule="exact" w:before="155"/>
              <w:ind w:left="249" w:right="229" w:firstLine="240"/>
              <w:rPr>
                <w:rFonts w:ascii="Times New Roman"/>
                <w:sz w:val="24"/>
              </w:rPr>
            </w:pPr>
            <w:r>
              <w:rPr>
                <w:rFonts w:ascii="Times New Roman"/>
                <w:sz w:val="24"/>
              </w:rPr>
              <w:t>Flor mariposa</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before="11"/>
              <w:ind w:left="67" w:right="72"/>
              <w:jc w:val="both"/>
              <w:rPr>
                <w:rFonts w:ascii="Times New Roman" w:hAnsi="Times New Roman"/>
                <w:sz w:val="24"/>
              </w:rPr>
            </w:pPr>
            <w:r>
              <w:rPr>
                <w:rFonts w:ascii="Times New Roman" w:hAnsi="Times New Roman"/>
                <w:sz w:val="24"/>
              </w:rPr>
              <w:t>E.U.A., Sonora y Tamaulipas al centro y sur de México hasta Guerrero y Oaxaca. (Rzendowski, 2005)</w:t>
            </w:r>
          </w:p>
        </w:tc>
      </w:tr>
      <w:tr>
        <w:trPr>
          <w:trHeight w:val="1489" w:hRule="exact"/>
        </w:trPr>
        <w:tc>
          <w:tcPr>
            <w:tcW w:w="1527"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45" w:right="47"/>
              <w:jc w:val="center"/>
              <w:rPr>
                <w:rFonts w:ascii="Times New Roman"/>
                <w:sz w:val="24"/>
              </w:rPr>
            </w:pPr>
            <w:r>
              <w:rPr>
                <w:rFonts w:ascii="Times New Roman"/>
                <w:sz w:val="24"/>
              </w:rPr>
              <w:t>Fagaceaea</w:t>
            </w:r>
          </w:p>
        </w:tc>
        <w:tc>
          <w:tcPr>
            <w:tcW w:w="2003"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line="242" w:lineRule="auto" w:before="148"/>
              <w:ind w:left="62" w:right="62"/>
              <w:rPr>
                <w:rFonts w:ascii="Times New Roman" w:hAnsi="Times New Roman"/>
                <w:sz w:val="24"/>
              </w:rPr>
            </w:pPr>
            <w:r>
              <w:rPr>
                <w:rFonts w:ascii="Times New Roman" w:hAnsi="Times New Roman"/>
                <w:i/>
                <w:sz w:val="24"/>
              </w:rPr>
              <w:t>Quercus </w:t>
            </w:r>
            <w:r>
              <w:rPr>
                <w:rFonts w:ascii="Times New Roman" w:hAnsi="Times New Roman"/>
                <w:i/>
                <w:sz w:val="24"/>
              </w:rPr>
              <w:t>peduncularis </w:t>
            </w:r>
            <w:r>
              <w:rPr>
                <w:rFonts w:ascii="Times New Roman" w:hAnsi="Times New Roman"/>
                <w:sz w:val="24"/>
              </w:rPr>
              <w:t>Née</w:t>
            </w:r>
          </w:p>
        </w:tc>
        <w:tc>
          <w:tcPr>
            <w:tcW w:w="146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1"/>
              <w:rPr>
                <w:rFonts w:ascii="Times New Roman"/>
                <w:sz w:val="24"/>
              </w:rPr>
            </w:pPr>
          </w:p>
          <w:p>
            <w:pPr>
              <w:pStyle w:val="TableParagraph"/>
              <w:ind w:left="137" w:right="140"/>
              <w:jc w:val="center"/>
              <w:rPr>
                <w:rFonts w:ascii="Times New Roman"/>
                <w:sz w:val="24"/>
              </w:rPr>
            </w:pPr>
            <w:r>
              <w:rPr>
                <w:rFonts w:ascii="Times New Roman"/>
                <w:sz w:val="24"/>
              </w:rPr>
              <w:t>Encino</w:t>
            </w:r>
          </w:p>
        </w:tc>
        <w:tc>
          <w:tcPr>
            <w:tcW w:w="4634" w:type="dxa"/>
            <w:tcBorders>
              <w:top w:val="thickThinMediumGap" w:sz="17" w:space="0" w:color="000000"/>
              <w:left w:val="thickThinMediumGap" w:sz="17" w:space="0" w:color="000000"/>
              <w:bottom w:val="thinThickMediumGap" w:sz="17" w:space="0" w:color="000000"/>
              <w:right w:val="thinThickMediumGap" w:sz="17" w:space="0" w:color="000000"/>
            </w:tcBorders>
          </w:tcPr>
          <w:p>
            <w:pPr>
              <w:pStyle w:val="TableParagraph"/>
              <w:spacing w:line="242" w:lineRule="auto" w:before="11"/>
              <w:ind w:left="67" w:right="66"/>
              <w:jc w:val="both"/>
              <w:rPr>
                <w:rFonts w:ascii="Times New Roman" w:hAnsi="Times New Roman"/>
                <w:sz w:val="24"/>
              </w:rPr>
            </w:pPr>
            <w:r>
              <w:rPr>
                <w:rFonts w:ascii="Times New Roman" w:hAnsi="Times New Roman"/>
                <w:sz w:val="24"/>
              </w:rPr>
              <w:t>Especie endémica del centro – sur y sureste de  México.  Qro.,  </w:t>
            </w:r>
            <w:r>
              <w:rPr>
                <w:rFonts w:ascii="Times New Roman" w:hAnsi="Times New Roman"/>
                <w:spacing w:val="-3"/>
                <w:sz w:val="24"/>
              </w:rPr>
              <w:t>Jal.,  </w:t>
            </w:r>
            <w:r>
              <w:rPr>
                <w:rFonts w:ascii="Times New Roman" w:hAnsi="Times New Roman"/>
                <w:sz w:val="24"/>
              </w:rPr>
              <w:t>Col.,  Mich.,   </w:t>
            </w:r>
            <w:r>
              <w:rPr>
                <w:rFonts w:ascii="Times New Roman" w:hAnsi="Times New Roman"/>
                <w:spacing w:val="15"/>
                <w:sz w:val="24"/>
              </w:rPr>
              <w:t> </w:t>
            </w:r>
            <w:r>
              <w:rPr>
                <w:rFonts w:ascii="Times New Roman" w:hAnsi="Times New Roman"/>
                <w:sz w:val="24"/>
              </w:rPr>
              <w:t>Méx.,</w:t>
            </w:r>
          </w:p>
          <w:p>
            <w:pPr>
              <w:pStyle w:val="TableParagraph"/>
              <w:ind w:left="67" w:right="62"/>
              <w:jc w:val="both"/>
              <w:rPr>
                <w:rFonts w:ascii="Times New Roman" w:hAnsi="Times New Roman"/>
                <w:sz w:val="24"/>
              </w:rPr>
            </w:pPr>
            <w:r>
              <w:rPr>
                <w:rFonts w:ascii="Times New Roman" w:hAnsi="Times New Roman"/>
                <w:sz w:val="24"/>
              </w:rPr>
              <w:t>Pue., Ver., Gro., Oax., Chis. Jal., Mich., Gro, Oax., Chis, México y Veracruz (Romero, </w:t>
            </w:r>
            <w:r>
              <w:rPr>
                <w:rFonts w:ascii="Times New Roman" w:hAnsi="Times New Roman"/>
                <w:i/>
                <w:sz w:val="24"/>
              </w:rPr>
              <w:t>et. </w:t>
            </w:r>
            <w:r>
              <w:rPr>
                <w:rFonts w:ascii="Times New Roman" w:hAnsi="Times New Roman"/>
                <w:i/>
                <w:sz w:val="24"/>
              </w:rPr>
              <w:t>al., </w:t>
            </w:r>
            <w:r>
              <w:rPr>
                <w:rFonts w:ascii="Times New Roman" w:hAnsi="Times New Roman"/>
                <w:sz w:val="24"/>
              </w:rPr>
              <w:t>2014)</w:t>
            </w:r>
          </w:p>
        </w:tc>
      </w:tr>
    </w:tbl>
    <w:p>
      <w:pPr>
        <w:spacing w:after="0"/>
        <w:jc w:val="both"/>
        <w:rPr>
          <w:rFonts w:ascii="Times New Roman" w:hAnsi="Times New Roman"/>
          <w:sz w:val="24"/>
        </w:rPr>
        <w:sectPr>
          <w:footerReference w:type="default" r:id="rId175"/>
          <w:pgSz w:w="12240" w:h="15840"/>
          <w:pgMar w:footer="1146" w:header="685" w:top="880" w:bottom="1340" w:left="1160" w:right="11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BodyText"/>
        <w:spacing w:before="69"/>
        <w:ind w:left="138"/>
        <w:rPr>
          <w:rFonts w:ascii="Times New Roman" w:hAnsi="Times New Roman"/>
        </w:rPr>
      </w:pPr>
      <w:r>
        <w:rPr>
          <w:rFonts w:ascii="Times New Roman" w:hAnsi="Times New Roman"/>
        </w:rPr>
        <w:t>Cuadro 6. Listado de especies de flora, en la Zona de Manejo Ambiental de Orquídeario.</w:t>
      </w:r>
    </w:p>
    <w:p>
      <w:pPr>
        <w:pStyle w:val="BodyText"/>
        <w:rPr>
          <w:rFonts w:ascii="Times New Roman"/>
        </w:rPr>
      </w:pPr>
    </w:p>
    <w:p>
      <w:pPr>
        <w:pStyle w:val="BodyText"/>
        <w:ind w:left="541" w:right="103"/>
        <w:jc w:val="center"/>
        <w:rPr>
          <w:rFonts w:ascii="Times New Roman" w:hAnsi="Times New Roman"/>
        </w:rPr>
      </w:pPr>
      <w:r>
        <w:rPr>
          <w:rFonts w:ascii="Times New Roman" w:hAnsi="Times New Roman"/>
        </w:rPr>
        <w:t>(Continúa)</w:t>
      </w:r>
    </w:p>
    <w:p>
      <w:pPr>
        <w:spacing w:after="0"/>
        <w:jc w:val="center"/>
        <w:rPr>
          <w:rFonts w:ascii="Times New Roman" w:hAnsi="Times New Roman"/>
        </w:rPr>
        <w:sectPr>
          <w:footerReference w:type="default" r:id="rId176"/>
          <w:pgSz w:w="12240" w:h="15840"/>
          <w:pgMar w:footer="1146" w:header="685" w:top="880" w:bottom="1340" w:left="1720" w:right="1320"/>
          <w:pgNumType w:start="15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33"/>
        <w:gridCol w:w="2099"/>
        <w:gridCol w:w="1613"/>
        <w:gridCol w:w="4284"/>
      </w:tblGrid>
      <w:tr>
        <w:trPr>
          <w:trHeight w:val="1196" w:hRule="exact"/>
        </w:trPr>
        <w:tc>
          <w:tcPr>
            <w:tcW w:w="1633"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44" w:right="47"/>
              <w:jc w:val="center"/>
              <w:rPr>
                <w:rFonts w:ascii="Times New Roman"/>
                <w:b/>
                <w:sz w:val="24"/>
              </w:rPr>
            </w:pPr>
            <w:r>
              <w:rPr>
                <w:rFonts w:ascii="Times New Roman"/>
                <w:b/>
                <w:sz w:val="24"/>
              </w:rPr>
              <w:t>FAMILIA</w:t>
            </w:r>
          </w:p>
        </w:tc>
        <w:tc>
          <w:tcPr>
            <w:tcW w:w="2099" w:type="dxa"/>
            <w:tcBorders>
              <w:bottom w:val="thinThickMediumGap" w:sz="17" w:space="0" w:color="000000"/>
              <w:right w:val="thinThickMediumGap" w:sz="17" w:space="0" w:color="000000"/>
            </w:tcBorders>
          </w:tcPr>
          <w:p>
            <w:pPr>
              <w:pStyle w:val="TableParagraph"/>
              <w:spacing w:line="480" w:lineRule="auto" w:before="16"/>
              <w:ind w:left="278" w:right="18" w:firstLine="187"/>
              <w:rPr>
                <w:rFonts w:ascii="Times New Roman" w:hAnsi="Times New Roman"/>
                <w:b/>
                <w:sz w:val="24"/>
              </w:rPr>
            </w:pPr>
            <w:r>
              <w:rPr>
                <w:rFonts w:ascii="Times New Roman" w:hAnsi="Times New Roman"/>
                <w:b/>
                <w:sz w:val="24"/>
              </w:rPr>
              <w:t>NOMBRE CIENTÍFICO</w:t>
            </w:r>
          </w:p>
        </w:tc>
        <w:tc>
          <w:tcPr>
            <w:tcW w:w="1613" w:type="dxa"/>
            <w:tcBorders>
              <w:bottom w:val="thinThickMediumGap" w:sz="17" w:space="0" w:color="000000"/>
              <w:right w:val="thinThickMediumGap" w:sz="17" w:space="0" w:color="000000"/>
            </w:tcBorders>
          </w:tcPr>
          <w:p>
            <w:pPr>
              <w:pStyle w:val="TableParagraph"/>
              <w:spacing w:line="480" w:lineRule="auto" w:before="16"/>
              <w:ind w:left="297" w:right="201" w:hanging="72"/>
              <w:rPr>
                <w:rFonts w:ascii="Times New Roman" w:hAnsi="Times New Roman"/>
                <w:b/>
                <w:sz w:val="24"/>
              </w:rPr>
            </w:pPr>
            <w:r>
              <w:rPr>
                <w:rFonts w:ascii="Times New Roman" w:hAnsi="Times New Roman"/>
                <w:b/>
                <w:sz w:val="24"/>
              </w:rPr>
              <w:t>NOMBRE COMÚN</w:t>
            </w:r>
          </w:p>
        </w:tc>
        <w:tc>
          <w:tcPr>
            <w:tcW w:w="4284"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1205" w:right="69"/>
              <w:rPr>
                <w:rFonts w:ascii="Times New Roman" w:hAnsi="Times New Roman"/>
                <w:b/>
                <w:sz w:val="24"/>
              </w:rPr>
            </w:pPr>
            <w:r>
              <w:rPr>
                <w:rFonts w:ascii="Times New Roman" w:hAnsi="Times New Roman"/>
                <w:b/>
                <w:sz w:val="24"/>
              </w:rPr>
              <w:t>DISTRIBUCIÓN</w:t>
            </w:r>
          </w:p>
        </w:tc>
      </w:tr>
      <w:tr>
        <w:trPr>
          <w:trHeight w:val="2022"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4"/>
              </w:rPr>
            </w:pPr>
          </w:p>
          <w:p>
            <w:pPr>
              <w:pStyle w:val="TableParagraph"/>
              <w:ind w:left="39" w:right="47"/>
              <w:jc w:val="center"/>
              <w:rPr>
                <w:rFonts w:ascii="Times New Roman"/>
                <w:sz w:val="24"/>
              </w:rPr>
            </w:pPr>
            <w:r>
              <w:rPr>
                <w:rFonts w:ascii="Times New Roman"/>
                <w:sz w:val="24"/>
              </w:rPr>
              <w:t>Flacourtiaceae</w:t>
            </w:r>
          </w:p>
        </w:tc>
        <w:tc>
          <w:tcPr>
            <w:tcW w:w="2099"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146"/>
              <w:ind w:left="67" w:right="18"/>
              <w:rPr>
                <w:rFonts w:ascii="Times New Roman"/>
                <w:i/>
                <w:sz w:val="24"/>
              </w:rPr>
            </w:pPr>
            <w:r>
              <w:rPr>
                <w:rFonts w:ascii="Times New Roman"/>
                <w:i/>
                <w:sz w:val="24"/>
              </w:rPr>
              <w:t>Xylosma flexuosum</w:t>
            </w:r>
          </w:p>
          <w:p>
            <w:pPr>
              <w:pStyle w:val="TableParagraph"/>
              <w:spacing w:before="2"/>
              <w:ind w:left="67" w:right="18"/>
              <w:rPr>
                <w:rFonts w:ascii="Times New Roman"/>
                <w:sz w:val="24"/>
              </w:rPr>
            </w:pPr>
            <w:r>
              <w:rPr>
                <w:rFonts w:ascii="Times New Roman"/>
                <w:sz w:val="24"/>
              </w:rPr>
              <w:t>(H. B. K.) Hemsl.</w:t>
            </w:r>
          </w:p>
        </w:tc>
        <w:tc>
          <w:tcPr>
            <w:tcW w:w="161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6"/>
              <w:rPr>
                <w:rFonts w:ascii="Times New Roman"/>
                <w:sz w:val="24"/>
              </w:rPr>
            </w:pPr>
          </w:p>
          <w:p>
            <w:pPr>
              <w:pStyle w:val="TableParagraph"/>
              <w:ind w:left="134" w:right="127" w:hanging="1"/>
              <w:jc w:val="center"/>
              <w:rPr>
                <w:rFonts w:ascii="Times New Roman"/>
                <w:sz w:val="24"/>
              </w:rPr>
            </w:pPr>
            <w:r>
              <w:rPr>
                <w:rFonts w:ascii="Times New Roman"/>
                <w:sz w:val="24"/>
              </w:rPr>
              <w:t>Espina de la corona (otras zonas)</w:t>
            </w:r>
          </w:p>
        </w:tc>
        <w:tc>
          <w:tcPr>
            <w:tcW w:w="4284" w:type="dxa"/>
            <w:tcBorders>
              <w:bottom w:val="thinThickMediumGap" w:sz="17" w:space="0" w:color="000000"/>
              <w:right w:val="thinThickMediumGap" w:sz="17" w:space="0" w:color="000000"/>
            </w:tcBorders>
          </w:tcPr>
          <w:p>
            <w:pPr>
              <w:pStyle w:val="TableParagraph"/>
              <w:spacing w:before="6"/>
              <w:ind w:left="67" w:right="65"/>
              <w:jc w:val="both"/>
              <w:rPr>
                <w:rFonts w:ascii="Times New Roman" w:hAnsi="Times New Roman"/>
                <w:sz w:val="24"/>
              </w:rPr>
            </w:pPr>
            <w:r>
              <w:rPr>
                <w:rFonts w:ascii="Times New Roman" w:hAnsi="Times New Roman"/>
                <w:sz w:val="24"/>
              </w:rPr>
              <w:t>Sur de Texas, México (Campeche, Colima, Chiapas, Guerrero, Hidalgo, Jalisco, México, Michoacán, Morelos, Nayarit, Nuevo León, Oaxaca, Puebla, Querétaro, Tamaulipas, Veracruz y Yucatán) Guatemala hasta Panamá (Nee, 1999)</w:t>
            </w:r>
          </w:p>
        </w:tc>
      </w:tr>
      <w:tr>
        <w:trPr>
          <w:trHeight w:val="1195" w:hRule="exact"/>
        </w:trPr>
        <w:tc>
          <w:tcPr>
            <w:tcW w:w="1633"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7"/>
              <w:jc w:val="center"/>
              <w:rPr>
                <w:rFonts w:ascii="Times New Roman"/>
                <w:sz w:val="24"/>
              </w:rPr>
            </w:pPr>
            <w:r>
              <w:rPr>
                <w:rFonts w:ascii="Times New Roman"/>
                <w:sz w:val="24"/>
              </w:rPr>
              <w:t>Lauraceae</w:t>
            </w:r>
          </w:p>
        </w:tc>
        <w:tc>
          <w:tcPr>
            <w:tcW w:w="2099" w:type="dxa"/>
            <w:tcBorders>
              <w:top w:val="thickThinMediumGap" w:sz="17" w:space="0" w:color="000000"/>
              <w:bottom w:val="thinThickMediumGap" w:sz="17" w:space="0" w:color="000000"/>
              <w:right w:val="thinThickMediumGap" w:sz="17" w:space="0" w:color="000000"/>
            </w:tcBorders>
          </w:tcPr>
          <w:p>
            <w:pPr>
              <w:pStyle w:val="TableParagraph"/>
              <w:tabs>
                <w:tab w:pos="973" w:val="left" w:leader="none"/>
                <w:tab w:pos="1640" w:val="left" w:leader="none"/>
              </w:tabs>
              <w:spacing w:before="11"/>
              <w:ind w:left="67" w:right="64"/>
              <w:rPr>
                <w:rFonts w:ascii="Times New Roman"/>
                <w:sz w:val="24"/>
              </w:rPr>
            </w:pPr>
            <w:r>
              <w:rPr>
                <w:rFonts w:ascii="Times New Roman"/>
                <w:i/>
                <w:sz w:val="24"/>
              </w:rPr>
              <w:t>Ocotea </w:t>
            </w:r>
            <w:r>
              <w:rPr>
                <w:rFonts w:ascii="Times New Roman"/>
                <w:i/>
                <w:sz w:val="24"/>
              </w:rPr>
              <w:t>bourgeauviana </w:t>
            </w:r>
            <w:r>
              <w:rPr>
                <w:rFonts w:ascii="Times New Roman"/>
                <w:sz w:val="24"/>
              </w:rPr>
              <w:t>(Mez)</w:t>
              <w:tab/>
              <w:t>van</w:t>
              <w:tab/>
              <w:t>der Werff</w:t>
            </w:r>
          </w:p>
        </w:tc>
        <w:tc>
          <w:tcPr>
            <w:tcW w:w="1613" w:type="dxa"/>
            <w:tcBorders>
              <w:top w:val="thickThinMediumGap" w:sz="17" w:space="0" w:color="000000"/>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48" w:right="138"/>
              <w:jc w:val="center"/>
              <w:rPr>
                <w:rFonts w:ascii="Times New Roman"/>
                <w:sz w:val="24"/>
              </w:rPr>
            </w:pPr>
            <w:r>
              <w:rPr>
                <w:rFonts w:ascii="Times New Roman"/>
                <w:sz w:val="24"/>
              </w:rPr>
              <w:t>Ocote</w:t>
            </w:r>
          </w:p>
        </w:tc>
        <w:tc>
          <w:tcPr>
            <w:tcW w:w="4284" w:type="dxa"/>
            <w:tcBorders>
              <w:top w:val="thickThinMediumGap" w:sz="17" w:space="0" w:color="000000"/>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tabs>
                <w:tab w:pos="661" w:val="left" w:leader="none"/>
                <w:tab w:pos="1342" w:val="left" w:leader="none"/>
                <w:tab w:pos="2176" w:val="left" w:leader="none"/>
                <w:tab w:pos="2947" w:val="left" w:leader="none"/>
                <w:tab w:pos="3695" w:val="left" w:leader="none"/>
              </w:tabs>
              <w:spacing w:line="242" w:lineRule="auto"/>
              <w:ind w:left="67" w:right="69"/>
              <w:rPr>
                <w:rFonts w:ascii="Times New Roman" w:hAnsi="Times New Roman"/>
                <w:sz w:val="24"/>
              </w:rPr>
            </w:pPr>
            <w:r>
              <w:rPr>
                <w:rFonts w:ascii="Times New Roman" w:hAnsi="Times New Roman"/>
                <w:sz w:val="24"/>
              </w:rPr>
              <w:t>Jal.,</w:t>
              <w:tab/>
              <w:t>Col.,</w:t>
              <w:tab/>
              <w:t>Mich.,</w:t>
              <w:tab/>
              <w:t>Méx.,</w:t>
              <w:tab/>
              <w:t>Mor.,</w:t>
              <w:tab/>
            </w:r>
            <w:r>
              <w:rPr>
                <w:rFonts w:ascii="Times New Roman" w:hAnsi="Times New Roman"/>
                <w:spacing w:val="-1"/>
                <w:sz w:val="24"/>
              </w:rPr>
              <w:t>Gro. </w:t>
            </w:r>
            <w:r>
              <w:rPr>
                <w:rFonts w:ascii="Times New Roman" w:hAnsi="Times New Roman"/>
                <w:sz w:val="24"/>
              </w:rPr>
              <w:t>(Fernández,</w:t>
            </w:r>
            <w:r>
              <w:rPr>
                <w:rFonts w:ascii="Times New Roman" w:hAnsi="Times New Roman"/>
                <w:spacing w:val="-5"/>
                <w:sz w:val="24"/>
              </w:rPr>
              <w:t> </w:t>
            </w:r>
            <w:r>
              <w:rPr>
                <w:rFonts w:ascii="Times New Roman" w:hAnsi="Times New Roman"/>
                <w:sz w:val="24"/>
              </w:rPr>
              <w:t>1996)</w:t>
            </w:r>
          </w:p>
        </w:tc>
      </w:tr>
      <w:tr>
        <w:trPr>
          <w:trHeight w:val="1191"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4" w:right="47"/>
              <w:jc w:val="center"/>
              <w:rPr>
                <w:rFonts w:ascii="Times New Roman"/>
                <w:sz w:val="24"/>
              </w:rPr>
            </w:pPr>
            <w:r>
              <w:rPr>
                <w:rFonts w:ascii="Times New Roman"/>
                <w:sz w:val="24"/>
              </w:rPr>
              <w:t>Malpighiaceae</w:t>
            </w:r>
          </w:p>
        </w:tc>
        <w:tc>
          <w:tcPr>
            <w:tcW w:w="2099" w:type="dxa"/>
            <w:tcBorders>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tabs>
                <w:tab w:pos="1300" w:val="left" w:leader="none"/>
              </w:tabs>
              <w:spacing w:line="275" w:lineRule="exact"/>
              <w:ind w:left="67" w:right="18"/>
              <w:rPr>
                <w:rFonts w:ascii="Times New Roman"/>
                <w:i/>
                <w:sz w:val="24"/>
              </w:rPr>
            </w:pPr>
            <w:r>
              <w:rPr>
                <w:rFonts w:ascii="Times New Roman"/>
                <w:i/>
                <w:sz w:val="24"/>
              </w:rPr>
              <w:t>Galphimia</w:t>
              <w:tab/>
              <w:t>glauca</w:t>
            </w:r>
          </w:p>
          <w:p>
            <w:pPr>
              <w:pStyle w:val="TableParagraph"/>
              <w:spacing w:line="275" w:lineRule="exact"/>
              <w:ind w:left="67" w:right="18"/>
              <w:rPr>
                <w:rFonts w:ascii="Times New Roman"/>
                <w:sz w:val="24"/>
              </w:rPr>
            </w:pPr>
            <w:r>
              <w:rPr>
                <w:rFonts w:ascii="Times New Roman"/>
                <w:sz w:val="24"/>
              </w:rPr>
              <w:t>Cav.</w:t>
            </w:r>
          </w:p>
        </w:tc>
        <w:tc>
          <w:tcPr>
            <w:tcW w:w="1613" w:type="dxa"/>
            <w:tcBorders>
              <w:bottom w:val="thinThickMediumGap" w:sz="17" w:space="0" w:color="000000"/>
              <w:right w:val="thinThickMediumGap" w:sz="17" w:space="0" w:color="000000"/>
            </w:tcBorders>
          </w:tcPr>
          <w:p>
            <w:pPr>
              <w:pStyle w:val="TableParagraph"/>
              <w:spacing w:before="6"/>
              <w:ind w:left="148" w:right="142"/>
              <w:jc w:val="center"/>
              <w:rPr>
                <w:rFonts w:ascii="Times New Roman"/>
                <w:sz w:val="24"/>
              </w:rPr>
            </w:pPr>
            <w:r>
              <w:rPr>
                <w:rFonts w:ascii="Times New Roman"/>
                <w:sz w:val="24"/>
              </w:rPr>
              <w:t>Calderona amarilla, hierba de zorro</w:t>
            </w:r>
          </w:p>
        </w:tc>
        <w:tc>
          <w:tcPr>
            <w:tcW w:w="4284" w:type="dxa"/>
            <w:tcBorders>
              <w:bottom w:val="thinThickMediumGap" w:sz="17" w:space="0" w:color="000000"/>
              <w:right w:val="thinThickMediumGap" w:sz="17" w:space="0" w:color="000000"/>
            </w:tcBorders>
          </w:tcPr>
          <w:p>
            <w:pPr>
              <w:pStyle w:val="TableParagraph"/>
              <w:spacing w:before="146"/>
              <w:ind w:left="67" w:right="73"/>
              <w:jc w:val="both"/>
              <w:rPr>
                <w:rFonts w:ascii="Times New Roman" w:hAnsi="Times New Roman"/>
                <w:sz w:val="24"/>
              </w:rPr>
            </w:pPr>
            <w:r>
              <w:rPr>
                <w:rFonts w:ascii="Times New Roman" w:hAnsi="Times New Roman"/>
                <w:sz w:val="24"/>
              </w:rPr>
              <w:t>Originaria de México, Guatemala y de las regiones no muy húmedas de América Central y de Panamá.</w:t>
            </w:r>
          </w:p>
        </w:tc>
      </w:tr>
      <w:tr>
        <w:trPr>
          <w:trHeight w:val="2026"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before="2"/>
              <w:rPr>
                <w:rFonts w:ascii="Times New Roman"/>
                <w:sz w:val="25"/>
              </w:rPr>
            </w:pPr>
          </w:p>
          <w:p>
            <w:pPr>
              <w:pStyle w:val="TableParagraph"/>
              <w:ind w:left="40" w:right="47"/>
              <w:jc w:val="center"/>
              <w:rPr>
                <w:rFonts w:ascii="Times New Roman"/>
                <w:sz w:val="24"/>
              </w:rPr>
            </w:pPr>
            <w:r>
              <w:rPr>
                <w:rFonts w:ascii="Times New Roman"/>
                <w:sz w:val="24"/>
              </w:rPr>
              <w:t>Meliaceae</w:t>
            </w:r>
          </w:p>
        </w:tc>
        <w:tc>
          <w:tcPr>
            <w:tcW w:w="2099"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line="274" w:lineRule="exact" w:before="155"/>
              <w:ind w:left="67" w:right="62"/>
              <w:rPr>
                <w:rFonts w:ascii="Times New Roman"/>
                <w:sz w:val="24"/>
              </w:rPr>
            </w:pPr>
            <w:r>
              <w:rPr>
                <w:rFonts w:ascii="Times New Roman"/>
                <w:i/>
                <w:sz w:val="24"/>
              </w:rPr>
              <w:t>Trichilia </w:t>
            </w:r>
            <w:r>
              <w:rPr>
                <w:rFonts w:ascii="Times New Roman"/>
                <w:i/>
                <w:sz w:val="24"/>
              </w:rPr>
              <w:t>havanensis </w:t>
            </w:r>
            <w:r>
              <w:rPr>
                <w:rFonts w:ascii="Times New Roman"/>
                <w:sz w:val="24"/>
              </w:rPr>
              <w:t>Jacq.</w:t>
            </w:r>
          </w:p>
        </w:tc>
        <w:tc>
          <w:tcPr>
            <w:tcW w:w="161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spacing w:line="274" w:lineRule="exact" w:before="155"/>
              <w:ind w:left="268" w:right="201" w:firstLine="4"/>
              <w:rPr>
                <w:rFonts w:ascii="Times New Roman"/>
                <w:sz w:val="24"/>
              </w:rPr>
            </w:pPr>
            <w:r>
              <w:rPr>
                <w:rFonts w:ascii="Times New Roman"/>
                <w:sz w:val="24"/>
              </w:rPr>
              <w:t>Ciruelillo, limoncillo</w:t>
            </w:r>
          </w:p>
        </w:tc>
        <w:tc>
          <w:tcPr>
            <w:tcW w:w="4284" w:type="dxa"/>
            <w:tcBorders>
              <w:bottom w:val="thinThickMediumGap" w:sz="17" w:space="0" w:color="000000"/>
              <w:right w:val="thinThickMediumGap" w:sz="17" w:space="0" w:color="000000"/>
            </w:tcBorders>
          </w:tcPr>
          <w:p>
            <w:pPr>
              <w:pStyle w:val="TableParagraph"/>
              <w:spacing w:before="11"/>
              <w:ind w:left="67" w:right="65"/>
              <w:jc w:val="both"/>
              <w:rPr>
                <w:rFonts w:ascii="Times New Roman" w:hAnsi="Times New Roman"/>
                <w:sz w:val="24"/>
              </w:rPr>
            </w:pPr>
            <w:r>
              <w:rPr>
                <w:rFonts w:ascii="Times New Roman" w:hAnsi="Times New Roman"/>
                <w:sz w:val="24"/>
              </w:rPr>
              <w:t>Ampliamente distribuida en la tierra caliente de ambas vertientes de México. Sin.,  Tamps.,  S.L.P.,  Gto.,  Qro.,   Hgo.,</w:t>
            </w:r>
          </w:p>
          <w:p>
            <w:pPr>
              <w:pStyle w:val="TableParagraph"/>
              <w:spacing w:line="275" w:lineRule="exact" w:before="2"/>
              <w:ind w:left="67"/>
              <w:jc w:val="both"/>
              <w:rPr>
                <w:rFonts w:ascii="Times New Roman" w:hAnsi="Times New Roman"/>
                <w:sz w:val="24"/>
              </w:rPr>
            </w:pPr>
            <w:r>
              <w:rPr>
                <w:rFonts w:ascii="Times New Roman" w:hAnsi="Times New Roman"/>
                <w:sz w:val="24"/>
              </w:rPr>
              <w:t>Nay., Jal., Col., Mich., Méx., Pue.,   Ver.,</w:t>
            </w:r>
          </w:p>
          <w:p>
            <w:pPr>
              <w:pStyle w:val="TableParagraph"/>
              <w:ind w:left="67" w:right="70"/>
              <w:jc w:val="both"/>
              <w:rPr>
                <w:rFonts w:ascii="Times New Roman" w:hAnsi="Times New Roman"/>
                <w:sz w:val="24"/>
              </w:rPr>
            </w:pPr>
            <w:r>
              <w:rPr>
                <w:rFonts w:ascii="Times New Roman" w:hAnsi="Times New Roman"/>
                <w:sz w:val="24"/>
              </w:rPr>
              <w:t>Gro., Oax., Tab., Chis., Q. R.; Centroamérica; las Antillas; Colombia y Venezuela. (Calderón y Germán, 1993)</w:t>
            </w:r>
          </w:p>
        </w:tc>
      </w:tr>
      <w:tr>
        <w:trPr>
          <w:trHeight w:val="917" w:hRule="exact"/>
        </w:trPr>
        <w:tc>
          <w:tcPr>
            <w:tcW w:w="1633" w:type="dxa"/>
            <w:tcBorders>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40" w:right="47"/>
              <w:jc w:val="center"/>
              <w:rPr>
                <w:rFonts w:ascii="Times New Roman"/>
                <w:sz w:val="24"/>
              </w:rPr>
            </w:pPr>
            <w:r>
              <w:rPr>
                <w:rFonts w:ascii="Times New Roman"/>
                <w:sz w:val="24"/>
              </w:rPr>
              <w:t>Myrsinaceae</w:t>
            </w:r>
          </w:p>
        </w:tc>
        <w:tc>
          <w:tcPr>
            <w:tcW w:w="2099" w:type="dxa"/>
            <w:tcBorders>
              <w:bottom w:val="thinThickMediumGap" w:sz="17" w:space="0" w:color="000000"/>
              <w:right w:val="thinThickMediumGap" w:sz="17" w:space="0" w:color="000000"/>
            </w:tcBorders>
          </w:tcPr>
          <w:p>
            <w:pPr>
              <w:pStyle w:val="TableParagraph"/>
              <w:spacing w:line="242" w:lineRule="auto" w:before="7"/>
              <w:ind w:left="67" w:right="57"/>
              <w:rPr>
                <w:rFonts w:ascii="Times New Roman"/>
                <w:sz w:val="24"/>
              </w:rPr>
            </w:pPr>
            <w:r>
              <w:rPr>
                <w:rFonts w:ascii="Times New Roman"/>
                <w:i/>
                <w:sz w:val="24"/>
              </w:rPr>
              <w:t>Myrsine </w:t>
            </w:r>
            <w:r>
              <w:rPr>
                <w:rFonts w:ascii="Times New Roman"/>
                <w:i/>
                <w:sz w:val="24"/>
              </w:rPr>
              <w:t>myricoides </w:t>
            </w:r>
            <w:r>
              <w:rPr>
                <w:rFonts w:ascii="Times New Roman"/>
                <w:i/>
                <w:spacing w:val="26"/>
                <w:sz w:val="24"/>
              </w:rPr>
              <w:t> </w:t>
            </w:r>
            <w:r>
              <w:rPr>
                <w:rFonts w:ascii="Times New Roman"/>
                <w:sz w:val="24"/>
              </w:rPr>
              <w:t>Schltdl</w:t>
            </w:r>
          </w:p>
          <w:p>
            <w:pPr>
              <w:pStyle w:val="TableParagraph"/>
              <w:spacing w:line="143" w:lineRule="exact"/>
              <w:ind w:left="67" w:right="18"/>
              <w:rPr>
                <w:rFonts w:ascii="Times New Roman"/>
                <w:sz w:val="16"/>
              </w:rPr>
            </w:pPr>
            <w:r>
              <w:rPr>
                <w:rFonts w:ascii="Times New Roman"/>
                <w:sz w:val="16"/>
              </w:rPr>
              <w:t>19</w:t>
            </w:r>
          </w:p>
        </w:tc>
        <w:tc>
          <w:tcPr>
            <w:tcW w:w="1613" w:type="dxa"/>
            <w:tcBorders>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148" w:right="135"/>
              <w:jc w:val="center"/>
              <w:rPr>
                <w:rFonts w:ascii="Times New Roman"/>
                <w:sz w:val="24"/>
              </w:rPr>
            </w:pPr>
            <w:r>
              <w:rPr>
                <w:rFonts w:ascii="Times New Roman"/>
                <w:sz w:val="24"/>
              </w:rPr>
              <w:t>Laurel</w:t>
            </w:r>
          </w:p>
        </w:tc>
        <w:tc>
          <w:tcPr>
            <w:tcW w:w="4284" w:type="dxa"/>
            <w:tcBorders>
              <w:bottom w:val="thinThickMediumGap" w:sz="17" w:space="0" w:color="000000"/>
              <w:right w:val="thinThickMediumGap" w:sz="17" w:space="0" w:color="000000"/>
            </w:tcBorders>
          </w:tcPr>
          <w:p>
            <w:pPr>
              <w:pStyle w:val="TableParagraph"/>
              <w:spacing w:before="9"/>
              <w:rPr>
                <w:rFonts w:ascii="Times New Roman"/>
                <w:sz w:val="24"/>
              </w:rPr>
            </w:pPr>
          </w:p>
          <w:p>
            <w:pPr>
              <w:pStyle w:val="TableParagraph"/>
              <w:ind w:left="67" w:right="69"/>
              <w:rPr>
                <w:rFonts w:ascii="Times New Roman"/>
                <w:sz w:val="24"/>
              </w:rPr>
            </w:pPr>
            <w:r>
              <w:rPr>
                <w:rFonts w:ascii="Times New Roman"/>
                <w:sz w:val="24"/>
              </w:rPr>
              <w:t>Veracruz, Oaxaca y Chiapas</w:t>
            </w:r>
          </w:p>
        </w:tc>
      </w:tr>
      <w:tr>
        <w:trPr>
          <w:trHeight w:val="917" w:hRule="exact"/>
        </w:trPr>
        <w:tc>
          <w:tcPr>
            <w:tcW w:w="1633"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0" w:right="47"/>
              <w:jc w:val="center"/>
              <w:rPr>
                <w:rFonts w:ascii="Times New Roman"/>
                <w:sz w:val="24"/>
              </w:rPr>
            </w:pPr>
            <w:r>
              <w:rPr>
                <w:rFonts w:ascii="Times New Roman"/>
                <w:sz w:val="24"/>
              </w:rPr>
              <w:t>Myrtaceae</w:t>
            </w:r>
          </w:p>
        </w:tc>
        <w:tc>
          <w:tcPr>
            <w:tcW w:w="2099" w:type="dxa"/>
            <w:tcBorders>
              <w:bottom w:val="thinThickMediumGap" w:sz="17" w:space="0" w:color="000000"/>
              <w:right w:val="thinThickMediumGap" w:sz="17" w:space="0" w:color="000000"/>
            </w:tcBorders>
          </w:tcPr>
          <w:p>
            <w:pPr>
              <w:pStyle w:val="TableParagraph"/>
              <w:tabs>
                <w:tab w:pos="1714" w:val="left" w:leader="none"/>
              </w:tabs>
              <w:spacing w:line="225" w:lineRule="auto" w:before="24"/>
              <w:ind w:left="67" w:right="62"/>
              <w:rPr>
                <w:rFonts w:ascii="Times New Roman"/>
                <w:sz w:val="16"/>
              </w:rPr>
            </w:pPr>
            <w:r>
              <w:rPr>
                <w:rFonts w:ascii="Times New Roman"/>
                <w:i/>
                <w:sz w:val="24"/>
              </w:rPr>
              <w:t>Eugenia </w:t>
            </w:r>
            <w:r>
              <w:rPr>
                <w:rFonts w:ascii="Times New Roman"/>
                <w:i/>
                <w:sz w:val="24"/>
              </w:rPr>
              <w:t>Oerstediana</w:t>
              <w:tab/>
            </w:r>
            <w:r>
              <w:rPr>
                <w:rFonts w:ascii="Times New Roman"/>
                <w:sz w:val="24"/>
              </w:rPr>
              <w:t>O. Berg.</w:t>
            </w:r>
            <w:r>
              <w:rPr>
                <w:rFonts w:ascii="Times New Roman"/>
                <w:spacing w:val="5"/>
                <w:sz w:val="24"/>
              </w:rPr>
              <w:t> </w:t>
            </w:r>
            <w:r>
              <w:rPr>
                <w:rFonts w:ascii="Times New Roman"/>
                <w:position w:val="11"/>
                <w:sz w:val="16"/>
              </w:rPr>
              <w:t>20</w:t>
            </w:r>
          </w:p>
        </w:tc>
        <w:tc>
          <w:tcPr>
            <w:tcW w:w="1613"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147" w:right="151"/>
              <w:jc w:val="center"/>
              <w:rPr>
                <w:rFonts w:ascii="Times New Roman"/>
                <w:sz w:val="24"/>
              </w:rPr>
            </w:pPr>
            <w:r>
              <w:rPr>
                <w:rFonts w:ascii="Times New Roman"/>
                <w:sz w:val="24"/>
              </w:rPr>
              <w:t>Arrancillo</w:t>
            </w:r>
          </w:p>
        </w:tc>
        <w:tc>
          <w:tcPr>
            <w:tcW w:w="4284" w:type="dxa"/>
            <w:tcBorders>
              <w:bottom w:val="thinThickMediumGap" w:sz="17" w:space="0" w:color="000000"/>
              <w:right w:val="thinThickMediumGap" w:sz="17" w:space="0" w:color="000000"/>
            </w:tcBorders>
          </w:tcPr>
          <w:p>
            <w:pPr/>
          </w:p>
        </w:tc>
      </w:tr>
      <w:tr>
        <w:trPr>
          <w:trHeight w:val="917" w:hRule="exact"/>
        </w:trPr>
        <w:tc>
          <w:tcPr>
            <w:tcW w:w="1633"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0" w:right="47"/>
              <w:jc w:val="center"/>
              <w:rPr>
                <w:rFonts w:ascii="Times New Roman"/>
                <w:sz w:val="24"/>
              </w:rPr>
            </w:pPr>
            <w:r>
              <w:rPr>
                <w:rFonts w:ascii="Times New Roman"/>
                <w:sz w:val="24"/>
              </w:rPr>
              <w:t>Rhamnaceae</w:t>
            </w:r>
          </w:p>
        </w:tc>
        <w:tc>
          <w:tcPr>
            <w:tcW w:w="2099" w:type="dxa"/>
            <w:tcBorders>
              <w:bottom w:val="thinThickMediumGap" w:sz="17" w:space="0" w:color="000000"/>
              <w:right w:val="thinThickMediumGap" w:sz="17" w:space="0" w:color="000000"/>
            </w:tcBorders>
          </w:tcPr>
          <w:p>
            <w:pPr>
              <w:pStyle w:val="TableParagraph"/>
              <w:tabs>
                <w:tab w:pos="1204" w:val="left" w:leader="none"/>
              </w:tabs>
              <w:spacing w:line="275" w:lineRule="exact" w:before="11"/>
              <w:ind w:left="67" w:right="18"/>
              <w:rPr>
                <w:rFonts w:ascii="Times New Roman"/>
                <w:i/>
                <w:sz w:val="24"/>
              </w:rPr>
            </w:pPr>
            <w:r>
              <w:rPr>
                <w:rFonts w:ascii="Times New Roman"/>
                <w:i/>
                <w:sz w:val="24"/>
              </w:rPr>
              <w:t>Rhamnus</w:t>
              <w:tab/>
              <w:t>hintonii</w:t>
            </w:r>
          </w:p>
          <w:p>
            <w:pPr>
              <w:pStyle w:val="TableParagraph"/>
              <w:spacing w:line="275" w:lineRule="exact"/>
              <w:ind w:left="67" w:right="18"/>
              <w:rPr>
                <w:rFonts w:ascii="Times New Roman"/>
                <w:sz w:val="24"/>
              </w:rPr>
            </w:pPr>
            <w:r>
              <w:rPr>
                <w:rFonts w:ascii="Times New Roman"/>
                <w:sz w:val="24"/>
              </w:rPr>
              <w:t>M. C. Johnst.  y  L.</w:t>
            </w:r>
          </w:p>
          <w:p>
            <w:pPr>
              <w:pStyle w:val="TableParagraph"/>
              <w:spacing w:before="2"/>
              <w:ind w:left="67" w:right="18"/>
              <w:rPr>
                <w:rFonts w:ascii="Times New Roman"/>
                <w:sz w:val="24"/>
              </w:rPr>
            </w:pPr>
            <w:r>
              <w:rPr>
                <w:rFonts w:ascii="Times New Roman"/>
                <w:sz w:val="24"/>
              </w:rPr>
              <w:t>A. Johnst.</w:t>
            </w:r>
          </w:p>
        </w:tc>
        <w:tc>
          <w:tcPr>
            <w:tcW w:w="1613"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148" w:right="149"/>
              <w:jc w:val="center"/>
              <w:rPr>
                <w:rFonts w:ascii="Times New Roman"/>
                <w:sz w:val="24"/>
              </w:rPr>
            </w:pPr>
            <w:r>
              <w:rPr>
                <w:rFonts w:ascii="Times New Roman"/>
                <w:sz w:val="24"/>
              </w:rPr>
              <w:t>Ramnus</w:t>
            </w:r>
          </w:p>
        </w:tc>
        <w:tc>
          <w:tcPr>
            <w:tcW w:w="4284" w:type="dxa"/>
            <w:tcBorders>
              <w:bottom w:val="thinThickMediumGap" w:sz="17" w:space="0" w:color="000000"/>
              <w:right w:val="thinThickMediumGap" w:sz="17" w:space="0" w:color="000000"/>
            </w:tcBorders>
          </w:tcPr>
          <w:p>
            <w:pPr>
              <w:pStyle w:val="TableParagraph"/>
              <w:tabs>
                <w:tab w:pos="661" w:val="left" w:leader="none"/>
                <w:tab w:pos="1342" w:val="left" w:leader="none"/>
                <w:tab w:pos="2176" w:val="left" w:leader="none"/>
                <w:tab w:pos="2947" w:val="left" w:leader="none"/>
                <w:tab w:pos="3695" w:val="left" w:leader="none"/>
              </w:tabs>
              <w:spacing w:line="274" w:lineRule="exact" w:before="155"/>
              <w:ind w:left="67" w:right="69"/>
              <w:rPr>
                <w:rFonts w:ascii="Times New Roman" w:hAnsi="Times New Roman"/>
                <w:sz w:val="24"/>
              </w:rPr>
            </w:pPr>
            <w:r>
              <w:rPr>
                <w:rFonts w:ascii="Times New Roman" w:hAnsi="Times New Roman"/>
                <w:sz w:val="24"/>
              </w:rPr>
              <w:t>Jal.,</w:t>
              <w:tab/>
              <w:t>Col.,</w:t>
              <w:tab/>
              <w:t>Mich.,</w:t>
              <w:tab/>
              <w:t>Méx.,</w:t>
              <w:tab/>
              <w:t>Mor.,</w:t>
              <w:tab/>
            </w:r>
            <w:r>
              <w:rPr>
                <w:rFonts w:ascii="Times New Roman" w:hAnsi="Times New Roman"/>
                <w:spacing w:val="-1"/>
                <w:sz w:val="24"/>
              </w:rPr>
              <w:t>Gro. </w:t>
            </w:r>
            <w:r>
              <w:rPr>
                <w:rFonts w:ascii="Times New Roman" w:hAnsi="Times New Roman"/>
                <w:sz w:val="24"/>
              </w:rPr>
              <w:t>(Fernández,</w:t>
            </w:r>
            <w:r>
              <w:rPr>
                <w:rFonts w:ascii="Times New Roman" w:hAnsi="Times New Roman"/>
                <w:spacing w:val="-5"/>
                <w:sz w:val="24"/>
              </w:rPr>
              <w:t> </w:t>
            </w:r>
            <w:r>
              <w:rPr>
                <w:rFonts w:ascii="Times New Roman" w:hAnsi="Times New Roman"/>
                <w:sz w:val="24"/>
              </w:rPr>
              <w:t>1996)</w:t>
            </w:r>
          </w:p>
        </w:tc>
      </w:tr>
      <w:tr>
        <w:trPr>
          <w:trHeight w:val="1215" w:hRule="exact"/>
        </w:trPr>
        <w:tc>
          <w:tcPr>
            <w:tcW w:w="163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7"/>
              <w:jc w:val="center"/>
              <w:rPr>
                <w:rFonts w:ascii="Times New Roman"/>
                <w:sz w:val="24"/>
              </w:rPr>
            </w:pPr>
            <w:r>
              <w:rPr>
                <w:rFonts w:ascii="Times New Roman"/>
                <w:sz w:val="24"/>
              </w:rPr>
              <w:t>Rosaceae</w:t>
            </w:r>
          </w:p>
        </w:tc>
        <w:tc>
          <w:tcPr>
            <w:tcW w:w="2099" w:type="dxa"/>
            <w:tcBorders>
              <w:bottom w:val="thinThickMediumGap" w:sz="17" w:space="0" w:color="000000"/>
              <w:right w:val="thinThickMediumGap" w:sz="17" w:space="0" w:color="000000"/>
            </w:tcBorders>
          </w:tcPr>
          <w:p>
            <w:pPr>
              <w:pStyle w:val="TableParagraph"/>
              <w:spacing w:line="230" w:lineRule="auto" w:before="20"/>
              <w:ind w:left="67" w:right="18"/>
              <w:rPr>
                <w:rFonts w:ascii="Times New Roman"/>
                <w:sz w:val="16"/>
              </w:rPr>
            </w:pPr>
            <w:r>
              <w:rPr>
                <w:rFonts w:ascii="Times New Roman"/>
                <w:i/>
                <w:sz w:val="24"/>
              </w:rPr>
              <w:t>Photinia </w:t>
            </w:r>
            <w:r>
              <w:rPr>
                <w:rFonts w:ascii="Times New Roman"/>
                <w:i/>
                <w:sz w:val="24"/>
              </w:rPr>
              <w:t>microcarpa </w:t>
            </w:r>
            <w:r>
              <w:rPr>
                <w:rFonts w:ascii="Times New Roman"/>
                <w:sz w:val="24"/>
              </w:rPr>
              <w:t>Standl. ssp. hintonii Phipss var. hitonii </w:t>
            </w:r>
            <w:r>
              <w:rPr>
                <w:rFonts w:ascii="Times New Roman"/>
                <w:position w:val="11"/>
                <w:sz w:val="16"/>
              </w:rPr>
              <w:t>21</w:t>
            </w:r>
          </w:p>
        </w:tc>
        <w:tc>
          <w:tcPr>
            <w:tcW w:w="161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148" w:right="151"/>
              <w:jc w:val="center"/>
              <w:rPr>
                <w:rFonts w:ascii="Times New Roman"/>
                <w:sz w:val="24"/>
              </w:rPr>
            </w:pPr>
            <w:r>
              <w:rPr>
                <w:rFonts w:ascii="Times New Roman"/>
                <w:sz w:val="24"/>
              </w:rPr>
              <w:t>Capulincillo</w:t>
            </w:r>
          </w:p>
        </w:tc>
        <w:tc>
          <w:tcPr>
            <w:tcW w:w="4284" w:type="dxa"/>
            <w:tcBorders>
              <w:bottom w:val="thinThickMediumGap" w:sz="17" w:space="0" w:color="000000"/>
              <w:right w:val="thinThickMediumGap" w:sz="17" w:space="0" w:color="000000"/>
            </w:tcBorders>
          </w:tcPr>
          <w:p>
            <w:pPr>
              <w:pStyle w:val="TableParagraph"/>
              <w:spacing w:before="150"/>
              <w:ind w:left="67" w:right="74"/>
              <w:jc w:val="both"/>
              <w:rPr>
                <w:rFonts w:ascii="Times New Roman" w:hAnsi="Times New Roman"/>
                <w:sz w:val="24"/>
              </w:rPr>
            </w:pPr>
            <w:r>
              <w:rPr>
                <w:rFonts w:ascii="Times New Roman" w:hAnsi="Times New Roman"/>
                <w:sz w:val="24"/>
              </w:rPr>
              <w:t>Centro de México a Honduras. Qro., Jal., Mich, Méx., Oax., Chis.; Centroamérica (Rzedowski y Rzedowski de C., 2005)</w:t>
            </w:r>
          </w:p>
        </w:tc>
      </w:tr>
    </w:tbl>
    <w:p>
      <w:pPr>
        <w:spacing w:after="0"/>
        <w:jc w:val="both"/>
        <w:rPr>
          <w:rFonts w:ascii="Times New Roman" w:hAnsi="Times New Roman"/>
          <w:sz w:val="24"/>
        </w:rPr>
        <w:sectPr>
          <w:pgSz w:w="12240" w:h="15840"/>
          <w:pgMar w:header="685" w:footer="1146" w:top="880" w:bottom="1340" w:left="1160" w:right="11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p>
    <w:p>
      <w:pPr>
        <w:pStyle w:val="BodyText"/>
        <w:spacing w:before="70"/>
        <w:ind w:left="698" w:right="302"/>
        <w:rPr>
          <w:rFonts w:ascii="Times New Roman" w:hAnsi="Times New Roman"/>
        </w:rPr>
      </w:pPr>
      <w:r>
        <w:rPr>
          <w:rFonts w:ascii="Times New Roman" w:hAnsi="Times New Roman"/>
        </w:rPr>
        <w:t>Cuadro 6. Listado de especies de flora, en la Zona de Manejo Ambiental de Orquídeario.</w:t>
      </w:r>
    </w:p>
    <w:p>
      <w:pPr>
        <w:pStyle w:val="BodyText"/>
        <w:rPr>
          <w:rFonts w:ascii="Times New Roman"/>
        </w:rPr>
      </w:pPr>
    </w:p>
    <w:p>
      <w:pPr>
        <w:pStyle w:val="BodyText"/>
        <w:ind w:left="4838" w:right="4061"/>
        <w:jc w:val="center"/>
        <w:rPr>
          <w:rFonts w:ascii="Times New Roman" w:hAnsi="Times New Roman"/>
        </w:rPr>
      </w:pPr>
      <w:r>
        <w:rPr>
          <w:rFonts w:ascii="Times New Roman" w:hAnsi="Times New Roman"/>
        </w:rPr>
        <w:t>(Continúa)</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460"/>
        <w:gridCol w:w="2036"/>
        <w:gridCol w:w="1743"/>
        <w:gridCol w:w="4389"/>
      </w:tblGrid>
      <w:tr>
        <w:trPr>
          <w:trHeight w:val="1196" w:hRule="exact"/>
        </w:trPr>
        <w:tc>
          <w:tcPr>
            <w:tcW w:w="1460"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45" w:right="48"/>
              <w:jc w:val="center"/>
              <w:rPr>
                <w:rFonts w:ascii="Times New Roman"/>
                <w:b/>
                <w:sz w:val="24"/>
              </w:rPr>
            </w:pPr>
            <w:r>
              <w:rPr>
                <w:rFonts w:ascii="Times New Roman"/>
                <w:b/>
                <w:sz w:val="24"/>
              </w:rPr>
              <w:t>FAMILIA</w:t>
            </w:r>
          </w:p>
        </w:tc>
        <w:tc>
          <w:tcPr>
            <w:tcW w:w="2036" w:type="dxa"/>
            <w:tcBorders>
              <w:bottom w:val="thinThickMediumGap" w:sz="17" w:space="0" w:color="000000"/>
              <w:right w:val="thinThickMediumGap" w:sz="17" w:space="0" w:color="000000"/>
            </w:tcBorders>
          </w:tcPr>
          <w:p>
            <w:pPr>
              <w:pStyle w:val="TableParagraph"/>
              <w:spacing w:line="480" w:lineRule="auto" w:before="16"/>
              <w:ind w:left="249" w:firstLine="187"/>
              <w:rPr>
                <w:rFonts w:ascii="Times New Roman" w:hAnsi="Times New Roman"/>
                <w:b/>
                <w:sz w:val="24"/>
              </w:rPr>
            </w:pPr>
            <w:r>
              <w:rPr>
                <w:rFonts w:ascii="Times New Roman" w:hAnsi="Times New Roman"/>
                <w:b/>
                <w:sz w:val="24"/>
              </w:rPr>
              <w:t>NOMBRE CIENTÍFICO</w:t>
            </w:r>
          </w:p>
        </w:tc>
        <w:tc>
          <w:tcPr>
            <w:tcW w:w="1743" w:type="dxa"/>
            <w:tcBorders>
              <w:bottom w:val="thinThickMediumGap" w:sz="17" w:space="0" w:color="000000"/>
              <w:right w:val="thinThickMediumGap" w:sz="17" w:space="0" w:color="000000"/>
            </w:tcBorders>
          </w:tcPr>
          <w:p>
            <w:pPr>
              <w:pStyle w:val="TableParagraph"/>
              <w:spacing w:line="480" w:lineRule="auto" w:before="16"/>
              <w:ind w:left="360" w:right="268" w:hanging="72"/>
              <w:rPr>
                <w:rFonts w:ascii="Times New Roman" w:hAnsi="Times New Roman"/>
                <w:b/>
                <w:sz w:val="24"/>
              </w:rPr>
            </w:pPr>
            <w:r>
              <w:rPr>
                <w:rFonts w:ascii="Times New Roman" w:hAnsi="Times New Roman"/>
                <w:b/>
                <w:sz w:val="24"/>
              </w:rPr>
              <w:t>NOMBRE COMÚN</w:t>
            </w:r>
          </w:p>
        </w:tc>
        <w:tc>
          <w:tcPr>
            <w:tcW w:w="4389" w:type="dxa"/>
            <w:tcBorders>
              <w:bottom w:val="thinThickMediumGap" w:sz="17" w:space="0" w:color="000000"/>
              <w:right w:val="thinThickMediumGap" w:sz="17" w:space="0" w:color="000000"/>
            </w:tcBorders>
          </w:tcPr>
          <w:p>
            <w:pPr>
              <w:pStyle w:val="TableParagraph"/>
              <w:spacing w:before="2"/>
              <w:rPr>
                <w:rFonts w:ascii="Times New Roman"/>
                <w:sz w:val="25"/>
              </w:rPr>
            </w:pPr>
          </w:p>
          <w:p>
            <w:pPr>
              <w:pStyle w:val="TableParagraph"/>
              <w:ind w:left="1257"/>
              <w:rPr>
                <w:rFonts w:ascii="Times New Roman" w:hAnsi="Times New Roman"/>
                <w:b/>
                <w:sz w:val="24"/>
              </w:rPr>
            </w:pPr>
            <w:r>
              <w:rPr>
                <w:rFonts w:ascii="Times New Roman" w:hAnsi="Times New Roman"/>
                <w:b/>
                <w:sz w:val="24"/>
              </w:rPr>
              <w:t>DISTRIBUCIÓN</w:t>
            </w:r>
          </w:p>
        </w:tc>
      </w:tr>
      <w:tr>
        <w:trPr>
          <w:trHeight w:val="1196" w:hRule="exact"/>
        </w:trPr>
        <w:tc>
          <w:tcPr>
            <w:tcW w:w="1460"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spacing w:before="148"/>
              <w:ind w:left="40" w:right="48"/>
              <w:jc w:val="center"/>
              <w:rPr>
                <w:rFonts w:ascii="Times New Roman"/>
                <w:sz w:val="24"/>
              </w:rPr>
            </w:pPr>
            <w:r>
              <w:rPr>
                <w:rFonts w:ascii="Times New Roman"/>
                <w:sz w:val="24"/>
              </w:rPr>
              <w:t>Solanaceae</w:t>
            </w:r>
          </w:p>
        </w:tc>
        <w:tc>
          <w:tcPr>
            <w:tcW w:w="2036" w:type="dxa"/>
            <w:tcBorders>
              <w:bottom w:val="thinThickMediumGap" w:sz="17" w:space="0" w:color="000000"/>
              <w:right w:val="thinThickMediumGap" w:sz="17" w:space="0" w:color="000000"/>
            </w:tcBorders>
          </w:tcPr>
          <w:p>
            <w:pPr>
              <w:pStyle w:val="TableParagraph"/>
              <w:tabs>
                <w:tab w:pos="1690" w:val="left" w:leader="none"/>
              </w:tabs>
              <w:spacing w:line="225" w:lineRule="auto" w:before="159"/>
              <w:ind w:left="67" w:right="63"/>
              <w:rPr>
                <w:rFonts w:ascii="Times New Roman"/>
                <w:sz w:val="16"/>
              </w:rPr>
            </w:pPr>
            <w:r>
              <w:rPr>
                <w:rFonts w:ascii="Times New Roman"/>
                <w:i/>
                <w:sz w:val="24"/>
              </w:rPr>
              <w:t>Solanum </w:t>
            </w:r>
            <w:r>
              <w:rPr>
                <w:rFonts w:ascii="Times New Roman"/>
                <w:i/>
                <w:sz w:val="24"/>
              </w:rPr>
              <w:t>aphyodendron</w:t>
              <w:tab/>
            </w:r>
            <w:r>
              <w:rPr>
                <w:rFonts w:ascii="Times New Roman"/>
                <w:sz w:val="24"/>
              </w:rPr>
              <w:t>S. Knapp</w:t>
            </w:r>
            <w:r>
              <w:rPr>
                <w:rFonts w:ascii="Times New Roman"/>
                <w:spacing w:val="-3"/>
                <w:sz w:val="24"/>
              </w:rPr>
              <w:t> </w:t>
            </w:r>
            <w:r>
              <w:rPr>
                <w:rFonts w:ascii="Times New Roman"/>
                <w:position w:val="11"/>
                <w:sz w:val="16"/>
              </w:rPr>
              <w:t>22</w:t>
            </w:r>
          </w:p>
        </w:tc>
        <w:tc>
          <w:tcPr>
            <w:tcW w:w="1743" w:type="dxa"/>
            <w:tcBorders>
              <w:bottom w:val="thinThickMediumGap" w:sz="17" w:space="0" w:color="000000"/>
              <w:right w:val="thinThickMediumGap" w:sz="17" w:space="0" w:color="000000"/>
            </w:tcBorders>
          </w:tcPr>
          <w:p>
            <w:pPr>
              <w:pStyle w:val="TableParagraph"/>
              <w:spacing w:before="11"/>
              <w:ind w:left="331" w:right="333" w:firstLine="7"/>
              <w:jc w:val="center"/>
              <w:rPr>
                <w:rFonts w:ascii="Times New Roman" w:hAnsi="Times New Roman"/>
                <w:sz w:val="24"/>
              </w:rPr>
            </w:pPr>
            <w:r>
              <w:rPr>
                <w:rFonts w:ascii="Times New Roman" w:hAnsi="Times New Roman"/>
                <w:sz w:val="24"/>
              </w:rPr>
              <w:t>Yerba del zopilote, capulín</w:t>
            </w:r>
            <w:r>
              <w:rPr>
                <w:rFonts w:ascii="Times New Roman" w:hAnsi="Times New Roman"/>
                <w:spacing w:val="-6"/>
                <w:sz w:val="24"/>
              </w:rPr>
              <w:t> </w:t>
            </w:r>
            <w:r>
              <w:rPr>
                <w:rFonts w:ascii="Times New Roman" w:hAnsi="Times New Roman"/>
                <w:sz w:val="24"/>
              </w:rPr>
              <w:t>de pájaro</w:t>
            </w:r>
          </w:p>
        </w:tc>
        <w:tc>
          <w:tcPr>
            <w:tcW w:w="4389" w:type="dxa"/>
            <w:tcBorders>
              <w:bottom w:val="thinThickMediumGap" w:sz="17" w:space="0" w:color="000000"/>
              <w:right w:val="thinThickMediumGap" w:sz="17" w:space="0" w:color="000000"/>
            </w:tcBorders>
          </w:tcPr>
          <w:p>
            <w:pPr>
              <w:pStyle w:val="TableParagraph"/>
              <w:spacing w:before="11"/>
              <w:ind w:left="67" w:right="68"/>
              <w:jc w:val="both"/>
              <w:rPr>
                <w:rFonts w:ascii="Times New Roman" w:hAnsi="Times New Roman"/>
                <w:sz w:val="24"/>
              </w:rPr>
            </w:pPr>
            <w:r>
              <w:rPr>
                <w:rFonts w:ascii="Times New Roman" w:hAnsi="Times New Roman"/>
                <w:sz w:val="24"/>
              </w:rPr>
              <w:t>México (Chiapas, Guerrero, Hidalgo, Jalisco, Veracruz, Michoacán, México, Nayarit, Oaxaca); Guatemala hasta Panamá; Sudamérica (Rzedowski, 2001).</w:t>
            </w:r>
          </w:p>
        </w:tc>
      </w:tr>
      <w:tr>
        <w:trPr>
          <w:trHeight w:val="936" w:hRule="exact"/>
        </w:trPr>
        <w:tc>
          <w:tcPr>
            <w:tcW w:w="1460"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45" w:right="48"/>
              <w:jc w:val="center"/>
              <w:rPr>
                <w:rFonts w:ascii="Times New Roman"/>
                <w:sz w:val="24"/>
              </w:rPr>
            </w:pPr>
            <w:r>
              <w:rPr>
                <w:rFonts w:ascii="Times New Roman"/>
                <w:sz w:val="24"/>
              </w:rPr>
              <w:t>Verbenaceae</w:t>
            </w:r>
          </w:p>
        </w:tc>
        <w:tc>
          <w:tcPr>
            <w:tcW w:w="2036" w:type="dxa"/>
            <w:tcBorders>
              <w:bottom w:val="thinThickMediumGap" w:sz="17" w:space="0" w:color="000000"/>
              <w:right w:val="thinThickMediumGap" w:sz="17" w:space="0" w:color="000000"/>
            </w:tcBorders>
          </w:tcPr>
          <w:p>
            <w:pPr>
              <w:pStyle w:val="TableParagraph"/>
              <w:tabs>
                <w:tab w:pos="925" w:val="left" w:leader="none"/>
              </w:tabs>
              <w:spacing w:line="260" w:lineRule="exact" w:before="145"/>
              <w:ind w:left="67"/>
              <w:rPr>
                <w:rFonts w:ascii="Times New Roman"/>
                <w:i/>
                <w:sz w:val="24"/>
              </w:rPr>
            </w:pPr>
            <w:r>
              <w:rPr>
                <w:rFonts w:ascii="Times New Roman"/>
                <w:i/>
                <w:sz w:val="24"/>
              </w:rPr>
              <w:t>Lippia</w:t>
              <w:tab/>
              <w:t>umbellata</w:t>
            </w:r>
          </w:p>
          <w:p>
            <w:pPr>
              <w:pStyle w:val="TableParagraph"/>
              <w:spacing w:line="295" w:lineRule="exact"/>
              <w:ind w:left="67"/>
              <w:rPr>
                <w:rFonts w:ascii="Times New Roman"/>
                <w:sz w:val="16"/>
              </w:rPr>
            </w:pPr>
            <w:r>
              <w:rPr>
                <w:rFonts w:ascii="Times New Roman"/>
                <w:sz w:val="24"/>
              </w:rPr>
              <w:t>Cav. </w:t>
            </w:r>
            <w:r>
              <w:rPr>
                <w:rFonts w:ascii="Times New Roman"/>
                <w:position w:val="11"/>
                <w:sz w:val="16"/>
              </w:rPr>
              <w:t>23</w:t>
            </w:r>
          </w:p>
        </w:tc>
        <w:tc>
          <w:tcPr>
            <w:tcW w:w="1743" w:type="dxa"/>
            <w:tcBorders>
              <w:bottom w:val="thinThickMediumGap" w:sz="17" w:space="0" w:color="000000"/>
              <w:right w:val="thinThickMediumGap" w:sz="17" w:space="0" w:color="000000"/>
            </w:tcBorders>
          </w:tcPr>
          <w:p>
            <w:pPr>
              <w:pStyle w:val="TableParagraph"/>
              <w:spacing w:before="8"/>
              <w:rPr>
                <w:rFonts w:ascii="Times New Roman"/>
                <w:sz w:val="24"/>
              </w:rPr>
            </w:pPr>
          </w:p>
          <w:p>
            <w:pPr>
              <w:pStyle w:val="TableParagraph"/>
              <w:ind w:left="307" w:right="268"/>
              <w:rPr>
                <w:rFonts w:ascii="Times New Roman"/>
                <w:sz w:val="24"/>
              </w:rPr>
            </w:pPr>
            <w:r>
              <w:rPr>
                <w:rFonts w:ascii="Times New Roman"/>
                <w:sz w:val="24"/>
              </w:rPr>
              <w:t>Tabaquillo</w:t>
            </w:r>
          </w:p>
        </w:tc>
        <w:tc>
          <w:tcPr>
            <w:tcW w:w="4389" w:type="dxa"/>
            <w:tcBorders>
              <w:bottom w:val="thinThickMediumGap" w:sz="17" w:space="0" w:color="000000"/>
              <w:right w:val="thinThickMediumGap" w:sz="17" w:space="0" w:color="000000"/>
            </w:tcBorders>
          </w:tcPr>
          <w:p>
            <w:pPr>
              <w:pStyle w:val="TableParagraph"/>
              <w:spacing w:before="6"/>
              <w:ind w:left="67" w:right="68"/>
              <w:jc w:val="both"/>
              <w:rPr>
                <w:rFonts w:ascii="Times New Roman" w:hAnsi="Times New Roman"/>
                <w:sz w:val="24"/>
              </w:rPr>
            </w:pPr>
            <w:r>
              <w:rPr>
                <w:rFonts w:ascii="Times New Roman" w:hAnsi="Times New Roman"/>
                <w:sz w:val="24"/>
              </w:rPr>
              <w:t>Sinaloa y Durango a Chiapas, México, Veracruz y Yucatán. Centro América (Standley, 1982)</w:t>
            </w:r>
          </w:p>
        </w:tc>
      </w:tr>
    </w:tbl>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pStyle w:val="BodyText"/>
        <w:spacing w:before="69"/>
        <w:ind w:left="654" w:right="302"/>
        <w:rPr>
          <w:rFonts w:ascii="Times New Roman" w:hAnsi="Times New Roman"/>
        </w:rPr>
      </w:pPr>
      <w:r>
        <w:rPr>
          <w:rFonts w:ascii="Times New Roman" w:hAnsi="Times New Roman"/>
        </w:rPr>
        <w:t>Cuadro 7. Listado de especies de flora, en la Zona de Manejo Ambiental de Área Natural.</w:t>
      </w:r>
    </w:p>
    <w:p>
      <w:pPr>
        <w:pStyle w:val="BodyText"/>
        <w:rPr>
          <w:rFonts w:ascii="Times New Roman"/>
          <w:sz w:val="20"/>
        </w:rPr>
      </w:pPr>
    </w:p>
    <w:p>
      <w:pPr>
        <w:pStyle w:val="BodyText"/>
        <w:spacing w:before="11"/>
        <w:rPr>
          <w:rFonts w:ascii="Times New Roman"/>
          <w:sz w:val="20"/>
        </w:rPr>
      </w:pPr>
    </w:p>
    <w:tbl>
      <w:tblPr>
        <w:tblW w:w="0" w:type="auto"/>
        <w:jc w:val="left"/>
        <w:tblInd w:w="102" w:type="dxa"/>
        <w:tblBorders>
          <w:top w:val="thickThinMediumGap" w:sz="17" w:space="0" w:color="000000"/>
          <w:left w:val="thickThinMediumGap" w:sz="17" w:space="0" w:color="000000"/>
          <w:bottom w:val="thickThinMediumGap" w:sz="17" w:space="0" w:color="000000"/>
          <w:right w:val="thickThinMediumGap" w:sz="17" w:space="0" w:color="000000"/>
          <w:insideH w:val="thickThinMediumGap" w:sz="17" w:space="0" w:color="000000"/>
          <w:insideV w:val="thickThinMediumGap" w:sz="17" w:space="0" w:color="000000"/>
        </w:tblBorders>
        <w:tblLayout w:type="fixed"/>
        <w:tblCellMar>
          <w:top w:w="0" w:type="dxa"/>
          <w:left w:w="0" w:type="dxa"/>
          <w:bottom w:w="0" w:type="dxa"/>
          <w:right w:w="0" w:type="dxa"/>
        </w:tblCellMar>
        <w:tblLook w:val="01E0"/>
      </w:tblPr>
      <w:tblGrid>
        <w:gridCol w:w="1681"/>
        <w:gridCol w:w="3520"/>
        <w:gridCol w:w="2363"/>
        <w:gridCol w:w="2065"/>
      </w:tblGrid>
      <w:tr>
        <w:trPr>
          <w:trHeight w:val="644" w:hRule="exact"/>
        </w:trPr>
        <w:tc>
          <w:tcPr>
            <w:tcW w:w="1681" w:type="dxa"/>
            <w:tcBorders>
              <w:bottom w:val="thinThickMediumGap" w:sz="17" w:space="0" w:color="000000"/>
              <w:right w:val="thinThickMediumGap" w:sz="17" w:space="0" w:color="000000"/>
            </w:tcBorders>
          </w:tcPr>
          <w:p>
            <w:pPr>
              <w:pStyle w:val="TableParagraph"/>
              <w:spacing w:before="16"/>
              <w:ind w:left="264"/>
              <w:rPr>
                <w:rFonts w:ascii="Times New Roman"/>
                <w:b/>
                <w:sz w:val="24"/>
              </w:rPr>
            </w:pPr>
            <w:r>
              <w:rPr>
                <w:rFonts w:ascii="Times New Roman"/>
                <w:b/>
                <w:sz w:val="24"/>
              </w:rPr>
              <w:t>FAMILIA</w:t>
            </w:r>
          </w:p>
        </w:tc>
        <w:tc>
          <w:tcPr>
            <w:tcW w:w="3520" w:type="dxa"/>
            <w:tcBorders>
              <w:bottom w:val="thinThickMediumGap" w:sz="17" w:space="0" w:color="000000"/>
              <w:right w:val="thinThickMediumGap" w:sz="17" w:space="0" w:color="000000"/>
            </w:tcBorders>
          </w:tcPr>
          <w:p>
            <w:pPr>
              <w:pStyle w:val="TableParagraph"/>
              <w:spacing w:before="16"/>
              <w:ind w:left="422"/>
              <w:rPr>
                <w:rFonts w:ascii="Times New Roman" w:hAnsi="Times New Roman"/>
                <w:b/>
                <w:sz w:val="24"/>
              </w:rPr>
            </w:pPr>
            <w:r>
              <w:rPr>
                <w:rFonts w:ascii="Times New Roman" w:hAnsi="Times New Roman"/>
                <w:b/>
                <w:sz w:val="24"/>
              </w:rPr>
              <w:t>NOMBRE CIENTÍFICO</w:t>
            </w:r>
          </w:p>
        </w:tc>
        <w:tc>
          <w:tcPr>
            <w:tcW w:w="2363" w:type="dxa"/>
            <w:tcBorders>
              <w:bottom w:val="thinThickMediumGap" w:sz="17" w:space="0" w:color="000000"/>
              <w:right w:val="thinThickMediumGap" w:sz="17" w:space="0" w:color="000000"/>
            </w:tcBorders>
          </w:tcPr>
          <w:p>
            <w:pPr>
              <w:pStyle w:val="TableParagraph"/>
              <w:spacing w:before="16"/>
              <w:ind w:left="83" w:right="80"/>
              <w:jc w:val="center"/>
              <w:rPr>
                <w:rFonts w:ascii="Times New Roman" w:hAnsi="Times New Roman"/>
                <w:b/>
                <w:sz w:val="24"/>
              </w:rPr>
            </w:pPr>
            <w:r>
              <w:rPr>
                <w:rFonts w:ascii="Times New Roman" w:hAnsi="Times New Roman"/>
                <w:b/>
                <w:sz w:val="24"/>
              </w:rPr>
              <w:t>NOMBRE COMÚN</w:t>
            </w:r>
          </w:p>
        </w:tc>
        <w:tc>
          <w:tcPr>
            <w:tcW w:w="2065" w:type="dxa"/>
            <w:tcBorders>
              <w:bottom w:val="thinThickMediumGap" w:sz="17" w:space="0" w:color="000000"/>
              <w:right w:val="thinThickMediumGap" w:sz="17" w:space="0" w:color="000000"/>
            </w:tcBorders>
          </w:tcPr>
          <w:p>
            <w:pPr>
              <w:pStyle w:val="TableParagraph"/>
              <w:spacing w:before="16"/>
              <w:ind w:left="96" w:right="55"/>
              <w:rPr>
                <w:rFonts w:ascii="Times New Roman" w:hAnsi="Times New Roman"/>
                <w:b/>
                <w:sz w:val="24"/>
              </w:rPr>
            </w:pPr>
            <w:r>
              <w:rPr>
                <w:rFonts w:ascii="Times New Roman" w:hAnsi="Times New Roman"/>
                <w:b/>
                <w:sz w:val="24"/>
              </w:rPr>
              <w:t>DISTRIBUCIÓN</w:t>
            </w:r>
          </w:p>
        </w:tc>
      </w:tr>
      <w:tr>
        <w:trPr>
          <w:trHeight w:val="365" w:hRule="exact"/>
        </w:trPr>
        <w:tc>
          <w:tcPr>
            <w:tcW w:w="1681" w:type="dxa"/>
            <w:tcBorders>
              <w:bottom w:val="thinThickMediumGap" w:sz="17" w:space="0" w:color="000000"/>
              <w:right w:val="thinThickMediumGap" w:sz="17" w:space="0" w:color="000000"/>
            </w:tcBorders>
          </w:tcPr>
          <w:p>
            <w:pPr>
              <w:pStyle w:val="TableParagraph"/>
              <w:spacing w:before="6"/>
              <w:ind w:left="67"/>
              <w:rPr>
                <w:rFonts w:ascii="Times New Roman"/>
                <w:sz w:val="24"/>
              </w:rPr>
            </w:pPr>
            <w:r>
              <w:rPr>
                <w:rFonts w:ascii="Times New Roman"/>
                <w:sz w:val="24"/>
              </w:rPr>
              <w:t>Malpighiaceae</w:t>
            </w:r>
          </w:p>
        </w:tc>
        <w:tc>
          <w:tcPr>
            <w:tcW w:w="3520" w:type="dxa"/>
            <w:tcBorders>
              <w:bottom w:val="thinThickMediumGap" w:sz="17" w:space="0" w:color="000000"/>
              <w:right w:val="thinThickMediumGap" w:sz="17" w:space="0" w:color="000000"/>
            </w:tcBorders>
          </w:tcPr>
          <w:p>
            <w:pPr>
              <w:pStyle w:val="TableParagraph"/>
              <w:spacing w:before="6"/>
              <w:ind w:left="67"/>
              <w:rPr>
                <w:rFonts w:ascii="Times New Roman"/>
                <w:sz w:val="24"/>
              </w:rPr>
            </w:pPr>
            <w:r>
              <w:rPr>
                <w:rFonts w:ascii="Times New Roman"/>
                <w:i/>
                <w:sz w:val="24"/>
              </w:rPr>
              <w:t>Byrsonima crassifolia </w:t>
            </w:r>
            <w:r>
              <w:rPr>
                <w:rFonts w:ascii="Times New Roman"/>
                <w:sz w:val="24"/>
              </w:rPr>
              <w:t>(L.) Kunth</w:t>
            </w:r>
          </w:p>
        </w:tc>
        <w:tc>
          <w:tcPr>
            <w:tcW w:w="2363" w:type="dxa"/>
            <w:tcBorders>
              <w:bottom w:val="thinThickMediumGap" w:sz="17" w:space="0" w:color="000000"/>
              <w:right w:val="thinThickMediumGap" w:sz="17" w:space="0" w:color="000000"/>
            </w:tcBorders>
          </w:tcPr>
          <w:p>
            <w:pPr>
              <w:pStyle w:val="TableParagraph"/>
              <w:spacing w:before="6"/>
              <w:ind w:left="73" w:right="80"/>
              <w:jc w:val="center"/>
              <w:rPr>
                <w:rFonts w:ascii="Times New Roman"/>
                <w:sz w:val="24"/>
              </w:rPr>
            </w:pPr>
            <w:r>
              <w:rPr>
                <w:rFonts w:ascii="Times New Roman"/>
                <w:sz w:val="24"/>
              </w:rPr>
              <w:t>Nanche</w:t>
            </w:r>
          </w:p>
        </w:tc>
        <w:tc>
          <w:tcPr>
            <w:tcW w:w="2065" w:type="dxa"/>
            <w:tcBorders>
              <w:bottom w:val="thinThickMediumGap" w:sz="17" w:space="0" w:color="000000"/>
              <w:right w:val="thinThickMediumGap" w:sz="17" w:space="0" w:color="000000"/>
            </w:tcBorders>
          </w:tcPr>
          <w:p>
            <w:pPr>
              <w:pStyle w:val="TableParagraph"/>
              <w:spacing w:before="6"/>
              <w:ind w:left="67" w:right="55"/>
              <w:rPr>
                <w:rFonts w:ascii="Times New Roman"/>
                <w:sz w:val="24"/>
              </w:rPr>
            </w:pPr>
            <w:r>
              <w:rPr>
                <w:rFonts w:ascii="Times New Roman"/>
                <w:sz w:val="24"/>
              </w:rPr>
              <w:t>Mich., Mor., Pue.,</w:t>
            </w:r>
          </w:p>
        </w:tc>
      </w:tr>
      <w:tr>
        <w:trPr>
          <w:trHeight w:val="2852" w:hRule="exact"/>
        </w:trPr>
        <w:tc>
          <w:tcPr>
            <w:tcW w:w="1681" w:type="dxa"/>
            <w:tcBorders>
              <w:bottom w:val="thinThickMediumGap" w:sz="17" w:space="0" w:color="000000"/>
              <w:right w:val="thinThickMediumGap" w:sz="17" w:space="0" w:color="000000"/>
            </w:tcBorders>
          </w:tcPr>
          <w:p>
            <w:pPr>
              <w:pStyle w:val="TableParagraph"/>
              <w:spacing w:before="11"/>
              <w:ind w:left="67"/>
              <w:rPr>
                <w:rFonts w:ascii="Times New Roman"/>
                <w:sz w:val="24"/>
              </w:rPr>
            </w:pPr>
            <w:r>
              <w:rPr>
                <w:rFonts w:ascii="Times New Roman"/>
                <w:sz w:val="24"/>
              </w:rPr>
              <w:t>Fagaceae</w:t>
            </w:r>
          </w:p>
        </w:tc>
        <w:tc>
          <w:tcPr>
            <w:tcW w:w="3520" w:type="dxa"/>
            <w:tcBorders>
              <w:bottom w:val="thinThickMediumGap" w:sz="17" w:space="0" w:color="000000"/>
              <w:right w:val="thinThickMediumGap" w:sz="17" w:space="0" w:color="000000"/>
            </w:tcBorders>
          </w:tcPr>
          <w:p>
            <w:pPr>
              <w:pStyle w:val="TableParagraph"/>
              <w:spacing w:before="11"/>
              <w:ind w:left="67"/>
              <w:rPr>
                <w:rFonts w:ascii="Times New Roman"/>
                <w:sz w:val="24"/>
              </w:rPr>
            </w:pPr>
            <w:r>
              <w:rPr>
                <w:rFonts w:ascii="Times New Roman"/>
                <w:i/>
                <w:sz w:val="24"/>
              </w:rPr>
              <w:t>Quercus Hintonii </w:t>
            </w:r>
            <w:r>
              <w:rPr>
                <w:rFonts w:ascii="Times New Roman"/>
                <w:sz w:val="24"/>
              </w:rPr>
              <w:t>E. F. Warb.</w:t>
            </w:r>
          </w:p>
        </w:tc>
        <w:tc>
          <w:tcPr>
            <w:tcW w:w="2363" w:type="dxa"/>
            <w:tcBorders>
              <w:bottom w:val="thinThickMediumGap" w:sz="17" w:space="0" w:color="000000"/>
              <w:right w:val="thinThickMediumGap" w:sz="17"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6"/>
              <w:ind w:left="72" w:right="80"/>
              <w:jc w:val="center"/>
              <w:rPr>
                <w:rFonts w:ascii="Times New Roman"/>
                <w:sz w:val="24"/>
              </w:rPr>
            </w:pPr>
            <w:r>
              <w:rPr>
                <w:rFonts w:ascii="Times New Roman"/>
                <w:sz w:val="24"/>
              </w:rPr>
              <w:t>Encino</w:t>
            </w:r>
          </w:p>
        </w:tc>
        <w:tc>
          <w:tcPr>
            <w:tcW w:w="2065" w:type="dxa"/>
            <w:tcBorders>
              <w:bottom w:val="thinThickMediumGap" w:sz="17" w:space="0" w:color="000000"/>
              <w:right w:val="thinThickMediumGap" w:sz="17" w:space="0" w:color="000000"/>
            </w:tcBorders>
          </w:tcPr>
          <w:p>
            <w:pPr>
              <w:pStyle w:val="TableParagraph"/>
              <w:tabs>
                <w:tab w:pos="738" w:val="left" w:leader="none"/>
                <w:tab w:pos="1683" w:val="left" w:leader="none"/>
                <w:tab w:pos="1800" w:val="left" w:leader="none"/>
              </w:tabs>
              <w:spacing w:before="11"/>
              <w:ind w:left="67" w:right="55"/>
              <w:rPr>
                <w:rFonts w:ascii="Times New Roman" w:hAnsi="Times New Roman"/>
                <w:sz w:val="24"/>
              </w:rPr>
            </w:pPr>
            <w:r>
              <w:rPr>
                <w:rFonts w:ascii="Times New Roman" w:hAnsi="Times New Roman"/>
                <w:sz w:val="24"/>
              </w:rPr>
              <w:t>Estado de México (Tejupilco, Temascaltepec, San</w:t>
              <w:tab/>
              <w:t>Simón</w:t>
              <w:tab/>
              <w:t>de Guerrero, Amatepec, Sultepec</w:t>
              <w:tab/>
              <w:tab/>
              <w:t>y Tlatlaya) Michoacán (Zavala,</w:t>
            </w:r>
            <w:r>
              <w:rPr>
                <w:rFonts w:ascii="Times New Roman" w:hAnsi="Times New Roman"/>
                <w:spacing w:val="-2"/>
                <w:sz w:val="24"/>
              </w:rPr>
              <w:t> </w:t>
            </w:r>
            <w:r>
              <w:rPr>
                <w:rFonts w:ascii="Times New Roman" w:hAnsi="Times New Roman"/>
                <w:sz w:val="24"/>
              </w:rPr>
              <w:t>1998)</w:t>
            </w:r>
          </w:p>
        </w:tc>
      </w:tr>
      <w:tr>
        <w:trPr>
          <w:trHeight w:val="365" w:hRule="exact"/>
        </w:trPr>
        <w:tc>
          <w:tcPr>
            <w:tcW w:w="1681" w:type="dxa"/>
            <w:tcBorders>
              <w:bottom w:val="thinThickMediumGap" w:sz="17" w:space="0" w:color="000000"/>
              <w:right w:val="thinThickMediumGap" w:sz="17" w:space="0" w:color="000000"/>
            </w:tcBorders>
          </w:tcPr>
          <w:p>
            <w:pPr>
              <w:pStyle w:val="TableParagraph"/>
              <w:spacing w:before="6"/>
              <w:ind w:left="67"/>
              <w:rPr>
                <w:rFonts w:ascii="Times New Roman"/>
                <w:sz w:val="24"/>
              </w:rPr>
            </w:pPr>
            <w:r>
              <w:rPr>
                <w:rFonts w:ascii="Times New Roman"/>
                <w:sz w:val="24"/>
              </w:rPr>
              <w:t>Fagaceae</w:t>
            </w:r>
          </w:p>
        </w:tc>
        <w:tc>
          <w:tcPr>
            <w:tcW w:w="3520" w:type="dxa"/>
            <w:tcBorders>
              <w:bottom w:val="thinThickMediumGap" w:sz="17" w:space="0" w:color="000000"/>
              <w:right w:val="thinThickMediumGap" w:sz="17" w:space="0" w:color="000000"/>
            </w:tcBorders>
          </w:tcPr>
          <w:p>
            <w:pPr>
              <w:pStyle w:val="TableParagraph"/>
              <w:spacing w:before="6"/>
              <w:ind w:left="67"/>
              <w:rPr>
                <w:rFonts w:ascii="Times New Roman"/>
                <w:i/>
                <w:sz w:val="24"/>
              </w:rPr>
            </w:pPr>
            <w:r>
              <w:rPr>
                <w:rFonts w:ascii="Times New Roman"/>
                <w:i/>
                <w:sz w:val="24"/>
              </w:rPr>
              <w:t>Quercus sp.</w:t>
            </w:r>
          </w:p>
        </w:tc>
        <w:tc>
          <w:tcPr>
            <w:tcW w:w="2363" w:type="dxa"/>
            <w:tcBorders>
              <w:bottom w:val="thinThickMediumGap" w:sz="17" w:space="0" w:color="000000"/>
              <w:right w:val="thinThickMediumGap" w:sz="17" w:space="0" w:color="000000"/>
            </w:tcBorders>
          </w:tcPr>
          <w:p>
            <w:pPr>
              <w:pStyle w:val="TableParagraph"/>
              <w:spacing w:before="6"/>
              <w:ind w:left="72" w:right="80"/>
              <w:jc w:val="center"/>
              <w:rPr>
                <w:rFonts w:ascii="Times New Roman"/>
                <w:sz w:val="24"/>
              </w:rPr>
            </w:pPr>
            <w:r>
              <w:rPr>
                <w:rFonts w:ascii="Times New Roman"/>
                <w:sz w:val="24"/>
              </w:rPr>
              <w:t>Encino</w:t>
            </w:r>
          </w:p>
        </w:tc>
        <w:tc>
          <w:tcPr>
            <w:tcW w:w="2065" w:type="dxa"/>
            <w:tcBorders>
              <w:bottom w:val="thinThickMediumGap" w:sz="17" w:space="0" w:color="000000"/>
              <w:right w:val="thinThickMediumGap" w:sz="17" w:space="0" w:color="000000"/>
            </w:tcBorders>
          </w:tcPr>
          <w:p>
            <w:pPr/>
          </w:p>
        </w:tc>
      </w:tr>
      <w:tr>
        <w:trPr>
          <w:trHeight w:val="384" w:hRule="exact"/>
        </w:trPr>
        <w:tc>
          <w:tcPr>
            <w:tcW w:w="1681" w:type="dxa"/>
            <w:tcBorders>
              <w:bottom w:val="thinThickMediumGap" w:sz="17" w:space="0" w:color="000000"/>
              <w:right w:val="thinThickMediumGap" w:sz="17" w:space="0" w:color="000000"/>
            </w:tcBorders>
          </w:tcPr>
          <w:p>
            <w:pPr>
              <w:pStyle w:val="TableParagraph"/>
              <w:spacing w:before="11"/>
              <w:ind w:left="67"/>
              <w:rPr>
                <w:rFonts w:ascii="Times New Roman"/>
                <w:sz w:val="24"/>
              </w:rPr>
            </w:pPr>
            <w:r>
              <w:rPr>
                <w:rFonts w:ascii="Times New Roman"/>
                <w:sz w:val="24"/>
              </w:rPr>
              <w:t>Clethraceae</w:t>
            </w:r>
          </w:p>
        </w:tc>
        <w:tc>
          <w:tcPr>
            <w:tcW w:w="3520" w:type="dxa"/>
            <w:tcBorders>
              <w:bottom w:val="thinThickMediumGap" w:sz="17" w:space="0" w:color="000000"/>
              <w:right w:val="thinThickMediumGap" w:sz="17" w:space="0" w:color="000000"/>
            </w:tcBorders>
          </w:tcPr>
          <w:p>
            <w:pPr>
              <w:pStyle w:val="TableParagraph"/>
              <w:spacing w:before="11"/>
              <w:ind w:left="67"/>
              <w:rPr>
                <w:rFonts w:ascii="Times New Roman"/>
                <w:i/>
                <w:sz w:val="24"/>
              </w:rPr>
            </w:pPr>
            <w:r>
              <w:rPr>
                <w:rFonts w:ascii="Times New Roman"/>
                <w:i/>
                <w:sz w:val="24"/>
              </w:rPr>
              <w:t>Clethra sp.</w:t>
            </w:r>
          </w:p>
        </w:tc>
        <w:tc>
          <w:tcPr>
            <w:tcW w:w="2363" w:type="dxa"/>
            <w:tcBorders>
              <w:bottom w:val="thinThickMediumGap" w:sz="17" w:space="0" w:color="000000"/>
              <w:right w:val="thinThickMediumGap" w:sz="17" w:space="0" w:color="000000"/>
            </w:tcBorders>
          </w:tcPr>
          <w:p>
            <w:pPr/>
          </w:p>
        </w:tc>
        <w:tc>
          <w:tcPr>
            <w:tcW w:w="2065" w:type="dxa"/>
            <w:tcBorders>
              <w:bottom w:val="thinThickMediumGap" w:sz="17" w:space="0" w:color="000000"/>
              <w:right w:val="thinThickMediumGap" w:sz="17" w:space="0" w:color="000000"/>
            </w:tcBorders>
          </w:tcPr>
          <w:p>
            <w:pPr/>
          </w:p>
        </w:tc>
      </w:tr>
    </w:tbl>
    <w:p>
      <w:pPr>
        <w:spacing w:after="0"/>
        <w:sectPr>
          <w:pgSz w:w="12240" w:h="15840"/>
          <w:pgMar w:header="685" w:footer="1146" w:top="880" w:bottom="1340" w:left="1160" w:right="1100"/>
        </w:sectPr>
      </w:pPr>
    </w:p>
    <w:p>
      <w:pPr>
        <w:pStyle w:val="BodyText"/>
        <w:spacing w:before="4"/>
        <w:rPr>
          <w:rFonts w:ascii="Times New Roman"/>
          <w:sz w:val="17"/>
        </w:rPr>
      </w:pPr>
    </w:p>
    <w:p>
      <w:pPr>
        <w:spacing w:after="0"/>
        <w:rPr>
          <w:rFonts w:ascii="Times New Roman"/>
          <w:sz w:val="17"/>
        </w:rPr>
        <w:sectPr>
          <w:pgSz w:w="12240" w:h="15840"/>
          <w:pgMar w:header="685" w:footer="1146" w:top="880" w:bottom="1340" w:left="1720" w:right="1320"/>
        </w:sectPr>
      </w:pPr>
    </w:p>
    <w:p>
      <w:pPr>
        <w:pStyle w:val="BodyText"/>
        <w:rPr>
          <w:rFonts w:ascii="Times New Roman"/>
          <w:sz w:val="20"/>
        </w:rPr>
      </w:pPr>
    </w:p>
    <w:p>
      <w:pPr>
        <w:pStyle w:val="BodyText"/>
        <w:spacing w:before="10"/>
        <w:rPr>
          <w:rFonts w:ascii="Times New Roman"/>
          <w:sz w:val="19"/>
        </w:rPr>
      </w:pPr>
    </w:p>
    <w:p>
      <w:pPr>
        <w:pStyle w:val="Heading2"/>
        <w:spacing w:before="70"/>
        <w:rPr>
          <w:rFonts w:ascii="Times New Roman" w:hAnsi="Times New Roman"/>
        </w:rPr>
      </w:pPr>
      <w:r>
        <w:rPr>
          <w:rFonts w:ascii="Times New Roman" w:hAnsi="Times New Roman"/>
        </w:rPr>
        <w:t>Estudio Etnobotánico</w:t>
      </w:r>
    </w:p>
    <w:p>
      <w:pPr>
        <w:pStyle w:val="BodyText"/>
        <w:spacing w:before="6"/>
        <w:rPr>
          <w:rFonts w:ascii="Times New Roman"/>
          <w:b/>
          <w:sz w:val="23"/>
        </w:rPr>
      </w:pPr>
    </w:p>
    <w:p>
      <w:pPr>
        <w:pStyle w:val="BodyText"/>
        <w:spacing w:line="480" w:lineRule="auto"/>
        <w:ind w:left="116" w:right="120"/>
        <w:jc w:val="both"/>
        <w:rPr>
          <w:rFonts w:ascii="Times New Roman" w:hAnsi="Times New Roman"/>
        </w:rPr>
      </w:pPr>
      <w:r>
        <w:rPr>
          <w:rFonts w:ascii="Times New Roman" w:hAnsi="Times New Roman"/>
        </w:rPr>
        <w:t>En </w:t>
      </w:r>
      <w:r>
        <w:rPr>
          <w:rFonts w:ascii="Times New Roman" w:hAnsi="Times New Roman"/>
          <w:spacing w:val="-5"/>
        </w:rPr>
        <w:t>lo </w:t>
      </w:r>
      <w:r>
        <w:rPr>
          <w:rFonts w:ascii="Times New Roman" w:hAnsi="Times New Roman"/>
        </w:rPr>
        <w:t>que respecta al estudio etnobotánico, se realizaron 10 entrevistas a personas entre 50 y 80 años de edad, en su mayoría fueron mujeres habitantes de </w:t>
      </w:r>
      <w:r>
        <w:rPr>
          <w:rFonts w:ascii="Times New Roman" w:hAnsi="Times New Roman"/>
          <w:spacing w:val="-3"/>
        </w:rPr>
        <w:t>la </w:t>
      </w:r>
      <w:r>
        <w:rPr>
          <w:rFonts w:ascii="Times New Roman" w:hAnsi="Times New Roman"/>
        </w:rPr>
        <w:t>cabecera municipal de Temascaltepec y algunos habitantes de </w:t>
      </w:r>
      <w:r>
        <w:rPr>
          <w:rFonts w:ascii="Times New Roman" w:hAnsi="Times New Roman"/>
          <w:spacing w:val="-3"/>
        </w:rPr>
        <w:t>la </w:t>
      </w:r>
      <w:r>
        <w:rPr>
          <w:rFonts w:ascii="Times New Roman" w:hAnsi="Times New Roman"/>
        </w:rPr>
        <w:t>cercana localidad de Telpintla, utilizando cuestionarios con preguntas de tipo abierto. Los usos asignados a las especies son: medicinal (41 sp.), alimenticio (17 sp.), ornamental (9 sp.) y leña (14 sp.). Del total de especies identificadas, 19 </w:t>
      </w:r>
      <w:r>
        <w:rPr>
          <w:rFonts w:ascii="Times New Roman" w:hAnsi="Times New Roman"/>
          <w:spacing w:val="-3"/>
        </w:rPr>
        <w:t>no </w:t>
      </w:r>
      <w:r>
        <w:rPr>
          <w:rFonts w:ascii="Times New Roman" w:hAnsi="Times New Roman"/>
        </w:rPr>
        <w:t>presentan ningún uso, 17 especies presentan dos usos</w:t>
      </w:r>
      <w:r>
        <w:rPr>
          <w:rFonts w:ascii="Times New Roman" w:hAnsi="Times New Roman"/>
          <w:spacing w:val="-23"/>
        </w:rPr>
        <w:t> </w:t>
      </w:r>
      <w:r>
        <w:rPr>
          <w:rFonts w:ascii="Times New Roman" w:hAnsi="Times New Roman"/>
        </w:rPr>
        <w:t>distintos.</w:t>
      </w:r>
    </w:p>
    <w:p>
      <w:pPr>
        <w:spacing w:line="480" w:lineRule="auto" w:before="11"/>
        <w:ind w:left="116" w:right="115" w:firstLine="0"/>
        <w:jc w:val="both"/>
        <w:rPr>
          <w:rFonts w:ascii="Times New Roman" w:hAnsi="Times New Roman"/>
          <w:sz w:val="24"/>
        </w:rPr>
      </w:pPr>
      <w:r>
        <w:rPr>
          <w:rFonts w:ascii="Times New Roman" w:hAnsi="Times New Roman"/>
          <w:sz w:val="24"/>
        </w:rPr>
        <w:t>Las plantas con uso medicinal son: </w:t>
      </w:r>
      <w:r>
        <w:rPr>
          <w:rFonts w:ascii="Times New Roman" w:hAnsi="Times New Roman"/>
          <w:i/>
          <w:sz w:val="24"/>
        </w:rPr>
        <w:t>Acacia farnesiana </w:t>
      </w:r>
      <w:r>
        <w:rPr>
          <w:rFonts w:ascii="Times New Roman" w:hAnsi="Times New Roman"/>
          <w:sz w:val="24"/>
        </w:rPr>
        <w:t>(L.) Willd.; </w:t>
      </w:r>
      <w:r>
        <w:rPr>
          <w:rFonts w:ascii="Times New Roman" w:hAnsi="Times New Roman"/>
          <w:i/>
          <w:sz w:val="24"/>
        </w:rPr>
        <w:t>Acaciella angustissima var. </w:t>
      </w:r>
      <w:r>
        <w:rPr>
          <w:rFonts w:ascii="Times New Roman" w:hAnsi="Times New Roman"/>
          <w:i/>
          <w:sz w:val="24"/>
        </w:rPr>
        <w:t>angustissima </w:t>
      </w:r>
      <w:r>
        <w:rPr>
          <w:rFonts w:ascii="Times New Roman" w:hAnsi="Times New Roman"/>
          <w:sz w:val="24"/>
        </w:rPr>
        <w:t>(Mill.) Britton &amp; Rose; </w:t>
      </w:r>
      <w:r>
        <w:rPr>
          <w:rFonts w:ascii="Times New Roman" w:hAnsi="Times New Roman"/>
          <w:i/>
          <w:sz w:val="24"/>
        </w:rPr>
        <w:t>Agastache mexicana </w:t>
      </w:r>
      <w:r>
        <w:rPr>
          <w:rFonts w:ascii="Times New Roman" w:hAnsi="Times New Roman"/>
          <w:sz w:val="24"/>
        </w:rPr>
        <w:t>(Kunth.) Lint &amp; Epling; </w:t>
      </w:r>
      <w:r>
        <w:rPr>
          <w:rFonts w:ascii="Times New Roman" w:hAnsi="Times New Roman"/>
          <w:i/>
          <w:sz w:val="24"/>
        </w:rPr>
        <w:t>Alnus </w:t>
      </w:r>
      <w:r>
        <w:rPr>
          <w:rFonts w:ascii="Times New Roman" w:hAnsi="Times New Roman"/>
          <w:i/>
          <w:sz w:val="24"/>
        </w:rPr>
        <w:t>jorullensis </w:t>
      </w:r>
      <w:r>
        <w:rPr>
          <w:rFonts w:ascii="Times New Roman" w:hAnsi="Times New Roman"/>
          <w:sz w:val="24"/>
        </w:rPr>
        <w:t>H.B.K. ssp </w:t>
      </w:r>
      <w:r>
        <w:rPr>
          <w:rFonts w:ascii="Times New Roman" w:hAnsi="Times New Roman"/>
          <w:i/>
          <w:sz w:val="24"/>
        </w:rPr>
        <w:t>jorullensis; Artemisia absinthium </w:t>
      </w:r>
      <w:r>
        <w:rPr>
          <w:rFonts w:ascii="Times New Roman" w:hAnsi="Times New Roman"/>
          <w:sz w:val="24"/>
        </w:rPr>
        <w:t>L.; </w:t>
      </w:r>
      <w:r>
        <w:rPr>
          <w:rFonts w:ascii="Times New Roman" w:hAnsi="Times New Roman"/>
          <w:i/>
          <w:sz w:val="24"/>
        </w:rPr>
        <w:t>Bocconia arbórea </w:t>
      </w:r>
      <w:r>
        <w:rPr>
          <w:rFonts w:ascii="Times New Roman" w:hAnsi="Times New Roman"/>
          <w:sz w:val="24"/>
        </w:rPr>
        <w:t>S. Watson; </w:t>
      </w:r>
      <w:r>
        <w:rPr>
          <w:rFonts w:ascii="Times New Roman" w:hAnsi="Times New Roman"/>
          <w:i/>
          <w:sz w:val="24"/>
        </w:rPr>
        <w:t>Calliandra grandiflora (L’ Hér.) Benth; Carica papaya </w:t>
      </w:r>
      <w:r>
        <w:rPr>
          <w:rFonts w:ascii="Times New Roman" w:hAnsi="Times New Roman"/>
          <w:sz w:val="24"/>
        </w:rPr>
        <w:t>L.; </w:t>
      </w:r>
      <w:r>
        <w:rPr>
          <w:rFonts w:ascii="Times New Roman" w:hAnsi="Times New Roman"/>
          <w:i/>
          <w:sz w:val="24"/>
        </w:rPr>
        <w:t>Citrus aurantium </w:t>
      </w:r>
      <w:r>
        <w:rPr>
          <w:rFonts w:ascii="Times New Roman" w:hAnsi="Times New Roman"/>
          <w:sz w:val="24"/>
        </w:rPr>
        <w:t>L.; </w:t>
      </w:r>
      <w:r>
        <w:rPr>
          <w:rFonts w:ascii="Times New Roman" w:hAnsi="Times New Roman"/>
          <w:i/>
          <w:sz w:val="24"/>
        </w:rPr>
        <w:t>Citrus sinensis </w:t>
      </w:r>
      <w:r>
        <w:rPr>
          <w:rFonts w:ascii="Times New Roman" w:hAnsi="Times New Roman"/>
          <w:sz w:val="24"/>
        </w:rPr>
        <w:t>(L.) Osbeck; </w:t>
      </w:r>
      <w:r>
        <w:rPr>
          <w:rFonts w:ascii="Times New Roman" w:hAnsi="Times New Roman"/>
          <w:i/>
          <w:sz w:val="24"/>
        </w:rPr>
        <w:t>Coffea arabica </w:t>
      </w:r>
      <w:r>
        <w:rPr>
          <w:rFonts w:ascii="Times New Roman" w:hAnsi="Times New Roman"/>
          <w:sz w:val="24"/>
        </w:rPr>
        <w:t>L.; </w:t>
      </w:r>
      <w:r>
        <w:rPr>
          <w:rFonts w:ascii="Times New Roman" w:hAnsi="Times New Roman"/>
          <w:i/>
          <w:sz w:val="24"/>
        </w:rPr>
        <w:t>Clusia salvinii </w:t>
      </w:r>
      <w:r>
        <w:rPr>
          <w:rFonts w:ascii="Times New Roman" w:hAnsi="Times New Roman"/>
          <w:sz w:val="24"/>
        </w:rPr>
        <w:t>Donn. Sm.; </w:t>
      </w:r>
      <w:r>
        <w:rPr>
          <w:rFonts w:ascii="Times New Roman" w:hAnsi="Times New Roman"/>
          <w:i/>
          <w:sz w:val="24"/>
        </w:rPr>
        <w:t>Cymbopogon citratus </w:t>
      </w:r>
      <w:r>
        <w:rPr>
          <w:rFonts w:ascii="Times New Roman" w:hAnsi="Times New Roman"/>
          <w:sz w:val="24"/>
        </w:rPr>
        <w:t>(DC.) Staff.; </w:t>
      </w:r>
      <w:r>
        <w:rPr>
          <w:rFonts w:ascii="Times New Roman" w:hAnsi="Times New Roman"/>
          <w:i/>
          <w:sz w:val="24"/>
        </w:rPr>
        <w:t>Eriobotrya japonica </w:t>
      </w:r>
      <w:r>
        <w:rPr>
          <w:rFonts w:ascii="Times New Roman" w:hAnsi="Times New Roman"/>
          <w:sz w:val="24"/>
        </w:rPr>
        <w:t>(Thunb. Lindl.); </w:t>
      </w:r>
      <w:r>
        <w:rPr>
          <w:rFonts w:ascii="Times New Roman" w:hAnsi="Times New Roman"/>
          <w:i/>
          <w:sz w:val="24"/>
        </w:rPr>
        <w:t>Euphorbia cotinifolia </w:t>
      </w:r>
      <w:r>
        <w:rPr>
          <w:rFonts w:ascii="Times New Roman" w:hAnsi="Times New Roman"/>
          <w:sz w:val="24"/>
        </w:rPr>
        <w:t>L.,; </w:t>
      </w:r>
      <w:r>
        <w:rPr>
          <w:rFonts w:ascii="Times New Roman" w:hAnsi="Times New Roman"/>
          <w:i/>
          <w:sz w:val="24"/>
        </w:rPr>
        <w:t>Euphorbia pulcherrima </w:t>
      </w:r>
      <w:r>
        <w:rPr>
          <w:rFonts w:ascii="Times New Roman" w:hAnsi="Times New Roman"/>
          <w:sz w:val="24"/>
        </w:rPr>
        <w:t>Willd. ex Klotzsch; </w:t>
      </w:r>
      <w:r>
        <w:rPr>
          <w:rFonts w:ascii="Times New Roman" w:hAnsi="Times New Roman"/>
          <w:i/>
          <w:sz w:val="24"/>
        </w:rPr>
        <w:t>Foeniculum vulgare </w:t>
      </w:r>
      <w:r>
        <w:rPr>
          <w:rFonts w:ascii="Times New Roman" w:hAnsi="Times New Roman"/>
          <w:sz w:val="24"/>
        </w:rPr>
        <w:t>Mill.; </w:t>
      </w:r>
      <w:r>
        <w:rPr>
          <w:rFonts w:ascii="Times New Roman" w:hAnsi="Times New Roman"/>
          <w:i/>
          <w:sz w:val="24"/>
        </w:rPr>
        <w:t>Fraxinus uhdei </w:t>
      </w:r>
      <w:r>
        <w:rPr>
          <w:rFonts w:ascii="Times New Roman" w:hAnsi="Times New Roman"/>
          <w:sz w:val="24"/>
        </w:rPr>
        <w:t>(Wenz.) Lingelsh; </w:t>
      </w:r>
      <w:r>
        <w:rPr>
          <w:rFonts w:ascii="Times New Roman" w:hAnsi="Times New Roman"/>
          <w:i/>
          <w:sz w:val="24"/>
        </w:rPr>
        <w:t>Galphimia glauca </w:t>
      </w:r>
      <w:r>
        <w:rPr>
          <w:rFonts w:ascii="Times New Roman" w:hAnsi="Times New Roman"/>
          <w:sz w:val="24"/>
        </w:rPr>
        <w:t>Cav.; </w:t>
      </w:r>
      <w:r>
        <w:rPr>
          <w:rFonts w:ascii="Times New Roman" w:hAnsi="Times New Roman"/>
          <w:i/>
          <w:sz w:val="24"/>
        </w:rPr>
        <w:t>Mangifera indica </w:t>
      </w:r>
      <w:r>
        <w:rPr>
          <w:rFonts w:ascii="Times New Roman" w:hAnsi="Times New Roman"/>
          <w:sz w:val="24"/>
        </w:rPr>
        <w:t>L.; </w:t>
      </w:r>
      <w:r>
        <w:rPr>
          <w:rFonts w:ascii="Times New Roman" w:hAnsi="Times New Roman"/>
          <w:i/>
          <w:sz w:val="24"/>
        </w:rPr>
        <w:t>Melissa Officinalis </w:t>
      </w:r>
      <w:r>
        <w:rPr>
          <w:rFonts w:ascii="Times New Roman" w:hAnsi="Times New Roman"/>
          <w:sz w:val="24"/>
        </w:rPr>
        <w:t>L.; </w:t>
      </w:r>
      <w:r>
        <w:rPr>
          <w:rFonts w:ascii="Times New Roman" w:hAnsi="Times New Roman"/>
          <w:i/>
          <w:sz w:val="24"/>
        </w:rPr>
        <w:t>Mentha arvensis </w:t>
      </w:r>
      <w:r>
        <w:rPr>
          <w:rFonts w:ascii="Times New Roman" w:hAnsi="Times New Roman"/>
          <w:sz w:val="24"/>
        </w:rPr>
        <w:t>L.; </w:t>
      </w:r>
      <w:r>
        <w:rPr>
          <w:rFonts w:ascii="Times New Roman" w:hAnsi="Times New Roman"/>
          <w:i/>
          <w:sz w:val="24"/>
        </w:rPr>
        <w:t>Mimosa albida </w:t>
      </w:r>
      <w:r>
        <w:rPr>
          <w:rFonts w:ascii="Times New Roman" w:hAnsi="Times New Roman"/>
          <w:sz w:val="24"/>
        </w:rPr>
        <w:t>var.  albida Humb &amp; Bonpl. ex Willd.; </w:t>
      </w:r>
      <w:r>
        <w:rPr>
          <w:rFonts w:ascii="Times New Roman" w:hAnsi="Times New Roman"/>
          <w:i/>
          <w:sz w:val="24"/>
        </w:rPr>
        <w:t>Ocimum basilicum </w:t>
      </w:r>
      <w:r>
        <w:rPr>
          <w:rFonts w:ascii="Times New Roman" w:hAnsi="Times New Roman"/>
          <w:sz w:val="24"/>
        </w:rPr>
        <w:t>L.; </w:t>
      </w:r>
      <w:r>
        <w:rPr>
          <w:rFonts w:ascii="Times New Roman" w:hAnsi="Times New Roman"/>
          <w:i/>
          <w:sz w:val="24"/>
        </w:rPr>
        <w:t>Origanum majorana </w:t>
      </w:r>
      <w:r>
        <w:rPr>
          <w:rFonts w:ascii="Times New Roman" w:hAnsi="Times New Roman"/>
          <w:sz w:val="24"/>
        </w:rPr>
        <w:t>L.; </w:t>
      </w:r>
      <w:r>
        <w:rPr>
          <w:rFonts w:ascii="Times New Roman" w:hAnsi="Times New Roman"/>
          <w:i/>
          <w:sz w:val="24"/>
        </w:rPr>
        <w:t>Persea americana </w:t>
      </w:r>
      <w:r>
        <w:rPr>
          <w:rFonts w:ascii="Times New Roman" w:hAnsi="Times New Roman"/>
          <w:sz w:val="24"/>
        </w:rPr>
        <w:t>Mill.; </w:t>
      </w:r>
      <w:r>
        <w:rPr>
          <w:rFonts w:ascii="Times New Roman" w:hAnsi="Times New Roman"/>
          <w:i/>
          <w:sz w:val="24"/>
        </w:rPr>
        <w:t>Physalis Philadelphica </w:t>
      </w:r>
      <w:r>
        <w:rPr>
          <w:rFonts w:ascii="Times New Roman" w:hAnsi="Times New Roman"/>
          <w:sz w:val="24"/>
        </w:rPr>
        <w:t>Lam.; </w:t>
      </w:r>
      <w:r>
        <w:rPr>
          <w:rFonts w:ascii="Times New Roman" w:hAnsi="Times New Roman"/>
          <w:i/>
          <w:sz w:val="24"/>
        </w:rPr>
        <w:t>Psidium guajava </w:t>
      </w:r>
      <w:r>
        <w:rPr>
          <w:rFonts w:ascii="Times New Roman" w:hAnsi="Times New Roman"/>
          <w:sz w:val="24"/>
        </w:rPr>
        <w:t>L.; </w:t>
      </w:r>
      <w:r>
        <w:rPr>
          <w:rFonts w:ascii="Times New Roman" w:hAnsi="Times New Roman"/>
          <w:i/>
          <w:sz w:val="24"/>
        </w:rPr>
        <w:t>Randia monantha </w:t>
      </w:r>
      <w:r>
        <w:rPr>
          <w:rFonts w:ascii="Times New Roman" w:hAnsi="Times New Roman"/>
          <w:sz w:val="24"/>
        </w:rPr>
        <w:t>Benth; </w:t>
      </w:r>
      <w:r>
        <w:rPr>
          <w:rFonts w:ascii="Times New Roman" w:hAnsi="Times New Roman"/>
          <w:i/>
          <w:sz w:val="24"/>
        </w:rPr>
        <w:t>Ricinus </w:t>
      </w:r>
      <w:r>
        <w:rPr>
          <w:rFonts w:ascii="Times New Roman" w:hAnsi="Times New Roman"/>
          <w:i/>
          <w:sz w:val="24"/>
        </w:rPr>
        <w:t>communis </w:t>
      </w:r>
      <w:r>
        <w:rPr>
          <w:rFonts w:ascii="Times New Roman" w:hAnsi="Times New Roman"/>
          <w:sz w:val="24"/>
        </w:rPr>
        <w:t>L.; </w:t>
      </w:r>
      <w:r>
        <w:rPr>
          <w:rFonts w:ascii="Times New Roman" w:hAnsi="Times New Roman"/>
          <w:i/>
          <w:sz w:val="24"/>
        </w:rPr>
        <w:t>Rosmarinus officinalis </w:t>
      </w:r>
      <w:r>
        <w:rPr>
          <w:rFonts w:ascii="Times New Roman" w:hAnsi="Times New Roman"/>
          <w:sz w:val="24"/>
        </w:rPr>
        <w:t>L.; </w:t>
      </w:r>
      <w:r>
        <w:rPr>
          <w:rFonts w:ascii="Times New Roman" w:hAnsi="Times New Roman"/>
          <w:i/>
          <w:sz w:val="24"/>
        </w:rPr>
        <w:t>Ruta chalepensis </w:t>
      </w:r>
      <w:r>
        <w:rPr>
          <w:rFonts w:ascii="Times New Roman" w:hAnsi="Times New Roman"/>
          <w:sz w:val="24"/>
        </w:rPr>
        <w:t>L.; </w:t>
      </w:r>
      <w:r>
        <w:rPr>
          <w:rFonts w:ascii="Times New Roman" w:hAnsi="Times New Roman"/>
          <w:i/>
          <w:sz w:val="24"/>
        </w:rPr>
        <w:t>Salvia elegans </w:t>
      </w:r>
      <w:r>
        <w:rPr>
          <w:rFonts w:ascii="Times New Roman" w:hAnsi="Times New Roman"/>
          <w:sz w:val="24"/>
        </w:rPr>
        <w:t>Vahl; </w:t>
      </w:r>
      <w:r>
        <w:rPr>
          <w:rFonts w:ascii="Times New Roman" w:hAnsi="Times New Roman"/>
          <w:i/>
          <w:sz w:val="24"/>
        </w:rPr>
        <w:t>Sambucus </w:t>
      </w:r>
      <w:r>
        <w:rPr>
          <w:rFonts w:ascii="Times New Roman" w:hAnsi="Times New Roman"/>
          <w:i/>
          <w:sz w:val="24"/>
        </w:rPr>
        <w:t>nigra </w:t>
      </w:r>
      <w:r>
        <w:rPr>
          <w:rFonts w:ascii="Times New Roman" w:hAnsi="Times New Roman"/>
          <w:sz w:val="24"/>
        </w:rPr>
        <w:t>L. subsp. </w:t>
      </w:r>
      <w:r>
        <w:rPr>
          <w:rFonts w:ascii="Times New Roman" w:hAnsi="Times New Roman"/>
          <w:i/>
          <w:sz w:val="24"/>
        </w:rPr>
        <w:t>canadensis </w:t>
      </w:r>
      <w:r>
        <w:rPr>
          <w:rFonts w:ascii="Times New Roman" w:hAnsi="Times New Roman"/>
          <w:sz w:val="24"/>
        </w:rPr>
        <w:t>(L.) Bolli; </w:t>
      </w:r>
      <w:r>
        <w:rPr>
          <w:rFonts w:ascii="Times New Roman" w:hAnsi="Times New Roman"/>
          <w:i/>
          <w:sz w:val="24"/>
        </w:rPr>
        <w:t>Spondias mombin </w:t>
      </w:r>
      <w:r>
        <w:rPr>
          <w:rFonts w:ascii="Times New Roman" w:hAnsi="Times New Roman"/>
          <w:sz w:val="24"/>
        </w:rPr>
        <w:t>L.; </w:t>
      </w:r>
      <w:r>
        <w:rPr>
          <w:rFonts w:ascii="Times New Roman" w:hAnsi="Times New Roman"/>
          <w:i/>
          <w:sz w:val="24"/>
        </w:rPr>
        <w:t>Tagetes lunulata </w:t>
      </w:r>
      <w:r>
        <w:rPr>
          <w:rFonts w:ascii="Times New Roman" w:hAnsi="Times New Roman"/>
          <w:sz w:val="24"/>
        </w:rPr>
        <w:t>Ortega; </w:t>
      </w:r>
      <w:r>
        <w:rPr>
          <w:rFonts w:ascii="Times New Roman" w:hAnsi="Times New Roman"/>
          <w:i/>
          <w:sz w:val="24"/>
        </w:rPr>
        <w:t>Taxodium </w:t>
      </w:r>
      <w:r>
        <w:rPr>
          <w:rFonts w:ascii="Times New Roman" w:hAnsi="Times New Roman"/>
          <w:i/>
          <w:sz w:val="24"/>
        </w:rPr>
        <w:t>mucronatum </w:t>
      </w:r>
      <w:r>
        <w:rPr>
          <w:rFonts w:ascii="Times New Roman" w:hAnsi="Times New Roman"/>
          <w:sz w:val="24"/>
        </w:rPr>
        <w:t>Ten. y </w:t>
      </w:r>
      <w:r>
        <w:rPr>
          <w:rFonts w:ascii="Times New Roman" w:hAnsi="Times New Roman"/>
          <w:i/>
          <w:sz w:val="24"/>
        </w:rPr>
        <w:t>Tigridia pavonia </w:t>
      </w:r>
      <w:r>
        <w:rPr>
          <w:rFonts w:ascii="Times New Roman" w:hAnsi="Times New Roman"/>
          <w:sz w:val="24"/>
        </w:rPr>
        <w:t>(L. f.).</w:t>
      </w:r>
    </w:p>
    <w:p>
      <w:pPr>
        <w:pStyle w:val="BodyText"/>
        <w:spacing w:before="1"/>
        <w:rPr>
          <w:rFonts w:ascii="Times New Roman"/>
          <w:sz w:val="25"/>
        </w:rPr>
      </w:pPr>
    </w:p>
    <w:p>
      <w:pPr>
        <w:spacing w:line="550" w:lineRule="atLeast" w:before="0"/>
        <w:ind w:left="116" w:right="116" w:firstLine="0"/>
        <w:jc w:val="both"/>
        <w:rPr>
          <w:rFonts w:ascii="Times New Roman"/>
          <w:sz w:val="24"/>
        </w:rPr>
      </w:pPr>
      <w:r>
        <w:rPr>
          <w:rFonts w:ascii="Times New Roman"/>
          <w:sz w:val="24"/>
        </w:rPr>
        <w:t>Las plantas con uso alimenticio son: </w:t>
      </w:r>
      <w:r>
        <w:rPr>
          <w:rFonts w:ascii="Times New Roman"/>
          <w:i/>
          <w:sz w:val="24"/>
        </w:rPr>
        <w:t>Amicia zygomeris </w:t>
      </w:r>
      <w:r>
        <w:rPr>
          <w:rFonts w:ascii="Times New Roman"/>
          <w:sz w:val="24"/>
        </w:rPr>
        <w:t>DC.; </w:t>
      </w:r>
      <w:r>
        <w:rPr>
          <w:rFonts w:ascii="Times New Roman"/>
          <w:i/>
          <w:sz w:val="24"/>
        </w:rPr>
        <w:t>Ardisia compressa </w:t>
      </w:r>
      <w:r>
        <w:rPr>
          <w:rFonts w:ascii="Times New Roman"/>
          <w:sz w:val="24"/>
        </w:rPr>
        <w:t>Kunth;  </w:t>
      </w:r>
      <w:r>
        <w:rPr>
          <w:rFonts w:ascii="Times New Roman"/>
          <w:i/>
          <w:sz w:val="24"/>
        </w:rPr>
        <w:t>Byrsonima crassifolia </w:t>
      </w:r>
      <w:r>
        <w:rPr>
          <w:rFonts w:ascii="Times New Roman"/>
          <w:sz w:val="24"/>
        </w:rPr>
        <w:t>(L.) Kunth; </w:t>
      </w:r>
      <w:r>
        <w:rPr>
          <w:rFonts w:ascii="Times New Roman"/>
          <w:i/>
          <w:sz w:val="24"/>
        </w:rPr>
        <w:t>Capsicum pubescens </w:t>
      </w:r>
      <w:r>
        <w:rPr>
          <w:rFonts w:ascii="Times New Roman"/>
          <w:sz w:val="24"/>
        </w:rPr>
        <w:t>Ruiz &amp; Pav.; </w:t>
      </w:r>
      <w:r>
        <w:rPr>
          <w:rFonts w:ascii="Times New Roman"/>
          <w:i/>
          <w:sz w:val="24"/>
        </w:rPr>
        <w:t>Carica papaya </w:t>
      </w:r>
      <w:r>
        <w:rPr>
          <w:rFonts w:ascii="Times New Roman"/>
          <w:sz w:val="24"/>
        </w:rPr>
        <w:t>L.; </w:t>
      </w:r>
      <w:r>
        <w:rPr>
          <w:rFonts w:ascii="Times New Roman"/>
          <w:i/>
          <w:sz w:val="24"/>
        </w:rPr>
        <w:t>Citrus </w:t>
      </w:r>
      <w:r>
        <w:rPr>
          <w:rFonts w:ascii="Times New Roman"/>
          <w:i/>
          <w:sz w:val="24"/>
        </w:rPr>
        <w:t>sinensis  </w:t>
      </w:r>
      <w:r>
        <w:rPr>
          <w:rFonts w:ascii="Times New Roman"/>
          <w:sz w:val="24"/>
        </w:rPr>
        <w:t>(L.)  Osbeck;  </w:t>
      </w:r>
      <w:r>
        <w:rPr>
          <w:rFonts w:ascii="Times New Roman"/>
          <w:i/>
          <w:sz w:val="24"/>
        </w:rPr>
        <w:t>Citrus  aurantium  </w:t>
      </w:r>
      <w:r>
        <w:rPr>
          <w:rFonts w:ascii="Times New Roman"/>
          <w:sz w:val="24"/>
        </w:rPr>
        <w:t>L.;  </w:t>
      </w:r>
      <w:r>
        <w:rPr>
          <w:rFonts w:ascii="Times New Roman"/>
          <w:i/>
          <w:sz w:val="24"/>
        </w:rPr>
        <w:t>Hibiscus  sabdariffa  </w:t>
      </w:r>
      <w:r>
        <w:rPr>
          <w:rFonts w:ascii="Times New Roman"/>
          <w:sz w:val="24"/>
        </w:rPr>
        <w:t>L.;  </w:t>
      </w:r>
      <w:r>
        <w:rPr>
          <w:rFonts w:ascii="Times New Roman"/>
          <w:i/>
          <w:sz w:val="24"/>
        </w:rPr>
        <w:t>Inga  hintonii </w:t>
      </w:r>
      <w:r>
        <w:rPr>
          <w:rFonts w:ascii="Times New Roman"/>
          <w:i/>
          <w:spacing w:val="16"/>
          <w:sz w:val="24"/>
        </w:rPr>
        <w:t> </w:t>
      </w:r>
      <w:r>
        <w:rPr>
          <w:rFonts w:ascii="Times New Roman"/>
          <w:sz w:val="24"/>
        </w:rPr>
        <w:t>Sandwith;</w:t>
      </w:r>
    </w:p>
    <w:p>
      <w:pPr>
        <w:spacing w:after="0" w:line="550" w:lineRule="atLeast"/>
        <w:jc w:val="both"/>
        <w:rPr>
          <w:rFonts w:ascii="Times New Roman"/>
          <w:sz w:val="24"/>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spacing w:line="480" w:lineRule="auto" w:before="70"/>
        <w:ind w:left="116" w:right="110" w:firstLine="0"/>
        <w:jc w:val="both"/>
        <w:rPr>
          <w:rFonts w:ascii="Times New Roman"/>
          <w:sz w:val="24"/>
        </w:rPr>
      </w:pPr>
      <w:r>
        <w:rPr>
          <w:rFonts w:ascii="Times New Roman"/>
          <w:i/>
          <w:sz w:val="24"/>
        </w:rPr>
        <w:t>Macadamia sp.; Mangifera indica </w:t>
      </w:r>
      <w:r>
        <w:rPr>
          <w:rFonts w:ascii="Times New Roman"/>
          <w:sz w:val="24"/>
        </w:rPr>
        <w:t>L.; </w:t>
      </w:r>
      <w:r>
        <w:rPr>
          <w:rFonts w:ascii="Times New Roman"/>
          <w:i/>
          <w:sz w:val="24"/>
        </w:rPr>
        <w:t>Morus nigra </w:t>
      </w:r>
      <w:r>
        <w:rPr>
          <w:rFonts w:ascii="Times New Roman"/>
          <w:sz w:val="24"/>
        </w:rPr>
        <w:t>L.; </w:t>
      </w:r>
      <w:r>
        <w:rPr>
          <w:rFonts w:ascii="Times New Roman"/>
          <w:i/>
          <w:sz w:val="24"/>
        </w:rPr>
        <w:t>Persea americana </w:t>
      </w:r>
      <w:r>
        <w:rPr>
          <w:rFonts w:ascii="Times New Roman"/>
          <w:sz w:val="24"/>
        </w:rPr>
        <w:t>Mill.; </w:t>
      </w:r>
      <w:r>
        <w:rPr>
          <w:rFonts w:ascii="Times New Roman"/>
          <w:i/>
          <w:sz w:val="24"/>
        </w:rPr>
        <w:t>Physalis </w:t>
      </w:r>
      <w:r>
        <w:rPr>
          <w:rFonts w:ascii="Times New Roman"/>
          <w:i/>
          <w:sz w:val="24"/>
        </w:rPr>
        <w:t>Philadelphica </w:t>
      </w:r>
      <w:r>
        <w:rPr>
          <w:rFonts w:ascii="Times New Roman"/>
          <w:sz w:val="24"/>
        </w:rPr>
        <w:t>Lam.; </w:t>
      </w:r>
      <w:r>
        <w:rPr>
          <w:rFonts w:ascii="Times New Roman"/>
          <w:i/>
          <w:sz w:val="24"/>
        </w:rPr>
        <w:t>Psidium guajava </w:t>
      </w:r>
      <w:r>
        <w:rPr>
          <w:rFonts w:ascii="Times New Roman"/>
          <w:sz w:val="24"/>
        </w:rPr>
        <w:t>L.; </w:t>
      </w:r>
      <w:r>
        <w:rPr>
          <w:rFonts w:ascii="Times New Roman"/>
          <w:i/>
          <w:sz w:val="24"/>
        </w:rPr>
        <w:t>Rosmarinus officinalis </w:t>
      </w:r>
      <w:r>
        <w:rPr>
          <w:rFonts w:ascii="Times New Roman"/>
          <w:sz w:val="24"/>
        </w:rPr>
        <w:t>L.; </w:t>
      </w:r>
      <w:r>
        <w:rPr>
          <w:rFonts w:ascii="Times New Roman"/>
          <w:i/>
          <w:sz w:val="24"/>
        </w:rPr>
        <w:t>Spondias mombin </w:t>
      </w:r>
      <w:r>
        <w:rPr>
          <w:rFonts w:ascii="Times New Roman"/>
          <w:sz w:val="24"/>
        </w:rPr>
        <w:t>L. y </w:t>
      </w:r>
      <w:r>
        <w:rPr>
          <w:rFonts w:ascii="Times New Roman"/>
          <w:i/>
          <w:sz w:val="24"/>
        </w:rPr>
        <w:t>Solanum aphyodendron </w:t>
      </w:r>
      <w:r>
        <w:rPr>
          <w:rFonts w:ascii="Times New Roman"/>
          <w:sz w:val="24"/>
        </w:rPr>
        <w:t>S. Knapp.</w:t>
      </w:r>
    </w:p>
    <w:p>
      <w:pPr>
        <w:pStyle w:val="BodyText"/>
        <w:rPr>
          <w:rFonts w:ascii="Times New Roman"/>
        </w:rPr>
      </w:pPr>
    </w:p>
    <w:p>
      <w:pPr>
        <w:pStyle w:val="BodyText"/>
        <w:spacing w:before="10"/>
        <w:rPr>
          <w:rFonts w:ascii="Times New Roman"/>
        </w:rPr>
      </w:pPr>
    </w:p>
    <w:p>
      <w:pPr>
        <w:spacing w:line="480" w:lineRule="auto" w:before="0"/>
        <w:ind w:left="116" w:right="110" w:firstLine="0"/>
        <w:jc w:val="both"/>
        <w:rPr>
          <w:rFonts w:ascii="Times New Roman"/>
          <w:i/>
          <w:sz w:val="24"/>
        </w:rPr>
      </w:pPr>
      <w:r>
        <w:rPr>
          <w:rFonts w:ascii="Times New Roman"/>
          <w:sz w:val="24"/>
        </w:rPr>
        <w:t>Las plantas con uso ornamental son: </w:t>
      </w:r>
      <w:r>
        <w:rPr>
          <w:rFonts w:ascii="Times New Roman"/>
          <w:i/>
          <w:sz w:val="24"/>
        </w:rPr>
        <w:t>Agapanthus africanus </w:t>
      </w:r>
      <w:r>
        <w:rPr>
          <w:rFonts w:ascii="Times New Roman"/>
          <w:sz w:val="24"/>
        </w:rPr>
        <w:t>(L.) Hoffmanns</w:t>
      </w:r>
      <w:r>
        <w:rPr>
          <w:rFonts w:ascii="Times New Roman"/>
          <w:i/>
          <w:sz w:val="24"/>
        </w:rPr>
        <w:t>; Asclepias </w:t>
      </w:r>
      <w:r>
        <w:rPr>
          <w:rFonts w:ascii="Times New Roman"/>
          <w:i/>
          <w:sz w:val="24"/>
        </w:rPr>
        <w:t>curassavica </w:t>
      </w:r>
      <w:r>
        <w:rPr>
          <w:rFonts w:ascii="Times New Roman"/>
          <w:sz w:val="24"/>
        </w:rPr>
        <w:t>L.; </w:t>
      </w:r>
      <w:r>
        <w:rPr>
          <w:rFonts w:ascii="Times New Roman"/>
          <w:i/>
          <w:sz w:val="24"/>
        </w:rPr>
        <w:t>Cnidoscolus chayamansa </w:t>
      </w:r>
      <w:r>
        <w:rPr>
          <w:rFonts w:ascii="Times New Roman"/>
          <w:sz w:val="24"/>
        </w:rPr>
        <w:t>McVaugh; </w:t>
      </w:r>
      <w:r>
        <w:rPr>
          <w:rFonts w:ascii="Times New Roman"/>
          <w:i/>
          <w:sz w:val="24"/>
        </w:rPr>
        <w:t>Euphorbia cotinifolia </w:t>
      </w:r>
      <w:r>
        <w:rPr>
          <w:rFonts w:ascii="Times New Roman"/>
          <w:sz w:val="24"/>
        </w:rPr>
        <w:t>L.; </w:t>
      </w:r>
      <w:r>
        <w:rPr>
          <w:rFonts w:ascii="Times New Roman"/>
          <w:i/>
          <w:sz w:val="24"/>
        </w:rPr>
        <w:t>Euphorbia </w:t>
      </w:r>
      <w:r>
        <w:rPr>
          <w:rFonts w:ascii="Times New Roman"/>
          <w:i/>
          <w:sz w:val="24"/>
        </w:rPr>
        <w:t>pulcherrima </w:t>
      </w:r>
      <w:r>
        <w:rPr>
          <w:rFonts w:ascii="Times New Roman"/>
          <w:sz w:val="24"/>
        </w:rPr>
        <w:t>Willd. ex Klotzsch; </w:t>
      </w:r>
      <w:r>
        <w:rPr>
          <w:rFonts w:ascii="Times New Roman"/>
          <w:i/>
          <w:sz w:val="24"/>
        </w:rPr>
        <w:t>Eriobotrya japonica </w:t>
      </w:r>
      <w:r>
        <w:rPr>
          <w:rFonts w:ascii="Times New Roman"/>
          <w:sz w:val="24"/>
        </w:rPr>
        <w:t>(Thunb. Lindl.); </w:t>
      </w:r>
      <w:r>
        <w:rPr>
          <w:rFonts w:ascii="Times New Roman"/>
          <w:i/>
          <w:sz w:val="24"/>
        </w:rPr>
        <w:t>Fraxinus uhdei </w:t>
      </w:r>
      <w:r>
        <w:rPr>
          <w:rFonts w:ascii="Times New Roman"/>
          <w:sz w:val="24"/>
        </w:rPr>
        <w:t>(Wenz.) Lingelsh; </w:t>
      </w:r>
      <w:r>
        <w:rPr>
          <w:rFonts w:ascii="Times New Roman"/>
          <w:i/>
          <w:sz w:val="24"/>
        </w:rPr>
        <w:t>Hibiscus sp.; Kalanchoe blossfeldiana </w:t>
      </w:r>
      <w:r>
        <w:rPr>
          <w:rFonts w:ascii="Times New Roman"/>
          <w:sz w:val="24"/>
        </w:rPr>
        <w:t>Poelln.; </w:t>
      </w:r>
      <w:r>
        <w:rPr>
          <w:rFonts w:ascii="Times New Roman"/>
          <w:i/>
          <w:sz w:val="24"/>
        </w:rPr>
        <w:t>Kalanchoe pinnata </w:t>
      </w:r>
      <w:r>
        <w:rPr>
          <w:rFonts w:ascii="Times New Roman"/>
          <w:sz w:val="24"/>
        </w:rPr>
        <w:t>(Lam.) Pers; </w:t>
      </w:r>
      <w:r>
        <w:rPr>
          <w:rFonts w:ascii="Times New Roman"/>
          <w:i/>
          <w:sz w:val="24"/>
        </w:rPr>
        <w:t>Juniperus flaccida </w:t>
      </w:r>
      <w:r>
        <w:rPr>
          <w:rFonts w:ascii="Times New Roman"/>
          <w:sz w:val="24"/>
        </w:rPr>
        <w:t>Schltdl y </w:t>
      </w:r>
      <w:r>
        <w:rPr>
          <w:rFonts w:ascii="Times New Roman"/>
          <w:i/>
          <w:sz w:val="24"/>
        </w:rPr>
        <w:t>Malvaviscus arboreus Cav.</w:t>
      </w:r>
    </w:p>
    <w:p>
      <w:pPr>
        <w:pStyle w:val="BodyText"/>
        <w:rPr>
          <w:rFonts w:ascii="Times New Roman"/>
          <w:i/>
        </w:rPr>
      </w:pPr>
    </w:p>
    <w:p>
      <w:pPr>
        <w:pStyle w:val="BodyText"/>
        <w:spacing w:before="10"/>
        <w:rPr>
          <w:rFonts w:ascii="Times New Roman"/>
          <w:i/>
        </w:rPr>
      </w:pPr>
    </w:p>
    <w:p>
      <w:pPr>
        <w:spacing w:line="480" w:lineRule="auto" w:before="0"/>
        <w:ind w:left="116" w:right="112" w:firstLine="0"/>
        <w:jc w:val="both"/>
        <w:rPr>
          <w:rFonts w:ascii="Times New Roman" w:hAnsi="Times New Roman"/>
          <w:sz w:val="24"/>
        </w:rPr>
      </w:pPr>
      <w:r>
        <w:rPr>
          <w:rFonts w:ascii="Times New Roman" w:hAnsi="Times New Roman"/>
          <w:sz w:val="24"/>
        </w:rPr>
        <w:t>Las especies utilizadas como leña son: </w:t>
      </w:r>
      <w:r>
        <w:rPr>
          <w:rFonts w:ascii="Times New Roman" w:hAnsi="Times New Roman"/>
          <w:i/>
          <w:sz w:val="24"/>
        </w:rPr>
        <w:t>Acaciella angustissima var. angustissima </w:t>
      </w:r>
      <w:r>
        <w:rPr>
          <w:rFonts w:ascii="Times New Roman" w:hAnsi="Times New Roman"/>
          <w:sz w:val="24"/>
        </w:rPr>
        <w:t>(Mill.) Britton  &amp; Rose; </w:t>
      </w:r>
      <w:r>
        <w:rPr>
          <w:rFonts w:ascii="Times New Roman" w:hAnsi="Times New Roman"/>
          <w:i/>
          <w:sz w:val="24"/>
        </w:rPr>
        <w:t>Alnus jorullensis </w:t>
      </w:r>
      <w:r>
        <w:rPr>
          <w:rFonts w:ascii="Times New Roman" w:hAnsi="Times New Roman"/>
          <w:sz w:val="24"/>
        </w:rPr>
        <w:t>H.B.K. ssp </w:t>
      </w:r>
      <w:r>
        <w:rPr>
          <w:rFonts w:ascii="Times New Roman" w:hAnsi="Times New Roman"/>
          <w:i/>
          <w:sz w:val="24"/>
        </w:rPr>
        <w:t>jorullensis</w:t>
      </w:r>
      <w:r>
        <w:rPr>
          <w:rFonts w:ascii="Times New Roman" w:hAnsi="Times New Roman"/>
          <w:sz w:val="24"/>
        </w:rPr>
        <w:t>; </w:t>
      </w:r>
      <w:r>
        <w:rPr>
          <w:rFonts w:ascii="Times New Roman" w:hAnsi="Times New Roman"/>
          <w:i/>
          <w:sz w:val="24"/>
        </w:rPr>
        <w:t>Clethra sp.; Cupressus lusitanica </w:t>
      </w:r>
      <w:r>
        <w:rPr>
          <w:rFonts w:ascii="Times New Roman" w:hAnsi="Times New Roman"/>
          <w:sz w:val="24"/>
        </w:rPr>
        <w:t>Mill.;  </w:t>
      </w:r>
      <w:r>
        <w:rPr>
          <w:rFonts w:ascii="Times New Roman" w:hAnsi="Times New Roman"/>
          <w:i/>
          <w:sz w:val="24"/>
        </w:rPr>
        <w:t>Eugenia Oerstediana </w:t>
      </w:r>
      <w:r>
        <w:rPr>
          <w:rFonts w:ascii="Times New Roman" w:hAnsi="Times New Roman"/>
          <w:sz w:val="24"/>
        </w:rPr>
        <w:t>O. Berg.; </w:t>
      </w:r>
      <w:r>
        <w:rPr>
          <w:rFonts w:ascii="Times New Roman" w:hAnsi="Times New Roman"/>
          <w:i/>
          <w:sz w:val="24"/>
        </w:rPr>
        <w:t>Inga hintonii </w:t>
      </w:r>
      <w:r>
        <w:rPr>
          <w:rFonts w:ascii="Times New Roman" w:hAnsi="Times New Roman"/>
          <w:sz w:val="24"/>
        </w:rPr>
        <w:t>Sandwith; </w:t>
      </w:r>
      <w:r>
        <w:rPr>
          <w:rFonts w:ascii="Times New Roman" w:hAnsi="Times New Roman"/>
          <w:i/>
          <w:sz w:val="24"/>
        </w:rPr>
        <w:t>Ocotea bourgeauviana </w:t>
      </w:r>
      <w:r>
        <w:rPr>
          <w:rFonts w:ascii="Times New Roman" w:hAnsi="Times New Roman"/>
          <w:sz w:val="24"/>
        </w:rPr>
        <w:t>(Mez) van der Werff; </w:t>
      </w:r>
      <w:r>
        <w:rPr>
          <w:rFonts w:ascii="Times New Roman" w:hAnsi="Times New Roman"/>
          <w:i/>
          <w:sz w:val="24"/>
        </w:rPr>
        <w:t>Phoebe pachypoda </w:t>
      </w:r>
      <w:r>
        <w:rPr>
          <w:rFonts w:ascii="Times New Roman" w:hAnsi="Times New Roman"/>
          <w:sz w:val="24"/>
        </w:rPr>
        <w:t>(Nees) Mez; </w:t>
      </w:r>
      <w:r>
        <w:rPr>
          <w:rFonts w:ascii="Times New Roman" w:hAnsi="Times New Roman"/>
          <w:i/>
          <w:sz w:val="24"/>
        </w:rPr>
        <w:t>Quercus scytophylla </w:t>
      </w:r>
      <w:r>
        <w:rPr>
          <w:rFonts w:ascii="Times New Roman" w:hAnsi="Times New Roman"/>
          <w:sz w:val="24"/>
        </w:rPr>
        <w:t>Liebm; </w:t>
      </w:r>
      <w:r>
        <w:rPr>
          <w:rFonts w:ascii="Times New Roman" w:hAnsi="Times New Roman"/>
          <w:i/>
          <w:sz w:val="24"/>
        </w:rPr>
        <w:t>Quercus sp.; Quercus </w:t>
      </w:r>
      <w:r>
        <w:rPr>
          <w:rFonts w:ascii="Times New Roman" w:hAnsi="Times New Roman"/>
          <w:i/>
          <w:sz w:val="24"/>
        </w:rPr>
        <w:t>peduncularis </w:t>
      </w:r>
      <w:r>
        <w:rPr>
          <w:rFonts w:ascii="Times New Roman" w:hAnsi="Times New Roman"/>
          <w:sz w:val="24"/>
        </w:rPr>
        <w:t>Née; </w:t>
      </w:r>
      <w:r>
        <w:rPr>
          <w:rFonts w:ascii="Times New Roman" w:hAnsi="Times New Roman"/>
          <w:i/>
          <w:sz w:val="24"/>
        </w:rPr>
        <w:t>Salix bonplandiana </w:t>
      </w:r>
      <w:r>
        <w:rPr>
          <w:rFonts w:ascii="Times New Roman" w:hAnsi="Times New Roman"/>
          <w:sz w:val="24"/>
        </w:rPr>
        <w:t>Kunth y </w:t>
      </w:r>
      <w:r>
        <w:rPr>
          <w:rFonts w:ascii="Times New Roman" w:hAnsi="Times New Roman"/>
          <w:i/>
          <w:sz w:val="24"/>
        </w:rPr>
        <w:t>Trema micrantha </w:t>
      </w:r>
      <w:r>
        <w:rPr>
          <w:rFonts w:ascii="Times New Roman" w:hAnsi="Times New Roman"/>
          <w:sz w:val="24"/>
        </w:rPr>
        <w:t>(L.)</w:t>
      </w:r>
      <w:r>
        <w:rPr>
          <w:rFonts w:ascii="Times New Roman" w:hAnsi="Times New Roman"/>
          <w:spacing w:val="-4"/>
          <w:sz w:val="24"/>
        </w:rPr>
        <w:t> </w:t>
      </w:r>
      <w:r>
        <w:rPr>
          <w:rFonts w:ascii="Times New Roman" w:hAnsi="Times New Roman"/>
          <w:spacing w:val="-3"/>
          <w:sz w:val="24"/>
        </w:rPr>
        <w:t>Blume.</w:t>
      </w:r>
    </w:p>
    <w:p>
      <w:pPr>
        <w:pStyle w:val="BodyText"/>
        <w:rPr>
          <w:rFonts w:ascii="Times New Roman"/>
        </w:rPr>
      </w:pPr>
    </w:p>
    <w:p>
      <w:pPr>
        <w:pStyle w:val="BodyText"/>
        <w:spacing w:before="10"/>
        <w:rPr>
          <w:rFonts w:ascii="Times New Roman"/>
        </w:rPr>
      </w:pPr>
    </w:p>
    <w:p>
      <w:pPr>
        <w:spacing w:line="480" w:lineRule="auto" w:before="1"/>
        <w:ind w:left="116" w:right="116" w:firstLine="0"/>
        <w:jc w:val="both"/>
        <w:rPr>
          <w:rFonts w:ascii="Times New Roman" w:hAnsi="Times New Roman"/>
          <w:i/>
          <w:sz w:val="24"/>
        </w:rPr>
      </w:pPr>
      <w:r>
        <w:rPr>
          <w:rFonts w:ascii="Times New Roman" w:hAnsi="Times New Roman"/>
          <w:sz w:val="24"/>
        </w:rPr>
        <w:t>Las especies que no reportaron ningún uso entre las personas entrevistadas son: </w:t>
      </w:r>
      <w:r>
        <w:rPr>
          <w:rFonts w:ascii="Times New Roman" w:hAnsi="Times New Roman"/>
          <w:i/>
          <w:sz w:val="24"/>
        </w:rPr>
        <w:t>Aeschynomene </w:t>
      </w:r>
      <w:r>
        <w:rPr>
          <w:rFonts w:ascii="Times New Roman" w:hAnsi="Times New Roman"/>
          <w:i/>
          <w:sz w:val="24"/>
        </w:rPr>
        <w:t>petraea </w:t>
      </w:r>
      <w:r>
        <w:rPr>
          <w:rFonts w:ascii="Times New Roman" w:hAnsi="Times New Roman"/>
          <w:sz w:val="24"/>
        </w:rPr>
        <w:t>B.L. Rob.; </w:t>
      </w:r>
      <w:r>
        <w:rPr>
          <w:rFonts w:ascii="Times New Roman" w:hAnsi="Times New Roman"/>
          <w:i/>
          <w:sz w:val="24"/>
        </w:rPr>
        <w:t>Ageratina grandifolia </w:t>
      </w:r>
      <w:r>
        <w:rPr>
          <w:rFonts w:ascii="Times New Roman" w:hAnsi="Times New Roman"/>
          <w:sz w:val="24"/>
        </w:rPr>
        <w:t>(Regel) R. M. King &amp; H. Rob; </w:t>
      </w:r>
      <w:r>
        <w:rPr>
          <w:rFonts w:ascii="Times New Roman" w:hAnsi="Times New Roman"/>
          <w:i/>
          <w:sz w:val="24"/>
        </w:rPr>
        <w:t>Cleome speciosa </w:t>
      </w:r>
      <w:r>
        <w:rPr>
          <w:rFonts w:ascii="Times New Roman" w:hAnsi="Times New Roman"/>
          <w:sz w:val="24"/>
        </w:rPr>
        <w:t>Raf.; </w:t>
      </w:r>
      <w:r>
        <w:rPr>
          <w:rFonts w:ascii="Times New Roman" w:hAnsi="Times New Roman"/>
          <w:i/>
          <w:sz w:val="24"/>
        </w:rPr>
        <w:t>Begonia sp.</w:t>
      </w:r>
      <w:r>
        <w:rPr>
          <w:rFonts w:ascii="Times New Roman" w:hAnsi="Times New Roman"/>
          <w:sz w:val="24"/>
        </w:rPr>
        <w:t>; </w:t>
      </w:r>
      <w:r>
        <w:rPr>
          <w:rFonts w:ascii="Times New Roman" w:hAnsi="Times New Roman"/>
          <w:i/>
          <w:sz w:val="24"/>
        </w:rPr>
        <w:t>Critoniopsis salicifolia </w:t>
      </w:r>
      <w:r>
        <w:rPr>
          <w:rFonts w:ascii="Times New Roman" w:hAnsi="Times New Roman"/>
          <w:sz w:val="24"/>
        </w:rPr>
        <w:t>(DC.) H. Rob.; </w:t>
      </w:r>
      <w:r>
        <w:rPr>
          <w:rFonts w:ascii="Times New Roman" w:hAnsi="Times New Roman"/>
          <w:i/>
          <w:sz w:val="24"/>
        </w:rPr>
        <w:t>Dicliptera inaequalis </w:t>
      </w:r>
      <w:r>
        <w:rPr>
          <w:rFonts w:ascii="Times New Roman" w:hAnsi="Times New Roman"/>
          <w:sz w:val="24"/>
        </w:rPr>
        <w:t>Greenm.; </w:t>
      </w:r>
      <w:r>
        <w:rPr>
          <w:rFonts w:ascii="Times New Roman" w:hAnsi="Times New Roman"/>
          <w:i/>
          <w:sz w:val="24"/>
        </w:rPr>
        <w:t>Euonymus </w:t>
      </w:r>
      <w:r>
        <w:rPr>
          <w:rFonts w:ascii="Times New Roman" w:hAnsi="Times New Roman"/>
          <w:i/>
          <w:sz w:val="24"/>
        </w:rPr>
        <w:t>corymbosus </w:t>
      </w:r>
      <w:r>
        <w:rPr>
          <w:rFonts w:ascii="Times New Roman" w:hAnsi="Times New Roman"/>
          <w:sz w:val="24"/>
        </w:rPr>
        <w:t>Sprague &amp; Bullock; </w:t>
      </w:r>
      <w:r>
        <w:rPr>
          <w:rFonts w:ascii="Times New Roman" w:hAnsi="Times New Roman"/>
          <w:i/>
          <w:sz w:val="24"/>
        </w:rPr>
        <w:t>Lasianthaea ceanothifolia </w:t>
      </w:r>
      <w:r>
        <w:rPr>
          <w:rFonts w:ascii="Times New Roman" w:hAnsi="Times New Roman"/>
          <w:sz w:val="24"/>
        </w:rPr>
        <w:t>(Willd.) K.; </w:t>
      </w:r>
      <w:r>
        <w:rPr>
          <w:rFonts w:ascii="Times New Roman" w:hAnsi="Times New Roman"/>
          <w:i/>
          <w:sz w:val="24"/>
        </w:rPr>
        <w:t>Lippia umbellata </w:t>
      </w:r>
      <w:r>
        <w:rPr>
          <w:rFonts w:ascii="Times New Roman" w:hAnsi="Times New Roman"/>
          <w:sz w:val="24"/>
        </w:rPr>
        <w:t>Cav.; </w:t>
      </w:r>
      <w:r>
        <w:rPr>
          <w:rFonts w:ascii="Times New Roman" w:hAnsi="Times New Roman"/>
          <w:i/>
          <w:sz w:val="24"/>
        </w:rPr>
        <w:t>Myrsine myricoides </w:t>
      </w:r>
      <w:r>
        <w:rPr>
          <w:rFonts w:ascii="Times New Roman" w:hAnsi="Times New Roman"/>
          <w:sz w:val="24"/>
        </w:rPr>
        <w:t>Schltdl; </w:t>
      </w:r>
      <w:r>
        <w:rPr>
          <w:rFonts w:ascii="Times New Roman" w:hAnsi="Times New Roman"/>
          <w:i/>
          <w:sz w:val="24"/>
        </w:rPr>
        <w:t>Paullinia fuscescens </w:t>
      </w:r>
      <w:r>
        <w:rPr>
          <w:rFonts w:ascii="Times New Roman" w:hAnsi="Times New Roman"/>
          <w:sz w:val="24"/>
        </w:rPr>
        <w:t>Kunth; </w:t>
      </w:r>
      <w:r>
        <w:rPr>
          <w:rFonts w:ascii="Times New Roman" w:hAnsi="Times New Roman"/>
          <w:i/>
          <w:sz w:val="24"/>
        </w:rPr>
        <w:t>Photinia microcarpa </w:t>
      </w:r>
      <w:r>
        <w:rPr>
          <w:rFonts w:ascii="Times New Roman" w:hAnsi="Times New Roman"/>
          <w:sz w:val="24"/>
        </w:rPr>
        <w:t>Standl. ssp. </w:t>
      </w:r>
      <w:r>
        <w:rPr>
          <w:rFonts w:ascii="Times New Roman" w:hAnsi="Times New Roman"/>
          <w:i/>
          <w:sz w:val="24"/>
        </w:rPr>
        <w:t>hintonii </w:t>
      </w:r>
      <w:r>
        <w:rPr>
          <w:rFonts w:ascii="Times New Roman" w:hAnsi="Times New Roman"/>
          <w:sz w:val="24"/>
        </w:rPr>
        <w:t>Phipss </w:t>
      </w:r>
      <w:r>
        <w:rPr>
          <w:rFonts w:ascii="Times New Roman" w:hAnsi="Times New Roman"/>
          <w:i/>
          <w:sz w:val="24"/>
        </w:rPr>
        <w:t>var. hitonii</w:t>
      </w:r>
      <w:r>
        <w:rPr>
          <w:rFonts w:ascii="Times New Roman" w:hAnsi="Times New Roman"/>
          <w:sz w:val="24"/>
        </w:rPr>
        <w:t>; </w:t>
      </w:r>
      <w:r>
        <w:rPr>
          <w:rFonts w:ascii="Times New Roman" w:hAnsi="Times New Roman"/>
          <w:i/>
          <w:sz w:val="24"/>
        </w:rPr>
        <w:t>Rhamnus hintonii </w:t>
      </w:r>
      <w:r>
        <w:rPr>
          <w:rFonts w:ascii="Times New Roman" w:hAnsi="Times New Roman"/>
          <w:sz w:val="24"/>
        </w:rPr>
        <w:t>M. C. Johnst. &amp; L. A. Johnst.; </w:t>
      </w:r>
      <w:r>
        <w:rPr>
          <w:rFonts w:ascii="Times New Roman" w:hAnsi="Times New Roman"/>
          <w:i/>
          <w:sz w:val="24"/>
        </w:rPr>
        <w:t>Schoepfia pringlei</w:t>
      </w:r>
    </w:p>
    <w:p>
      <w:pPr>
        <w:spacing w:before="10"/>
        <w:ind w:left="116" w:right="0" w:firstLine="0"/>
        <w:jc w:val="both"/>
        <w:rPr>
          <w:rFonts w:ascii="Times New Roman"/>
          <w:sz w:val="24"/>
        </w:rPr>
      </w:pPr>
      <w:r>
        <w:rPr>
          <w:rFonts w:ascii="Times New Roman"/>
          <w:sz w:val="24"/>
        </w:rPr>
        <w:t>B. L. Rob; </w:t>
      </w:r>
      <w:r>
        <w:rPr>
          <w:rFonts w:ascii="Times New Roman"/>
          <w:i/>
          <w:sz w:val="24"/>
        </w:rPr>
        <w:t>Tagetes lunulata </w:t>
      </w:r>
      <w:r>
        <w:rPr>
          <w:rFonts w:ascii="Times New Roman"/>
          <w:sz w:val="24"/>
        </w:rPr>
        <w:t>Ortega; </w:t>
      </w:r>
      <w:r>
        <w:rPr>
          <w:rFonts w:ascii="Times New Roman"/>
          <w:i/>
          <w:sz w:val="24"/>
        </w:rPr>
        <w:t>Trichilia havanensis </w:t>
      </w:r>
      <w:r>
        <w:rPr>
          <w:rFonts w:ascii="Times New Roman"/>
          <w:sz w:val="24"/>
        </w:rPr>
        <w:t>Jacq.; </w:t>
      </w:r>
      <w:r>
        <w:rPr>
          <w:rFonts w:ascii="Times New Roman"/>
          <w:i/>
          <w:sz w:val="24"/>
        </w:rPr>
        <w:t>Verbesina fastigiata </w:t>
      </w:r>
      <w:r>
        <w:rPr>
          <w:rFonts w:ascii="Times New Roman"/>
          <w:sz w:val="24"/>
        </w:rPr>
        <w:t>B.L. Rob  &amp;</w:t>
      </w:r>
    </w:p>
    <w:p>
      <w:pPr>
        <w:pStyle w:val="BodyText"/>
        <w:spacing w:before="11"/>
        <w:rPr>
          <w:rFonts w:ascii="Times New Roman"/>
          <w:sz w:val="23"/>
        </w:rPr>
      </w:pPr>
    </w:p>
    <w:p>
      <w:pPr>
        <w:spacing w:before="0"/>
        <w:ind w:left="116" w:right="0" w:firstLine="0"/>
        <w:jc w:val="both"/>
        <w:rPr>
          <w:rFonts w:ascii="Times New Roman"/>
          <w:sz w:val="24"/>
        </w:rPr>
      </w:pPr>
      <w:r>
        <w:rPr>
          <w:rFonts w:ascii="Times New Roman"/>
          <w:sz w:val="24"/>
        </w:rPr>
        <w:t>Greenm. y </w:t>
      </w:r>
      <w:r>
        <w:rPr>
          <w:rFonts w:ascii="Times New Roman"/>
          <w:i/>
          <w:sz w:val="24"/>
        </w:rPr>
        <w:t>Xylosma flexuosum </w:t>
      </w:r>
      <w:r>
        <w:rPr>
          <w:rFonts w:ascii="Times New Roman"/>
          <w:sz w:val="24"/>
        </w:rPr>
        <w:t>(H. B. K.) Hemsl.</w:t>
      </w:r>
    </w:p>
    <w:p>
      <w:pPr>
        <w:spacing w:after="0"/>
        <w:jc w:val="both"/>
        <w:rPr>
          <w:rFonts w:ascii="Times New Roman"/>
          <w:sz w:val="24"/>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spacing w:line="480" w:lineRule="auto" w:before="70"/>
        <w:ind w:left="116" w:right="113" w:firstLine="0"/>
        <w:jc w:val="both"/>
        <w:rPr>
          <w:rFonts w:ascii="Times New Roman" w:hAnsi="Times New Roman"/>
          <w:sz w:val="24"/>
        </w:rPr>
      </w:pPr>
      <w:r>
        <w:rPr>
          <w:rFonts w:ascii="Times New Roman" w:hAnsi="Times New Roman"/>
          <w:sz w:val="24"/>
        </w:rPr>
        <w:t>Las especies con potencial ornamental son: </w:t>
      </w:r>
      <w:r>
        <w:rPr>
          <w:rFonts w:ascii="Times New Roman" w:hAnsi="Times New Roman"/>
          <w:i/>
          <w:sz w:val="24"/>
        </w:rPr>
        <w:t>Calliandra grandiflora </w:t>
      </w:r>
      <w:r>
        <w:rPr>
          <w:rFonts w:ascii="Times New Roman" w:hAnsi="Times New Roman"/>
          <w:sz w:val="24"/>
        </w:rPr>
        <w:t>(L’ Hér.) Benth; </w:t>
      </w:r>
      <w:r>
        <w:rPr>
          <w:rFonts w:ascii="Times New Roman" w:hAnsi="Times New Roman"/>
          <w:i/>
          <w:sz w:val="24"/>
        </w:rPr>
        <w:t>Cleome </w:t>
      </w:r>
      <w:r>
        <w:rPr>
          <w:rFonts w:ascii="Times New Roman" w:hAnsi="Times New Roman"/>
          <w:i/>
          <w:sz w:val="24"/>
        </w:rPr>
        <w:t>speciosa </w:t>
      </w:r>
      <w:r>
        <w:rPr>
          <w:rFonts w:ascii="Times New Roman" w:hAnsi="Times New Roman"/>
          <w:sz w:val="24"/>
        </w:rPr>
        <w:t>Raf.; </w:t>
      </w:r>
      <w:r>
        <w:rPr>
          <w:rFonts w:ascii="Times New Roman" w:hAnsi="Times New Roman"/>
          <w:i/>
          <w:sz w:val="24"/>
        </w:rPr>
        <w:t>Citrus aurantium </w:t>
      </w:r>
      <w:r>
        <w:rPr>
          <w:rFonts w:ascii="Times New Roman" w:hAnsi="Times New Roman"/>
          <w:sz w:val="24"/>
        </w:rPr>
        <w:t>L.; </w:t>
      </w:r>
      <w:r>
        <w:rPr>
          <w:rFonts w:ascii="Times New Roman" w:hAnsi="Times New Roman"/>
          <w:i/>
          <w:sz w:val="24"/>
        </w:rPr>
        <w:t>Coffea arabica </w:t>
      </w:r>
      <w:r>
        <w:rPr>
          <w:rFonts w:ascii="Times New Roman" w:hAnsi="Times New Roman"/>
          <w:sz w:val="24"/>
        </w:rPr>
        <w:t>L.; </w:t>
      </w:r>
      <w:r>
        <w:rPr>
          <w:rFonts w:ascii="Times New Roman" w:hAnsi="Times New Roman"/>
          <w:i/>
          <w:sz w:val="24"/>
        </w:rPr>
        <w:t>Cupressus lusitanica </w:t>
      </w:r>
      <w:r>
        <w:rPr>
          <w:rFonts w:ascii="Times New Roman" w:hAnsi="Times New Roman"/>
          <w:sz w:val="24"/>
        </w:rPr>
        <w:t>Mill.; </w:t>
      </w:r>
      <w:r>
        <w:rPr>
          <w:rFonts w:ascii="Times New Roman" w:hAnsi="Times New Roman"/>
          <w:i/>
          <w:sz w:val="24"/>
        </w:rPr>
        <w:t>Euphorbia </w:t>
      </w:r>
      <w:r>
        <w:rPr>
          <w:rFonts w:ascii="Times New Roman" w:hAnsi="Times New Roman"/>
          <w:i/>
          <w:sz w:val="24"/>
        </w:rPr>
        <w:t>pulcherrima </w:t>
      </w:r>
      <w:r>
        <w:rPr>
          <w:rFonts w:ascii="Times New Roman" w:hAnsi="Times New Roman"/>
          <w:sz w:val="24"/>
        </w:rPr>
        <w:t>Willd. ex Klotzsch; </w:t>
      </w:r>
      <w:r>
        <w:rPr>
          <w:rFonts w:ascii="Times New Roman" w:hAnsi="Times New Roman"/>
          <w:i/>
          <w:sz w:val="24"/>
        </w:rPr>
        <w:t>Macadamia sp.; Mangifera indica </w:t>
      </w:r>
      <w:r>
        <w:rPr>
          <w:rFonts w:ascii="Times New Roman" w:hAnsi="Times New Roman"/>
          <w:sz w:val="24"/>
        </w:rPr>
        <w:t>L.; </w:t>
      </w:r>
      <w:r>
        <w:rPr>
          <w:rFonts w:ascii="Times New Roman" w:hAnsi="Times New Roman"/>
          <w:i/>
          <w:sz w:val="24"/>
        </w:rPr>
        <w:t>Mimosa albida  var. </w:t>
      </w:r>
      <w:r>
        <w:rPr>
          <w:rFonts w:ascii="Times New Roman" w:hAnsi="Times New Roman"/>
          <w:i/>
          <w:sz w:val="24"/>
        </w:rPr>
        <w:t>albida </w:t>
      </w:r>
      <w:r>
        <w:rPr>
          <w:rFonts w:ascii="Times New Roman" w:hAnsi="Times New Roman"/>
          <w:sz w:val="24"/>
        </w:rPr>
        <w:t>Humb &amp; Bonpl. ex Willd.; </w:t>
      </w:r>
      <w:r>
        <w:rPr>
          <w:rFonts w:ascii="Times New Roman" w:hAnsi="Times New Roman"/>
          <w:i/>
          <w:sz w:val="24"/>
        </w:rPr>
        <w:t>Morus nigra </w:t>
      </w:r>
      <w:r>
        <w:rPr>
          <w:rFonts w:ascii="Times New Roman" w:hAnsi="Times New Roman"/>
          <w:sz w:val="24"/>
        </w:rPr>
        <w:t>L; </w:t>
      </w:r>
      <w:r>
        <w:rPr>
          <w:rFonts w:ascii="Times New Roman" w:hAnsi="Times New Roman"/>
          <w:i/>
          <w:sz w:val="24"/>
        </w:rPr>
        <w:t>Psidium guajava </w:t>
      </w:r>
      <w:r>
        <w:rPr>
          <w:rFonts w:ascii="Times New Roman" w:hAnsi="Times New Roman"/>
          <w:sz w:val="24"/>
        </w:rPr>
        <w:t>L. y </w:t>
      </w:r>
      <w:r>
        <w:rPr>
          <w:rFonts w:ascii="Times New Roman" w:hAnsi="Times New Roman"/>
          <w:i/>
          <w:sz w:val="24"/>
        </w:rPr>
        <w:t>Sambucus nigra </w:t>
      </w:r>
      <w:r>
        <w:rPr>
          <w:rFonts w:ascii="Times New Roman" w:hAnsi="Times New Roman"/>
          <w:sz w:val="24"/>
        </w:rPr>
        <w:t>L. subsp. </w:t>
      </w:r>
      <w:r>
        <w:rPr>
          <w:rFonts w:ascii="Times New Roman" w:hAnsi="Times New Roman"/>
          <w:i/>
          <w:sz w:val="24"/>
        </w:rPr>
        <w:t>canadensis </w:t>
      </w:r>
      <w:r>
        <w:rPr>
          <w:rFonts w:ascii="Times New Roman" w:hAnsi="Times New Roman"/>
          <w:sz w:val="24"/>
        </w:rPr>
        <w:t>(L.)</w:t>
      </w:r>
      <w:r>
        <w:rPr>
          <w:rFonts w:ascii="Times New Roman" w:hAnsi="Times New Roman"/>
          <w:spacing w:val="2"/>
          <w:sz w:val="24"/>
        </w:rPr>
        <w:t> </w:t>
      </w:r>
      <w:r>
        <w:rPr>
          <w:rFonts w:ascii="Times New Roman" w:hAnsi="Times New Roman"/>
          <w:spacing w:val="-3"/>
          <w:sz w:val="24"/>
        </w:rPr>
        <w:t>Bolli.</w:t>
      </w:r>
    </w:p>
    <w:p>
      <w:pPr>
        <w:pStyle w:val="BodyText"/>
        <w:rPr>
          <w:rFonts w:ascii="Times New Roman"/>
        </w:rPr>
      </w:pPr>
    </w:p>
    <w:p>
      <w:pPr>
        <w:pStyle w:val="BodyText"/>
        <w:spacing w:before="10"/>
        <w:rPr>
          <w:rFonts w:ascii="Times New Roman"/>
        </w:rPr>
      </w:pPr>
    </w:p>
    <w:p>
      <w:pPr>
        <w:pStyle w:val="BodyText"/>
        <w:ind w:left="116"/>
        <w:jc w:val="both"/>
        <w:rPr>
          <w:rFonts w:ascii="Times New Roman" w:hAnsi="Times New Roman"/>
          <w:i/>
        </w:rPr>
      </w:pPr>
      <w:r>
        <w:rPr>
          <w:rFonts w:ascii="Times New Roman" w:hAnsi="Times New Roman"/>
        </w:rPr>
        <w:t>Las especies con potencial medicinal, según </w:t>
      </w:r>
      <w:r>
        <w:rPr>
          <w:rFonts w:ascii="Times New Roman" w:hAnsi="Times New Roman"/>
          <w:spacing w:val="-3"/>
        </w:rPr>
        <w:t>la  </w:t>
      </w:r>
      <w:r>
        <w:rPr>
          <w:rFonts w:ascii="Times New Roman" w:hAnsi="Times New Roman"/>
        </w:rPr>
        <w:t>bibliografía consultada son:  </w:t>
      </w:r>
      <w:r>
        <w:rPr>
          <w:rFonts w:ascii="Times New Roman" w:hAnsi="Times New Roman"/>
          <w:i/>
        </w:rPr>
        <w:t>Kalanchoe  </w:t>
      </w:r>
      <w:r>
        <w:rPr>
          <w:rFonts w:ascii="Times New Roman" w:hAnsi="Times New Roman"/>
          <w:i/>
          <w:spacing w:val="51"/>
        </w:rPr>
        <w:t> </w:t>
      </w:r>
      <w:r>
        <w:rPr>
          <w:rFonts w:ascii="Times New Roman" w:hAnsi="Times New Roman"/>
          <w:i/>
        </w:rPr>
        <w:t>pinnata</w:t>
      </w:r>
    </w:p>
    <w:p>
      <w:pPr>
        <w:pStyle w:val="BodyText"/>
        <w:rPr>
          <w:rFonts w:ascii="Times New Roman"/>
          <w:i/>
        </w:rPr>
      </w:pPr>
    </w:p>
    <w:p>
      <w:pPr>
        <w:spacing w:before="0"/>
        <w:ind w:left="116" w:right="0" w:firstLine="0"/>
        <w:jc w:val="both"/>
        <w:rPr>
          <w:rFonts w:ascii="Times New Roman"/>
          <w:sz w:val="24"/>
        </w:rPr>
      </w:pPr>
      <w:r>
        <w:rPr>
          <w:rFonts w:ascii="Times New Roman"/>
          <w:sz w:val="24"/>
        </w:rPr>
        <w:t>(Lam.) Pers. y </w:t>
      </w:r>
      <w:r>
        <w:rPr>
          <w:rFonts w:ascii="Times New Roman"/>
          <w:i/>
          <w:sz w:val="24"/>
        </w:rPr>
        <w:t>Cnidoscolus chayamansa </w:t>
      </w:r>
      <w:r>
        <w:rPr>
          <w:rFonts w:ascii="Times New Roman"/>
          <w:sz w:val="24"/>
        </w:rPr>
        <w:t>McVaugh.</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line="480" w:lineRule="auto"/>
        <w:ind w:left="116" w:right="114"/>
        <w:jc w:val="both"/>
        <w:rPr>
          <w:rFonts w:ascii="Times New Roman" w:hAnsi="Times New Roman"/>
        </w:rPr>
      </w:pPr>
      <w:r>
        <w:rPr>
          <w:rFonts w:ascii="Times New Roman" w:hAnsi="Times New Roman"/>
        </w:rPr>
        <w:t>De acuerdo con algunos autores (Alcorn, 1983; Bye, 1979; Casas </w:t>
      </w:r>
      <w:r>
        <w:rPr>
          <w:rFonts w:ascii="Times New Roman" w:hAnsi="Times New Roman"/>
          <w:i/>
        </w:rPr>
        <w:t>et al., </w:t>
      </w:r>
      <w:r>
        <w:rPr>
          <w:rFonts w:ascii="Times New Roman" w:hAnsi="Times New Roman"/>
        </w:rPr>
        <w:t>1996; Colunga-García Marín, 1984; Davis y Bye, 1982 y Williams, 1985), es posible reconocer la interacción hombre- planta, en dos principales formas de manejo: </w:t>
      </w:r>
      <w:r>
        <w:rPr>
          <w:rFonts w:ascii="Times New Roman" w:hAnsi="Times New Roman"/>
          <w:i/>
        </w:rPr>
        <w:t>in situ </w:t>
      </w:r>
      <w:r>
        <w:rPr>
          <w:rFonts w:ascii="Times New Roman" w:hAnsi="Times New Roman"/>
        </w:rPr>
        <w:t>y </w:t>
      </w:r>
      <w:r>
        <w:rPr>
          <w:rFonts w:ascii="Times New Roman" w:hAnsi="Times New Roman"/>
          <w:i/>
        </w:rPr>
        <w:t>ex situ</w:t>
      </w:r>
      <w:r>
        <w:rPr>
          <w:rFonts w:ascii="Times New Roman" w:hAnsi="Times New Roman"/>
        </w:rPr>
        <w:t>. La primera se refiere al sitio donde las poblaciones de plantas crecen de forma natural y que el hombre aprovecha, a través de la recolección y la protección de las especies útiles. La segunda, por su parte, incluye interacciones que se llevan a cabo en hábitats creados y controlados por el hombre. Aunque estas formas de manejo se usan comúnmente con plantas domesticadas, también se aplican a las silvestres y arvenses. En la presente investigación los pobladores adquieren las plantas útiles de las dos maneras y depende de la disponibilidad.</w:t>
      </w:r>
    </w:p>
    <w:p>
      <w:pPr>
        <w:pStyle w:val="BodyText"/>
        <w:rPr>
          <w:rFonts w:ascii="Times New Roman"/>
        </w:rPr>
      </w:pPr>
    </w:p>
    <w:p>
      <w:pPr>
        <w:pStyle w:val="BodyText"/>
        <w:spacing w:before="3"/>
        <w:rPr>
          <w:rFonts w:ascii="Times New Roman"/>
          <w:sz w:val="25"/>
        </w:rPr>
      </w:pPr>
    </w:p>
    <w:p>
      <w:pPr>
        <w:pStyle w:val="Heading2"/>
        <w:rPr>
          <w:rFonts w:ascii="Times New Roman" w:hAnsi="Times New Roman"/>
        </w:rPr>
      </w:pPr>
      <w:r>
        <w:rPr>
          <w:rFonts w:ascii="Times New Roman" w:hAnsi="Times New Roman"/>
        </w:rPr>
        <w:t>Propuesta de conservación</w:t>
      </w:r>
    </w:p>
    <w:p>
      <w:pPr>
        <w:pStyle w:val="BodyText"/>
        <w:spacing w:before="7"/>
        <w:rPr>
          <w:rFonts w:ascii="Times New Roman"/>
          <w:b/>
          <w:sz w:val="23"/>
        </w:rPr>
      </w:pPr>
    </w:p>
    <w:p>
      <w:pPr>
        <w:pStyle w:val="BodyText"/>
        <w:spacing w:line="480" w:lineRule="auto"/>
        <w:ind w:left="116" w:right="114"/>
        <w:jc w:val="both"/>
        <w:rPr>
          <w:rFonts w:ascii="Times New Roman" w:hAnsi="Times New Roman"/>
        </w:rPr>
      </w:pPr>
      <w:r>
        <w:rPr>
          <w:rFonts w:ascii="Times New Roman" w:hAnsi="Times New Roman"/>
        </w:rPr>
        <w:t>Para el planteamiento de </w:t>
      </w:r>
      <w:r>
        <w:rPr>
          <w:rFonts w:ascii="Times New Roman" w:hAnsi="Times New Roman"/>
          <w:spacing w:val="-5"/>
        </w:rPr>
        <w:t>la </w:t>
      </w:r>
      <w:r>
        <w:rPr>
          <w:rFonts w:ascii="Times New Roman" w:hAnsi="Times New Roman"/>
        </w:rPr>
        <w:t>propuesta dirigida a establecer un </w:t>
      </w:r>
      <w:r>
        <w:rPr>
          <w:rFonts w:ascii="Times New Roman" w:hAnsi="Times New Roman"/>
          <w:b/>
        </w:rPr>
        <w:t>Jardín Botánico Regional </w:t>
      </w:r>
      <w:r>
        <w:rPr>
          <w:rFonts w:ascii="Times New Roman" w:hAnsi="Times New Roman"/>
        </w:rPr>
        <w:t>en  dicho  sitio, se consideraron los Cuatro  Ejes Rectores de Actividad  en  los Jardines   </w:t>
      </w:r>
      <w:r>
        <w:rPr>
          <w:rFonts w:ascii="Times New Roman" w:hAnsi="Times New Roman"/>
          <w:spacing w:val="28"/>
        </w:rPr>
        <w:t> </w:t>
      </w:r>
      <w:r>
        <w:rPr>
          <w:rFonts w:ascii="Times New Roman" w:hAnsi="Times New Roman"/>
        </w:rPr>
        <w:t>Botánicos:</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pStyle w:val="BodyText"/>
        <w:spacing w:before="70"/>
        <w:ind w:left="116"/>
        <w:jc w:val="both"/>
        <w:rPr>
          <w:rFonts w:ascii="Times New Roman" w:hAnsi="Times New Roman"/>
          <w:i/>
        </w:rPr>
      </w:pPr>
      <w:r>
        <w:rPr>
          <w:rFonts w:ascii="Times New Roman" w:hAnsi="Times New Roman"/>
        </w:rPr>
        <w:t>investigaciones  científicas,  conservación,  educación ambiental  y divulgación (Lascurain  </w:t>
      </w:r>
      <w:r>
        <w:rPr>
          <w:rFonts w:ascii="Times New Roman" w:hAnsi="Times New Roman"/>
          <w:i/>
        </w:rPr>
        <w:t>et al.,</w:t>
      </w:r>
    </w:p>
    <w:p>
      <w:pPr>
        <w:pStyle w:val="BodyText"/>
        <w:rPr>
          <w:rFonts w:ascii="Times New Roman"/>
          <w:i/>
        </w:rPr>
      </w:pPr>
    </w:p>
    <w:p>
      <w:pPr>
        <w:pStyle w:val="BodyText"/>
        <w:ind w:left="116"/>
        <w:jc w:val="both"/>
        <w:rPr>
          <w:rFonts w:ascii="Times New Roman"/>
        </w:rPr>
      </w:pPr>
      <w:r>
        <w:rPr>
          <w:rFonts w:ascii="Times New Roman"/>
        </w:rPr>
        <w:t>2006).</w:t>
      </w:r>
    </w:p>
    <w:p>
      <w:pPr>
        <w:pStyle w:val="BodyText"/>
        <w:rPr>
          <w:rFonts w:ascii="Times New Roman"/>
        </w:rPr>
      </w:pPr>
    </w:p>
    <w:p>
      <w:pPr>
        <w:pStyle w:val="BodyText"/>
        <w:spacing w:line="480" w:lineRule="auto" w:before="202"/>
        <w:ind w:left="116" w:right="134"/>
        <w:jc w:val="both"/>
        <w:rPr>
          <w:rFonts w:ascii="Times New Roman" w:hAnsi="Times New Roman"/>
        </w:rPr>
      </w:pPr>
      <w:r>
        <w:rPr>
          <w:rFonts w:ascii="Times New Roman" w:hAnsi="Times New Roman"/>
        </w:rPr>
        <w:t>La propuesta está constituida por cuatro etapas metodológicas: el análisis de la problemática, estudio ambiental, técnico y organizacional.</w:t>
      </w:r>
    </w:p>
    <w:p>
      <w:pPr>
        <w:pStyle w:val="BodyText"/>
        <w:spacing w:line="480" w:lineRule="auto" w:before="212"/>
        <w:ind w:left="116" w:right="111"/>
        <w:jc w:val="both"/>
        <w:rPr>
          <w:rFonts w:ascii="Times New Roman" w:hAnsi="Times New Roman"/>
        </w:rPr>
      </w:pPr>
      <w:r>
        <w:rPr>
          <w:rFonts w:ascii="Times New Roman" w:hAnsi="Times New Roman"/>
        </w:rPr>
        <w:t>Los resultados del diagnóstico de </w:t>
      </w:r>
      <w:r>
        <w:rPr>
          <w:rFonts w:ascii="Times New Roman" w:hAnsi="Times New Roman"/>
          <w:spacing w:val="-5"/>
        </w:rPr>
        <w:t>la </w:t>
      </w:r>
      <w:r>
        <w:rPr>
          <w:rFonts w:ascii="Times New Roman" w:hAnsi="Times New Roman"/>
        </w:rPr>
        <w:t>problemática reflejan las siguientes: </w:t>
      </w:r>
      <w:r>
        <w:rPr>
          <w:rFonts w:ascii="Times New Roman" w:hAnsi="Times New Roman"/>
          <w:b/>
          <w:i/>
        </w:rPr>
        <w:t>Fortalezas</w:t>
      </w:r>
      <w:r>
        <w:rPr>
          <w:rFonts w:ascii="Times New Roman" w:hAnsi="Times New Roman"/>
        </w:rPr>
        <w:t>: </w:t>
      </w:r>
      <w:r>
        <w:rPr>
          <w:rFonts w:ascii="Times New Roman" w:hAnsi="Times New Roman"/>
          <w:spacing w:val="3"/>
        </w:rPr>
        <w:t>El </w:t>
      </w:r>
      <w:r>
        <w:rPr>
          <w:rFonts w:ascii="Times New Roman" w:hAnsi="Times New Roman"/>
        </w:rPr>
        <w:t>parque es un recurso para el desarrollo de </w:t>
      </w:r>
      <w:r>
        <w:rPr>
          <w:rFonts w:ascii="Times New Roman" w:hAnsi="Times New Roman"/>
          <w:spacing w:val="-3"/>
        </w:rPr>
        <w:t>la </w:t>
      </w:r>
      <w:r>
        <w:rPr>
          <w:rFonts w:ascii="Times New Roman" w:hAnsi="Times New Roman"/>
        </w:rPr>
        <w:t>investigación científica en áreas como </w:t>
      </w:r>
      <w:r>
        <w:rPr>
          <w:rFonts w:ascii="Times New Roman" w:hAnsi="Times New Roman"/>
          <w:spacing w:val="-5"/>
        </w:rPr>
        <w:t>la </w:t>
      </w:r>
      <w:r>
        <w:rPr>
          <w:rFonts w:ascii="Times New Roman" w:hAnsi="Times New Roman"/>
        </w:rPr>
        <w:t>botánica, taxonomía, hidrología y entomología, entre otras; además el Parque pertenece a un Centro Universitario de </w:t>
      </w:r>
      <w:r>
        <w:rPr>
          <w:rFonts w:ascii="Times New Roman" w:hAnsi="Times New Roman"/>
          <w:spacing w:val="-3"/>
        </w:rPr>
        <w:t>la </w:t>
      </w:r>
      <w:r>
        <w:rPr>
          <w:rFonts w:ascii="Times New Roman" w:hAnsi="Times New Roman"/>
        </w:rPr>
        <w:t>Universidad Autónoma del Estado de México. </w:t>
      </w:r>
      <w:r>
        <w:rPr>
          <w:rFonts w:ascii="Times New Roman" w:hAnsi="Times New Roman"/>
          <w:b/>
          <w:i/>
        </w:rPr>
        <w:t>Oportunidades: </w:t>
      </w:r>
      <w:r>
        <w:rPr>
          <w:rFonts w:ascii="Times New Roman" w:hAnsi="Times New Roman"/>
        </w:rPr>
        <w:t>Existen condiciones favorables para generar y seguir un protocolo de diseño y desarrollo de actividades como Jardín Botánico. El Centro Universitario Temascaltepec, cuenta con los servicios básicos de energía eléctrica y telecomunicaciones. </w:t>
      </w:r>
      <w:r>
        <w:rPr>
          <w:rFonts w:ascii="Times New Roman" w:hAnsi="Times New Roman"/>
          <w:b/>
          <w:i/>
        </w:rPr>
        <w:t>Debilidades: </w:t>
      </w:r>
      <w:r>
        <w:rPr>
          <w:rFonts w:ascii="Times New Roman" w:hAnsi="Times New Roman"/>
        </w:rPr>
        <w:t>Como en </w:t>
      </w:r>
      <w:r>
        <w:rPr>
          <w:rFonts w:ascii="Times New Roman" w:hAnsi="Times New Roman"/>
          <w:spacing w:val="-3"/>
        </w:rPr>
        <w:t>la </w:t>
      </w:r>
      <w:r>
        <w:rPr>
          <w:rFonts w:ascii="Times New Roman" w:hAnsi="Times New Roman"/>
        </w:rPr>
        <w:t>mayoría de los casos, falta de recursos financieros y por </w:t>
      </w:r>
      <w:r>
        <w:rPr>
          <w:rFonts w:ascii="Times New Roman" w:hAnsi="Times New Roman"/>
          <w:spacing w:val="-5"/>
        </w:rPr>
        <w:t>lo </w:t>
      </w:r>
      <w:r>
        <w:rPr>
          <w:rFonts w:ascii="Times New Roman" w:hAnsi="Times New Roman"/>
        </w:rPr>
        <w:t>tanto, carecen de personal para mantenimiento de las áreas. </w:t>
      </w:r>
      <w:r>
        <w:rPr>
          <w:rFonts w:ascii="Times New Roman" w:hAnsi="Times New Roman"/>
          <w:b/>
          <w:i/>
        </w:rPr>
        <w:t>Amenaza. </w:t>
      </w:r>
      <w:r>
        <w:rPr>
          <w:rFonts w:ascii="Times New Roman" w:hAnsi="Times New Roman"/>
        </w:rPr>
        <w:t>La falta de continuidad en los programas presupuestales, que por </w:t>
      </w:r>
      <w:r>
        <w:rPr>
          <w:rFonts w:ascii="Times New Roman" w:hAnsi="Times New Roman"/>
          <w:spacing w:val="-5"/>
        </w:rPr>
        <w:t>lo </w:t>
      </w:r>
      <w:r>
        <w:rPr>
          <w:rFonts w:ascii="Times New Roman" w:hAnsi="Times New Roman"/>
        </w:rPr>
        <w:t>general son reducidos o inciertos y falta de asesoría para el mantenimiento de áreas</w:t>
      </w:r>
      <w:r>
        <w:rPr>
          <w:rFonts w:ascii="Times New Roman" w:hAnsi="Times New Roman"/>
          <w:spacing w:val="-25"/>
        </w:rPr>
        <w:t> </w:t>
      </w:r>
      <w:r>
        <w:rPr>
          <w:rFonts w:ascii="Times New Roman" w:hAnsi="Times New Roman"/>
        </w:rPr>
        <w:t>verdes.</w:t>
      </w:r>
    </w:p>
    <w:p>
      <w:pPr>
        <w:pStyle w:val="BodyText"/>
        <w:spacing w:line="480" w:lineRule="auto" w:before="207"/>
        <w:ind w:left="116" w:right="119"/>
        <w:jc w:val="both"/>
        <w:rPr>
          <w:rFonts w:ascii="Times New Roman" w:hAnsi="Times New Roman"/>
        </w:rPr>
      </w:pPr>
      <w:r>
        <w:rPr>
          <w:rFonts w:ascii="Times New Roman" w:hAnsi="Times New Roman"/>
        </w:rPr>
        <w:t>En el estudio ambiental se analizaron las características  fisiográficas,  geológicas, geomorfológicas y del relieve, climáticas, hidrológicas y edáficas del parque, con énfasis en sus características florísticas, que ya fueron descritas. Para el estudio técnico, se delimitaron las siete zonas de manejo ambiental y se presentaron propuestas para la creación de nuevas áreas, tales como: mapa espectacular informativo y centro de visitas, servicio de comida, pequeño lago con cascada, monumento a José Mariano Mociño, invernadero, vivero y área de composta.</w:t>
      </w:r>
    </w:p>
    <w:p>
      <w:pPr>
        <w:pStyle w:val="BodyText"/>
        <w:spacing w:line="480" w:lineRule="auto" w:before="212"/>
        <w:ind w:left="116" w:right="125"/>
        <w:jc w:val="both"/>
        <w:rPr>
          <w:rFonts w:ascii="Times New Roman" w:hAnsi="Times New Roman"/>
        </w:rPr>
      </w:pPr>
      <w:r>
        <w:rPr>
          <w:rFonts w:ascii="Times New Roman" w:hAnsi="Times New Roman"/>
        </w:rPr>
        <w:t>Por otra parte, se presentan algunas consideraciones generales para el diseño del Jardín Botánico, como: diseñar el camino para vehículos, remodelar o dar mantenimiento a los senderos; así como</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pStyle w:val="BodyText"/>
        <w:spacing w:line="480" w:lineRule="auto" w:before="70"/>
        <w:ind w:left="116" w:right="116"/>
        <w:jc w:val="both"/>
        <w:rPr>
          <w:rFonts w:ascii="Times New Roman" w:hAnsi="Times New Roman"/>
        </w:rPr>
      </w:pPr>
      <w:r>
        <w:rPr>
          <w:rFonts w:ascii="Times New Roman" w:hAnsi="Times New Roman"/>
        </w:rPr>
        <w:t>colocar rótulos con nombre científico y común de las especies, usos y leyendas; de forma vegetal y ergonómica, de hierro forjado como aquellos presentes el Jardín Botánico de Río de Janeiro en Brasil. Además de incorporación paisajística del elemento agua, como: generar arroyo con agua del río o con escurrimiento pluvial, el cual puede quedar establecido en el área de Plantas Medicinales y Aromáticas, espejo de agua con lotos y plantas acuáticas, y una fuente con fosa y seto.</w:t>
      </w:r>
    </w:p>
    <w:p>
      <w:pPr>
        <w:pStyle w:val="BodyText"/>
        <w:spacing w:line="480" w:lineRule="auto" w:before="212"/>
        <w:ind w:left="116" w:right="122"/>
        <w:jc w:val="both"/>
        <w:rPr>
          <w:rFonts w:ascii="Times New Roman" w:hAnsi="Times New Roman"/>
        </w:rPr>
      </w:pPr>
      <w:r>
        <w:rPr>
          <w:rFonts w:ascii="Times New Roman" w:hAnsi="Times New Roman"/>
        </w:rPr>
        <w:t>La organización administrativa que actualmente presenta el parque está constituida por el director general, auxiliar administrativo, investigadores y personal de mantenimiento. En esta propuesta  se considera incluir responsables en las siguientes áreas: horticultura, educación ambiental, investigación científica y seguimiento de</w:t>
      </w:r>
      <w:r>
        <w:rPr>
          <w:rFonts w:ascii="Times New Roman" w:hAnsi="Times New Roman"/>
          <w:spacing w:val="-31"/>
        </w:rPr>
        <w:t> </w:t>
      </w:r>
      <w:r>
        <w:rPr>
          <w:rFonts w:ascii="Times New Roman" w:hAnsi="Times New Roman"/>
        </w:rPr>
        <w:t>colecciones.</w:t>
      </w:r>
    </w:p>
    <w:p>
      <w:pPr>
        <w:pStyle w:val="BodyText"/>
        <w:spacing w:line="480" w:lineRule="auto" w:before="212"/>
        <w:ind w:left="116" w:right="113"/>
        <w:jc w:val="both"/>
        <w:rPr>
          <w:rFonts w:ascii="Times New Roman" w:hAnsi="Times New Roman"/>
        </w:rPr>
      </w:pPr>
      <w:r>
        <w:rPr>
          <w:rFonts w:ascii="Times New Roman" w:hAnsi="Times New Roman"/>
        </w:rPr>
        <w:t>De acuerdo a los últimos datos, en México existen 60 jardines botánicos, de los que </w:t>
      </w:r>
      <w:r>
        <w:rPr>
          <w:rFonts w:ascii="Times New Roman" w:hAnsi="Times New Roman"/>
          <w:spacing w:val="-5"/>
        </w:rPr>
        <w:t>la </w:t>
      </w:r>
      <w:r>
        <w:rPr>
          <w:rFonts w:ascii="Times New Roman" w:hAnsi="Times New Roman"/>
        </w:rPr>
        <w:t>mayor parte surgen a partir del siglo XXI, considerándose muy jóvenes en este ámbito (Lascurain </w:t>
      </w:r>
      <w:r>
        <w:rPr>
          <w:rFonts w:ascii="Times New Roman" w:hAnsi="Times New Roman"/>
          <w:i/>
        </w:rPr>
        <w:t>et al., </w:t>
      </w:r>
      <w:r>
        <w:rPr>
          <w:rFonts w:ascii="Times New Roman" w:hAnsi="Times New Roman"/>
        </w:rPr>
        <w:t>2006). La </w:t>
      </w:r>
      <w:r>
        <w:rPr>
          <w:rFonts w:ascii="Times New Roman" w:hAnsi="Times New Roman"/>
          <w:spacing w:val="-3"/>
        </w:rPr>
        <w:t>mayor </w:t>
      </w:r>
      <w:r>
        <w:rPr>
          <w:rFonts w:ascii="Times New Roman" w:hAnsi="Times New Roman"/>
        </w:rPr>
        <w:t>parte de </w:t>
      </w:r>
      <w:r>
        <w:rPr>
          <w:rFonts w:ascii="Times New Roman" w:hAnsi="Times New Roman"/>
          <w:spacing w:val="-3"/>
        </w:rPr>
        <w:t>ellos </w:t>
      </w:r>
      <w:r>
        <w:rPr>
          <w:rFonts w:ascii="Times New Roman" w:hAnsi="Times New Roman"/>
        </w:rPr>
        <w:t>pertenecen a universidades o centros de investigación y  se localizan en </w:t>
      </w:r>
      <w:r>
        <w:rPr>
          <w:rFonts w:ascii="Times New Roman" w:hAnsi="Times New Roman"/>
          <w:spacing w:val="-3"/>
        </w:rPr>
        <w:t>la </w:t>
      </w:r>
      <w:r>
        <w:rPr>
          <w:rFonts w:ascii="Times New Roman" w:hAnsi="Times New Roman"/>
        </w:rPr>
        <w:t>zona centro y sur del país, </w:t>
      </w:r>
      <w:r>
        <w:rPr>
          <w:rFonts w:ascii="Times New Roman" w:hAnsi="Times New Roman"/>
          <w:spacing w:val="-5"/>
        </w:rPr>
        <w:t>lo </w:t>
      </w:r>
      <w:r>
        <w:rPr>
          <w:rFonts w:ascii="Times New Roman" w:hAnsi="Times New Roman"/>
        </w:rPr>
        <w:t>que </w:t>
      </w:r>
      <w:r>
        <w:rPr>
          <w:rFonts w:ascii="Times New Roman" w:hAnsi="Times New Roman"/>
          <w:spacing w:val="-4"/>
        </w:rPr>
        <w:t>les </w:t>
      </w:r>
      <w:r>
        <w:rPr>
          <w:rFonts w:ascii="Times New Roman" w:hAnsi="Times New Roman"/>
        </w:rPr>
        <w:t>atribuye cierta estabilidad, debido a que cuentan con infraestructura e investigadores que contribuyen al funcionamiento del mismo. En el caso del Parque Universitario “Las Orquídeas”, constituye una ventaja que este pertenezca a </w:t>
      </w:r>
      <w:r>
        <w:rPr>
          <w:rFonts w:ascii="Times New Roman" w:hAnsi="Times New Roman"/>
          <w:spacing w:val="-3"/>
        </w:rPr>
        <w:t>la </w:t>
      </w:r>
      <w:r>
        <w:rPr>
          <w:rFonts w:ascii="Times New Roman" w:hAnsi="Times New Roman"/>
        </w:rPr>
        <w:t>Universidad Autónoma del Estado de</w:t>
      </w:r>
      <w:r>
        <w:rPr>
          <w:rFonts w:ascii="Times New Roman" w:hAnsi="Times New Roman"/>
          <w:spacing w:val="-17"/>
        </w:rPr>
        <w:t> </w:t>
      </w:r>
      <w:r>
        <w:rPr>
          <w:rFonts w:ascii="Times New Roman" w:hAnsi="Times New Roman"/>
        </w:rPr>
        <w:t>México.</w:t>
      </w:r>
    </w:p>
    <w:p>
      <w:pPr>
        <w:pStyle w:val="BodyText"/>
        <w:rPr>
          <w:rFonts w:ascii="Times New Roman"/>
        </w:rPr>
      </w:pPr>
    </w:p>
    <w:p>
      <w:pPr>
        <w:pStyle w:val="BodyText"/>
        <w:spacing w:before="4"/>
        <w:rPr>
          <w:rFonts w:ascii="Times New Roman"/>
          <w:sz w:val="25"/>
        </w:rPr>
      </w:pPr>
    </w:p>
    <w:p>
      <w:pPr>
        <w:pStyle w:val="Heading2"/>
        <w:rPr>
          <w:rFonts w:ascii="Times New Roman"/>
        </w:rPr>
      </w:pPr>
      <w:r>
        <w:rPr>
          <w:rFonts w:ascii="Times New Roman"/>
        </w:rPr>
        <w:t>CONCLUSIONES</w:t>
      </w:r>
    </w:p>
    <w:p>
      <w:pPr>
        <w:pStyle w:val="BodyText"/>
        <w:spacing w:before="6"/>
        <w:rPr>
          <w:rFonts w:ascii="Times New Roman"/>
          <w:b/>
          <w:sz w:val="23"/>
        </w:rPr>
      </w:pPr>
    </w:p>
    <w:p>
      <w:pPr>
        <w:pStyle w:val="BodyText"/>
        <w:spacing w:line="480" w:lineRule="auto"/>
        <w:ind w:left="116" w:right="122"/>
        <w:jc w:val="both"/>
        <w:rPr>
          <w:rFonts w:ascii="Times New Roman" w:hAnsi="Times New Roman"/>
        </w:rPr>
      </w:pPr>
      <w:r>
        <w:rPr>
          <w:rFonts w:ascii="Times New Roman" w:hAnsi="Times New Roman"/>
        </w:rPr>
        <w:t>De acuerdo al trabajo de investigación realizado se concluye que el Parque Universitario “Las Orquídeas” es un área con gran potencial para realizar investigación científica, conservación, educación ambiental y difusión; debido a que se encuentra en una zona de transición ecológica, lo</w:t>
      </w:r>
    </w:p>
    <w:p>
      <w:pPr>
        <w:spacing w:after="0" w:line="48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pStyle w:val="BodyText"/>
        <w:spacing w:line="480" w:lineRule="auto" w:before="70"/>
        <w:ind w:left="116" w:right="130"/>
        <w:jc w:val="both"/>
        <w:rPr>
          <w:rFonts w:ascii="Times New Roman" w:hAnsi="Times New Roman"/>
        </w:rPr>
      </w:pPr>
      <w:r>
        <w:rPr>
          <w:rFonts w:ascii="Times New Roman" w:hAnsi="Times New Roman"/>
        </w:rPr>
        <w:t>que le proporciona características importantes para el establecimiento de diferentes especies de plantas, de valor económico, social y cultural.</w:t>
      </w:r>
    </w:p>
    <w:p>
      <w:pPr>
        <w:pStyle w:val="BodyText"/>
        <w:rPr>
          <w:rFonts w:ascii="Times New Roman"/>
        </w:rPr>
      </w:pPr>
    </w:p>
    <w:p>
      <w:pPr>
        <w:pStyle w:val="BodyText"/>
        <w:spacing w:before="10"/>
        <w:rPr>
          <w:rFonts w:ascii="Times New Roman"/>
        </w:rPr>
      </w:pPr>
    </w:p>
    <w:p>
      <w:pPr>
        <w:pStyle w:val="BodyText"/>
        <w:spacing w:line="480" w:lineRule="auto" w:before="1"/>
        <w:ind w:left="116" w:right="113" w:firstLine="57"/>
        <w:jc w:val="both"/>
        <w:rPr>
          <w:rFonts w:ascii="Times New Roman" w:hAnsi="Times New Roman"/>
        </w:rPr>
      </w:pPr>
      <w:r>
        <w:rPr>
          <w:rFonts w:ascii="Times New Roman" w:hAnsi="Times New Roman"/>
        </w:rPr>
        <w:t>Las Zonas de Manejo Ambiental se consideran áreas de vegetación secundaria, debido a que están sometidas a intervención antropogénica, la cual es evidente por el número de especies introducidas; a excepción de la Zona de Orquídeario, que presenta vegetación de Bosque de Galerías, y la Zona de Área Natural con presencia de Bosque Mesófilo de Montaña.</w:t>
      </w:r>
    </w:p>
    <w:p>
      <w:pPr>
        <w:pStyle w:val="BodyText"/>
        <w:rPr>
          <w:rFonts w:ascii="Times New Roman"/>
        </w:rPr>
      </w:pPr>
    </w:p>
    <w:p>
      <w:pPr>
        <w:pStyle w:val="BodyText"/>
        <w:spacing w:before="10"/>
        <w:rPr>
          <w:rFonts w:ascii="Times New Roman"/>
        </w:rPr>
      </w:pPr>
    </w:p>
    <w:p>
      <w:pPr>
        <w:pStyle w:val="BodyText"/>
        <w:spacing w:line="480" w:lineRule="auto" w:before="1"/>
        <w:ind w:left="116" w:right="120"/>
        <w:jc w:val="both"/>
        <w:rPr>
          <w:rFonts w:ascii="Times New Roman" w:hAnsi="Times New Roman"/>
        </w:rPr>
      </w:pPr>
      <w:r>
        <w:rPr>
          <w:rFonts w:ascii="Times New Roman" w:hAnsi="Times New Roman"/>
        </w:rPr>
        <w:t>La mayoría de las personas entrevistadas en el municipio de Temascaltepec, utilizan las plantas para algún tipo de enfermedad o malestar en su salud, principalmente de tipo gastrointestinal, con síntomas de dolor de estómago y diarrea; o aquellos que aquejan el sistema respiratorio, como dolor de garganta y presencia de tos. A partir del reconocimiento de la relación integral hombre- planta-ambiente, se concibe y se explica el conocimiento, uso y manejo de estos recursos etno florísticos medicinales.</w:t>
      </w:r>
    </w:p>
    <w:p>
      <w:pPr>
        <w:pStyle w:val="BodyText"/>
        <w:rPr>
          <w:rFonts w:ascii="Times New Roman"/>
        </w:rPr>
      </w:pPr>
    </w:p>
    <w:p>
      <w:pPr>
        <w:pStyle w:val="BodyText"/>
        <w:spacing w:before="10"/>
        <w:rPr>
          <w:rFonts w:ascii="Times New Roman"/>
        </w:rPr>
      </w:pPr>
    </w:p>
    <w:p>
      <w:pPr>
        <w:pStyle w:val="BodyText"/>
        <w:spacing w:line="480" w:lineRule="auto" w:before="1"/>
        <w:ind w:left="116" w:right="123" w:firstLine="57"/>
        <w:jc w:val="both"/>
        <w:rPr>
          <w:rFonts w:ascii="Times New Roman" w:hAnsi="Times New Roman"/>
        </w:rPr>
      </w:pPr>
      <w:r>
        <w:rPr>
          <w:rFonts w:ascii="Times New Roman" w:hAnsi="Times New Roman"/>
        </w:rPr>
        <w:t>El análisis de problemas realizado, muestra que en el parque manifiesta deterioro ambiental incipiente, debido a las actividades académicas y administrativas propias del Centro Universitario Temascaltepec; el cual puede ser minimizado con estrategias de restauración y conservación.</w:t>
      </w:r>
    </w:p>
    <w:p>
      <w:pPr>
        <w:pStyle w:val="BodyText"/>
        <w:rPr>
          <w:rFonts w:ascii="Times New Roman"/>
        </w:rPr>
      </w:pPr>
    </w:p>
    <w:p>
      <w:pPr>
        <w:pStyle w:val="BodyText"/>
        <w:spacing w:before="10"/>
        <w:rPr>
          <w:rFonts w:ascii="Times New Roman"/>
        </w:rPr>
      </w:pPr>
    </w:p>
    <w:p>
      <w:pPr>
        <w:pStyle w:val="BodyText"/>
        <w:spacing w:line="480" w:lineRule="auto"/>
        <w:ind w:left="116" w:right="122"/>
        <w:jc w:val="both"/>
        <w:rPr>
          <w:rFonts w:ascii="Times New Roman" w:hAnsi="Times New Roman"/>
        </w:rPr>
      </w:pPr>
      <w:r>
        <w:rPr>
          <w:rFonts w:ascii="Times New Roman" w:hAnsi="Times New Roman"/>
        </w:rPr>
        <w:t>A partir del análisis FODA (Fortalezas, Oportunidades, Debilidades y Amenazas) y del Enfoque del Marco Lógico, se planteó una propuesta para que en dicho lugar se establezca un Jardín Botánico Regional, como estrategia para la conservación y educación ambiental del parque; en ella  se  consideraron  los  cuatro  Ejes  Rectores  de  Actividad  en  los  Jardines  Botánicos:</w:t>
      </w:r>
    </w:p>
    <w:p>
      <w:pPr>
        <w:pStyle w:val="BodyText"/>
        <w:spacing w:before="10"/>
        <w:ind w:left="116"/>
        <w:jc w:val="both"/>
        <w:rPr>
          <w:rFonts w:ascii="Times New Roman" w:hAnsi="Times New Roman"/>
        </w:rPr>
      </w:pPr>
      <w:r>
        <w:rPr>
          <w:rFonts w:ascii="Times New Roman" w:hAnsi="Times New Roman"/>
        </w:rPr>
        <w:t>investigaciones científicas, conservación, educación ambiental y divulgación.</w:t>
      </w:r>
    </w:p>
    <w:p>
      <w:pPr>
        <w:spacing w:after="0"/>
        <w:jc w:val="both"/>
        <w:rPr>
          <w:rFonts w:ascii="Times New Roman" w:hAnsi="Times New Roman"/>
        </w:rPr>
        <w:sectPr>
          <w:footerReference w:type="default" r:id="rId177"/>
          <w:pgSz w:w="12240" w:h="15840"/>
          <w:pgMar w:footer="1146" w:header="685" w:top="880" w:bottom="13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Heading2"/>
        <w:spacing w:before="70"/>
        <w:rPr>
          <w:rFonts w:ascii="Times New Roman"/>
        </w:rPr>
      </w:pPr>
      <w:r>
        <w:rPr>
          <w:rFonts w:ascii="Times New Roman"/>
        </w:rPr>
        <w:t>RECOMENDACIONES</w:t>
      </w:r>
    </w:p>
    <w:p>
      <w:pPr>
        <w:pStyle w:val="BodyText"/>
        <w:spacing w:before="7"/>
        <w:rPr>
          <w:rFonts w:ascii="Times New Roman"/>
          <w:b/>
          <w:sz w:val="23"/>
        </w:rPr>
      </w:pPr>
    </w:p>
    <w:p>
      <w:pPr>
        <w:pStyle w:val="BodyText"/>
        <w:spacing w:line="480" w:lineRule="auto"/>
        <w:ind w:left="116" w:right="129"/>
        <w:jc w:val="both"/>
        <w:rPr>
          <w:rFonts w:ascii="Times New Roman" w:hAnsi="Times New Roman"/>
        </w:rPr>
      </w:pPr>
      <w:r>
        <w:rPr>
          <w:rFonts w:ascii="Times New Roman" w:hAnsi="Times New Roman"/>
        </w:rPr>
        <w:t>Para completar el listado florístico del Parque Universitario, sería conveniente realizar la identificación taxonómica de las especies de Pteridofitas.</w:t>
      </w:r>
    </w:p>
    <w:p>
      <w:pPr>
        <w:pStyle w:val="BodyText"/>
        <w:rPr>
          <w:rFonts w:ascii="Times New Roman"/>
        </w:rPr>
      </w:pPr>
    </w:p>
    <w:p>
      <w:pPr>
        <w:pStyle w:val="BodyText"/>
        <w:spacing w:before="10"/>
        <w:rPr>
          <w:rFonts w:ascii="Times New Roman"/>
        </w:rPr>
      </w:pPr>
    </w:p>
    <w:p>
      <w:pPr>
        <w:pStyle w:val="BodyText"/>
        <w:spacing w:line="480" w:lineRule="auto"/>
        <w:ind w:left="116" w:right="125"/>
        <w:jc w:val="both"/>
        <w:rPr>
          <w:rFonts w:ascii="Times New Roman" w:hAnsi="Times New Roman"/>
        </w:rPr>
      </w:pPr>
      <w:r>
        <w:rPr>
          <w:rFonts w:ascii="Times New Roman" w:hAnsi="Times New Roman"/>
        </w:rPr>
        <w:t>Se sugiere iniciar una línea de investigación etno ecológica, dedicada a evaluar la extracción del recurso florístico y a propiciar el manejo sustentable del mismo; lo que garantizará la conservación de usos y costumbres sobre medicina tradicional, y la toma oportuna de medidas correctivas para evitar la pérdida de estos recursos.</w:t>
      </w:r>
    </w:p>
    <w:p>
      <w:pPr>
        <w:pStyle w:val="BodyText"/>
        <w:rPr>
          <w:rFonts w:ascii="Times New Roman"/>
        </w:rPr>
      </w:pPr>
    </w:p>
    <w:p>
      <w:pPr>
        <w:pStyle w:val="BodyText"/>
        <w:spacing w:before="10"/>
        <w:rPr>
          <w:rFonts w:ascii="Times New Roman"/>
        </w:rPr>
      </w:pPr>
    </w:p>
    <w:p>
      <w:pPr>
        <w:pStyle w:val="BodyText"/>
        <w:spacing w:line="480" w:lineRule="auto"/>
        <w:ind w:left="116" w:right="124"/>
        <w:jc w:val="both"/>
        <w:rPr>
          <w:rFonts w:ascii="Times New Roman" w:hAnsi="Times New Roman"/>
        </w:rPr>
      </w:pPr>
      <w:r>
        <w:rPr>
          <w:rFonts w:ascii="Times New Roman" w:hAnsi="Times New Roman"/>
        </w:rPr>
        <w:t>Es importante realizar un estudio de propagación de especies nativas y cultivadas del Parque Universitario, que fundamente diversas estrategias de conservación, además de generar conocimiento sobre fenología de la flora.</w:t>
      </w:r>
    </w:p>
    <w:p>
      <w:pPr>
        <w:pStyle w:val="BodyText"/>
        <w:rPr>
          <w:rFonts w:ascii="Times New Roman"/>
        </w:rPr>
      </w:pPr>
    </w:p>
    <w:p>
      <w:pPr>
        <w:pStyle w:val="BodyText"/>
        <w:spacing w:before="4"/>
        <w:rPr>
          <w:rFonts w:ascii="Times New Roman"/>
          <w:sz w:val="25"/>
        </w:rPr>
      </w:pPr>
    </w:p>
    <w:p>
      <w:pPr>
        <w:pStyle w:val="Heading2"/>
        <w:rPr>
          <w:rFonts w:ascii="Times New Roman"/>
        </w:rPr>
      </w:pPr>
      <w:r>
        <w:rPr>
          <w:rFonts w:ascii="Times New Roman"/>
        </w:rPr>
        <w:t>AGRADECIMIENTOS.</w:t>
      </w:r>
    </w:p>
    <w:p>
      <w:pPr>
        <w:pStyle w:val="BodyText"/>
        <w:spacing w:before="7"/>
        <w:rPr>
          <w:rFonts w:ascii="Times New Roman"/>
          <w:b/>
          <w:sz w:val="23"/>
        </w:rPr>
      </w:pPr>
    </w:p>
    <w:p>
      <w:pPr>
        <w:pStyle w:val="BodyText"/>
        <w:ind w:left="116"/>
        <w:jc w:val="both"/>
        <w:rPr>
          <w:rFonts w:ascii="Times New Roman" w:hAnsi="Times New Roman"/>
        </w:rPr>
      </w:pPr>
      <w:r>
        <w:rPr>
          <w:rFonts w:ascii="Times New Roman" w:hAnsi="Times New Roman"/>
        </w:rPr>
        <w:t>El primer autor agradece el apoyo del CONACYT por otorgar la  beca de posgrado. Así como   al</w:t>
      </w:r>
    </w:p>
    <w:p>
      <w:pPr>
        <w:pStyle w:val="BodyText"/>
        <w:rPr>
          <w:rFonts w:ascii="Times New Roman"/>
        </w:rPr>
      </w:pPr>
    </w:p>
    <w:p>
      <w:pPr>
        <w:pStyle w:val="ListParagraph"/>
        <w:numPr>
          <w:ilvl w:val="0"/>
          <w:numId w:val="26"/>
        </w:numPr>
        <w:tabs>
          <w:tab w:pos="476" w:val="left" w:leader="none"/>
        </w:tabs>
        <w:spacing w:line="480" w:lineRule="auto" w:before="0" w:after="0"/>
        <w:ind w:left="116" w:right="124" w:firstLine="0"/>
        <w:jc w:val="both"/>
        <w:rPr>
          <w:rFonts w:ascii="Times New Roman" w:hAnsi="Times New Roman"/>
          <w:sz w:val="24"/>
        </w:rPr>
      </w:pPr>
      <w:r>
        <w:rPr>
          <w:rFonts w:ascii="Times New Roman" w:hAnsi="Times New Roman"/>
          <w:sz w:val="24"/>
        </w:rPr>
        <w:t>en C. Rafael Torres Colín y M. en C. Blanca Verónica Juárez Jaimes adscritos al Herbario Nacional del Instituto de Biología de </w:t>
      </w:r>
      <w:r>
        <w:rPr>
          <w:rFonts w:ascii="Times New Roman" w:hAnsi="Times New Roman"/>
          <w:spacing w:val="-3"/>
          <w:sz w:val="24"/>
        </w:rPr>
        <w:t>la </w:t>
      </w:r>
      <w:r>
        <w:rPr>
          <w:rFonts w:ascii="Times New Roman" w:hAnsi="Times New Roman"/>
          <w:sz w:val="24"/>
        </w:rPr>
        <w:t>Universidad Nacional Autónoma de México por proporcionar </w:t>
      </w:r>
      <w:r>
        <w:rPr>
          <w:rFonts w:ascii="Times New Roman" w:hAnsi="Times New Roman"/>
          <w:spacing w:val="-4"/>
          <w:sz w:val="24"/>
        </w:rPr>
        <w:t>las </w:t>
      </w:r>
      <w:r>
        <w:rPr>
          <w:rFonts w:ascii="Times New Roman" w:hAnsi="Times New Roman"/>
          <w:sz w:val="24"/>
        </w:rPr>
        <w:t>facilidades, apoyo y asesoría durante </w:t>
      </w:r>
      <w:r>
        <w:rPr>
          <w:rFonts w:ascii="Times New Roman" w:hAnsi="Times New Roman"/>
          <w:spacing w:val="-3"/>
          <w:sz w:val="24"/>
        </w:rPr>
        <w:t>la </w:t>
      </w:r>
      <w:r>
        <w:rPr>
          <w:rFonts w:ascii="Times New Roman" w:hAnsi="Times New Roman"/>
          <w:sz w:val="24"/>
        </w:rPr>
        <w:t>estancia académica que obtuvo </w:t>
      </w:r>
      <w:r>
        <w:rPr>
          <w:rFonts w:ascii="Times New Roman" w:hAnsi="Times New Roman"/>
          <w:spacing w:val="-3"/>
          <w:sz w:val="24"/>
        </w:rPr>
        <w:t>como </w:t>
      </w:r>
      <w:r>
        <w:rPr>
          <w:rFonts w:ascii="Times New Roman" w:hAnsi="Times New Roman"/>
          <w:sz w:val="24"/>
        </w:rPr>
        <w:t>producto </w:t>
      </w:r>
      <w:r>
        <w:rPr>
          <w:rFonts w:ascii="Times New Roman" w:hAnsi="Times New Roman"/>
          <w:spacing w:val="-5"/>
          <w:sz w:val="24"/>
        </w:rPr>
        <w:t>la </w:t>
      </w:r>
      <w:r>
        <w:rPr>
          <w:rFonts w:ascii="Times New Roman" w:hAnsi="Times New Roman"/>
          <w:sz w:val="24"/>
        </w:rPr>
        <w:t>identificación a nivel de especie de los ejemplares</w:t>
      </w:r>
      <w:r>
        <w:rPr>
          <w:rFonts w:ascii="Times New Roman" w:hAnsi="Times New Roman"/>
          <w:spacing w:val="-20"/>
          <w:sz w:val="24"/>
        </w:rPr>
        <w:t> </w:t>
      </w:r>
      <w:r>
        <w:rPr>
          <w:rFonts w:ascii="Times New Roman" w:hAnsi="Times New Roman"/>
          <w:sz w:val="24"/>
        </w:rPr>
        <w:t>colectados.</w:t>
      </w:r>
    </w:p>
    <w:p>
      <w:pPr>
        <w:pStyle w:val="BodyText"/>
        <w:rPr>
          <w:rFonts w:ascii="Times New Roman"/>
        </w:rPr>
      </w:pPr>
    </w:p>
    <w:p>
      <w:pPr>
        <w:pStyle w:val="BodyText"/>
        <w:spacing w:before="4"/>
        <w:rPr>
          <w:rFonts w:ascii="Times New Roman"/>
          <w:sz w:val="25"/>
        </w:rPr>
      </w:pPr>
    </w:p>
    <w:p>
      <w:pPr>
        <w:pStyle w:val="Heading2"/>
        <w:rPr>
          <w:rFonts w:ascii="Times New Roman"/>
        </w:rPr>
      </w:pPr>
      <w:r>
        <w:rPr>
          <w:rFonts w:ascii="Times New Roman"/>
        </w:rPr>
        <w:t>LITERATURA CITADA</w:t>
      </w:r>
    </w:p>
    <w:p>
      <w:pPr>
        <w:pStyle w:val="BodyText"/>
        <w:spacing w:before="6"/>
        <w:rPr>
          <w:rFonts w:ascii="Times New Roman"/>
          <w:b/>
          <w:sz w:val="23"/>
        </w:rPr>
      </w:pPr>
    </w:p>
    <w:p>
      <w:pPr>
        <w:pStyle w:val="BodyText"/>
        <w:spacing w:line="360" w:lineRule="auto"/>
        <w:ind w:left="544" w:right="135" w:hanging="428"/>
        <w:rPr>
          <w:rFonts w:ascii="Times New Roman"/>
        </w:rPr>
      </w:pPr>
      <w:r>
        <w:rPr>
          <w:rFonts w:ascii="Times New Roman"/>
        </w:rPr>
        <w:t>Argueta, A., L. Cano, y M. Rodarte.1994. Atlas de las plantas de </w:t>
      </w:r>
      <w:r>
        <w:rPr>
          <w:rFonts w:ascii="Times New Roman"/>
          <w:spacing w:val="-3"/>
        </w:rPr>
        <w:t>la </w:t>
      </w:r>
      <w:r>
        <w:rPr>
          <w:rFonts w:ascii="Times New Roman"/>
        </w:rPr>
        <w:t>medicina tradicional  mexicana III. Instituto Nacional Indigenista. ISBM 968-29-7325-2</w:t>
      </w:r>
      <w:r>
        <w:rPr>
          <w:rFonts w:ascii="Times New Roman"/>
          <w:spacing w:val="-23"/>
        </w:rPr>
        <w:t> </w:t>
      </w:r>
      <w:r>
        <w:rPr>
          <w:rFonts w:ascii="Times New Roman"/>
        </w:rPr>
        <w:t>1413.</w:t>
      </w:r>
    </w:p>
    <w:p>
      <w:pPr>
        <w:spacing w:after="0" w:line="360" w:lineRule="auto"/>
        <w:rPr>
          <w:rFonts w:ascii="Times New Roman"/>
        </w:rPr>
        <w:sectPr>
          <w:footerReference w:type="default" r:id="rId178"/>
          <w:pgSz w:w="12240" w:h="15840"/>
          <w:pgMar w:footer="1146" w:header="685" w:top="880" w:bottom="1340" w:left="1300" w:right="1300"/>
          <w:pgNumType w:start="161"/>
        </w:sectPr>
      </w:pPr>
    </w:p>
    <w:p>
      <w:pPr>
        <w:pStyle w:val="BodyText"/>
        <w:rPr>
          <w:rFonts w:ascii="Times New Roman"/>
          <w:sz w:val="20"/>
        </w:rPr>
      </w:pPr>
    </w:p>
    <w:p>
      <w:pPr>
        <w:pStyle w:val="BodyText"/>
        <w:spacing w:before="5"/>
        <w:rPr>
          <w:rFonts w:ascii="Times New Roman"/>
          <w:sz w:val="19"/>
        </w:rPr>
      </w:pPr>
    </w:p>
    <w:p>
      <w:pPr>
        <w:pStyle w:val="BodyText"/>
        <w:spacing w:line="362" w:lineRule="auto" w:before="70"/>
        <w:ind w:left="471" w:right="128" w:hanging="356"/>
        <w:jc w:val="both"/>
        <w:rPr>
          <w:rFonts w:ascii="Times New Roman" w:hAnsi="Times New Roman"/>
        </w:rPr>
      </w:pPr>
      <w:r>
        <w:rPr>
          <w:rFonts w:ascii="Times New Roman" w:hAnsi="Times New Roman"/>
        </w:rPr>
        <w:t>Borboa, </w:t>
      </w:r>
      <w:r>
        <w:rPr>
          <w:rFonts w:ascii="Times New Roman" w:hAnsi="Times New Roman"/>
          <w:spacing w:val="-4"/>
        </w:rPr>
        <w:t>R.</w:t>
      </w:r>
      <w:r>
        <w:rPr>
          <w:rFonts w:ascii="Times New Roman" w:hAnsi="Times New Roman"/>
          <w:spacing w:val="52"/>
        </w:rPr>
        <w:t> </w:t>
      </w:r>
      <w:r>
        <w:rPr>
          <w:rFonts w:ascii="Times New Roman" w:hAnsi="Times New Roman"/>
          <w:spacing w:val="-3"/>
        </w:rPr>
        <w:t>A. </w:t>
      </w:r>
      <w:r>
        <w:rPr>
          <w:rFonts w:ascii="Times New Roman" w:hAnsi="Times New Roman"/>
        </w:rPr>
        <w:t>1999. Temascaltepec. Monografía Municipal. Tercera Edición. Instituto Mexiquense de cultura. Toluca, Estado de México. 249 </w:t>
      </w:r>
      <w:r>
        <w:rPr>
          <w:rFonts w:ascii="Times New Roman" w:hAnsi="Times New Roman"/>
          <w:spacing w:val="-3"/>
        </w:rPr>
        <w:t>p.</w:t>
      </w:r>
    </w:p>
    <w:p>
      <w:pPr>
        <w:pStyle w:val="BodyText"/>
        <w:spacing w:before="2"/>
        <w:ind w:left="116" w:right="78"/>
        <w:rPr>
          <w:rFonts w:ascii="Times New Roman" w:hAnsi="Times New Roman"/>
        </w:rPr>
      </w:pPr>
      <w:r>
        <w:rPr>
          <w:rFonts w:ascii="Times New Roman" w:hAnsi="Times New Roman"/>
        </w:rPr>
        <w:t>Borhidi,  A.  2006.  Rubiáceas  de  México.  Primera  edición.  Instituto  de  Ecología  y Botánica.</w:t>
      </w:r>
    </w:p>
    <w:p>
      <w:pPr>
        <w:pStyle w:val="BodyText"/>
        <w:spacing w:before="137"/>
        <w:ind w:left="471" w:right="78"/>
        <w:rPr>
          <w:rFonts w:ascii="Times New Roman" w:hAnsi="Times New Roman"/>
        </w:rPr>
      </w:pPr>
      <w:r>
        <w:rPr>
          <w:rFonts w:ascii="Times New Roman" w:hAnsi="Times New Roman"/>
        </w:rPr>
        <w:t>Academia de Ciencias de Hungría. Budapest, Hungría. 512 p.</w:t>
      </w:r>
    </w:p>
    <w:p>
      <w:pPr>
        <w:pStyle w:val="BodyText"/>
        <w:spacing w:before="137"/>
        <w:ind w:left="116" w:right="78"/>
        <w:rPr>
          <w:rFonts w:ascii="Times New Roman" w:hAnsi="Times New Roman"/>
        </w:rPr>
      </w:pPr>
      <w:r>
        <w:rPr>
          <w:rFonts w:ascii="Times New Roman" w:hAnsi="Times New Roman"/>
        </w:rPr>
        <w:t>Camacho,  H.,  L.  Cámara,  R.  Cascante,  y  H.  Sainz,  2001.  El  Enfoque  del  Marco   Lógico.</w:t>
      </w:r>
    </w:p>
    <w:p>
      <w:pPr>
        <w:pStyle w:val="BodyText"/>
        <w:spacing w:before="141"/>
        <w:ind w:left="471" w:right="78"/>
        <w:rPr>
          <w:rFonts w:ascii="Times New Roman" w:hAnsi="Times New Roman"/>
        </w:rPr>
      </w:pPr>
      <w:r>
        <w:rPr>
          <w:rFonts w:ascii="Times New Roman" w:hAnsi="Times New Roman"/>
        </w:rPr>
        <w:t>Fundación CIDEAL-ADC. Madrid, España. 235 p.</w:t>
      </w:r>
    </w:p>
    <w:p>
      <w:pPr>
        <w:pStyle w:val="BodyText"/>
        <w:spacing w:before="137"/>
        <w:ind w:left="116" w:right="78"/>
        <w:rPr>
          <w:rFonts w:ascii="Times New Roman" w:hAnsi="Times New Roman"/>
        </w:rPr>
      </w:pPr>
      <w:r>
        <w:rPr>
          <w:rFonts w:ascii="Times New Roman" w:hAnsi="Times New Roman"/>
        </w:rPr>
        <w:t>Calderón de R., G. y M. T. Germán. 1993. Meliaceae. Flora del bajío y de regiones adyacente.</w:t>
      </w:r>
    </w:p>
    <w:p>
      <w:pPr>
        <w:pStyle w:val="BodyText"/>
        <w:spacing w:before="137"/>
        <w:ind w:left="471" w:right="78"/>
        <w:rPr>
          <w:rFonts w:ascii="Times New Roman"/>
        </w:rPr>
      </w:pPr>
      <w:r>
        <w:rPr>
          <w:rFonts w:ascii="Times New Roman"/>
        </w:rPr>
        <w:t>11: 1 - 22</w:t>
      </w:r>
    </w:p>
    <w:p>
      <w:pPr>
        <w:pStyle w:val="BodyText"/>
        <w:spacing w:line="364" w:lineRule="auto" w:before="137"/>
        <w:ind w:left="116" w:right="125"/>
        <w:rPr>
          <w:rFonts w:ascii="Times New Roman" w:hAnsi="Times New Roman"/>
        </w:rPr>
      </w:pPr>
      <w:r>
        <w:rPr>
          <w:rFonts w:ascii="Times New Roman" w:hAnsi="Times New Roman"/>
        </w:rPr>
        <w:t>Carranza, G. E. 1992. Taxodiaceae. Flora del Bajío y de regiones adyacentes. 4: 1 – 7 CONABIO,   CONANP   y  SEMARNAT   (2008)   Estrategia  Mexicana  para   </w:t>
      </w:r>
      <w:r>
        <w:rPr>
          <w:rFonts w:ascii="Times New Roman" w:hAnsi="Times New Roman"/>
          <w:spacing w:val="-3"/>
        </w:rPr>
        <w:t>la</w:t>
      </w:r>
      <w:r>
        <w:rPr>
          <w:rFonts w:ascii="Times New Roman" w:hAnsi="Times New Roman"/>
          <w:spacing w:val="25"/>
        </w:rPr>
        <w:t> </w:t>
      </w:r>
      <w:r>
        <w:rPr>
          <w:rFonts w:ascii="Times New Roman" w:hAnsi="Times New Roman"/>
        </w:rPr>
        <w:t>Conservación</w:t>
      </w:r>
    </w:p>
    <w:p>
      <w:pPr>
        <w:pStyle w:val="BodyText"/>
        <w:tabs>
          <w:tab w:pos="2012" w:val="left" w:leader="none"/>
          <w:tab w:pos="3687" w:val="left" w:leader="none"/>
          <w:tab w:pos="4532" w:val="left" w:leader="none"/>
          <w:tab w:pos="5914" w:val="left" w:leader="none"/>
          <w:tab w:pos="7440" w:val="left" w:leader="none"/>
          <w:tab w:pos="9225" w:val="left" w:leader="none"/>
        </w:tabs>
        <w:spacing w:line="360" w:lineRule="auto"/>
        <w:ind w:left="471" w:right="120"/>
        <w:rPr>
          <w:rFonts w:ascii="Times New Roman" w:hAnsi="Times New Roman"/>
        </w:rPr>
      </w:pPr>
      <w:r>
        <w:rPr>
          <w:rFonts w:ascii="Times New Roman" w:hAnsi="Times New Roman"/>
        </w:rPr>
        <w:t>Vegetal:</w:t>
        <w:tab/>
        <w:t>Objetivos</w:t>
        <w:tab/>
        <w:t>y</w:t>
        <w:tab/>
        <w:t>Metas.</w:t>
        <w:tab/>
        <w:t>México.</w:t>
        <w:tab/>
        <w:t>Disponible</w:t>
        <w:tab/>
        <w:t>en:</w:t>
      </w:r>
      <w:hyperlink r:id="rId179">
        <w:r>
          <w:rPr>
            <w:rFonts w:ascii="Times New Roman" w:hAnsi="Times New Roman"/>
          </w:rPr>
          <w:t> http://www.biodiversidad.gob.mx/pais/pdf/EMCV.pdf</w:t>
        </w:r>
      </w:hyperlink>
      <w:r>
        <w:rPr>
          <w:rFonts w:ascii="Times New Roman" w:hAnsi="Times New Roman"/>
        </w:rPr>
        <w:t> consultado 3 de enero del</w:t>
      </w:r>
      <w:r>
        <w:rPr>
          <w:rFonts w:ascii="Times New Roman" w:hAnsi="Times New Roman"/>
          <w:spacing w:val="-31"/>
        </w:rPr>
        <w:t> </w:t>
      </w:r>
      <w:r>
        <w:rPr>
          <w:rFonts w:ascii="Times New Roman" w:hAnsi="Times New Roman"/>
        </w:rPr>
        <w:t>2013.</w:t>
      </w:r>
    </w:p>
    <w:p>
      <w:pPr>
        <w:pStyle w:val="BodyText"/>
        <w:spacing w:line="360" w:lineRule="auto" w:before="4"/>
        <w:ind w:left="471" w:right="114" w:hanging="356"/>
        <w:jc w:val="both"/>
        <w:rPr>
          <w:rFonts w:ascii="Times New Roman" w:hAnsi="Times New Roman"/>
        </w:rPr>
      </w:pPr>
      <w:r>
        <w:rPr>
          <w:rFonts w:ascii="Times New Roman" w:hAnsi="Times New Roman"/>
        </w:rPr>
        <w:t>CONABIO. 1998. La diversidad biológica de México: estudio de país. Comisión Nacional para el conocimiento y uso de la biodiversidad. México. Disponible en </w:t>
      </w:r>
      <w:hyperlink r:id="rId180">
        <w:r>
          <w:rPr>
            <w:rFonts w:ascii="Times New Roman" w:hAnsi="Times New Roman"/>
            <w:color w:val="0000FF"/>
            <w:u w:val="single" w:color="0000FF"/>
          </w:rPr>
          <w:t>http://www.conabio.gob.mx/institucion/estudio_pais/INICIO.PDF</w:t>
        </w:r>
        <w:r>
          <w:rPr>
            <w:rFonts w:ascii="Times New Roman" w:hAnsi="Times New Roman"/>
          </w:rPr>
          <w:t>,</w:t>
        </w:r>
      </w:hyperlink>
      <w:r>
        <w:rPr>
          <w:rFonts w:ascii="Times New Roman" w:hAnsi="Times New Roman"/>
        </w:rPr>
        <w:t> consultado el 5 de  abril del 2013.</w:t>
      </w:r>
    </w:p>
    <w:p>
      <w:pPr>
        <w:pStyle w:val="BodyText"/>
        <w:tabs>
          <w:tab w:pos="3414" w:val="left" w:leader="none"/>
          <w:tab w:pos="6097" w:val="left" w:leader="none"/>
          <w:tab w:pos="9294" w:val="left" w:leader="none"/>
        </w:tabs>
        <w:spacing w:line="362" w:lineRule="auto" w:before="124"/>
        <w:ind w:left="471" w:right="117" w:hanging="356"/>
        <w:jc w:val="both"/>
        <w:rPr>
          <w:rFonts w:ascii="Times New Roman"/>
        </w:rPr>
      </w:pPr>
      <w:r>
        <w:rPr>
          <w:rFonts w:ascii="Times New Roman"/>
        </w:rPr>
        <w:t>CONABIO.</w:t>
        <w:tab/>
        <w:t>2014.</w:t>
        <w:tab/>
        <w:t>Disponible</w:t>
        <w:tab/>
        <w:t>en </w:t>
      </w:r>
      <w:hyperlink r:id="rId181">
        <w:r>
          <w:rPr>
            <w:rFonts w:ascii="Times New Roman"/>
            <w:color w:val="0000FF"/>
            <w:u w:val="single" w:color="0000FF"/>
          </w:rPr>
          <w:t>http://www.conabio.gob.mx/conocimiento/info_especies/arboles/doctos/53-oleac1m.pdf</w:t>
        </w:r>
      </w:hyperlink>
    </w:p>
    <w:p>
      <w:pPr>
        <w:pStyle w:val="BodyText"/>
        <w:spacing w:line="360" w:lineRule="auto" w:before="1"/>
        <w:ind w:left="471" w:right="117" w:hanging="356"/>
        <w:jc w:val="both"/>
        <w:rPr>
          <w:rFonts w:ascii="Times New Roman" w:hAnsi="Times New Roman"/>
        </w:rPr>
      </w:pPr>
      <w:r>
        <w:rPr>
          <w:rFonts w:ascii="Times New Roman" w:hAnsi="Times New Roman"/>
        </w:rPr>
        <w:t>Daniel, T.F. 2009. Synopsis of Dicliptera (Acanthaceae) in the Nueva Galicia region of western Mexico with a new species, D. novogaliciana. Proceedings of the California Academy of Sciences 60: 1–18.</w:t>
      </w:r>
    </w:p>
    <w:p>
      <w:pPr>
        <w:pStyle w:val="BodyText"/>
        <w:spacing w:line="360" w:lineRule="auto" w:before="8"/>
        <w:ind w:left="471" w:right="115" w:hanging="356"/>
        <w:jc w:val="both"/>
        <w:rPr>
          <w:rFonts w:ascii="Times New Roman" w:hAnsi="Times New Roman"/>
        </w:rPr>
      </w:pPr>
      <w:r>
        <w:rPr>
          <w:rFonts w:ascii="Times New Roman" w:hAnsi="Times New Roman"/>
        </w:rPr>
        <w:t>Espejo –Serna, A. y A. R. López – Ferrari. 1998. Iridaceae. Flora de Veracruz. Instituto de Ecología, A. C. 105: 1 – 58p.</w:t>
      </w:r>
    </w:p>
    <w:p>
      <w:pPr>
        <w:pStyle w:val="BodyText"/>
        <w:spacing w:line="360" w:lineRule="auto" w:before="4"/>
        <w:ind w:left="471" w:right="117" w:hanging="356"/>
        <w:jc w:val="both"/>
        <w:rPr>
          <w:rFonts w:ascii="Times New Roman" w:hAnsi="Times New Roman"/>
        </w:rPr>
      </w:pPr>
      <w:r>
        <w:rPr>
          <w:rFonts w:ascii="Times New Roman" w:hAnsi="Times New Roman"/>
        </w:rPr>
        <w:t>Fernández, N. R., J. C. Rodríguez, S. M. Arreguín y J. </w:t>
      </w:r>
      <w:r>
        <w:rPr>
          <w:rFonts w:ascii="Times New Roman" w:hAnsi="Times New Roman"/>
          <w:spacing w:val="-3"/>
        </w:rPr>
        <w:t>A. </w:t>
      </w:r>
      <w:r>
        <w:rPr>
          <w:rFonts w:ascii="Times New Roman" w:hAnsi="Times New Roman"/>
        </w:rPr>
        <w:t>Rodríguez. 1998. Listado florístico de </w:t>
      </w:r>
      <w:r>
        <w:rPr>
          <w:rFonts w:ascii="Times New Roman" w:hAnsi="Times New Roman"/>
          <w:spacing w:val="-3"/>
        </w:rPr>
        <w:t>la </w:t>
      </w:r>
      <w:r>
        <w:rPr>
          <w:rFonts w:ascii="Times New Roman" w:hAnsi="Times New Roman"/>
        </w:rPr>
        <w:t>cuenca del río Balsas, México. Polibotánica.</w:t>
      </w:r>
      <w:r>
        <w:rPr>
          <w:rFonts w:ascii="Times New Roman" w:hAnsi="Times New Roman"/>
          <w:spacing w:val="-10"/>
        </w:rPr>
        <w:t> </w:t>
      </w:r>
      <w:r>
        <w:rPr>
          <w:rFonts w:ascii="Times New Roman" w:hAnsi="Times New Roman"/>
        </w:rPr>
        <w:t>9:1-151.</w:t>
      </w:r>
    </w:p>
    <w:p>
      <w:pPr>
        <w:pStyle w:val="BodyText"/>
        <w:spacing w:before="4"/>
        <w:ind w:left="116" w:right="78"/>
        <w:rPr>
          <w:rFonts w:ascii="Times New Roman" w:hAnsi="Times New Roman"/>
        </w:rPr>
      </w:pPr>
      <w:r>
        <w:rPr>
          <w:rFonts w:ascii="Times New Roman" w:hAnsi="Times New Roman"/>
        </w:rPr>
        <w:t>Fernández, N. R.; 1996. Rhamnaceae. Flora del bajío y de regiones adyacentes. 43: 1 - 68</w:t>
      </w:r>
    </w:p>
    <w:p>
      <w:pPr>
        <w:pStyle w:val="BodyText"/>
        <w:spacing w:before="141"/>
        <w:ind w:left="116" w:right="78"/>
        <w:rPr>
          <w:rFonts w:ascii="Times New Roman" w:hAnsi="Times New Roman"/>
        </w:rPr>
      </w:pPr>
      <w:r>
        <w:rPr>
          <w:rFonts w:ascii="Times New Roman" w:hAnsi="Times New Roman"/>
        </w:rPr>
        <w:t>Goetz, J. P., M. D. Lecompte. 1988. Etnografía y diseño cualitativo en investigación educativa.</w:t>
      </w:r>
    </w:p>
    <w:p>
      <w:pPr>
        <w:pStyle w:val="BodyText"/>
        <w:spacing w:before="137"/>
        <w:ind w:left="544" w:right="78"/>
        <w:rPr>
          <w:rFonts w:ascii="Times New Roman"/>
        </w:rPr>
      </w:pPr>
      <w:r>
        <w:rPr>
          <w:rFonts w:ascii="Times New Roman"/>
        </w:rPr>
        <w:t>Madrid: Morata.</w:t>
      </w:r>
    </w:p>
    <w:p>
      <w:pPr>
        <w:pStyle w:val="BodyText"/>
        <w:spacing w:before="137"/>
        <w:ind w:left="116" w:right="78"/>
        <w:rPr>
          <w:rFonts w:ascii="Times New Roman" w:hAnsi="Times New Roman"/>
        </w:rPr>
      </w:pPr>
      <w:r>
        <w:rPr>
          <w:rFonts w:ascii="Times New Roman" w:hAnsi="Times New Roman"/>
        </w:rPr>
        <w:t>Grether, R., A. Martínez – Bernal, M. Luckow y S. Zárate. 2006. Mimosaceae Tribu   Mimoseae.</w:t>
      </w:r>
    </w:p>
    <w:p>
      <w:pPr>
        <w:pStyle w:val="BodyText"/>
        <w:spacing w:before="137"/>
        <w:ind w:left="544" w:right="78"/>
        <w:rPr>
          <w:rFonts w:ascii="Times New Roman" w:hAnsi="Times New Roman"/>
        </w:rPr>
      </w:pPr>
      <w:r>
        <w:rPr>
          <w:rFonts w:ascii="Times New Roman" w:hAnsi="Times New Roman"/>
        </w:rPr>
        <w:t>Instituto de Biología, UNAM, 44: 1 - 108p.</w:t>
      </w:r>
    </w:p>
    <w:p>
      <w:pPr>
        <w:spacing w:after="0"/>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pStyle w:val="BodyText"/>
        <w:spacing w:line="362" w:lineRule="auto" w:before="70"/>
        <w:ind w:left="544" w:right="118" w:hanging="428"/>
        <w:jc w:val="both"/>
        <w:rPr>
          <w:rFonts w:ascii="Times New Roman" w:hAnsi="Times New Roman"/>
        </w:rPr>
      </w:pPr>
      <w:r>
        <w:rPr>
          <w:rFonts w:ascii="Times New Roman" w:hAnsi="Times New Roman"/>
        </w:rPr>
        <w:t>Guerrero, R. M. I., N. R. Fernández y S. M. L. Arreguín. 2002. La familia Celastraceae en la Cuenca del Río Balsas, México. Polibotánica. 14: 1 – 50.</w:t>
      </w:r>
    </w:p>
    <w:p>
      <w:pPr>
        <w:pStyle w:val="BodyText"/>
        <w:spacing w:line="360" w:lineRule="auto" w:before="2"/>
        <w:ind w:left="544" w:right="110" w:hanging="428"/>
        <w:rPr>
          <w:rFonts w:ascii="Times New Roman" w:hAnsi="Times New Roman"/>
        </w:rPr>
      </w:pPr>
      <w:r>
        <w:rPr>
          <w:rFonts w:ascii="Times New Roman" w:hAnsi="Times New Roman"/>
        </w:rPr>
        <w:t>IGECEM, Instituto de Información e Investigación Geográfica, Estadística y Catastral del Estado de México. 2011. Estadística básica municipal del Estado de México. Temascaltepec. Consultado el 19 de febrero del 2013. Disponible en: </w:t>
      </w:r>
      <w:hyperlink r:id="rId182">
        <w:r>
          <w:rPr>
            <w:rFonts w:ascii="Times New Roman" w:hAnsi="Times New Roman"/>
            <w:color w:val="0000FF"/>
            <w:u w:val="single" w:color="0000FF"/>
          </w:rPr>
          <w:t>http://igecem.edomex.gob.mx/descargas/estadistica/ESTADISTICABMUNI/ESTADISTICA</w:t>
        </w:r>
      </w:hyperlink>
      <w:r>
        <w:rPr>
          <w:rFonts w:ascii="Times New Roman" w:hAnsi="Times New Roman"/>
          <w:color w:val="0000FF"/>
          <w:u w:val="single" w:color="0000FF"/>
        </w:rPr>
        <w:t> </w:t>
      </w:r>
      <w:hyperlink r:id="rId182">
        <w:r>
          <w:rPr>
            <w:rFonts w:ascii="Times New Roman" w:hAnsi="Times New Roman"/>
            <w:color w:val="0000FF"/>
            <w:u w:val="single" w:color="0000FF"/>
          </w:rPr>
          <w:t>BASI/ARCHIVOS/Temascaltepec.pdf</w:t>
        </w:r>
      </w:hyperlink>
    </w:p>
    <w:p>
      <w:pPr>
        <w:pStyle w:val="BodyText"/>
        <w:spacing w:line="362" w:lineRule="auto" w:before="4"/>
        <w:ind w:left="544" w:right="119" w:hanging="428"/>
        <w:jc w:val="both"/>
        <w:rPr>
          <w:rFonts w:ascii="Times New Roman" w:hAnsi="Times New Roman"/>
        </w:rPr>
      </w:pPr>
      <w:r>
        <w:rPr>
          <w:rFonts w:ascii="Times New Roman" w:hAnsi="Times New Roman"/>
        </w:rPr>
        <w:t>INEGI, Instituto Nacional de Estadística y Geografía. 2010. Censo de Población  y Vivienda 2010. Principales resultados por localidad (ITER). Consultado el día 11 de marzo del 2013. Disponible en: </w:t>
      </w:r>
      <w:hyperlink r:id="rId183">
        <w:r>
          <w:rPr>
            <w:rFonts w:ascii="Times New Roman" w:hAnsi="Times New Roman"/>
            <w:color w:val="0000FF"/>
            <w:u w:val="single" w:color="0000FF"/>
          </w:rPr>
          <w:t>http://www.inegi.org.mx</w:t>
        </w:r>
      </w:hyperlink>
    </w:p>
    <w:p>
      <w:pPr>
        <w:pStyle w:val="BodyText"/>
        <w:spacing w:line="360" w:lineRule="auto" w:before="1"/>
        <w:ind w:left="544" w:right="125" w:hanging="428"/>
        <w:jc w:val="both"/>
        <w:rPr>
          <w:rFonts w:ascii="Times New Roman" w:hAnsi="Times New Roman"/>
        </w:rPr>
      </w:pPr>
      <w:r>
        <w:rPr>
          <w:rFonts w:ascii="Times New Roman" w:hAnsi="Times New Roman"/>
        </w:rPr>
        <w:t>Lascurain, M., O. Gómez, O. Sánchez y C. Cecilia-Hernández (eds.), 2006. Jardines Botánicos: conceptos, operación y manejo. Mérida: Asociación Mexicana de Jardines Botánicos, </w:t>
      </w:r>
      <w:r>
        <w:rPr>
          <w:rFonts w:ascii="Times New Roman" w:hAnsi="Times New Roman"/>
          <w:spacing w:val="-3"/>
        </w:rPr>
        <w:t>AC, </w:t>
      </w:r>
      <w:r>
        <w:rPr>
          <w:rFonts w:ascii="Times New Roman" w:hAnsi="Times New Roman"/>
        </w:rPr>
        <w:t>pp. 113 -11</w:t>
      </w:r>
      <w:r>
        <w:rPr>
          <w:rFonts w:ascii="Times New Roman" w:hAnsi="Times New Roman"/>
          <w:spacing w:val="6"/>
        </w:rPr>
        <w:t> </w:t>
      </w:r>
      <w:r>
        <w:rPr>
          <w:rFonts w:ascii="Times New Roman" w:hAnsi="Times New Roman"/>
          <w:spacing w:val="-3"/>
        </w:rPr>
        <w:t>8.</w:t>
      </w:r>
    </w:p>
    <w:p>
      <w:pPr>
        <w:pStyle w:val="BodyText"/>
        <w:spacing w:line="360" w:lineRule="auto" w:before="9"/>
        <w:ind w:left="544" w:right="111" w:hanging="428"/>
        <w:jc w:val="both"/>
        <w:rPr>
          <w:rFonts w:ascii="Times New Roman" w:hAnsi="Times New Roman"/>
        </w:rPr>
      </w:pPr>
      <w:r>
        <w:rPr>
          <w:rFonts w:ascii="Times New Roman" w:hAnsi="Times New Roman"/>
        </w:rPr>
        <w:t>Lorea-Hernández, F. G. 2004. Capparaceae. Flora del Bajío y de Regiones Adyacentes. 130: 1- 31.</w:t>
      </w:r>
    </w:p>
    <w:p>
      <w:pPr>
        <w:pStyle w:val="BodyText"/>
        <w:spacing w:line="362" w:lineRule="auto" w:before="4"/>
        <w:ind w:left="544" w:right="125" w:hanging="428"/>
        <w:jc w:val="both"/>
        <w:rPr>
          <w:rFonts w:ascii="Times New Roman" w:hAnsi="Times New Roman"/>
        </w:rPr>
      </w:pPr>
      <w:r>
        <w:rPr>
          <w:rFonts w:ascii="Times New Roman" w:hAnsi="Times New Roman"/>
        </w:rPr>
        <w:t>Lot, A. y Chiang F. 1986. Manual de Herbario. Administración y manejo de colecciones, técnicas de recolección y preparación de ejemplares botánicos. Consejo Nacional de la Flora de México. México, D.F. 143 pp.</w:t>
      </w:r>
    </w:p>
    <w:p>
      <w:pPr>
        <w:pStyle w:val="BodyText"/>
        <w:spacing w:line="360" w:lineRule="auto" w:before="1"/>
        <w:ind w:left="544" w:right="129" w:hanging="428"/>
        <w:jc w:val="both"/>
        <w:rPr>
          <w:rFonts w:ascii="Times New Roman" w:hAnsi="Times New Roman"/>
        </w:rPr>
      </w:pPr>
      <w:r>
        <w:rPr>
          <w:rFonts w:ascii="Times New Roman" w:hAnsi="Times New Roman"/>
        </w:rPr>
        <w:t>Luján-Álvarez, C., J.A. Diemer y M.L. Stanford, 2000. “Desarrollo de comunidades forestales sustentables en Chihuahua, México”. Madera y Bosques, 6(2): 29-39.</w:t>
      </w:r>
    </w:p>
    <w:p>
      <w:pPr>
        <w:pStyle w:val="BodyText"/>
        <w:spacing w:line="362" w:lineRule="auto" w:before="4"/>
        <w:ind w:left="544" w:right="120" w:hanging="428"/>
        <w:jc w:val="both"/>
        <w:rPr>
          <w:rFonts w:ascii="Times New Roman"/>
        </w:rPr>
      </w:pPr>
      <w:r>
        <w:rPr>
          <w:rFonts w:ascii="Times New Roman"/>
        </w:rPr>
        <w:t>McVaugh, R. 1992. Flora Novo-Galiciana; vol. 17. Gymnosperms and Pteridophytes. University of Michigan Herbarium. E.U.A.</w:t>
      </w:r>
    </w:p>
    <w:p>
      <w:pPr>
        <w:pStyle w:val="BodyText"/>
        <w:spacing w:line="360" w:lineRule="auto" w:before="1"/>
        <w:ind w:left="544" w:right="122" w:hanging="428"/>
        <w:jc w:val="both"/>
        <w:rPr>
          <w:rFonts w:ascii="Times New Roman"/>
        </w:rPr>
      </w:pPr>
      <w:r>
        <w:rPr>
          <w:rFonts w:ascii="Times New Roman"/>
        </w:rPr>
        <w:t>Morton J. 1987. Roselle. Hibiscus sabdariffa L. 281-286. En: Fruits of Warm Climates. Miami, </w:t>
      </w:r>
      <w:r>
        <w:rPr>
          <w:rFonts w:ascii="Times New Roman"/>
          <w:spacing w:val="-4"/>
        </w:rPr>
        <w:t>Fl.</w:t>
      </w:r>
      <w:r>
        <w:rPr>
          <w:rFonts w:ascii="Times New Roman"/>
          <w:spacing w:val="4"/>
        </w:rPr>
        <w:t> </w:t>
      </w:r>
      <w:r>
        <w:rPr>
          <w:rFonts w:ascii="Times New Roman"/>
        </w:rPr>
        <w:t>USA.</w:t>
      </w:r>
    </w:p>
    <w:p>
      <w:pPr>
        <w:pStyle w:val="BodyText"/>
        <w:spacing w:line="360" w:lineRule="auto" w:before="4"/>
        <w:ind w:left="544" w:right="131" w:hanging="428"/>
        <w:jc w:val="both"/>
        <w:rPr>
          <w:rFonts w:ascii="Times New Roman" w:hAnsi="Times New Roman"/>
        </w:rPr>
      </w:pPr>
      <w:r>
        <w:rPr>
          <w:rFonts w:ascii="Times New Roman" w:hAnsi="Times New Roman"/>
        </w:rPr>
        <w:t>Nee, M. 1986. Flora de Veracruz, Fascículo 49, Solanaceae I. Instituto Nacional de Investigaciones sobre Recursos Bióticos. Xalapa, Veracruz. 191 pp.</w:t>
      </w:r>
    </w:p>
    <w:p>
      <w:pPr>
        <w:pStyle w:val="BodyText"/>
        <w:spacing w:line="360" w:lineRule="auto" w:before="8"/>
        <w:ind w:left="544" w:right="130" w:hanging="428"/>
        <w:jc w:val="both"/>
        <w:rPr>
          <w:rFonts w:ascii="Times New Roman" w:hAnsi="Times New Roman"/>
        </w:rPr>
      </w:pPr>
      <w:r>
        <w:rPr>
          <w:rFonts w:ascii="Times New Roman" w:hAnsi="Times New Roman"/>
        </w:rPr>
        <w:t>Nee, M. 1999. Flora de Veracruz, Fascículo 111, Flacourtiaceae. Instituto de Ecología A. C. University of California, Riverside, C. A. Xalapa, Veracruz.</w:t>
      </w:r>
    </w:p>
    <w:p>
      <w:pPr>
        <w:pStyle w:val="BodyText"/>
        <w:spacing w:before="4"/>
        <w:ind w:left="116" w:right="78"/>
        <w:rPr>
          <w:rFonts w:ascii="Times New Roman" w:hAnsi="Times New Roman"/>
        </w:rPr>
      </w:pPr>
      <w:r>
        <w:rPr>
          <w:rFonts w:ascii="Times New Roman" w:hAnsi="Times New Roman"/>
        </w:rPr>
        <w:t>Ocampo,  R;  R.  Valverde.  2000.  Manual  de  cultivo  y  conservación  de  plantas  medicinales.</w:t>
      </w:r>
    </w:p>
    <w:p>
      <w:pPr>
        <w:pStyle w:val="BodyText"/>
        <w:spacing w:before="137"/>
        <w:ind w:left="544" w:right="78"/>
        <w:rPr>
          <w:rFonts w:ascii="Times New Roman" w:hAnsi="Times New Roman"/>
        </w:rPr>
      </w:pPr>
      <w:r>
        <w:rPr>
          <w:rFonts w:ascii="Times New Roman" w:hAnsi="Times New Roman"/>
        </w:rPr>
        <w:t>Editorial Tramil. San José, Costa Rica. 143 p</w:t>
      </w:r>
    </w:p>
    <w:p>
      <w:pPr>
        <w:spacing w:after="0"/>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pStyle w:val="BodyText"/>
        <w:spacing w:line="362" w:lineRule="auto" w:before="70"/>
        <w:ind w:left="544" w:right="117" w:hanging="428"/>
        <w:jc w:val="both"/>
        <w:rPr>
          <w:rFonts w:ascii="Times New Roman" w:hAnsi="Times New Roman"/>
        </w:rPr>
      </w:pPr>
      <w:r>
        <w:rPr>
          <w:rFonts w:ascii="Times New Roman" w:hAnsi="Times New Roman"/>
        </w:rPr>
        <w:t>Rzedowski, J., G. Rzedowski de C. y P. Carrillo – Reyes. 2011. Tribu Heliantheae II. Flora del Bajío y de regiones adyacentes. 172: 1 409</w:t>
      </w:r>
    </w:p>
    <w:p>
      <w:pPr>
        <w:pStyle w:val="BodyText"/>
        <w:spacing w:before="2"/>
        <w:ind w:left="116" w:right="78"/>
        <w:rPr>
          <w:rFonts w:ascii="Times New Roman" w:hAnsi="Times New Roman"/>
        </w:rPr>
      </w:pPr>
      <w:r>
        <w:rPr>
          <w:rFonts w:ascii="Times New Roman" w:hAnsi="Times New Roman"/>
        </w:rPr>
        <w:t>Rzedowski, J.    y Rzedowski de C. G. 2005. Rosaceae. Flora del bajío  y de regiones adyacentes.</w:t>
      </w:r>
    </w:p>
    <w:p>
      <w:pPr>
        <w:pStyle w:val="BodyText"/>
        <w:spacing w:before="137"/>
        <w:ind w:left="544" w:right="78"/>
        <w:rPr>
          <w:rFonts w:ascii="Times New Roman" w:hAnsi="Times New Roman"/>
        </w:rPr>
      </w:pPr>
      <w:r>
        <w:rPr>
          <w:rFonts w:ascii="Times New Roman" w:hAnsi="Times New Roman"/>
        </w:rPr>
        <w:t>135: 1 – 157.</w:t>
      </w:r>
    </w:p>
    <w:p>
      <w:pPr>
        <w:pStyle w:val="BodyText"/>
        <w:spacing w:line="362" w:lineRule="auto" w:before="137"/>
        <w:ind w:left="544" w:right="125" w:hanging="428"/>
        <w:jc w:val="both"/>
        <w:rPr>
          <w:rFonts w:ascii="Times New Roman" w:hAnsi="Times New Roman"/>
        </w:rPr>
      </w:pPr>
      <w:r>
        <w:rPr>
          <w:rFonts w:ascii="Times New Roman" w:hAnsi="Times New Roman"/>
        </w:rPr>
        <w:t>Rzedowski, J. 1998. Diversidad y orígenes de la flora fanerogámica de México. En T. P. Ramamoorthy, R. Bye, A. Lot y J. Fa (eds.) Diversidad biológica de México: orígenes y su distribución. IBUNAM, México. 129-145pp.</w:t>
      </w:r>
    </w:p>
    <w:p>
      <w:pPr>
        <w:pStyle w:val="BodyText"/>
        <w:spacing w:line="360" w:lineRule="auto" w:before="1"/>
        <w:ind w:left="544" w:right="130" w:hanging="428"/>
        <w:jc w:val="both"/>
        <w:rPr>
          <w:rFonts w:ascii="Times New Roman" w:hAnsi="Times New Roman"/>
        </w:rPr>
      </w:pPr>
      <w:r>
        <w:rPr>
          <w:rFonts w:ascii="Times New Roman" w:hAnsi="Times New Roman"/>
        </w:rPr>
        <w:t>Rzedowski, J. 1988. Vegetación de México. Editorial Limusa, S.A. de C.V. México, D.F. Primera Edición, Cuarta</w:t>
      </w:r>
      <w:r>
        <w:rPr>
          <w:rFonts w:ascii="Times New Roman" w:hAnsi="Times New Roman"/>
          <w:spacing w:val="-23"/>
        </w:rPr>
        <w:t> </w:t>
      </w:r>
      <w:r>
        <w:rPr>
          <w:rFonts w:ascii="Times New Roman" w:hAnsi="Times New Roman"/>
        </w:rPr>
        <w:t>impresión.</w:t>
      </w:r>
    </w:p>
    <w:p>
      <w:pPr>
        <w:pStyle w:val="BodyText"/>
        <w:spacing w:line="360" w:lineRule="auto" w:before="9"/>
        <w:ind w:left="544" w:right="128" w:hanging="428"/>
        <w:jc w:val="both"/>
        <w:rPr>
          <w:rFonts w:ascii="Times New Roman" w:hAnsi="Times New Roman"/>
        </w:rPr>
      </w:pPr>
      <w:r>
        <w:rPr>
          <w:rFonts w:ascii="Times New Roman" w:hAnsi="Times New Roman"/>
        </w:rPr>
        <w:t>Rodríguez, J. C. 1996. Flora del Bajío y de regiones adtacentes. Fasciculo 45. Instituto polítecnico nacional.</w:t>
      </w:r>
      <w:r>
        <w:rPr>
          <w:rFonts w:ascii="Times New Roman" w:hAnsi="Times New Roman"/>
          <w:spacing w:val="-17"/>
        </w:rPr>
        <w:t> </w:t>
      </w:r>
      <w:r>
        <w:rPr>
          <w:rFonts w:ascii="Times New Roman" w:hAnsi="Times New Roman"/>
        </w:rPr>
        <w:t>26p.</w:t>
      </w:r>
    </w:p>
    <w:p>
      <w:pPr>
        <w:pStyle w:val="BodyText"/>
        <w:spacing w:line="360" w:lineRule="auto" w:before="4"/>
        <w:ind w:left="544" w:right="131" w:hanging="428"/>
        <w:jc w:val="both"/>
        <w:rPr>
          <w:rFonts w:ascii="Times New Roman" w:hAnsi="Times New Roman"/>
        </w:rPr>
      </w:pPr>
      <w:r>
        <w:rPr>
          <w:rFonts w:ascii="Times New Roman" w:hAnsi="Times New Roman"/>
        </w:rPr>
        <w:t>Romero, R, S., Z. E.C. Rojas, L. L. E. Rubio. 2014. Fagaceae. Flora del bajío y de regiones adyacente. 181: 1 - 167</w:t>
      </w:r>
    </w:p>
    <w:p>
      <w:pPr>
        <w:pStyle w:val="BodyText"/>
        <w:spacing w:before="9"/>
        <w:ind w:left="116" w:right="78"/>
        <w:rPr>
          <w:rFonts w:ascii="Times New Roman" w:hAnsi="Times New Roman"/>
        </w:rPr>
      </w:pPr>
      <w:r>
        <w:rPr>
          <w:rFonts w:ascii="Times New Roman" w:hAnsi="Times New Roman"/>
        </w:rPr>
        <w:t>Sampieri,  H.  R.,  C.  C.  Fernández  y  L.  P.  Baptista.  1998.  Metodología  de  la Investigación.</w:t>
      </w:r>
    </w:p>
    <w:p>
      <w:pPr>
        <w:pStyle w:val="BodyText"/>
        <w:spacing w:before="137"/>
        <w:ind w:left="544" w:right="78"/>
        <w:rPr>
          <w:rFonts w:ascii="Times New Roman" w:hAnsi="Times New Roman"/>
        </w:rPr>
      </w:pPr>
      <w:r>
        <w:rPr>
          <w:rFonts w:ascii="Times New Roman" w:hAnsi="Times New Roman"/>
        </w:rPr>
        <w:t>Segunda Edición. Mc Graw Hill. México. 613p.</w:t>
      </w:r>
    </w:p>
    <w:p>
      <w:pPr>
        <w:pStyle w:val="BodyText"/>
        <w:tabs>
          <w:tab w:pos="3316" w:val="left" w:leader="none"/>
          <w:tab w:pos="5126" w:val="left" w:leader="none"/>
          <w:tab w:pos="7487" w:val="left" w:leader="none"/>
          <w:tab w:pos="8984" w:val="left" w:leader="none"/>
        </w:tabs>
        <w:spacing w:line="360" w:lineRule="auto" w:before="137"/>
        <w:ind w:left="544" w:right="125" w:hanging="428"/>
        <w:rPr>
          <w:rFonts w:ascii="Times New Roman" w:hAnsi="Times New Roman"/>
        </w:rPr>
      </w:pPr>
      <w:r>
        <w:rPr>
          <w:rFonts w:ascii="Times New Roman" w:hAnsi="Times New Roman"/>
        </w:rPr>
        <w:t>SEDESOL, Secretaría de Desarrollo Social. Dirección General Adjunta de Planeación Microrregional,</w:t>
        <w:tab/>
        <w:t>2012.</w:t>
        <w:tab/>
        <w:t>Consultado</w:t>
        <w:tab/>
        <w:t>en</w:t>
        <w:tab/>
      </w:r>
      <w:r>
        <w:rPr>
          <w:rFonts w:ascii="Times New Roman" w:hAnsi="Times New Roman"/>
          <w:spacing w:val="-1"/>
        </w:rPr>
        <w:t>línea: </w:t>
      </w:r>
      <w:hyperlink r:id="rId184">
        <w:r>
          <w:rPr>
            <w:rFonts w:ascii="Times New Roman" w:hAnsi="Times New Roman"/>
            <w:color w:val="0000FF"/>
            <w:u w:val="single" w:color="0000FF"/>
          </w:rPr>
          <w:t>http://www.microrregiones.gob.mx/zap/datGenerales.aspx?entra=pdzp&amp;ent=15&amp;mun=086</w:t>
        </w:r>
      </w:hyperlink>
      <w:r>
        <w:rPr>
          <w:rFonts w:ascii="Times New Roman" w:hAnsi="Times New Roman"/>
          <w:color w:val="0000FF"/>
          <w:u w:val="single" w:color="0000FF"/>
        </w:rPr>
        <w:t> </w:t>
      </w:r>
      <w:r>
        <w:rPr>
          <w:rFonts w:ascii="Times New Roman" w:hAnsi="Times New Roman"/>
        </w:rPr>
        <w:t>Fecha 15 de octubre del</w:t>
      </w:r>
      <w:r>
        <w:rPr>
          <w:rFonts w:ascii="Times New Roman" w:hAnsi="Times New Roman"/>
          <w:spacing w:val="-8"/>
        </w:rPr>
        <w:t> </w:t>
      </w:r>
      <w:r>
        <w:rPr>
          <w:rFonts w:ascii="Times New Roman" w:hAnsi="Times New Roman"/>
        </w:rPr>
        <w:t>2012.</w:t>
      </w:r>
    </w:p>
    <w:p>
      <w:pPr>
        <w:pStyle w:val="BodyText"/>
        <w:spacing w:line="362" w:lineRule="auto" w:before="4"/>
        <w:ind w:left="544" w:right="120" w:hanging="428"/>
        <w:jc w:val="both"/>
        <w:rPr>
          <w:rFonts w:ascii="Times New Roman"/>
        </w:rPr>
      </w:pPr>
      <w:r>
        <w:rPr>
          <w:rFonts w:ascii="Times New Roman"/>
        </w:rPr>
        <w:t>Stanley, C., P. 1982. Trees and shrubs of Mexico. Smithsonian Institution United states National Museum. Contributions from the United States National Herbarium. Vol. 23. Alemania. p. 419.</w:t>
      </w:r>
    </w:p>
    <w:p>
      <w:pPr>
        <w:pStyle w:val="BodyText"/>
        <w:spacing w:line="360" w:lineRule="auto" w:before="1"/>
        <w:ind w:left="544" w:right="130" w:hanging="428"/>
        <w:jc w:val="both"/>
        <w:rPr>
          <w:rFonts w:ascii="Times New Roman" w:hAnsi="Times New Roman"/>
        </w:rPr>
      </w:pPr>
      <w:r>
        <w:rPr>
          <w:rFonts w:ascii="Times New Roman" w:hAnsi="Times New Roman"/>
        </w:rPr>
        <w:t>Toledo, V.M. 1994. La diversidad biológica de México. Nuevo retos para la investigación en los noventas. Ciencias 34:43-59.</w:t>
      </w:r>
    </w:p>
    <w:p>
      <w:pPr>
        <w:pStyle w:val="BodyText"/>
        <w:spacing w:line="360" w:lineRule="auto" w:before="4"/>
        <w:ind w:left="544" w:right="126" w:hanging="428"/>
        <w:jc w:val="both"/>
        <w:rPr>
          <w:rFonts w:ascii="Times New Roman" w:hAnsi="Times New Roman"/>
        </w:rPr>
      </w:pPr>
      <w:r>
        <w:rPr>
          <w:rFonts w:ascii="Times New Roman" w:hAnsi="Times New Roman"/>
        </w:rPr>
        <w:t>Toledo, V. M. y M. J. Ordóñez. 1998. El panorama de la biodiversidad de México: una revisión de los hábitats terrestres. In: Ramamoorthy, T. P., R. Bye, A. Lot y J. Fa (eds) Diversidad biológica de México: orígenes y distribución. Instituto de Biología, Universidad Nacional Autónoma de México. México, D.F. 739-757 pp.</w:t>
      </w:r>
    </w:p>
    <w:p>
      <w:pPr>
        <w:pStyle w:val="BodyText"/>
        <w:spacing w:line="360" w:lineRule="auto" w:before="4"/>
        <w:ind w:left="544" w:right="125" w:hanging="428"/>
        <w:jc w:val="both"/>
        <w:rPr>
          <w:rFonts w:ascii="Times New Roman" w:hAnsi="Times New Roman"/>
        </w:rPr>
      </w:pPr>
      <w:r>
        <w:rPr>
          <w:rFonts w:ascii="Times New Roman" w:hAnsi="Times New Roman"/>
        </w:rPr>
        <w:t>Torres - Zuñiga, M. M. y J. D., Tejero – Díez, 1998. Flora y vegetación de la Sierra de Sultepec, Estado de México. Anales del Instituto de Biología, Universidad Nacional Autónoma de México 69 (2): 135 - 174</w:t>
      </w:r>
    </w:p>
    <w:p>
      <w:pPr>
        <w:spacing w:after="0" w:line="36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5"/>
        <w:rPr>
          <w:rFonts w:ascii="Times New Roman"/>
          <w:sz w:val="19"/>
        </w:rPr>
      </w:pPr>
    </w:p>
    <w:p>
      <w:pPr>
        <w:spacing w:before="70"/>
        <w:ind w:left="116" w:right="78" w:firstLine="0"/>
        <w:jc w:val="left"/>
        <w:rPr>
          <w:rFonts w:ascii="Verdana"/>
          <w:sz w:val="19"/>
        </w:rPr>
      </w:pPr>
      <w:r>
        <w:rPr>
          <w:rFonts w:ascii="Times New Roman"/>
          <w:sz w:val="24"/>
        </w:rPr>
        <w:t>Tropicos 2014. </w:t>
      </w:r>
      <w:hyperlink r:id="rId185">
        <w:r>
          <w:rPr>
            <w:rFonts w:ascii="Verdana"/>
            <w:color w:val="0000FF"/>
            <w:sz w:val="19"/>
            <w:u w:val="single" w:color="0000FF"/>
          </w:rPr>
          <w:t>http://www.tropicos.org</w:t>
        </w:r>
      </w:hyperlink>
      <w:r>
        <w:rPr>
          <w:rFonts w:ascii="Verdana"/>
          <w:sz w:val="19"/>
        </w:rPr>
        <w:t>. Missouri Botanical Garden.</w:t>
      </w:r>
    </w:p>
    <w:p>
      <w:pPr>
        <w:pStyle w:val="BodyText"/>
        <w:spacing w:line="360" w:lineRule="auto" w:before="141"/>
        <w:ind w:left="544" w:right="112" w:hanging="428"/>
        <w:jc w:val="both"/>
        <w:rPr>
          <w:rFonts w:ascii="Times New Roman" w:hAnsi="Times New Roman"/>
        </w:rPr>
      </w:pPr>
      <w:r>
        <w:rPr>
          <w:rFonts w:ascii="Times New Roman" w:hAnsi="Times New Roman"/>
        </w:rPr>
        <w:t>Villarreal, Q. J. A. 2008. Sambucaceae. Flora del Valle de Tehuacán-Cuicatlán. Instituto de Biología, UNAM, 61: 1 - 5p.</w:t>
      </w:r>
    </w:p>
    <w:p>
      <w:pPr>
        <w:pStyle w:val="BodyText"/>
        <w:spacing w:before="4"/>
        <w:ind w:left="116" w:right="78"/>
        <w:rPr>
          <w:rFonts w:ascii="Times New Roman" w:hAnsi="Times New Roman"/>
        </w:rPr>
      </w:pPr>
      <w:r>
        <w:rPr>
          <w:rFonts w:ascii="Times New Roman" w:hAnsi="Times New Roman"/>
        </w:rPr>
        <w:t>Villarreal, Q. J. A. 1993. Introducción a la botánica forestal. Segunda edición. Editorial Trillas.</w:t>
      </w:r>
    </w:p>
    <w:p>
      <w:pPr>
        <w:pStyle w:val="BodyText"/>
        <w:spacing w:before="137"/>
        <w:ind w:left="544" w:right="78"/>
        <w:rPr>
          <w:rFonts w:ascii="Times New Roman" w:hAnsi="Times New Roman"/>
        </w:rPr>
      </w:pPr>
      <w:r>
        <w:rPr>
          <w:rFonts w:ascii="Times New Roman" w:hAnsi="Times New Roman"/>
        </w:rPr>
        <w:t>Universidad Autónoma Agraria Antonio Narro. México, D.F. 151 p.</w:t>
      </w:r>
    </w:p>
    <w:p>
      <w:pPr>
        <w:pStyle w:val="BodyText"/>
        <w:spacing w:line="360" w:lineRule="auto" w:before="141"/>
        <w:ind w:left="544" w:right="132" w:hanging="428"/>
        <w:jc w:val="both"/>
        <w:rPr>
          <w:rFonts w:ascii="Times New Roman" w:hAnsi="Times New Roman"/>
        </w:rPr>
      </w:pPr>
      <w:r>
        <w:rPr>
          <w:rFonts w:ascii="Times New Roman" w:hAnsi="Times New Roman"/>
        </w:rPr>
        <w:t>Villaseñor, J.L. 2004. Los géneros de plantas vasculares de la flora de México. Boletín de la Sociedad Botánica de México 75:105-135.</w:t>
      </w:r>
    </w:p>
    <w:p>
      <w:pPr>
        <w:pStyle w:val="BodyText"/>
        <w:spacing w:line="360" w:lineRule="auto" w:before="4"/>
        <w:ind w:left="544" w:right="132" w:hanging="428"/>
        <w:jc w:val="both"/>
        <w:rPr>
          <w:rFonts w:ascii="Times New Roman" w:hAnsi="Times New Roman"/>
        </w:rPr>
      </w:pPr>
      <w:r>
        <w:rPr>
          <w:rFonts w:ascii="Times New Roman" w:hAnsi="Times New Roman"/>
        </w:rPr>
        <w:t>Villaseñor, J. L., 1987. Clave genérica de las compuestas de la Cuenca del Río Balsas. Boletín de la Sociedad Botánica de México, 47: 65-86.</w:t>
      </w:r>
    </w:p>
    <w:p>
      <w:pPr>
        <w:pStyle w:val="BodyText"/>
        <w:spacing w:line="360" w:lineRule="auto" w:before="9"/>
        <w:ind w:left="544" w:right="125" w:hanging="428"/>
        <w:jc w:val="both"/>
        <w:rPr>
          <w:rFonts w:ascii="Times New Roman" w:hAnsi="Times New Roman"/>
        </w:rPr>
      </w:pPr>
      <w:r>
        <w:rPr>
          <w:rFonts w:ascii="Times New Roman" w:hAnsi="Times New Roman"/>
        </w:rPr>
        <w:t>Villaseñor R., J. L. y F. J. G. Espinosa. 1998. Catálogo de malezas de México. Universidad Nacional Autónoma de México. Consejo Nacional Consultivo Fitosanitario. Fondo de Cultura Económica. México, D.F.</w:t>
      </w:r>
    </w:p>
    <w:p>
      <w:pPr>
        <w:pStyle w:val="BodyText"/>
        <w:tabs>
          <w:tab w:pos="1742" w:val="left" w:leader="none"/>
          <w:tab w:pos="2213" w:val="left" w:leader="none"/>
          <w:tab w:pos="3426" w:val="left" w:leader="none"/>
          <w:tab w:pos="3896" w:val="left" w:leader="none"/>
          <w:tab w:pos="5081" w:val="left" w:leader="none"/>
          <w:tab w:pos="6117" w:val="left" w:leader="none"/>
          <w:tab w:pos="6788" w:val="left" w:leader="none"/>
          <w:tab w:pos="7388" w:val="left" w:leader="none"/>
          <w:tab w:pos="7930" w:val="left" w:leader="none"/>
          <w:tab w:pos="9216" w:val="left" w:leader="none"/>
        </w:tabs>
        <w:spacing w:line="360" w:lineRule="auto" w:before="4"/>
        <w:ind w:left="544" w:right="129" w:hanging="428"/>
        <w:rPr>
          <w:rFonts w:ascii="Times New Roman" w:hAnsi="Times New Roman"/>
        </w:rPr>
      </w:pPr>
      <w:r>
        <w:rPr>
          <w:rFonts w:ascii="Times New Roman" w:hAnsi="Times New Roman"/>
        </w:rPr>
        <w:t>Vovides, </w:t>
      </w:r>
      <w:r>
        <w:rPr>
          <w:rFonts w:ascii="Times New Roman" w:hAnsi="Times New Roman"/>
          <w:spacing w:val="-3"/>
        </w:rPr>
        <w:t>A. </w:t>
      </w:r>
      <w:r>
        <w:rPr>
          <w:rFonts w:ascii="Times New Roman" w:hAnsi="Times New Roman"/>
        </w:rPr>
        <w:t>P., E. Linares y R. Bye. 2010. Jardines botánicos de México: historia y perspectivas. Secretaría</w:t>
        <w:tab/>
        <w:t>de</w:t>
        <w:tab/>
        <w:t>educación</w:t>
        <w:tab/>
        <w:t>de</w:t>
        <w:tab/>
        <w:t>Veracruz.</w:t>
        <w:tab/>
        <w:t>México,</w:t>
        <w:tab/>
        <w:t>D.F.</w:t>
        <w:tab/>
        <w:t>232</w:t>
        <w:tab/>
        <w:t>pp.</w:t>
        <w:tab/>
        <w:t>Disponible</w:t>
        <w:tab/>
        <w:t>en:</w:t>
      </w:r>
      <w:hyperlink r:id="rId186">
        <w:r>
          <w:rPr>
            <w:rFonts w:ascii="Times New Roman" w:hAnsi="Times New Roman"/>
          </w:rPr>
          <w:t> http://www.sev.gob.mx/servicios/publicaciones/serie_hcyt/jardines_botanicos.pdf,</w:t>
        </w:r>
      </w:hyperlink>
      <w:r>
        <w:rPr>
          <w:rFonts w:ascii="Times New Roman" w:hAnsi="Times New Roman"/>
        </w:rPr>
        <w:t> consultado el día 4 de abril del</w:t>
      </w:r>
      <w:r>
        <w:rPr>
          <w:rFonts w:ascii="Times New Roman" w:hAnsi="Times New Roman"/>
          <w:spacing w:val="-16"/>
        </w:rPr>
        <w:t> </w:t>
      </w:r>
      <w:r>
        <w:rPr>
          <w:rFonts w:ascii="Times New Roman" w:hAnsi="Times New Roman"/>
        </w:rPr>
        <w:t>2013.</w:t>
      </w:r>
    </w:p>
    <w:p>
      <w:pPr>
        <w:pStyle w:val="BodyText"/>
        <w:spacing w:line="362" w:lineRule="auto" w:before="4"/>
        <w:ind w:left="544" w:right="133" w:hanging="428"/>
        <w:jc w:val="both"/>
        <w:rPr>
          <w:rFonts w:ascii="Times New Roman" w:hAnsi="Times New Roman"/>
        </w:rPr>
      </w:pPr>
      <w:r>
        <w:rPr>
          <w:rFonts w:ascii="Times New Roman" w:hAnsi="Times New Roman"/>
        </w:rPr>
        <w:t>Zavala, C. F. 1998. Observaciones sobre la distribución de encinos en México. Polibotánica 8: 47-64.</w:t>
      </w:r>
    </w:p>
    <w:p>
      <w:pPr>
        <w:pStyle w:val="BodyText"/>
        <w:spacing w:line="360" w:lineRule="auto" w:before="1"/>
        <w:ind w:left="544" w:right="124" w:hanging="428"/>
        <w:jc w:val="both"/>
        <w:rPr>
          <w:rFonts w:ascii="Times New Roman" w:hAnsi="Times New Roman"/>
        </w:rPr>
      </w:pPr>
      <w:r>
        <w:rPr>
          <w:rFonts w:ascii="Times New Roman" w:hAnsi="Times New Roman"/>
        </w:rPr>
        <w:t>Zepeda-Gómez, R. C. y E. Velázquez-Montes, 1999. </w:t>
      </w:r>
      <w:r>
        <w:rPr>
          <w:rFonts w:ascii="Times New Roman" w:hAnsi="Times New Roman"/>
          <w:spacing w:val="3"/>
        </w:rPr>
        <w:t>El </w:t>
      </w:r>
      <w:r>
        <w:rPr>
          <w:rFonts w:ascii="Times New Roman" w:hAnsi="Times New Roman"/>
        </w:rPr>
        <w:t>bosque tropical caducifolio de </w:t>
      </w:r>
      <w:r>
        <w:rPr>
          <w:rFonts w:ascii="Times New Roman" w:hAnsi="Times New Roman"/>
          <w:spacing w:val="-3"/>
        </w:rPr>
        <w:t>la </w:t>
      </w:r>
      <w:r>
        <w:rPr>
          <w:rFonts w:ascii="Times New Roman" w:hAnsi="Times New Roman"/>
        </w:rPr>
        <w:t>vertiente sur de </w:t>
      </w:r>
      <w:r>
        <w:rPr>
          <w:rFonts w:ascii="Times New Roman" w:hAnsi="Times New Roman"/>
          <w:spacing w:val="-3"/>
        </w:rPr>
        <w:t>la </w:t>
      </w:r>
      <w:r>
        <w:rPr>
          <w:rFonts w:ascii="Times New Roman" w:hAnsi="Times New Roman"/>
        </w:rPr>
        <w:t>Sierra de Nanchititla, Estado de México: </w:t>
      </w:r>
      <w:r>
        <w:rPr>
          <w:rFonts w:ascii="Times New Roman" w:hAnsi="Times New Roman"/>
          <w:spacing w:val="-5"/>
        </w:rPr>
        <w:t>la </w:t>
      </w:r>
      <w:r>
        <w:rPr>
          <w:rFonts w:ascii="Times New Roman" w:hAnsi="Times New Roman"/>
        </w:rPr>
        <w:t>composición y </w:t>
      </w:r>
      <w:r>
        <w:rPr>
          <w:rFonts w:ascii="Times New Roman" w:hAnsi="Times New Roman"/>
          <w:spacing w:val="-3"/>
        </w:rPr>
        <w:t>la </w:t>
      </w:r>
      <w:r>
        <w:rPr>
          <w:rFonts w:ascii="Times New Roman" w:hAnsi="Times New Roman"/>
        </w:rPr>
        <w:t>afinidad geográfica de su flora. Acta Bot. Méx., 46:</w:t>
      </w:r>
      <w:r>
        <w:rPr>
          <w:rFonts w:ascii="Times New Roman" w:hAnsi="Times New Roman"/>
          <w:spacing w:val="-13"/>
        </w:rPr>
        <w:t> </w:t>
      </w:r>
      <w:r>
        <w:rPr>
          <w:rFonts w:ascii="Times New Roman" w:hAnsi="Times New Roman"/>
        </w:rPr>
        <w:t>29-52.</w:t>
      </w:r>
    </w:p>
    <w:p>
      <w:pPr>
        <w:spacing w:after="0" w:line="360" w:lineRule="auto"/>
        <w:jc w:val="both"/>
        <w:rPr>
          <w:rFonts w:ascii="Times New Roman" w:hAnsi="Times New Roman"/>
        </w:rPr>
        <w:sectPr>
          <w:pgSz w:w="12240" w:h="15840"/>
          <w:pgMar w:header="685" w:footer="1146" w:top="880" w:bottom="1340" w:left="1300" w:right="1300"/>
        </w:sectPr>
      </w:pPr>
    </w:p>
    <w:p>
      <w:pPr>
        <w:pStyle w:val="BodyText"/>
        <w:rPr>
          <w:rFonts w:ascii="Times New Roman"/>
          <w:sz w:val="20"/>
        </w:rPr>
      </w:pPr>
    </w:p>
    <w:p>
      <w:pPr>
        <w:pStyle w:val="BodyText"/>
        <w:spacing w:before="4"/>
        <w:rPr>
          <w:rFonts w:ascii="Times New Roman"/>
          <w:sz w:val="19"/>
        </w:rPr>
      </w:pPr>
    </w:p>
    <w:p>
      <w:pPr>
        <w:pStyle w:val="Heading2"/>
        <w:spacing w:before="70"/>
        <w:ind w:left="128" w:right="130"/>
        <w:jc w:val="center"/>
      </w:pPr>
      <w:r>
        <w:rPr/>
        <w:t>CONCLUSIONES</w:t>
      </w:r>
    </w:p>
    <w:p>
      <w:pPr>
        <w:pStyle w:val="BodyText"/>
        <w:rPr>
          <w:b/>
        </w:rPr>
      </w:pPr>
    </w:p>
    <w:p>
      <w:pPr>
        <w:pStyle w:val="BodyText"/>
        <w:spacing w:before="7"/>
        <w:rPr>
          <w:b/>
        </w:rPr>
      </w:pPr>
    </w:p>
    <w:p>
      <w:pPr>
        <w:pStyle w:val="BodyText"/>
        <w:spacing w:line="360" w:lineRule="auto" w:before="1"/>
        <w:ind w:left="116" w:right="112"/>
        <w:jc w:val="both"/>
      </w:pPr>
      <w:r>
        <w:rPr/>
        <w:t>De acuerdo al trabajo de investigación realizado se concluye que el Parque  Universitario “Las Orquídeas” es un área con gran potencial para realizar investigación científica, conservación, educación ambiental y difusión; debido a que se encuentra en una zona de transición ecológica, lo que le proporciona características importantes para el establecimiento de diferentes especies de plantas, de valor económico, social y cultural.</w:t>
      </w:r>
    </w:p>
    <w:p>
      <w:pPr>
        <w:pStyle w:val="BodyText"/>
      </w:pPr>
    </w:p>
    <w:p>
      <w:pPr>
        <w:pStyle w:val="BodyText"/>
        <w:spacing w:line="360" w:lineRule="auto" w:before="145"/>
        <w:ind w:left="116" w:right="119"/>
        <w:jc w:val="both"/>
      </w:pPr>
      <w:r>
        <w:rPr/>
        <w:t>El régimen de temperatura normal favorece a las plantas que requieren una oscilación térmica entre 15 y 20 ºC durante el año y con lluvias en verano.</w:t>
      </w:r>
    </w:p>
    <w:p>
      <w:pPr>
        <w:pStyle w:val="BodyText"/>
      </w:pPr>
    </w:p>
    <w:p>
      <w:pPr>
        <w:pStyle w:val="BodyText"/>
        <w:spacing w:line="360" w:lineRule="auto" w:before="139"/>
        <w:ind w:left="116" w:right="111"/>
        <w:jc w:val="both"/>
      </w:pPr>
      <w:r>
        <w:rPr/>
        <w:t>Las Zonas de Manejo Ambiental se consideran áreas de vegetación secundaria, debido a que están sometidas a intervención antropogénica, la cual es evidente por el número de especies introducidas, a excepción de la Zona de Orquídeario, que presenta vegetación de Bosque de Galerías, y la Zona de Área Natural con presencia de Bosque Mesófilo de Montaña.</w:t>
      </w:r>
    </w:p>
    <w:p>
      <w:pPr>
        <w:pStyle w:val="BodyText"/>
      </w:pPr>
    </w:p>
    <w:p>
      <w:pPr>
        <w:spacing w:line="360" w:lineRule="auto" w:before="144"/>
        <w:ind w:left="116" w:right="111" w:firstLine="0"/>
        <w:jc w:val="both"/>
        <w:rPr>
          <w:sz w:val="24"/>
        </w:rPr>
      </w:pPr>
      <w:r>
        <w:rPr>
          <w:sz w:val="24"/>
        </w:rPr>
        <w:t>En este sentido, se realizó la entrega oficial del </w:t>
      </w:r>
      <w:r>
        <w:rPr>
          <w:b/>
          <w:i/>
          <w:sz w:val="24"/>
        </w:rPr>
        <w:t>Herbario del Parque Universitario Las </w:t>
      </w:r>
      <w:r>
        <w:rPr>
          <w:b/>
          <w:i/>
          <w:sz w:val="24"/>
        </w:rPr>
        <w:t>Orquídeas, </w:t>
      </w:r>
      <w:r>
        <w:rPr>
          <w:sz w:val="24"/>
        </w:rPr>
        <w:t>por parte del </w:t>
      </w:r>
      <w:r>
        <w:rPr>
          <w:b/>
          <w:i/>
          <w:sz w:val="24"/>
        </w:rPr>
        <w:t>Instituto de Biología de la UNAM</w:t>
      </w:r>
      <w:r>
        <w:rPr>
          <w:sz w:val="24"/>
        </w:rPr>
        <w:t>, el cual fue elaborado y sistematizado durante la </w:t>
      </w:r>
      <w:r>
        <w:rPr>
          <w:b/>
          <w:i/>
          <w:sz w:val="24"/>
        </w:rPr>
        <w:t>Estancia de Investigación</w:t>
      </w:r>
      <w:r>
        <w:rPr>
          <w:sz w:val="24"/>
        </w:rPr>
        <w:t>, financiada po la </w:t>
      </w:r>
      <w:r>
        <w:rPr>
          <w:b/>
          <w:i/>
          <w:sz w:val="24"/>
        </w:rPr>
        <w:t>Beca de </w:t>
      </w:r>
      <w:r>
        <w:rPr>
          <w:b/>
          <w:i/>
          <w:sz w:val="24"/>
        </w:rPr>
        <w:t>Movilidad Nacional del CONACYT. </w:t>
      </w:r>
      <w:r>
        <w:rPr>
          <w:sz w:val="24"/>
        </w:rPr>
        <w:t>Es esta una contribución real de este trabajo de tesis, al acervo del Parque Univesitario, con fines de investigaciónes futuras y de educación ambiental.</w:t>
      </w:r>
    </w:p>
    <w:p>
      <w:pPr>
        <w:pStyle w:val="BodyText"/>
      </w:pPr>
    </w:p>
    <w:p>
      <w:pPr>
        <w:pStyle w:val="BodyText"/>
        <w:spacing w:line="360" w:lineRule="auto" w:before="140"/>
        <w:ind w:left="116" w:right="114"/>
        <w:jc w:val="both"/>
      </w:pPr>
      <w:r>
        <w:rPr/>
        <w:t>La mayoría de las personas entrevistadas en el municipio </w:t>
      </w:r>
      <w:r>
        <w:rPr>
          <w:spacing w:val="4"/>
        </w:rPr>
        <w:t>de </w:t>
      </w:r>
      <w:r>
        <w:rPr/>
        <w:t>Temascaltepec, utilizan  las plantas para algún tipo de enfermedad o malestar en su salud, principalmente de tipo gastrointestinal, con síntomas de dolor de estómago y diarrea o, aquellos que aquejan el sistema respiratorio, como dolor de garganta y presencia de tos. A partir del reconocimiento de la relación integral persona - planta - ambiente, se concibe y se explica el conocimiento, uso y </w:t>
      </w:r>
      <w:r>
        <w:rPr>
          <w:spacing w:val="-3"/>
        </w:rPr>
        <w:t>manejo </w:t>
      </w:r>
      <w:r>
        <w:rPr/>
        <w:t>de estos recursos etno florísticos</w:t>
      </w:r>
      <w:r>
        <w:rPr>
          <w:spacing w:val="-9"/>
        </w:rPr>
        <w:t> </w:t>
      </w:r>
      <w:r>
        <w:rPr/>
        <w:t>medicinales.</w:t>
      </w:r>
    </w:p>
    <w:p>
      <w:pPr>
        <w:spacing w:after="0" w:line="360" w:lineRule="auto"/>
        <w:jc w:val="both"/>
        <w:sectPr>
          <w:pgSz w:w="12240" w:h="15840"/>
          <w:pgMar w:header="685" w:footer="1146" w:top="880" w:bottom="1340" w:left="1300" w:right="1300"/>
        </w:sectPr>
      </w:pPr>
    </w:p>
    <w:p>
      <w:pPr>
        <w:pStyle w:val="BodyText"/>
        <w:rPr>
          <w:sz w:val="20"/>
        </w:rPr>
      </w:pPr>
    </w:p>
    <w:p>
      <w:pPr>
        <w:pStyle w:val="BodyText"/>
        <w:rPr>
          <w:sz w:val="20"/>
        </w:rPr>
      </w:pPr>
    </w:p>
    <w:p>
      <w:pPr>
        <w:pStyle w:val="BodyText"/>
        <w:rPr>
          <w:sz w:val="20"/>
        </w:rPr>
      </w:pPr>
    </w:p>
    <w:p>
      <w:pPr>
        <w:pStyle w:val="BodyText"/>
        <w:spacing w:before="1"/>
        <w:rPr>
          <w:sz w:val="16"/>
        </w:rPr>
      </w:pPr>
    </w:p>
    <w:p>
      <w:pPr>
        <w:spacing w:line="360" w:lineRule="auto" w:before="70"/>
        <w:ind w:left="116" w:right="113" w:firstLine="67"/>
        <w:jc w:val="both"/>
        <w:rPr>
          <w:sz w:val="24"/>
        </w:rPr>
      </w:pPr>
      <w:r>
        <w:rPr>
          <w:sz w:val="24"/>
        </w:rPr>
        <w:t>El análisis de problemas realizado, muestra que en el parque manifiesta deterioro ambiental incipiente, debido a las actividades académicas y administrativas propias </w:t>
      </w:r>
      <w:r>
        <w:rPr>
          <w:spacing w:val="-3"/>
          <w:sz w:val="24"/>
        </w:rPr>
        <w:t>del </w:t>
      </w:r>
      <w:r>
        <w:rPr>
          <w:sz w:val="24"/>
        </w:rPr>
        <w:t>Centro Universitario UAEM Temascaltepec, el cual puede ser minimizado con estrategias de restauración y conservación, las cuales se encuentran especificadas en el análisis EML, y están a disposición de las </w:t>
      </w:r>
      <w:r>
        <w:rPr>
          <w:b/>
          <w:i/>
          <w:sz w:val="24"/>
        </w:rPr>
        <w:t>Autoridades Universitarias relacionadas </w:t>
      </w:r>
      <w:r>
        <w:rPr>
          <w:b/>
          <w:i/>
          <w:sz w:val="24"/>
        </w:rPr>
        <w:t>con el Centro Univesitario UAEM Temascaltepec, </w:t>
      </w:r>
      <w:r>
        <w:rPr>
          <w:sz w:val="24"/>
        </w:rPr>
        <w:t>para su </w:t>
      </w:r>
      <w:r>
        <w:rPr>
          <w:b/>
          <w:i/>
          <w:sz w:val="24"/>
        </w:rPr>
        <w:t>Programación y </w:t>
      </w:r>
      <w:r>
        <w:rPr>
          <w:b/>
          <w:i/>
          <w:sz w:val="24"/>
        </w:rPr>
        <w:t>Ejecución </w:t>
      </w:r>
      <w:r>
        <w:rPr>
          <w:sz w:val="24"/>
        </w:rPr>
        <w:t>a corto</w:t>
      </w:r>
      <w:r>
        <w:rPr>
          <w:spacing w:val="-4"/>
          <w:sz w:val="24"/>
        </w:rPr>
        <w:t> </w:t>
      </w:r>
      <w:r>
        <w:rPr>
          <w:sz w:val="24"/>
        </w:rPr>
        <w:t>plazo.</w:t>
      </w:r>
    </w:p>
    <w:p>
      <w:pPr>
        <w:pStyle w:val="BodyText"/>
      </w:pPr>
    </w:p>
    <w:p>
      <w:pPr>
        <w:pStyle w:val="BodyText"/>
        <w:spacing w:line="360" w:lineRule="auto" w:before="145"/>
        <w:ind w:left="116" w:right="114"/>
        <w:jc w:val="both"/>
      </w:pPr>
      <w:r>
        <w:rPr/>
        <w:t>A partir del análisis FODA (Fortalezas, Oportunidades, Debilidades y Amenazas) y del Enfoque del Marco Lógico, se planteó una </w:t>
      </w:r>
      <w:r>
        <w:rPr>
          <w:b/>
          <w:i/>
        </w:rPr>
        <w:t>Propuesta Estratégica </w:t>
      </w:r>
      <w:r>
        <w:rPr/>
        <w:t>para que en dicho lugar se establezca un </w:t>
      </w:r>
      <w:r>
        <w:rPr>
          <w:b/>
          <w:i/>
        </w:rPr>
        <w:t>Jardín Botánico Regional</w:t>
      </w:r>
      <w:r>
        <w:rPr/>
        <w:t>, </w:t>
      </w:r>
      <w:r>
        <w:rPr>
          <w:spacing w:val="-4"/>
        </w:rPr>
        <w:t>como</w:t>
      </w:r>
      <w:r>
        <w:rPr>
          <w:spacing w:val="58"/>
        </w:rPr>
        <w:t> </w:t>
      </w:r>
      <w:r>
        <w:rPr/>
        <w:t>estrategia para la conservación y educación ambiental del parque; en ella se consideraron los cuatro Ejes Rectores de Actividad en los Jardines Botánicos: investigaciones científicas, conservación, educación ambiental y divulgación.</w:t>
      </w:r>
    </w:p>
    <w:p>
      <w:pPr>
        <w:pStyle w:val="BodyText"/>
      </w:pPr>
    </w:p>
    <w:p>
      <w:pPr>
        <w:spacing w:line="362" w:lineRule="auto" w:before="139"/>
        <w:ind w:left="116" w:right="118" w:firstLine="0"/>
        <w:jc w:val="both"/>
        <w:rPr>
          <w:b/>
          <w:i/>
          <w:sz w:val="24"/>
        </w:rPr>
      </w:pPr>
      <w:r>
        <w:rPr>
          <w:sz w:val="24"/>
        </w:rPr>
        <w:t>La propuesta estratégica y ejecutiva, se incluye en esta tesis de grado y está a disposición de las </w:t>
      </w:r>
      <w:r>
        <w:rPr>
          <w:b/>
          <w:i/>
          <w:sz w:val="24"/>
        </w:rPr>
        <w:t>Autoridades Universitarias relacionadas con el Centro </w:t>
      </w:r>
      <w:r>
        <w:rPr>
          <w:b/>
          <w:i/>
          <w:sz w:val="24"/>
        </w:rPr>
        <w:t>Universitario UAEM Temascaltepec</w:t>
      </w:r>
      <w:r>
        <w:rPr>
          <w:sz w:val="24"/>
        </w:rPr>
        <w:t>, para su próxima </w:t>
      </w:r>
      <w:r>
        <w:rPr>
          <w:b/>
          <w:i/>
          <w:sz w:val="24"/>
        </w:rPr>
        <w:t>Gestión e Instrumentación.</w:t>
      </w:r>
    </w:p>
    <w:p>
      <w:pPr>
        <w:spacing w:after="0" w:line="362" w:lineRule="auto"/>
        <w:jc w:val="both"/>
        <w:rPr>
          <w:sz w:val="24"/>
        </w:rPr>
        <w:sectPr>
          <w:pgSz w:w="12240" w:h="15840"/>
          <w:pgMar w:header="685" w:footer="1146" w:top="880" w:bottom="1340" w:left="1300" w:right="1300"/>
        </w:sectPr>
      </w:pPr>
    </w:p>
    <w:p>
      <w:pPr>
        <w:pStyle w:val="BodyText"/>
        <w:rPr>
          <w:b/>
          <w:i/>
          <w:sz w:val="20"/>
        </w:rPr>
      </w:pPr>
    </w:p>
    <w:p>
      <w:pPr>
        <w:pStyle w:val="BodyText"/>
        <w:spacing w:before="4"/>
        <w:rPr>
          <w:b/>
          <w:i/>
          <w:sz w:val="19"/>
        </w:rPr>
      </w:pPr>
    </w:p>
    <w:p>
      <w:pPr>
        <w:pStyle w:val="Heading2"/>
        <w:spacing w:before="70"/>
        <w:ind w:left="128" w:right="130"/>
        <w:jc w:val="center"/>
      </w:pPr>
      <w:r>
        <w:rPr/>
        <w:t>SUGERENCIAS</w:t>
      </w:r>
    </w:p>
    <w:p>
      <w:pPr>
        <w:pStyle w:val="BodyText"/>
        <w:rPr>
          <w:b/>
        </w:rPr>
      </w:pPr>
    </w:p>
    <w:p>
      <w:pPr>
        <w:pStyle w:val="BodyText"/>
        <w:spacing w:before="7"/>
        <w:rPr>
          <w:b/>
        </w:rPr>
      </w:pPr>
    </w:p>
    <w:p>
      <w:pPr>
        <w:pStyle w:val="BodyText"/>
        <w:spacing w:line="360" w:lineRule="auto" w:before="1"/>
        <w:ind w:left="116" w:right="130"/>
        <w:jc w:val="both"/>
      </w:pPr>
      <w:r>
        <w:rPr/>
        <w:t>Para completar el listado florístico del Parque Universitario, sería conveniente realizar la identificación taxonómica de las especies de Pteridofitas.</w:t>
      </w:r>
    </w:p>
    <w:p>
      <w:pPr>
        <w:pStyle w:val="BodyText"/>
      </w:pPr>
    </w:p>
    <w:p>
      <w:pPr>
        <w:pStyle w:val="BodyText"/>
        <w:spacing w:line="360" w:lineRule="auto" w:before="144"/>
        <w:ind w:left="116" w:right="122"/>
        <w:jc w:val="both"/>
      </w:pPr>
      <w:r>
        <w:rPr/>
        <w:t>Se sugiere iniciar una línea de investigación etno ecológica, dedicada a evaluar la extracción del recurso florístico y a propiciar el manejo sustentable del mismo; lo que garantizará la conservación de usos y costumbres sobre medicina tradicional, y la toma oportuna de medidas correctivas para evitar la pérdida de estos recursos.</w:t>
      </w:r>
    </w:p>
    <w:p>
      <w:pPr>
        <w:pStyle w:val="BodyText"/>
      </w:pPr>
    </w:p>
    <w:p>
      <w:pPr>
        <w:pStyle w:val="BodyText"/>
        <w:spacing w:line="360" w:lineRule="auto" w:before="145"/>
        <w:ind w:left="116" w:right="125"/>
        <w:jc w:val="both"/>
      </w:pPr>
      <w:r>
        <w:rPr/>
        <w:t>Es importante realizar un estudio de propagación de especies nativas y cultivadas del Parque Universitario, que fundamente diversas estrategias de conservación, además de generar conocimiento sobre fenología de la flora.</w:t>
      </w:r>
    </w:p>
    <w:p>
      <w:pPr>
        <w:pStyle w:val="BodyText"/>
      </w:pPr>
    </w:p>
    <w:p>
      <w:pPr>
        <w:pStyle w:val="BodyText"/>
        <w:spacing w:line="360" w:lineRule="auto" w:before="144"/>
        <w:ind w:left="116" w:right="124"/>
        <w:jc w:val="both"/>
      </w:pPr>
      <w:r>
        <w:rPr/>
        <w:t>Es de vital importancia el conocimiento de las especies de flora desde distintas áreas: botánica, toxicología y farmacología, sobre todo aquellas susceptibles de aprovechamiento y manejo por las poblaciones, debido a que existen algunas plantas tóxicas que pudieran repercutir en la salud de quien o quienes las consumen.</w:t>
      </w:r>
    </w:p>
    <w:p>
      <w:pPr>
        <w:pStyle w:val="BodyText"/>
      </w:pPr>
    </w:p>
    <w:p>
      <w:pPr>
        <w:pStyle w:val="BodyText"/>
        <w:spacing w:before="139"/>
        <w:ind w:left="116"/>
        <w:jc w:val="both"/>
      </w:pPr>
      <w:r>
        <w:rPr/>
        <w:t>Desde el punto de vista de la Gestión Univesitaria es importante:</w:t>
      </w:r>
    </w:p>
    <w:p>
      <w:pPr>
        <w:pStyle w:val="BodyText"/>
      </w:pPr>
    </w:p>
    <w:p>
      <w:pPr>
        <w:pStyle w:val="BodyText"/>
        <w:spacing w:before="1"/>
      </w:pPr>
    </w:p>
    <w:p>
      <w:pPr>
        <w:pStyle w:val="ListParagraph"/>
        <w:numPr>
          <w:ilvl w:val="1"/>
          <w:numId w:val="26"/>
        </w:numPr>
        <w:tabs>
          <w:tab w:pos="836" w:val="left" w:leader="none"/>
          <w:tab w:pos="837" w:val="left" w:leader="none"/>
        </w:tabs>
        <w:spacing w:line="350" w:lineRule="auto" w:before="0" w:after="0"/>
        <w:ind w:left="837" w:right="116" w:hanging="361"/>
        <w:jc w:val="left"/>
        <w:rPr>
          <w:b/>
          <w:i/>
          <w:sz w:val="24"/>
        </w:rPr>
      </w:pPr>
      <w:r>
        <w:rPr>
          <w:sz w:val="24"/>
        </w:rPr>
        <w:t>Dar utilidad científica y educativa al </w:t>
      </w:r>
      <w:r>
        <w:rPr>
          <w:b/>
          <w:i/>
          <w:sz w:val="24"/>
        </w:rPr>
        <w:t>Herbario del Parque Universitario Las </w:t>
      </w:r>
      <w:r>
        <w:rPr>
          <w:b/>
          <w:i/>
          <w:sz w:val="24"/>
        </w:rPr>
        <w:t>Orquídeas.</w:t>
      </w:r>
    </w:p>
    <w:p>
      <w:pPr>
        <w:pStyle w:val="ListParagraph"/>
        <w:numPr>
          <w:ilvl w:val="1"/>
          <w:numId w:val="26"/>
        </w:numPr>
        <w:tabs>
          <w:tab w:pos="836" w:val="left" w:leader="none"/>
          <w:tab w:pos="837" w:val="left" w:leader="none"/>
        </w:tabs>
        <w:spacing w:line="355" w:lineRule="auto" w:before="11" w:after="0"/>
        <w:ind w:left="837" w:right="123" w:hanging="361"/>
        <w:jc w:val="left"/>
        <w:rPr>
          <w:sz w:val="24"/>
        </w:rPr>
      </w:pPr>
      <w:r>
        <w:rPr>
          <w:sz w:val="24"/>
        </w:rPr>
        <w:t>Programar las actividades de conservación y gestión ambiental especificadas en el </w:t>
      </w:r>
      <w:r>
        <w:rPr>
          <w:b/>
          <w:i/>
          <w:sz w:val="24"/>
        </w:rPr>
        <w:t>Análisis de</w:t>
      </w:r>
      <w:r>
        <w:rPr>
          <w:b/>
          <w:i/>
          <w:spacing w:val="-10"/>
          <w:sz w:val="24"/>
        </w:rPr>
        <w:t> </w:t>
      </w:r>
      <w:r>
        <w:rPr>
          <w:b/>
          <w:i/>
          <w:sz w:val="24"/>
        </w:rPr>
        <w:t>Estrategias</w:t>
      </w:r>
      <w:r>
        <w:rPr>
          <w:sz w:val="24"/>
        </w:rPr>
        <w:t>.</w:t>
      </w:r>
    </w:p>
    <w:p>
      <w:pPr>
        <w:pStyle w:val="ListParagraph"/>
        <w:numPr>
          <w:ilvl w:val="1"/>
          <w:numId w:val="26"/>
        </w:numPr>
        <w:tabs>
          <w:tab w:pos="836" w:val="left" w:leader="none"/>
          <w:tab w:pos="837" w:val="left" w:leader="none"/>
        </w:tabs>
        <w:spacing w:line="355" w:lineRule="auto" w:before="6" w:after="0"/>
        <w:ind w:left="837" w:right="110" w:hanging="361"/>
        <w:jc w:val="left"/>
        <w:rPr>
          <w:sz w:val="24"/>
        </w:rPr>
      </w:pPr>
      <w:r>
        <w:rPr>
          <w:sz w:val="24"/>
        </w:rPr>
        <w:t>Gestionar la instrumentación y operación del </w:t>
      </w:r>
      <w:r>
        <w:rPr>
          <w:b/>
          <w:i/>
          <w:sz w:val="24"/>
        </w:rPr>
        <w:t>Jardín Botánico Regional</w:t>
      </w:r>
      <w:r>
        <w:rPr>
          <w:sz w:val="24"/>
        </w:rPr>
        <w:t>, tomando como base, la propuesta ejecutiva contenida en esta</w:t>
      </w:r>
      <w:r>
        <w:rPr>
          <w:spacing w:val="-24"/>
          <w:sz w:val="24"/>
        </w:rPr>
        <w:t> </w:t>
      </w:r>
      <w:r>
        <w:rPr>
          <w:sz w:val="24"/>
        </w:rPr>
        <w:t>tesis.</w:t>
      </w:r>
    </w:p>
    <w:p>
      <w:pPr>
        <w:spacing w:after="0" w:line="355" w:lineRule="auto"/>
        <w:jc w:val="left"/>
        <w:rPr>
          <w:sz w:val="24"/>
        </w:rPr>
        <w:sectPr>
          <w:pgSz w:w="12240" w:h="15840"/>
          <w:pgMar w:header="685" w:footer="1146" w:top="880" w:bottom="1340" w:left="1300" w:right="1300"/>
        </w:sectPr>
      </w:pPr>
    </w:p>
    <w:p>
      <w:pPr>
        <w:pStyle w:val="BodyText"/>
        <w:rPr>
          <w:sz w:val="20"/>
        </w:rPr>
      </w:pPr>
    </w:p>
    <w:p>
      <w:pPr>
        <w:pStyle w:val="BodyText"/>
        <w:spacing w:before="11"/>
        <w:rPr>
          <w:sz w:val="18"/>
        </w:rPr>
      </w:pPr>
    </w:p>
    <w:p>
      <w:pPr>
        <w:pStyle w:val="Heading2"/>
        <w:spacing w:before="69"/>
        <w:ind w:left="129" w:right="130"/>
        <w:jc w:val="center"/>
      </w:pPr>
      <w:r>
        <w:rPr/>
        <w:t>REFERENCIAS BIBLIOGRÁFICAS</w:t>
      </w:r>
    </w:p>
    <w:p>
      <w:pPr>
        <w:spacing w:line="360" w:lineRule="auto" w:before="146"/>
        <w:ind w:left="471" w:right="121" w:hanging="356"/>
        <w:jc w:val="both"/>
        <w:rPr>
          <w:sz w:val="24"/>
        </w:rPr>
      </w:pPr>
      <w:r>
        <w:rPr>
          <w:sz w:val="24"/>
        </w:rPr>
        <w:t>Acosta, P. R., G. L. Galindo y L. V. Hernández. 1991. </w:t>
      </w:r>
      <w:r>
        <w:rPr>
          <w:i/>
          <w:sz w:val="24"/>
        </w:rPr>
        <w:t>Listado florístico preliminar de la </w:t>
      </w:r>
      <w:r>
        <w:rPr>
          <w:i/>
          <w:sz w:val="24"/>
        </w:rPr>
        <w:t>flora fanerogámica y micológica del estado de Tlaxcala</w:t>
      </w:r>
      <w:r>
        <w:rPr>
          <w:sz w:val="24"/>
        </w:rPr>
        <w:t>. Universidad Autónoma de Tlaxcala. Jardín Botánico Tizatlán. Tlaxcala, México. 79 pp.</w:t>
      </w:r>
    </w:p>
    <w:p>
      <w:pPr>
        <w:spacing w:before="2"/>
        <w:ind w:left="116" w:right="78" w:firstLine="0"/>
        <w:jc w:val="left"/>
        <w:rPr>
          <w:i/>
          <w:sz w:val="24"/>
        </w:rPr>
      </w:pPr>
      <w:r>
        <w:rPr>
          <w:sz w:val="24"/>
        </w:rPr>
        <w:t>Alcorn, J. B. 2001. </w:t>
      </w:r>
      <w:r>
        <w:rPr>
          <w:i/>
          <w:sz w:val="24"/>
        </w:rPr>
        <w:t>Ámbito y objetivos de la etnobotánica en un mundo en desarrollo.</w:t>
      </w:r>
    </w:p>
    <w:p>
      <w:pPr>
        <w:pStyle w:val="BodyText"/>
        <w:spacing w:before="141"/>
        <w:ind w:left="471" w:right="78"/>
      </w:pPr>
      <w:r>
        <w:rPr/>
        <w:t>Universidad Autónoma de Chapingo. Chapingo, México. 14 pp.</w:t>
      </w:r>
    </w:p>
    <w:p>
      <w:pPr>
        <w:pStyle w:val="BodyText"/>
        <w:spacing w:line="360" w:lineRule="auto" w:before="137"/>
        <w:ind w:left="471" w:right="111" w:hanging="356"/>
        <w:jc w:val="both"/>
      </w:pPr>
      <w:r>
        <w:rPr/>
        <w:t>Alonso, C. F. Lara F., B. Esquivel y R. Mata. 1999. Plantasmedicinales de México II. Composisión, usos y actividad biológica (Primera edición). México: Instituto de Química de la UNAM.</w:t>
      </w:r>
    </w:p>
    <w:p>
      <w:pPr>
        <w:spacing w:line="360" w:lineRule="auto" w:before="8"/>
        <w:ind w:left="471" w:right="119" w:hanging="356"/>
        <w:jc w:val="both"/>
        <w:rPr>
          <w:sz w:val="24"/>
        </w:rPr>
      </w:pPr>
      <w:r>
        <w:rPr>
          <w:sz w:val="24"/>
        </w:rPr>
        <w:t>Argüelles, E., R. Fernández y S. Zamudio. 1991. </w:t>
      </w:r>
      <w:r>
        <w:rPr>
          <w:i/>
          <w:sz w:val="24"/>
        </w:rPr>
        <w:t>Listado florístico preliminar del Estado </w:t>
      </w:r>
      <w:r>
        <w:rPr>
          <w:i/>
          <w:sz w:val="24"/>
        </w:rPr>
        <w:t>de Querétaro. Flora del Bajío y de Regiones Adyacentes</w:t>
      </w:r>
      <w:r>
        <w:rPr>
          <w:sz w:val="24"/>
        </w:rPr>
        <w:t>. Fascículo Complementario</w:t>
      </w:r>
    </w:p>
    <w:p>
      <w:pPr>
        <w:pStyle w:val="BodyText"/>
        <w:spacing w:line="360" w:lineRule="auto" w:before="2"/>
        <w:ind w:left="471" w:right="78"/>
      </w:pPr>
      <w:r>
        <w:rPr/>
        <w:t>II. Instituto de Ecología, A. C., Centro Regional del Bajío. Pátzcuaro, Michoacán. 155pp.</w:t>
      </w:r>
    </w:p>
    <w:p>
      <w:pPr>
        <w:spacing w:line="360" w:lineRule="auto" w:before="8"/>
        <w:ind w:left="544" w:right="119" w:hanging="428"/>
        <w:jc w:val="both"/>
        <w:rPr>
          <w:sz w:val="24"/>
        </w:rPr>
      </w:pPr>
      <w:r>
        <w:rPr>
          <w:sz w:val="24"/>
        </w:rPr>
        <w:t>Arriaga C., L., E. Vázquez - Domínguez, J. González-Cano, R. Jiménez, R., E. Muñoz L. y V. Aguilar S.1998. </w:t>
      </w:r>
      <w:r>
        <w:rPr>
          <w:i/>
          <w:sz w:val="24"/>
        </w:rPr>
        <w:t>Regiones Prioritarias Marinas de México. </w:t>
      </w:r>
      <w:r>
        <w:rPr>
          <w:sz w:val="24"/>
        </w:rPr>
        <w:t>CONABIO. México.</w:t>
      </w:r>
    </w:p>
    <w:p>
      <w:pPr>
        <w:spacing w:line="360" w:lineRule="auto" w:before="2"/>
        <w:ind w:left="544" w:right="120" w:hanging="428"/>
        <w:jc w:val="both"/>
        <w:rPr>
          <w:sz w:val="24"/>
        </w:rPr>
      </w:pPr>
      <w:r>
        <w:rPr>
          <w:sz w:val="24"/>
        </w:rPr>
        <w:t>Arriaga C. L., V. A. Sierra y J. A. Durant. 2000. </w:t>
      </w:r>
      <w:r>
        <w:rPr>
          <w:i/>
          <w:sz w:val="24"/>
        </w:rPr>
        <w:t>Aguas continentales y diversidad </w:t>
      </w:r>
      <w:r>
        <w:rPr>
          <w:i/>
          <w:sz w:val="24"/>
        </w:rPr>
        <w:t>biológica de México. </w:t>
      </w:r>
      <w:r>
        <w:rPr>
          <w:sz w:val="24"/>
        </w:rPr>
        <w:t>Conabio. México. 327 p.</w:t>
      </w:r>
    </w:p>
    <w:p>
      <w:pPr>
        <w:spacing w:line="360" w:lineRule="auto" w:before="8"/>
        <w:ind w:left="544" w:right="112" w:hanging="428"/>
        <w:jc w:val="both"/>
        <w:rPr>
          <w:sz w:val="24"/>
        </w:rPr>
      </w:pPr>
      <w:r>
        <w:rPr>
          <w:sz w:val="24"/>
        </w:rPr>
        <w:t>Avilés, N. F. y M. González. 1992. </w:t>
      </w:r>
      <w:r>
        <w:rPr>
          <w:i/>
          <w:sz w:val="24"/>
        </w:rPr>
        <w:t>Contribución a la taxonomía, morfología, distribución </w:t>
      </w:r>
      <w:r>
        <w:rPr>
          <w:i/>
          <w:sz w:val="24"/>
        </w:rPr>
        <w:t>y valor bromatológico de las gramíneas silvestre en el municipio de Temascaltepec, Estado de México. </w:t>
      </w:r>
      <w:r>
        <w:rPr>
          <w:sz w:val="24"/>
        </w:rPr>
        <w:t>Tesis de licenciatura, ingeniero agrónomo, Universidad Autónoma del Estado de México. Toluca, México. 235 pp.</w:t>
      </w:r>
    </w:p>
    <w:p>
      <w:pPr>
        <w:pStyle w:val="BodyText"/>
        <w:spacing w:line="360" w:lineRule="auto" w:before="7"/>
        <w:ind w:left="544" w:right="78" w:hanging="428"/>
      </w:pPr>
      <w:r>
        <w:rPr/>
        <w:t>Bando municipal. 2013. H. Ayuntamiento de Temascaltepec, México 2013- 2015. 65 p. consultado el 15 de marzo del 2013. Disponible en </w:t>
      </w:r>
      <w:hyperlink r:id="rId187">
        <w:r>
          <w:rPr>
            <w:color w:val="0000FF"/>
            <w:u w:val="single" w:color="0000FF"/>
          </w:rPr>
          <w:t>http://temascaltepec.gob.mx/sites/temascaltepec.gob.mx/files/files/Bando2013.pdf</w:t>
        </w:r>
      </w:hyperlink>
      <w:r>
        <w:rPr/>
        <w:t>. Benavides, J. E. 2000. La morera, un forraje de alto valor nutricional para la alimentación animal en el trópico. Pastos y Forrajes. 23(1):1-11.</w:t>
      </w:r>
    </w:p>
    <w:p>
      <w:pPr>
        <w:spacing w:line="360" w:lineRule="auto" w:before="7"/>
        <w:ind w:left="471" w:right="116" w:hanging="356"/>
        <w:jc w:val="both"/>
        <w:rPr>
          <w:sz w:val="24"/>
        </w:rPr>
      </w:pPr>
      <w:r>
        <w:rPr>
          <w:sz w:val="24"/>
        </w:rPr>
        <w:t>Bonilla-Barbosa, J. R. y Villaseñor J. L. 2003. </w:t>
      </w:r>
      <w:r>
        <w:rPr>
          <w:i/>
          <w:sz w:val="24"/>
        </w:rPr>
        <w:t>Catálogo de la flora del estado  de </w:t>
      </w:r>
      <w:r>
        <w:rPr>
          <w:i/>
          <w:sz w:val="24"/>
        </w:rPr>
        <w:t>Morelos</w:t>
      </w:r>
      <w:r>
        <w:rPr>
          <w:sz w:val="24"/>
        </w:rPr>
        <w:t>. Centro de Investigaciones Biológicas. Universidad Autónoma del Estado de Morelos. Morelos, México. 129pp.</w:t>
      </w:r>
    </w:p>
    <w:p>
      <w:pPr>
        <w:pStyle w:val="BodyText"/>
        <w:spacing w:line="362" w:lineRule="auto" w:before="2"/>
        <w:ind w:left="471" w:right="116" w:hanging="356"/>
        <w:jc w:val="both"/>
      </w:pPr>
      <w:r>
        <w:rPr/>
        <w:t>Borboa, R. A. 1999. Temascaltepec. </w:t>
      </w:r>
      <w:r>
        <w:rPr>
          <w:i/>
        </w:rPr>
        <w:t>Monografía Municipal</w:t>
      </w:r>
      <w:r>
        <w:rPr/>
        <w:t>. Tercera Edición. Instituto Mexiquense de cultura. Toluca, Estado de México. 249 p.</w:t>
      </w:r>
    </w:p>
    <w:p>
      <w:pPr>
        <w:spacing w:after="0" w:line="362" w:lineRule="auto"/>
        <w:jc w:val="both"/>
        <w:sectPr>
          <w:pgSz w:w="12240" w:h="15840"/>
          <w:pgMar w:header="685" w:footer="1146" w:top="880" w:bottom="1340" w:left="1300" w:right="1300"/>
        </w:sectPr>
      </w:pPr>
    </w:p>
    <w:p>
      <w:pPr>
        <w:pStyle w:val="BodyText"/>
        <w:rPr>
          <w:sz w:val="20"/>
        </w:rPr>
      </w:pPr>
    </w:p>
    <w:p>
      <w:pPr>
        <w:pStyle w:val="BodyText"/>
        <w:spacing w:before="4"/>
        <w:rPr>
          <w:sz w:val="19"/>
        </w:rPr>
      </w:pPr>
    </w:p>
    <w:p>
      <w:pPr>
        <w:spacing w:line="362" w:lineRule="auto" w:before="70"/>
        <w:ind w:left="471" w:right="112" w:hanging="356"/>
        <w:jc w:val="both"/>
        <w:rPr>
          <w:sz w:val="24"/>
        </w:rPr>
      </w:pPr>
      <w:r>
        <w:rPr>
          <w:sz w:val="24"/>
        </w:rPr>
        <w:t>Breedlove, D. E. 1986. </w:t>
      </w:r>
      <w:r>
        <w:rPr>
          <w:i/>
          <w:sz w:val="24"/>
        </w:rPr>
        <w:t>Flora de Chiapas. Listados florísticos de México IV</w:t>
      </w:r>
      <w:r>
        <w:rPr>
          <w:sz w:val="24"/>
        </w:rPr>
        <w:t>. Instituto de Biología, Universidad Nacional Autónoma de México, México, D.F. 246 pp.</w:t>
      </w:r>
    </w:p>
    <w:p>
      <w:pPr>
        <w:spacing w:before="0"/>
        <w:ind w:left="116" w:right="78" w:firstLine="0"/>
        <w:jc w:val="left"/>
        <w:rPr>
          <w:sz w:val="24"/>
        </w:rPr>
      </w:pPr>
      <w:r>
        <w:rPr>
          <w:sz w:val="24"/>
        </w:rPr>
        <w:t>Bryan, J. E. 1989. </w:t>
      </w:r>
      <w:r>
        <w:rPr>
          <w:i/>
          <w:sz w:val="24"/>
        </w:rPr>
        <w:t>Bulbs, Timber Press, Portland, Oregon. p 338. </w:t>
      </w:r>
      <w:r>
        <w:rPr>
          <w:sz w:val="24"/>
        </w:rPr>
        <w:t>Citado por:   Vázquez,</w:t>
      </w:r>
    </w:p>
    <w:p>
      <w:pPr>
        <w:spacing w:line="360" w:lineRule="auto" w:before="137"/>
        <w:ind w:left="544" w:right="123" w:firstLine="0"/>
        <w:jc w:val="both"/>
        <w:rPr>
          <w:sz w:val="24"/>
        </w:rPr>
      </w:pPr>
      <w:r>
        <w:rPr>
          <w:sz w:val="24"/>
        </w:rPr>
        <w:t>G. L. M., T. H. Norman y M., M. C. Corona R. 2001. </w:t>
      </w:r>
      <w:r>
        <w:rPr>
          <w:i/>
          <w:sz w:val="24"/>
        </w:rPr>
        <w:t>Oceloxóchitl. Tigridia pavonia </w:t>
      </w:r>
      <w:r>
        <w:rPr>
          <w:i/>
          <w:sz w:val="24"/>
        </w:rPr>
        <w:t>(L.f.) DC. </w:t>
      </w:r>
      <w:r>
        <w:rPr>
          <w:sz w:val="24"/>
        </w:rPr>
        <w:t>Primera edición. Universidad Autónoma del Estado de México. Toluca, Estado de México. 69pp.</w:t>
      </w:r>
    </w:p>
    <w:p>
      <w:pPr>
        <w:spacing w:line="360" w:lineRule="auto" w:before="3"/>
        <w:ind w:left="471" w:right="119" w:hanging="356"/>
        <w:jc w:val="both"/>
        <w:rPr>
          <w:sz w:val="24"/>
        </w:rPr>
      </w:pPr>
      <w:r>
        <w:rPr>
          <w:sz w:val="24"/>
        </w:rPr>
        <w:t>Caballero, N. J. (Coord.) 2012. </w:t>
      </w:r>
      <w:r>
        <w:rPr>
          <w:i/>
          <w:sz w:val="24"/>
        </w:rPr>
        <w:t>Jardines botánicos: contribución a la conservación </w:t>
      </w:r>
      <w:r>
        <w:rPr>
          <w:i/>
          <w:sz w:val="24"/>
        </w:rPr>
        <w:t>vegetal de México</w:t>
      </w:r>
      <w:r>
        <w:rPr>
          <w:sz w:val="24"/>
        </w:rPr>
        <w:t>. CONABIO. México. 183 p.</w:t>
      </w:r>
    </w:p>
    <w:p>
      <w:pPr>
        <w:pStyle w:val="BodyText"/>
        <w:spacing w:line="364" w:lineRule="auto" w:before="2"/>
        <w:ind w:left="471" w:right="124" w:hanging="356"/>
        <w:jc w:val="both"/>
      </w:pPr>
      <w:r>
        <w:rPr/>
        <w:t>Calderón, G. y J. Rzedowski. 2003. Flora del bajío y de regiones adyacentes. fascículos 1 -100. Instituto de Ecología, A. C. CONABIO, México.</w:t>
      </w:r>
    </w:p>
    <w:p>
      <w:pPr>
        <w:spacing w:line="273" w:lineRule="exact" w:before="0"/>
        <w:ind w:left="116" w:right="78" w:firstLine="0"/>
        <w:jc w:val="left"/>
        <w:rPr>
          <w:sz w:val="24"/>
        </w:rPr>
      </w:pPr>
      <w:r>
        <w:rPr>
          <w:sz w:val="24"/>
        </w:rPr>
        <w:t>Camacho, H., Cámara, L.; Cascante, R. y Sainz, H. 2001. </w:t>
      </w:r>
      <w:r>
        <w:rPr>
          <w:i/>
          <w:sz w:val="24"/>
        </w:rPr>
        <w:t>El Enfoque del Marco Lógico</w:t>
      </w:r>
      <w:r>
        <w:rPr>
          <w:sz w:val="24"/>
        </w:rPr>
        <w:t>.</w:t>
      </w:r>
    </w:p>
    <w:p>
      <w:pPr>
        <w:pStyle w:val="BodyText"/>
        <w:spacing w:before="137"/>
        <w:ind w:left="471"/>
        <w:jc w:val="both"/>
      </w:pPr>
      <w:r>
        <w:rPr/>
        <w:t>Fundación CIDEAL-ADC. Madrid, España. 235 p.</w:t>
      </w:r>
    </w:p>
    <w:p>
      <w:pPr>
        <w:spacing w:line="360" w:lineRule="auto" w:before="137"/>
        <w:ind w:left="471" w:right="112" w:hanging="356"/>
        <w:jc w:val="both"/>
        <w:rPr>
          <w:sz w:val="24"/>
        </w:rPr>
      </w:pPr>
      <w:r>
        <w:rPr>
          <w:sz w:val="24"/>
        </w:rPr>
        <w:t>Camacho, P. 1985. </w:t>
      </w:r>
      <w:r>
        <w:rPr>
          <w:i/>
          <w:sz w:val="24"/>
        </w:rPr>
        <w:t>Estudio del uso del bosque para la extracción de leña, madera para </w:t>
      </w:r>
      <w:r>
        <w:rPr>
          <w:i/>
          <w:sz w:val="24"/>
        </w:rPr>
        <w:t>construcción de casas y fabricación de herramientas en una comunidad Otomí</w:t>
      </w:r>
      <w:r>
        <w:rPr>
          <w:sz w:val="24"/>
        </w:rPr>
        <w:t>. San Andrés, Timilpan, Estado de México. Tesis de licenciatura. ENEP Iztacala, Universidad Nacional Autónoma de México.</w:t>
      </w:r>
    </w:p>
    <w:p>
      <w:pPr>
        <w:spacing w:line="360" w:lineRule="auto" w:before="2"/>
        <w:ind w:left="544" w:right="115" w:hanging="428"/>
        <w:jc w:val="both"/>
        <w:rPr>
          <w:sz w:val="24"/>
        </w:rPr>
      </w:pPr>
      <w:r>
        <w:rPr>
          <w:sz w:val="24"/>
        </w:rPr>
        <w:t>Castillo-Hernández, M. y Tejero-Díez, D. 1983. </w:t>
      </w:r>
      <w:r>
        <w:rPr>
          <w:i/>
          <w:sz w:val="24"/>
        </w:rPr>
        <w:t>Estudio florístico del Cerro Gordo y </w:t>
      </w:r>
      <w:r>
        <w:rPr>
          <w:i/>
          <w:sz w:val="24"/>
        </w:rPr>
        <w:t>zonas aledañas (cercanas a San Juan Teotihuacán)</w:t>
      </w:r>
      <w:r>
        <w:rPr>
          <w:sz w:val="24"/>
        </w:rPr>
        <w:t>. Tesis de Licenciatura (Biología), Escuela Nacional de Estudios Profesionales Iztacala, Universidad Nacional Autónoma de México, Los Reyes Iztacala, Estado de México, México. 127 pp.</w:t>
      </w:r>
    </w:p>
    <w:p>
      <w:pPr>
        <w:spacing w:line="360" w:lineRule="auto" w:before="7"/>
        <w:ind w:left="471" w:right="112" w:hanging="356"/>
        <w:jc w:val="both"/>
        <w:rPr>
          <w:sz w:val="24"/>
        </w:rPr>
      </w:pPr>
      <w:r>
        <w:rPr>
          <w:sz w:val="24"/>
        </w:rPr>
        <w:t>Cazares, M., A. 1994. </w:t>
      </w:r>
      <w:r>
        <w:rPr>
          <w:i/>
          <w:sz w:val="24"/>
        </w:rPr>
        <w:t>Catálogo de plantas medicinales del Estado de México</w:t>
      </w:r>
      <w:r>
        <w:rPr>
          <w:sz w:val="24"/>
        </w:rPr>
        <w:t>. Tesis de licenciatura. FES Iztacala, Universidad Nacional Autónoma de México.</w:t>
      </w:r>
    </w:p>
    <w:p>
      <w:pPr>
        <w:tabs>
          <w:tab w:pos="2142" w:val="left" w:leader="none"/>
        </w:tabs>
        <w:spacing w:line="360" w:lineRule="auto" w:before="2"/>
        <w:ind w:left="471" w:right="111" w:hanging="356"/>
        <w:jc w:val="both"/>
        <w:rPr>
          <w:sz w:val="24"/>
        </w:rPr>
      </w:pPr>
      <w:r>
        <w:rPr>
          <w:sz w:val="24"/>
        </w:rPr>
        <w:t>CCA, Comisión para la Cooperación Ambiental. 2008. </w:t>
      </w:r>
      <w:r>
        <w:rPr>
          <w:i/>
          <w:sz w:val="24"/>
        </w:rPr>
        <w:t>Plan de América del Norte para  </w:t>
      </w:r>
      <w:r>
        <w:rPr>
          <w:i/>
          <w:sz w:val="24"/>
        </w:rPr>
        <w:t>la conservación de la Mariposa Monarca</w:t>
      </w:r>
      <w:r>
        <w:rPr>
          <w:sz w:val="24"/>
        </w:rPr>
        <w:t>. Departamento de comunicación y Difusión pública del Secretariado de la CCA. Consultado el 13 de junio del 2014. Disponible en:</w:t>
        <w:tab/>
      </w:r>
      <w:hyperlink r:id="rId189">
        <w:r>
          <w:rPr>
            <w:color w:val="0000FF"/>
            <w:sz w:val="24"/>
            <w:u w:val="single" w:color="0000FF"/>
          </w:rPr>
          <w:t>http://www3.cec.org/islandora/es/item/2350-north-american-monarch-</w:t>
        </w:r>
      </w:hyperlink>
      <w:r>
        <w:rPr>
          <w:color w:val="0000FF"/>
          <w:sz w:val="24"/>
          <w:u w:val="single" w:color="0000FF"/>
        </w:rPr>
        <w:t> </w:t>
      </w:r>
      <w:hyperlink r:id="rId189">
        <w:r>
          <w:rPr>
            <w:color w:val="0000FF"/>
            <w:sz w:val="24"/>
            <w:u w:val="single" w:color="0000FF"/>
          </w:rPr>
          <w:t>conservation-plan-es.pdf</w:t>
        </w:r>
      </w:hyperlink>
    </w:p>
    <w:p>
      <w:pPr>
        <w:spacing w:line="360" w:lineRule="auto" w:before="3"/>
        <w:ind w:left="471" w:right="120" w:hanging="356"/>
        <w:jc w:val="both"/>
        <w:rPr>
          <w:i/>
          <w:sz w:val="24"/>
        </w:rPr>
      </w:pPr>
      <w:r>
        <w:rPr>
          <w:sz w:val="24"/>
        </w:rPr>
        <w:t>Cervantes, B. D. M. y Jardón, P. J. 2007. </w:t>
      </w:r>
      <w:r>
        <w:rPr>
          <w:i/>
          <w:sz w:val="24"/>
        </w:rPr>
        <w:t>Restauración ambiental y conservación </w:t>
      </w:r>
      <w:r>
        <w:rPr>
          <w:i/>
          <w:sz w:val="24"/>
        </w:rPr>
        <w:t>ecológica   para   el   parque   universitario   “Las   Orquídeas”   Unidad    académica</w:t>
      </w:r>
    </w:p>
    <w:p>
      <w:pPr>
        <w:spacing w:after="0" w:line="360" w:lineRule="auto"/>
        <w:jc w:val="both"/>
        <w:rPr>
          <w:sz w:val="24"/>
        </w:rPr>
        <w:sectPr>
          <w:footerReference w:type="default" r:id="rId188"/>
          <w:pgSz w:w="12240" w:h="15840"/>
          <w:pgMar w:footer="1146" w:header="685" w:top="880" w:bottom="1340" w:left="1300" w:right="1300"/>
        </w:sectPr>
      </w:pPr>
    </w:p>
    <w:p>
      <w:pPr>
        <w:pStyle w:val="BodyText"/>
        <w:rPr>
          <w:i/>
          <w:sz w:val="20"/>
        </w:rPr>
      </w:pPr>
    </w:p>
    <w:p>
      <w:pPr>
        <w:pStyle w:val="BodyText"/>
        <w:spacing w:before="4"/>
        <w:rPr>
          <w:i/>
          <w:sz w:val="19"/>
        </w:rPr>
      </w:pPr>
    </w:p>
    <w:p>
      <w:pPr>
        <w:spacing w:line="362" w:lineRule="auto" w:before="70"/>
        <w:ind w:left="471" w:right="123" w:firstLine="0"/>
        <w:jc w:val="both"/>
        <w:rPr>
          <w:sz w:val="24"/>
        </w:rPr>
      </w:pPr>
      <w:r>
        <w:rPr>
          <w:i/>
          <w:sz w:val="24"/>
        </w:rPr>
        <w:t>profesional Temascaltepec, México</w:t>
      </w:r>
      <w:r>
        <w:rPr>
          <w:sz w:val="24"/>
        </w:rPr>
        <w:t>. Tesis de Licenciatura. Facultad de Geografía. Universidad Autónoma de Estado de México.</w:t>
      </w:r>
    </w:p>
    <w:p>
      <w:pPr>
        <w:tabs>
          <w:tab w:pos="7564" w:val="left" w:leader="none"/>
        </w:tabs>
        <w:spacing w:line="360" w:lineRule="auto" w:before="0"/>
        <w:ind w:left="544" w:right="113" w:hanging="428"/>
        <w:jc w:val="left"/>
        <w:rPr>
          <w:sz w:val="24"/>
        </w:rPr>
      </w:pPr>
      <w:r>
        <w:rPr>
          <w:sz w:val="24"/>
        </w:rPr>
        <w:t>Challenger A., R. Dirzo </w:t>
      </w:r>
      <w:r>
        <w:rPr>
          <w:i/>
          <w:sz w:val="24"/>
        </w:rPr>
        <w:t>et al. </w:t>
      </w:r>
      <w:r>
        <w:rPr>
          <w:sz w:val="24"/>
        </w:rPr>
        <w:t>2009. </w:t>
      </w:r>
      <w:r>
        <w:rPr>
          <w:i/>
          <w:sz w:val="24"/>
        </w:rPr>
        <w:t>Factores de cambio y estado de la biodiversidad</w:t>
      </w:r>
      <w:r>
        <w:rPr>
          <w:sz w:val="24"/>
        </w:rPr>
        <w:t>.  En: </w:t>
      </w:r>
      <w:r>
        <w:rPr>
          <w:i/>
          <w:sz w:val="24"/>
        </w:rPr>
        <w:t>Capital natural de México, vol.II: Estado de conservación y tendencias de </w:t>
      </w:r>
      <w:r>
        <w:rPr>
          <w:i/>
          <w:sz w:val="24"/>
        </w:rPr>
        <w:t>cambio</w:t>
      </w:r>
      <w:r>
        <w:rPr>
          <w:sz w:val="24"/>
        </w:rPr>
        <w:t>. CONABIO. México. pp.37-737. Disponible en: </w:t>
      </w:r>
      <w:hyperlink r:id="rId191">
        <w:r>
          <w:rPr>
            <w:color w:val="0000FF"/>
            <w:sz w:val="24"/>
            <w:u w:val="single" w:color="0000FF"/>
          </w:rPr>
          <w:t>https://spc.conanp.gob.mx/FACTORES%20DE%20CAMBIO.pd</w:t>
        </w:r>
      </w:hyperlink>
      <w:r>
        <w:rPr>
          <w:color w:val="0000FF"/>
          <w:sz w:val="24"/>
          <w:u w:val="single" w:color="0000FF"/>
        </w:rPr>
        <w:t>f</w:t>
        <w:tab/>
      </w:r>
      <w:r>
        <w:rPr>
          <w:sz w:val="24"/>
        </w:rPr>
        <w:t>consultado </w:t>
      </w:r>
      <w:r>
        <w:rPr>
          <w:spacing w:val="64"/>
          <w:sz w:val="24"/>
        </w:rPr>
        <w:t> </w:t>
      </w:r>
      <w:r>
        <w:rPr>
          <w:sz w:val="24"/>
        </w:rPr>
        <w:t>3 </w:t>
      </w:r>
      <w:r>
        <w:rPr>
          <w:spacing w:val="64"/>
          <w:sz w:val="24"/>
        </w:rPr>
        <w:t> </w:t>
      </w:r>
      <w:r>
        <w:rPr>
          <w:sz w:val="24"/>
        </w:rPr>
        <w:t>de</w:t>
      </w:r>
      <w:r>
        <w:rPr>
          <w:w w:val="99"/>
          <w:sz w:val="24"/>
        </w:rPr>
        <w:t> </w:t>
      </w:r>
      <w:r>
        <w:rPr>
          <w:sz w:val="24"/>
        </w:rPr>
        <w:t>enero </w:t>
      </w:r>
      <w:r>
        <w:rPr>
          <w:spacing w:val="-3"/>
          <w:sz w:val="24"/>
        </w:rPr>
        <w:t>del</w:t>
      </w:r>
      <w:r>
        <w:rPr>
          <w:spacing w:val="2"/>
          <w:sz w:val="24"/>
        </w:rPr>
        <w:t> </w:t>
      </w:r>
      <w:r>
        <w:rPr>
          <w:sz w:val="24"/>
        </w:rPr>
        <w:t>2013.</w:t>
      </w:r>
    </w:p>
    <w:p>
      <w:pPr>
        <w:spacing w:line="362" w:lineRule="auto" w:before="2"/>
        <w:ind w:left="544" w:right="119" w:firstLine="0"/>
        <w:jc w:val="both"/>
        <w:rPr>
          <w:sz w:val="24"/>
        </w:rPr>
      </w:pPr>
      <w:r>
        <w:rPr>
          <w:sz w:val="24"/>
        </w:rPr>
        <w:t>Chávez, C. M. A. y F. Guevara-Féfer. 2003. </w:t>
      </w:r>
      <w:r>
        <w:rPr>
          <w:i/>
          <w:sz w:val="24"/>
        </w:rPr>
        <w:t>Flora arvense asociada al cultivo de </w:t>
      </w:r>
      <w:r>
        <w:rPr>
          <w:i/>
          <w:sz w:val="24"/>
        </w:rPr>
        <w:t>maíz de temporal en el Valle de Morelia, Michoacán, México. </w:t>
      </w:r>
      <w:r>
        <w:rPr>
          <w:sz w:val="24"/>
        </w:rPr>
        <w:t>Flora del bajío de Regiones adyacentes. Fascículo complementario XIX. 1- 24</w:t>
      </w:r>
    </w:p>
    <w:p>
      <w:pPr>
        <w:spacing w:line="360" w:lineRule="auto" w:before="0"/>
        <w:ind w:left="471" w:right="111" w:hanging="356"/>
        <w:jc w:val="both"/>
        <w:rPr>
          <w:sz w:val="24"/>
        </w:rPr>
      </w:pPr>
      <w:r>
        <w:rPr>
          <w:sz w:val="24"/>
        </w:rPr>
        <w:t>Chávez M. M. C. 1998. </w:t>
      </w:r>
      <w:r>
        <w:rPr>
          <w:i/>
          <w:sz w:val="24"/>
        </w:rPr>
        <w:t>Etnobotánica de San Jerónimo Boncheté, México</w:t>
      </w:r>
      <w:r>
        <w:rPr>
          <w:sz w:val="24"/>
        </w:rPr>
        <w:t>. Cuadernos  de cultura universitaria. Universidad </w:t>
      </w:r>
      <w:r>
        <w:rPr>
          <w:spacing w:val="-3"/>
          <w:sz w:val="24"/>
        </w:rPr>
        <w:t>Autónoma </w:t>
      </w:r>
      <w:r>
        <w:rPr>
          <w:sz w:val="24"/>
        </w:rPr>
        <w:t>del Estado de México. Primera Edición. Toluca, Estado de</w:t>
      </w:r>
      <w:r>
        <w:rPr>
          <w:spacing w:val="-12"/>
          <w:sz w:val="24"/>
        </w:rPr>
        <w:t> </w:t>
      </w:r>
      <w:r>
        <w:rPr>
          <w:sz w:val="24"/>
        </w:rPr>
        <w:t>México.</w:t>
      </w:r>
    </w:p>
    <w:p>
      <w:pPr>
        <w:tabs>
          <w:tab w:pos="1498" w:val="left" w:leader="none"/>
          <w:tab w:pos="2011" w:val="left" w:leader="none"/>
          <w:tab w:pos="2893" w:val="left" w:leader="none"/>
          <w:tab w:pos="3521" w:val="left" w:leader="none"/>
          <w:tab w:pos="4087" w:val="left" w:leader="none"/>
          <w:tab w:pos="4959" w:val="left" w:leader="none"/>
          <w:tab w:pos="6578" w:val="left" w:leader="none"/>
          <w:tab w:pos="7666" w:val="left" w:leader="none"/>
          <w:tab w:pos="8726" w:val="left" w:leader="none"/>
        </w:tabs>
        <w:spacing w:line="360" w:lineRule="auto" w:before="8"/>
        <w:ind w:left="544" w:right="115" w:hanging="428"/>
        <w:jc w:val="left"/>
        <w:rPr>
          <w:sz w:val="24"/>
        </w:rPr>
      </w:pPr>
      <w:r>
        <w:rPr>
          <w:sz w:val="24"/>
        </w:rPr>
        <w:t>Chivian E. y A. Bernstein 2010. </w:t>
      </w:r>
      <w:r>
        <w:rPr>
          <w:i/>
          <w:sz w:val="24"/>
        </w:rPr>
        <w:t>Sustaining life. How our health depends on biodiversity. </w:t>
      </w:r>
      <w:r>
        <w:rPr>
          <w:sz w:val="24"/>
        </w:rPr>
        <w:t>Center</w:t>
        <w:tab/>
        <w:t>for</w:t>
        <w:tab/>
        <w:t>health</w:t>
        <w:tab/>
        <w:t>and</w:t>
        <w:tab/>
        <w:t>the</w:t>
        <w:tab/>
        <w:t>global</w:t>
        <w:tab/>
        <w:t>environment.</w:t>
        <w:tab/>
        <w:t>Harvard</w:t>
        <w:tab/>
        <w:t>Medical</w:t>
        <w:tab/>
      </w:r>
      <w:r>
        <w:rPr>
          <w:spacing w:val="-1"/>
          <w:sz w:val="24"/>
        </w:rPr>
        <w:t>School. </w:t>
      </w:r>
      <w:hyperlink r:id="rId192">
        <w:r>
          <w:rPr>
            <w:color w:val="0000FF"/>
            <w:sz w:val="24"/>
            <w:u w:val="single" w:color="0000FF"/>
          </w:rPr>
          <w:t>http://chge.med.harvard.edu/sites/default/files/resources/182945%20HMS%20Biodi</w:t>
        </w:r>
      </w:hyperlink>
      <w:r>
        <w:rPr>
          <w:color w:val="0000FF"/>
          <w:sz w:val="24"/>
          <w:u w:val="single" w:color="0000FF"/>
        </w:rPr>
        <w:t> </w:t>
      </w:r>
      <w:hyperlink r:id="rId192">
        <w:r>
          <w:rPr>
            <w:color w:val="0000FF"/>
            <w:sz w:val="24"/>
            <w:u w:val="single" w:color="0000FF"/>
          </w:rPr>
          <w:t>versity%20booklet.pdf</w:t>
        </w:r>
      </w:hyperlink>
    </w:p>
    <w:p>
      <w:pPr>
        <w:pStyle w:val="BodyText"/>
        <w:spacing w:line="360" w:lineRule="auto" w:before="8"/>
        <w:ind w:left="471" w:right="112" w:hanging="356"/>
        <w:jc w:val="both"/>
      </w:pPr>
      <w:r>
        <w:rPr/>
        <w:t>CONABIO. 1998. </w:t>
      </w:r>
      <w:r>
        <w:rPr>
          <w:i/>
        </w:rPr>
        <w:t>La diversidad biológica de México: estudio de país</w:t>
      </w:r>
      <w:r>
        <w:rPr/>
        <w:t>. Comisión  Nacional para el conocimiento y uso de la biodiversidad. México. Disponible en </w:t>
      </w:r>
      <w:hyperlink r:id="rId180">
        <w:r>
          <w:rPr>
            <w:color w:val="0000FF"/>
            <w:u w:val="single" w:color="0000FF"/>
          </w:rPr>
          <w:t>http://www.conabio.gob.mx/institucion/estudio_pais/INICIO.PDF</w:t>
        </w:r>
      </w:hyperlink>
      <w:r>
        <w:rPr/>
        <w:t>, consultado el 5 de abril del</w:t>
      </w:r>
      <w:r>
        <w:rPr>
          <w:spacing w:val="-4"/>
        </w:rPr>
        <w:t> </w:t>
      </w:r>
      <w:r>
        <w:rPr/>
        <w:t>2013.</w:t>
      </w:r>
    </w:p>
    <w:p>
      <w:pPr>
        <w:spacing w:line="360" w:lineRule="auto" w:before="7"/>
        <w:ind w:left="544" w:right="112" w:hanging="428"/>
        <w:jc w:val="both"/>
        <w:rPr>
          <w:sz w:val="24"/>
        </w:rPr>
      </w:pPr>
      <w:r>
        <w:rPr>
          <w:sz w:val="24"/>
        </w:rPr>
        <w:t>CONABIO, CONANP y SEMARNAT. 2008. </w:t>
      </w:r>
      <w:r>
        <w:rPr>
          <w:i/>
          <w:sz w:val="24"/>
        </w:rPr>
        <w:t>Estrategia Mexicana para la Conservación </w:t>
      </w:r>
      <w:r>
        <w:rPr>
          <w:i/>
          <w:sz w:val="24"/>
        </w:rPr>
        <w:t>Vegetal: Objetivos y Metas. México</w:t>
      </w:r>
      <w:r>
        <w:rPr>
          <w:sz w:val="24"/>
        </w:rPr>
        <w:t>. Disponible en: </w:t>
      </w:r>
      <w:hyperlink r:id="rId179">
        <w:r>
          <w:rPr>
            <w:color w:val="0000FF"/>
            <w:sz w:val="24"/>
            <w:u w:val="single" w:color="0000FF"/>
          </w:rPr>
          <w:t>http://www.biodiversidad.gob.mx/pais/pdf/EMCV.pdf</w:t>
        </w:r>
      </w:hyperlink>
      <w:r>
        <w:rPr>
          <w:color w:val="0000FF"/>
          <w:sz w:val="24"/>
          <w:u w:val="single" w:color="0000FF"/>
        </w:rPr>
        <w:t> </w:t>
      </w:r>
      <w:r>
        <w:rPr>
          <w:sz w:val="24"/>
        </w:rPr>
        <w:t>consultado 3 de enero  del 2013.</w:t>
      </w:r>
    </w:p>
    <w:p>
      <w:pPr>
        <w:pStyle w:val="BodyText"/>
      </w:pPr>
    </w:p>
    <w:p>
      <w:pPr>
        <w:pStyle w:val="BodyText"/>
        <w:spacing w:line="360" w:lineRule="auto" w:before="144"/>
        <w:ind w:left="544" w:right="122" w:hanging="428"/>
        <w:jc w:val="both"/>
      </w:pPr>
      <w:r>
        <w:rPr/>
        <w:t>CONAFOR, 2009. Fichas técnicas para reforestación, disponible en: </w:t>
      </w:r>
      <w:hyperlink r:id="rId193">
        <w:r>
          <w:rPr>
            <w:color w:val="0000FF"/>
            <w:u w:val="single" w:color="0000FF"/>
          </w:rPr>
          <w:t>http://www.conafor.gob.mx/portal/docs/secciones/reforestacion/Fichas%20Tecnicas</w:t>
        </w:r>
      </w:hyperlink>
    </w:p>
    <w:p>
      <w:pPr>
        <w:tabs>
          <w:tab w:pos="9190" w:val="left" w:leader="none"/>
        </w:tabs>
        <w:spacing w:line="360" w:lineRule="auto" w:before="3"/>
        <w:ind w:left="544" w:right="112" w:hanging="428"/>
        <w:jc w:val="both"/>
        <w:rPr>
          <w:sz w:val="24"/>
        </w:rPr>
      </w:pPr>
      <w:r>
        <w:rPr>
          <w:sz w:val="24"/>
        </w:rPr>
        <w:t>CONAFOR, 2010. </w:t>
      </w:r>
      <w:r>
        <w:rPr>
          <w:i/>
          <w:sz w:val="24"/>
        </w:rPr>
        <w:t>Plantas medicinales de la Farmacia viviente del CEFOFOR: usos </w:t>
      </w:r>
      <w:r>
        <w:rPr>
          <w:i/>
          <w:sz w:val="24"/>
        </w:rPr>
        <w:t>terapéuticos tradicionales y dosificación. </w:t>
      </w:r>
      <w:r>
        <w:rPr>
          <w:sz w:val="24"/>
        </w:rPr>
        <w:t>consultado el 9 de mayo del 2014, disponible</w:t>
        <w:tab/>
        <w:t>en:</w:t>
      </w:r>
    </w:p>
    <w:p>
      <w:pPr>
        <w:spacing w:after="0" w:line="360" w:lineRule="auto"/>
        <w:jc w:val="both"/>
        <w:rPr>
          <w:sz w:val="24"/>
        </w:rPr>
        <w:sectPr>
          <w:footerReference w:type="default" r:id="rId190"/>
          <w:pgSz w:w="12240" w:h="15840"/>
          <w:pgMar w:footer="1146" w:header="685" w:top="880" w:bottom="1340" w:left="1300" w:right="1300"/>
          <w:pgNumType w:start="171"/>
        </w:sectPr>
      </w:pPr>
    </w:p>
    <w:p>
      <w:pPr>
        <w:pStyle w:val="BodyText"/>
        <w:rPr>
          <w:sz w:val="20"/>
        </w:rPr>
      </w:pPr>
    </w:p>
    <w:p>
      <w:pPr>
        <w:pStyle w:val="BodyText"/>
        <w:spacing w:before="4"/>
        <w:rPr>
          <w:sz w:val="19"/>
        </w:rPr>
      </w:pPr>
    </w:p>
    <w:p>
      <w:pPr>
        <w:pStyle w:val="BodyText"/>
        <w:spacing w:line="362" w:lineRule="auto" w:before="70"/>
        <w:ind w:left="544" w:right="111"/>
      </w:pPr>
      <w:hyperlink r:id="rId194">
        <w:r>
          <w:rPr>
            <w:color w:val="0000FF"/>
            <w:u w:val="single" w:color="0000FF"/>
          </w:rPr>
          <w:t>http://www.conafor.gob.mx/biblioteca/plantas_medicinales_de_la_farmacia_viviente-</w:t>
        </w:r>
      </w:hyperlink>
      <w:r>
        <w:rPr>
          <w:color w:val="0000FF"/>
          <w:u w:val="single" w:color="0000FF"/>
        </w:rPr>
        <w:t> </w:t>
      </w:r>
      <w:hyperlink r:id="rId194">
        <w:r>
          <w:rPr>
            <w:color w:val="0000FF"/>
            <w:u w:val="single" w:color="0000FF"/>
          </w:rPr>
          <w:t>conafor.pdf</w:t>
        </w:r>
      </w:hyperlink>
    </w:p>
    <w:p>
      <w:pPr>
        <w:spacing w:line="360" w:lineRule="auto" w:before="0"/>
        <w:ind w:left="544" w:right="112" w:hanging="428"/>
        <w:jc w:val="both"/>
        <w:rPr>
          <w:sz w:val="24"/>
        </w:rPr>
      </w:pPr>
      <w:r>
        <w:rPr>
          <w:sz w:val="24"/>
        </w:rPr>
        <w:t>Cowan, C. P. 1983. </w:t>
      </w:r>
      <w:r>
        <w:rPr>
          <w:i/>
          <w:sz w:val="24"/>
        </w:rPr>
        <w:t>Flora de Tabasco. Listados florísticos de México I</w:t>
      </w:r>
      <w:r>
        <w:rPr>
          <w:sz w:val="24"/>
        </w:rPr>
        <w:t>. Instituto de Biología, Universidad Nacional Autónoma de México. México, D.F. 123pp.</w:t>
      </w:r>
    </w:p>
    <w:p>
      <w:pPr>
        <w:spacing w:line="362" w:lineRule="auto" w:before="2"/>
        <w:ind w:left="471" w:right="117" w:hanging="356"/>
        <w:jc w:val="both"/>
        <w:rPr>
          <w:sz w:val="24"/>
        </w:rPr>
      </w:pPr>
      <w:r>
        <w:rPr>
          <w:sz w:val="24"/>
        </w:rPr>
        <w:t>Crisci, J. V. y Morrone, J. J. </w:t>
      </w:r>
      <w:r>
        <w:rPr>
          <w:i/>
          <w:sz w:val="24"/>
        </w:rPr>
        <w:t>Panbiogeografía y biogeografía cladística: Paradigmas </w:t>
      </w:r>
      <w:r>
        <w:rPr>
          <w:i/>
          <w:sz w:val="24"/>
        </w:rPr>
        <w:t>actuales de la biogeografía histórica</w:t>
      </w:r>
      <w:r>
        <w:rPr>
          <w:sz w:val="24"/>
        </w:rPr>
        <w:t>, Ciencias, núm. Especial 6, 1992, pp. 87-97.</w:t>
      </w:r>
    </w:p>
    <w:p>
      <w:pPr>
        <w:pStyle w:val="BodyText"/>
        <w:ind w:left="116" w:right="78"/>
      </w:pPr>
      <w:r>
        <w:rPr/>
        <w:t>Curtis, H., Barnes, N. S., Schnek, A., Massarini, A. 2009. </w:t>
      </w:r>
      <w:r>
        <w:rPr>
          <w:i/>
        </w:rPr>
        <w:t>Biología</w:t>
      </w:r>
      <w:r>
        <w:rPr/>
        <w:t>. Séptima edición.</w:t>
      </w:r>
    </w:p>
    <w:p>
      <w:pPr>
        <w:pStyle w:val="BodyText"/>
        <w:spacing w:before="137"/>
        <w:ind w:left="471" w:right="78"/>
      </w:pPr>
      <w:r>
        <w:rPr/>
        <w:t>Editorial medica panamericana. Buenos Aires, Argentina. 1009p.</w:t>
      </w:r>
    </w:p>
    <w:p>
      <w:pPr>
        <w:pStyle w:val="BodyText"/>
        <w:spacing w:line="360" w:lineRule="auto" w:before="137"/>
        <w:ind w:left="544" w:right="110" w:hanging="428"/>
        <w:jc w:val="both"/>
      </w:pPr>
      <w:r>
        <w:rPr/>
        <w:t>Davidse, G., M. S. Sousa, A. O. Chater. 1994. </w:t>
      </w:r>
      <w:r>
        <w:rPr>
          <w:i/>
        </w:rPr>
        <w:t>Flora de Mesoamérica, vol. VI. </w:t>
      </w:r>
      <w:r>
        <w:rPr/>
        <w:t>Universidad Nacional Autónoma de México (Instituto de Biología). Missouri Botanical Garden. The Natural History Museum (London), 543pp. Citado por: Vázquez, G. L. M., T. H. Norman y M., M. C. Corona R. 2001. </w:t>
      </w:r>
      <w:r>
        <w:rPr>
          <w:i/>
        </w:rPr>
        <w:t>Oceloxóchitl. Tigridia </w:t>
      </w:r>
      <w:r>
        <w:rPr>
          <w:i/>
        </w:rPr>
        <w:t>pavonia (L.f.) DC. </w:t>
      </w:r>
      <w:r>
        <w:rPr/>
        <w:t>Primera edición. Universidad Autónoma del Estado de México. Toluca, Estado de México.</w:t>
      </w:r>
      <w:r>
        <w:rPr>
          <w:spacing w:val="-8"/>
        </w:rPr>
        <w:t> </w:t>
      </w:r>
      <w:r>
        <w:rPr/>
        <w:t>69pp.</w:t>
      </w:r>
    </w:p>
    <w:p>
      <w:pPr>
        <w:spacing w:line="360" w:lineRule="auto" w:before="2"/>
        <w:ind w:left="544" w:right="111" w:hanging="428"/>
        <w:jc w:val="both"/>
        <w:rPr>
          <w:sz w:val="24"/>
        </w:rPr>
      </w:pPr>
      <w:r>
        <w:rPr>
          <w:sz w:val="24"/>
        </w:rPr>
        <w:t>Dávila, P., y T. Germán. 1991. </w:t>
      </w:r>
      <w:r>
        <w:rPr>
          <w:i/>
          <w:sz w:val="24"/>
        </w:rPr>
        <w:t>Herbario Nacional de México. </w:t>
      </w:r>
      <w:r>
        <w:rPr>
          <w:sz w:val="24"/>
        </w:rPr>
        <w:t>Colecciones biológicas nacionales del Instituto de Biología, UNAM, México citado en: Llorente-Bousquets, J., y S. Ocegueda. 2008. Estado del conocimiento de la biota, en </w:t>
      </w:r>
      <w:r>
        <w:rPr>
          <w:i/>
          <w:sz w:val="24"/>
        </w:rPr>
        <w:t>Capital natural de </w:t>
      </w:r>
      <w:r>
        <w:rPr>
          <w:i/>
          <w:sz w:val="24"/>
        </w:rPr>
        <w:t>México, vol. I: Conocimiento actual de la biodiversidad</w:t>
      </w:r>
      <w:r>
        <w:rPr>
          <w:sz w:val="24"/>
        </w:rPr>
        <w:t>. CONABIO, México, 283- 322.</w:t>
      </w:r>
    </w:p>
    <w:p>
      <w:pPr>
        <w:spacing w:line="362" w:lineRule="auto" w:before="2"/>
        <w:ind w:left="471" w:right="124" w:hanging="356"/>
        <w:jc w:val="both"/>
        <w:rPr>
          <w:sz w:val="24"/>
        </w:rPr>
      </w:pPr>
      <w:r>
        <w:rPr>
          <w:sz w:val="24"/>
        </w:rPr>
        <w:t>Defler, T. R. y P. A. Palacios (eds). 2002. </w:t>
      </w:r>
      <w:r>
        <w:rPr>
          <w:i/>
          <w:sz w:val="24"/>
        </w:rPr>
        <w:t>Zonificación Ambiental para el Ordenamiento </w:t>
      </w:r>
      <w:r>
        <w:rPr>
          <w:i/>
          <w:sz w:val="24"/>
        </w:rPr>
        <w:t>territorial</w:t>
      </w:r>
      <w:r>
        <w:rPr>
          <w:sz w:val="24"/>
        </w:rPr>
        <w:t>. Libro de memorias. Instituto Amazónico de Investigaciones Imani &amp; Instituto de Ciencias Naturales. Universidad Nacional de Colombia. Bogotá, D.C.</w:t>
      </w:r>
    </w:p>
    <w:p>
      <w:pPr>
        <w:spacing w:line="360" w:lineRule="auto" w:before="0"/>
        <w:ind w:left="544" w:right="119" w:hanging="428"/>
        <w:jc w:val="both"/>
        <w:rPr>
          <w:sz w:val="24"/>
        </w:rPr>
      </w:pPr>
      <w:r>
        <w:rPr>
          <w:sz w:val="24"/>
        </w:rPr>
        <w:t>Dirzo, R. 1974. </w:t>
      </w:r>
      <w:r>
        <w:rPr>
          <w:i/>
          <w:sz w:val="24"/>
        </w:rPr>
        <w:t>Mapa de vegetación de la cuenca del río Cutzamala: Estado de México, </w:t>
      </w:r>
      <w:r>
        <w:rPr>
          <w:i/>
          <w:sz w:val="24"/>
        </w:rPr>
        <w:t>Michoacán y Guerrero, México</w:t>
      </w:r>
      <w:r>
        <w:rPr>
          <w:sz w:val="24"/>
        </w:rPr>
        <w:t>. Tesis Biología. Universidad Autónoma del Estado  de Morelos, Cuernavaca,</w:t>
      </w:r>
      <w:r>
        <w:rPr>
          <w:spacing w:val="-13"/>
          <w:sz w:val="24"/>
        </w:rPr>
        <w:t> </w:t>
      </w:r>
      <w:r>
        <w:rPr>
          <w:sz w:val="24"/>
        </w:rPr>
        <w:t>Morelos.</w:t>
      </w:r>
    </w:p>
    <w:p>
      <w:pPr>
        <w:pStyle w:val="BodyText"/>
        <w:spacing w:before="2"/>
        <w:ind w:left="116" w:right="78"/>
      </w:pPr>
      <w:r>
        <w:rPr/>
        <w:t>Dixon, R. K., S. Brown, R. A. Houghton, A. M. Solomon, M. C. Trexler, y J.   Wisniewski.</w:t>
      </w:r>
    </w:p>
    <w:p>
      <w:pPr>
        <w:spacing w:before="141"/>
        <w:ind w:left="98" w:right="130" w:firstLine="0"/>
        <w:jc w:val="center"/>
        <w:rPr>
          <w:sz w:val="24"/>
        </w:rPr>
      </w:pPr>
      <w:r>
        <w:rPr>
          <w:sz w:val="24"/>
        </w:rPr>
        <w:t>1994</w:t>
      </w:r>
      <w:r>
        <w:rPr>
          <w:i/>
          <w:sz w:val="24"/>
        </w:rPr>
        <w:t>. Carbon pools and flux of global forest ecosystems</w:t>
      </w:r>
      <w:r>
        <w:rPr>
          <w:sz w:val="24"/>
        </w:rPr>
        <w:t>. Science, 263:185-190.</w:t>
      </w:r>
    </w:p>
    <w:p>
      <w:pPr>
        <w:spacing w:line="360" w:lineRule="auto" w:before="137"/>
        <w:ind w:left="544" w:right="116" w:hanging="428"/>
        <w:jc w:val="both"/>
        <w:rPr>
          <w:sz w:val="24"/>
        </w:rPr>
      </w:pPr>
      <w:r>
        <w:rPr>
          <w:sz w:val="24"/>
        </w:rPr>
        <w:t>Dorado O., A. Flores-Castorena, J. M. Jesús-Almonte, D. M. Arias y D. Martínez- Alvarado. 2012. </w:t>
      </w:r>
      <w:r>
        <w:rPr>
          <w:i/>
          <w:sz w:val="24"/>
        </w:rPr>
        <w:t>Árboles de Cuernavaca. Nativos y exóticos. Guía para su </w:t>
      </w:r>
      <w:r>
        <w:rPr>
          <w:i/>
          <w:sz w:val="24"/>
        </w:rPr>
        <w:t>identificación.   </w:t>
      </w:r>
      <w:r>
        <w:rPr>
          <w:sz w:val="24"/>
        </w:rPr>
        <w:t>Trópicos   Seco   ediciones.   Centro   de   Educación   Ambiental   e</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78"/>
      </w:pPr>
      <w:r>
        <w:rPr/>
        <w:t>Investigación Sierra de Huautla (CEAMISH). Universidad Autónoma del Estado del Estado de Morelos. Cuernavaca, Morelos. 359 pp.</w:t>
      </w:r>
    </w:p>
    <w:p>
      <w:pPr>
        <w:spacing w:line="360" w:lineRule="auto" w:before="0"/>
        <w:ind w:left="544" w:right="116" w:hanging="428"/>
        <w:jc w:val="both"/>
        <w:rPr>
          <w:sz w:val="24"/>
        </w:rPr>
      </w:pPr>
      <w:r>
        <w:rPr>
          <w:sz w:val="24"/>
        </w:rPr>
        <w:t>Durán, R., G. Campos, J. C. Trejo, P. Simá, F. May-Pat y M. Juan-Qui. 2000. </w:t>
      </w:r>
      <w:r>
        <w:rPr>
          <w:i/>
          <w:sz w:val="24"/>
        </w:rPr>
        <w:t>Listado </w:t>
      </w:r>
      <w:r>
        <w:rPr>
          <w:i/>
          <w:sz w:val="24"/>
        </w:rPr>
        <w:t>florístico de la península de Yucatán</w:t>
      </w:r>
      <w:r>
        <w:rPr>
          <w:sz w:val="24"/>
        </w:rPr>
        <w:t>. Centro de Investigaciones Científicas de Yucatán, A. C. Mérida, Yucatán. 259pp.</w:t>
      </w:r>
    </w:p>
    <w:p>
      <w:pPr>
        <w:spacing w:line="360" w:lineRule="auto" w:before="7"/>
        <w:ind w:left="544" w:right="114" w:hanging="428"/>
        <w:jc w:val="both"/>
        <w:rPr>
          <w:sz w:val="24"/>
        </w:rPr>
      </w:pPr>
      <w:r>
        <w:rPr>
          <w:sz w:val="24"/>
        </w:rPr>
        <w:t>Espinosa-Garduño, J. y L. S. Rodríguez-Jiménez. 1995. </w:t>
      </w:r>
      <w:r>
        <w:rPr>
          <w:i/>
          <w:sz w:val="24"/>
        </w:rPr>
        <w:t>Listados florísticos del estado </w:t>
      </w:r>
      <w:r>
        <w:rPr>
          <w:i/>
          <w:sz w:val="24"/>
        </w:rPr>
        <w:t>de Michoacán. Sección II (Angiospermae: Compositae)</w:t>
      </w:r>
      <w:r>
        <w:rPr>
          <w:sz w:val="24"/>
        </w:rPr>
        <w:t>. Flora del Bajío y de Regiones Adyacentes. Fascículo Complementario VII. Instituto de Ecología, A.C., Centro Regional del Bajío. Pátzcuaro, Michoacán. 242 pp.</w:t>
      </w:r>
    </w:p>
    <w:p>
      <w:pPr>
        <w:spacing w:line="360" w:lineRule="auto" w:before="8"/>
        <w:ind w:left="544" w:right="115" w:hanging="428"/>
        <w:jc w:val="both"/>
        <w:rPr>
          <w:sz w:val="24"/>
        </w:rPr>
      </w:pPr>
      <w:r>
        <w:rPr>
          <w:sz w:val="24"/>
        </w:rPr>
        <w:t>Espinosa-Garduño, J. y L. S. Rodríguez-Jiménez. 1996. </w:t>
      </w:r>
      <w:r>
        <w:rPr>
          <w:i/>
          <w:sz w:val="24"/>
        </w:rPr>
        <w:t>Listados florísticos del estado </w:t>
      </w:r>
      <w:r>
        <w:rPr>
          <w:i/>
          <w:sz w:val="24"/>
        </w:rPr>
        <w:t>de Michoacán. Sección IV (Angiospermae: Fagaceae, Gramineae, Krameriaceae, Leguminosae)</w:t>
      </w:r>
      <w:r>
        <w:rPr>
          <w:sz w:val="24"/>
        </w:rPr>
        <w:t>. Flora del Bajío y de Regiones Adyacentes. Fascículo Complementario XII. Instituto de Ecología, A.C., Centro Regional del Bajío. Pátzcuaro, Michoacán. 272 pp.</w:t>
      </w:r>
    </w:p>
    <w:p>
      <w:pPr>
        <w:spacing w:line="360" w:lineRule="auto" w:before="2"/>
        <w:ind w:left="544" w:right="115" w:hanging="428"/>
        <w:jc w:val="both"/>
        <w:rPr>
          <w:sz w:val="24"/>
        </w:rPr>
      </w:pPr>
      <w:r>
        <w:rPr>
          <w:sz w:val="24"/>
        </w:rPr>
        <w:t>Esquivel R., E. y S. Chino 1993. </w:t>
      </w:r>
      <w:r>
        <w:rPr>
          <w:i/>
          <w:sz w:val="24"/>
        </w:rPr>
        <w:t>Flora medicinal del poblado de Santa Catarina del </w:t>
      </w:r>
      <w:r>
        <w:rPr>
          <w:i/>
          <w:sz w:val="24"/>
        </w:rPr>
        <w:t>Monte, Municipio de Texcoco, Estado de México</w:t>
      </w:r>
      <w:r>
        <w:rPr>
          <w:sz w:val="24"/>
        </w:rPr>
        <w:t>. XII Congreso Mexicano de botánica. Mérida, Yucatán.</w:t>
      </w:r>
    </w:p>
    <w:p>
      <w:pPr>
        <w:spacing w:line="360" w:lineRule="auto" w:before="8"/>
        <w:ind w:left="544" w:right="120" w:hanging="428"/>
        <w:jc w:val="both"/>
        <w:rPr>
          <w:sz w:val="24"/>
        </w:rPr>
      </w:pPr>
      <w:r>
        <w:rPr>
          <w:sz w:val="24"/>
        </w:rPr>
        <w:t>FAO. Food and Agriculture Organization. 2009. </w:t>
      </w:r>
      <w:r>
        <w:rPr>
          <w:i/>
          <w:sz w:val="24"/>
        </w:rPr>
        <w:t>Fibras naturales. Tejidos antiguos, </w:t>
      </w:r>
      <w:r>
        <w:rPr>
          <w:i/>
          <w:sz w:val="24"/>
        </w:rPr>
        <w:t>geotextiles modernos. </w:t>
      </w:r>
      <w:r>
        <w:rPr>
          <w:sz w:val="24"/>
        </w:rPr>
        <w:t>Consultado el 10 de octubre del 2014. Disponible en: </w:t>
      </w:r>
      <w:hyperlink r:id="rId195">
        <w:r>
          <w:rPr>
            <w:sz w:val="24"/>
          </w:rPr>
          <w:t>http://www.naturalfibres2009.org/es/index.html</w:t>
        </w:r>
      </w:hyperlink>
    </w:p>
    <w:p>
      <w:pPr>
        <w:spacing w:before="3"/>
        <w:ind w:left="116" w:right="78" w:firstLine="0"/>
        <w:jc w:val="left"/>
        <w:rPr>
          <w:sz w:val="24"/>
        </w:rPr>
      </w:pPr>
      <w:r>
        <w:rPr>
          <w:sz w:val="24"/>
        </w:rPr>
        <w:t>Farjon,  A.  2013.  </w:t>
      </w:r>
      <w:r>
        <w:rPr>
          <w:i/>
          <w:sz w:val="24"/>
        </w:rPr>
        <w:t>Cupressus  lusitanica.  </w:t>
      </w:r>
      <w:r>
        <w:rPr>
          <w:sz w:val="24"/>
        </w:rPr>
        <w:t>The  IUCN  Red  List  of  Threatened Species.</w:t>
      </w:r>
    </w:p>
    <w:p>
      <w:pPr>
        <w:pStyle w:val="BodyText"/>
        <w:spacing w:before="141"/>
        <w:ind w:left="544" w:right="78"/>
      </w:pPr>
      <w:r>
        <w:rPr/>
        <w:t>Consultado el 13 de junio del 2014. Version 2014.2. &lt;</w:t>
      </w:r>
      <w:hyperlink r:id="rId196">
        <w:r>
          <w:rPr/>
          <w:t>www.iucnredlist.org</w:t>
        </w:r>
      </w:hyperlink>
      <w:r>
        <w:rPr/>
        <w:t>&gt;.</w:t>
      </w:r>
    </w:p>
    <w:p>
      <w:pPr>
        <w:spacing w:before="137"/>
        <w:ind w:left="116" w:right="78" w:firstLine="0"/>
        <w:jc w:val="left"/>
        <w:rPr>
          <w:sz w:val="24"/>
        </w:rPr>
      </w:pPr>
      <w:r>
        <w:rPr>
          <w:sz w:val="24"/>
        </w:rPr>
        <w:t>Farjon,  A.  2013.  </w:t>
      </w:r>
      <w:r>
        <w:rPr>
          <w:i/>
          <w:sz w:val="24"/>
        </w:rPr>
        <w:t>Juniperus  flaccida</w:t>
      </w:r>
      <w:r>
        <w:rPr>
          <w:sz w:val="24"/>
        </w:rPr>
        <w:t>.  The  IUCN  Red  List  of  Threatened     Species.</w:t>
      </w:r>
    </w:p>
    <w:p>
      <w:pPr>
        <w:pStyle w:val="BodyText"/>
        <w:spacing w:before="137"/>
        <w:ind w:left="544" w:right="78"/>
      </w:pPr>
      <w:r>
        <w:rPr/>
        <w:t>Consultado el 13 de junio del 2014. Version 2014.2. &lt;</w:t>
      </w:r>
      <w:hyperlink r:id="rId196">
        <w:r>
          <w:rPr/>
          <w:t>www.iucnredlist.org</w:t>
        </w:r>
      </w:hyperlink>
      <w:r>
        <w:rPr/>
        <w:t>&gt;.</w:t>
      </w:r>
    </w:p>
    <w:p>
      <w:pPr>
        <w:spacing w:line="360" w:lineRule="auto" w:before="137"/>
        <w:ind w:left="544" w:right="111" w:hanging="428"/>
        <w:jc w:val="both"/>
        <w:rPr>
          <w:sz w:val="24"/>
        </w:rPr>
      </w:pPr>
      <w:r>
        <w:rPr>
          <w:sz w:val="24"/>
        </w:rPr>
        <w:t>Farnsworth, N. R. (1988). </w:t>
      </w:r>
      <w:r>
        <w:rPr>
          <w:i/>
          <w:sz w:val="24"/>
        </w:rPr>
        <w:t>“Screening plants for new medicines”, </w:t>
      </w:r>
      <w:r>
        <w:rPr>
          <w:sz w:val="24"/>
        </w:rPr>
        <w:t>en: E. O. Wilson (ed.), </w:t>
      </w:r>
      <w:r>
        <w:rPr>
          <w:i/>
          <w:sz w:val="24"/>
        </w:rPr>
        <w:t>Biodiversity</w:t>
      </w:r>
      <w:r>
        <w:rPr>
          <w:sz w:val="24"/>
        </w:rPr>
        <w:t>. Washington, D. C.: National Academy Press, pp. 83-97. </w:t>
      </w:r>
      <w:hyperlink r:id="rId197">
        <w:r>
          <w:rPr>
            <w:color w:val="0000FF"/>
            <w:sz w:val="24"/>
            <w:u w:val="single" w:color="0000FF"/>
          </w:rPr>
          <w:t>http://www.ciesin.org/docs/002-256c/002-256c.html</w:t>
        </w:r>
      </w:hyperlink>
      <w:r>
        <w:rPr>
          <w:sz w:val="24"/>
        </w:rPr>
        <w:t>, consultado el 4 de abril del 2013.</w:t>
      </w:r>
    </w:p>
    <w:p>
      <w:pPr>
        <w:spacing w:line="360" w:lineRule="auto" w:before="3"/>
        <w:ind w:left="471" w:right="116" w:hanging="356"/>
        <w:jc w:val="both"/>
        <w:rPr>
          <w:sz w:val="24"/>
        </w:rPr>
      </w:pPr>
      <w:r>
        <w:rPr>
          <w:sz w:val="24"/>
        </w:rPr>
        <w:t>Fernández, N. R.; Rodríguez J. C.; Arreguín S. M. y Rodríguez J. A. 1998. </w:t>
      </w:r>
      <w:r>
        <w:rPr>
          <w:i/>
          <w:sz w:val="24"/>
        </w:rPr>
        <w:t>Listado </w:t>
      </w:r>
      <w:r>
        <w:rPr>
          <w:i/>
          <w:sz w:val="24"/>
        </w:rPr>
        <w:t>florístico de la cuenca del río Balsas</w:t>
      </w:r>
      <w:r>
        <w:rPr>
          <w:sz w:val="24"/>
        </w:rPr>
        <w:t>. México. Polibotánica. 9:1-151.</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spacing w:line="362" w:lineRule="auto" w:before="70"/>
        <w:ind w:left="544" w:right="125" w:hanging="428"/>
        <w:jc w:val="both"/>
        <w:rPr>
          <w:sz w:val="24"/>
        </w:rPr>
      </w:pPr>
      <w:r>
        <w:rPr>
          <w:sz w:val="24"/>
        </w:rPr>
        <w:t>Fernández-Vitora V. C. 1997. </w:t>
      </w:r>
      <w:r>
        <w:rPr>
          <w:i/>
          <w:sz w:val="24"/>
        </w:rPr>
        <w:t>Guía metodológica para la evaluación del impacto </w:t>
      </w:r>
      <w:r>
        <w:rPr>
          <w:i/>
          <w:sz w:val="24"/>
        </w:rPr>
        <w:t>ambiental</w:t>
      </w:r>
      <w:r>
        <w:rPr>
          <w:sz w:val="24"/>
        </w:rPr>
        <w:t>. Tercera Edición. Ediciones Mundi-Prensa. Madrid, España. 412p.</w:t>
      </w:r>
    </w:p>
    <w:p>
      <w:pPr>
        <w:spacing w:line="360" w:lineRule="auto" w:before="0"/>
        <w:ind w:left="544" w:right="115" w:hanging="428"/>
        <w:jc w:val="both"/>
        <w:rPr>
          <w:sz w:val="24"/>
        </w:rPr>
      </w:pPr>
      <w:r>
        <w:rPr>
          <w:sz w:val="24"/>
        </w:rPr>
        <w:t>Ferreras, C. C. y Fidalgo, C. H. C. 1999. </w:t>
      </w:r>
      <w:r>
        <w:rPr>
          <w:i/>
          <w:sz w:val="24"/>
        </w:rPr>
        <w:t>Biogeografía y edafogeografía</w:t>
      </w:r>
      <w:r>
        <w:rPr>
          <w:sz w:val="24"/>
        </w:rPr>
        <w:t>. Editorial síntesis. Primera Edición. Madrid, España. 262p.</w:t>
      </w:r>
    </w:p>
    <w:p>
      <w:pPr>
        <w:spacing w:line="362" w:lineRule="auto" w:before="2"/>
        <w:ind w:left="544" w:right="121" w:hanging="428"/>
        <w:jc w:val="both"/>
        <w:rPr>
          <w:sz w:val="24"/>
        </w:rPr>
      </w:pPr>
      <w:r>
        <w:rPr>
          <w:sz w:val="24"/>
        </w:rPr>
        <w:t>FitzPatrick, E. A. 1980. </w:t>
      </w:r>
      <w:r>
        <w:rPr>
          <w:i/>
          <w:sz w:val="24"/>
        </w:rPr>
        <w:t>Suelos. Su formación, clasificación y distribución</w:t>
      </w:r>
      <w:r>
        <w:rPr>
          <w:sz w:val="24"/>
        </w:rPr>
        <w:t>. Primera Edición. Compañía Editorial Continental. S.A. de C.V. México, D.F. 430 pp.</w:t>
      </w:r>
    </w:p>
    <w:p>
      <w:pPr>
        <w:spacing w:line="360" w:lineRule="auto" w:before="0"/>
        <w:ind w:left="544" w:right="115" w:hanging="428"/>
        <w:jc w:val="both"/>
        <w:rPr>
          <w:sz w:val="24"/>
        </w:rPr>
      </w:pPr>
      <w:r>
        <w:rPr>
          <w:sz w:val="24"/>
        </w:rPr>
        <w:t>FitzPatrick, E. A. 1996. </w:t>
      </w:r>
      <w:r>
        <w:rPr>
          <w:i/>
          <w:sz w:val="24"/>
        </w:rPr>
        <w:t>Introducción a la ciencia de los suelos</w:t>
      </w:r>
      <w:r>
        <w:rPr>
          <w:sz w:val="24"/>
        </w:rPr>
        <w:t>. Primera Edición. Editorial trillas. México, D.F. 288pp.</w:t>
      </w:r>
    </w:p>
    <w:p>
      <w:pPr>
        <w:pStyle w:val="BodyText"/>
        <w:spacing w:line="364" w:lineRule="auto" w:before="2"/>
        <w:ind w:left="544" w:right="119" w:hanging="428"/>
        <w:jc w:val="both"/>
      </w:pPr>
      <w:r>
        <w:rPr/>
        <w:t>Foyer, C. H. 1987. </w:t>
      </w:r>
      <w:r>
        <w:rPr>
          <w:i/>
        </w:rPr>
        <w:t>Fotosíntesis. </w:t>
      </w:r>
      <w:r>
        <w:rPr/>
        <w:t>Primera edición. Compañía editorial continental, S. A. de C.V. D. F., México. 212 pp.</w:t>
      </w:r>
    </w:p>
    <w:p>
      <w:pPr>
        <w:spacing w:line="360" w:lineRule="auto" w:before="0"/>
        <w:ind w:left="544" w:right="112" w:hanging="428"/>
        <w:jc w:val="both"/>
        <w:rPr>
          <w:sz w:val="24"/>
        </w:rPr>
      </w:pPr>
      <w:r>
        <w:rPr>
          <w:sz w:val="24"/>
        </w:rPr>
        <w:t>Fragoso-Ramírez, R. 1990. </w:t>
      </w:r>
      <w:r>
        <w:rPr>
          <w:i/>
          <w:sz w:val="24"/>
        </w:rPr>
        <w:t>Estudio florístico en la parte alta de la Sierra de Zacualpan, </w:t>
      </w:r>
      <w:r>
        <w:rPr>
          <w:i/>
          <w:sz w:val="24"/>
        </w:rPr>
        <w:t>Estado de México</w:t>
      </w:r>
      <w:r>
        <w:rPr>
          <w:sz w:val="24"/>
        </w:rPr>
        <w:t>. Tesis de Licenciatura (Biología), Escuela Nacional de Estudios Profesionales Iztacala, Universidad Nacional Autónoma de México, Los Reyes Iztacala, Estado de México, México. 75 pp.</w:t>
      </w:r>
    </w:p>
    <w:p>
      <w:pPr>
        <w:pStyle w:val="BodyText"/>
        <w:spacing w:line="360" w:lineRule="auto" w:before="2"/>
        <w:ind w:left="544" w:right="111" w:hanging="428"/>
        <w:jc w:val="both"/>
      </w:pPr>
      <w:r>
        <w:rPr/>
        <w:t>Fuentes, Y. J. 1998. </w:t>
      </w:r>
      <w:r>
        <w:rPr>
          <w:i/>
        </w:rPr>
        <w:t>Botánica agrícola</w:t>
      </w:r>
      <w:r>
        <w:rPr/>
        <w:t>. Quinta edición. Ediciones Mundi-prensa. Madrid, España. 315 pp.</w:t>
      </w:r>
    </w:p>
    <w:p>
      <w:pPr>
        <w:spacing w:line="362" w:lineRule="auto" w:before="2"/>
        <w:ind w:left="544" w:right="112" w:hanging="428"/>
        <w:jc w:val="both"/>
        <w:rPr>
          <w:sz w:val="24"/>
        </w:rPr>
      </w:pPr>
      <w:r>
        <w:rPr>
          <w:sz w:val="24"/>
        </w:rPr>
        <w:t>García, E. 1973. </w:t>
      </w:r>
      <w:r>
        <w:rPr>
          <w:i/>
          <w:sz w:val="24"/>
        </w:rPr>
        <w:t>Modificaciones al sistema de clasificación de Köppen</w:t>
      </w:r>
      <w:r>
        <w:rPr>
          <w:sz w:val="24"/>
        </w:rPr>
        <w:t>. Instituto de Geografía, UNAM. México, D.F.</w:t>
      </w:r>
    </w:p>
    <w:p>
      <w:pPr>
        <w:spacing w:line="360" w:lineRule="auto" w:before="0"/>
        <w:ind w:left="544" w:right="120" w:hanging="428"/>
        <w:jc w:val="both"/>
        <w:rPr>
          <w:sz w:val="24"/>
        </w:rPr>
      </w:pPr>
      <w:r>
        <w:rPr>
          <w:sz w:val="24"/>
        </w:rPr>
        <w:t>García-Hernández, A. R. 1999. </w:t>
      </w:r>
      <w:r>
        <w:rPr>
          <w:i/>
          <w:sz w:val="24"/>
        </w:rPr>
        <w:t>Inventario florístico del municipio de Jilotepec, Estado  </w:t>
      </w:r>
      <w:r>
        <w:rPr>
          <w:i/>
          <w:sz w:val="24"/>
        </w:rPr>
        <w:t>de México</w:t>
      </w:r>
      <w:r>
        <w:rPr>
          <w:sz w:val="24"/>
        </w:rPr>
        <w:t>. Tesis de Licenciatura (Biología), Escuela Nacional de Estudios Profesionales Iztacala, Universidad Nacional Autónoma de México, Los Reyes Iztacala, Estado de México, México. 105</w:t>
      </w:r>
      <w:r>
        <w:rPr>
          <w:spacing w:val="-19"/>
          <w:sz w:val="24"/>
        </w:rPr>
        <w:t> </w:t>
      </w:r>
      <w:r>
        <w:rPr>
          <w:sz w:val="24"/>
        </w:rPr>
        <w:t>pp.</w:t>
      </w:r>
    </w:p>
    <w:p>
      <w:pPr>
        <w:spacing w:line="360" w:lineRule="auto" w:before="2"/>
        <w:ind w:left="544" w:right="111" w:hanging="428"/>
        <w:jc w:val="both"/>
        <w:rPr>
          <w:sz w:val="24"/>
        </w:rPr>
      </w:pPr>
      <w:r>
        <w:rPr>
          <w:sz w:val="24"/>
        </w:rPr>
        <w:t>García-Regalado, G., O. González-Carrillo, M. De La Cerda-Lemus y M. E. Siqueiros- Delgado. 1999. </w:t>
      </w:r>
      <w:r>
        <w:rPr>
          <w:i/>
          <w:sz w:val="24"/>
        </w:rPr>
        <w:t>Listado florístico del Estado de Aguascalientes</w:t>
      </w:r>
      <w:r>
        <w:rPr>
          <w:sz w:val="24"/>
        </w:rPr>
        <w:t>. Scientiae Naturae 1:5-51.</w:t>
      </w:r>
    </w:p>
    <w:p>
      <w:pPr>
        <w:spacing w:line="360" w:lineRule="auto" w:before="2"/>
        <w:ind w:left="544" w:right="118" w:hanging="428"/>
        <w:jc w:val="both"/>
        <w:rPr>
          <w:sz w:val="24"/>
        </w:rPr>
      </w:pPr>
      <w:r>
        <w:rPr>
          <w:sz w:val="24"/>
        </w:rPr>
        <w:t>García-Ruiz, I. 1983. </w:t>
      </w:r>
      <w:r>
        <w:rPr>
          <w:i/>
          <w:sz w:val="24"/>
        </w:rPr>
        <w:t>Contribución al conocimiento de los árboles y arbustos de  </w:t>
      </w:r>
      <w:r>
        <w:rPr>
          <w:i/>
          <w:sz w:val="24"/>
        </w:rPr>
        <w:t>Bejucos, Estado de México</w:t>
      </w:r>
      <w:r>
        <w:rPr>
          <w:sz w:val="24"/>
        </w:rPr>
        <w:t>. Tesis de Licenciatura (Biología), Escuela Nacional de Estudios Profesionales Iztacala, Universidad Nacional Autónoma de México, Los Reyes Iztacala, Estado de México, México. 105</w:t>
      </w:r>
      <w:r>
        <w:rPr>
          <w:spacing w:val="-16"/>
          <w:sz w:val="24"/>
        </w:rPr>
        <w:t> </w:t>
      </w:r>
      <w:r>
        <w:rPr>
          <w:sz w:val="24"/>
        </w:rPr>
        <w:t>pp.</w:t>
      </w:r>
    </w:p>
    <w:p>
      <w:pPr>
        <w:spacing w:line="362" w:lineRule="auto" w:before="2"/>
        <w:ind w:left="544" w:right="122" w:hanging="428"/>
        <w:jc w:val="both"/>
        <w:rPr>
          <w:i/>
          <w:sz w:val="24"/>
        </w:rPr>
      </w:pPr>
      <w:r>
        <w:rPr>
          <w:sz w:val="24"/>
        </w:rPr>
        <w:t>Gil O. R., J. Carmona A., M. C. Rodríguez A. </w:t>
      </w:r>
      <w:r>
        <w:rPr>
          <w:i/>
          <w:sz w:val="24"/>
        </w:rPr>
        <w:t>Estudio etnobotánico de especies toxicas, </w:t>
      </w:r>
      <w:r>
        <w:rPr>
          <w:i/>
          <w:sz w:val="24"/>
        </w:rPr>
        <w:t>ornamentales  y  medicinales  de  uso  popular,  presentes  en  el  Jardín de Plantas</w:t>
      </w:r>
    </w:p>
    <w:p>
      <w:pPr>
        <w:spacing w:after="0" w:line="362" w:lineRule="auto"/>
        <w:jc w:val="both"/>
        <w:rPr>
          <w:sz w:val="24"/>
        </w:rPr>
        <w:sectPr>
          <w:pgSz w:w="12240" w:h="15840"/>
          <w:pgMar w:header="685" w:footer="1146" w:top="880" w:bottom="1340" w:left="1300" w:right="1300"/>
        </w:sectPr>
      </w:pPr>
    </w:p>
    <w:p>
      <w:pPr>
        <w:pStyle w:val="BodyText"/>
        <w:rPr>
          <w:i/>
          <w:sz w:val="20"/>
        </w:rPr>
      </w:pPr>
    </w:p>
    <w:p>
      <w:pPr>
        <w:pStyle w:val="BodyText"/>
        <w:spacing w:before="4"/>
        <w:rPr>
          <w:i/>
          <w:sz w:val="19"/>
        </w:rPr>
      </w:pPr>
    </w:p>
    <w:p>
      <w:pPr>
        <w:spacing w:line="362" w:lineRule="auto" w:before="70"/>
        <w:ind w:left="544" w:right="78" w:firstLine="0"/>
        <w:jc w:val="left"/>
        <w:rPr>
          <w:sz w:val="24"/>
        </w:rPr>
      </w:pPr>
      <w:r>
        <w:rPr>
          <w:i/>
          <w:sz w:val="24"/>
        </w:rPr>
        <w:t>Medicinales "Dr. Luis Ruiz Terán" de la Facultad de Farmacia y Bioanálisis de la </w:t>
      </w:r>
      <w:r>
        <w:rPr>
          <w:i/>
          <w:sz w:val="24"/>
        </w:rPr>
        <w:t>Universidad de Los Andes. </w:t>
      </w:r>
      <w:r>
        <w:rPr>
          <w:sz w:val="24"/>
        </w:rPr>
        <w:t>Boletín Antropológico. 68:463 – 481.</w:t>
      </w:r>
    </w:p>
    <w:p>
      <w:pPr>
        <w:spacing w:line="360" w:lineRule="auto" w:before="0"/>
        <w:ind w:left="544" w:right="111" w:hanging="428"/>
        <w:jc w:val="both"/>
        <w:rPr>
          <w:sz w:val="24"/>
        </w:rPr>
      </w:pPr>
      <w:r>
        <w:rPr>
          <w:sz w:val="24"/>
        </w:rPr>
        <w:t>Gómez de Silva, G. H. 1997. </w:t>
      </w:r>
      <w:r>
        <w:rPr>
          <w:i/>
          <w:sz w:val="24"/>
        </w:rPr>
        <w:t>Análisis avifaunístico de Temascaltepec, Estado de </w:t>
      </w:r>
      <w:r>
        <w:rPr>
          <w:i/>
          <w:sz w:val="24"/>
        </w:rPr>
        <w:t>México</w:t>
      </w:r>
      <w:r>
        <w:rPr>
          <w:sz w:val="24"/>
        </w:rPr>
        <w:t>. Anales Instituto Biología. Universidad Nacional Autónoma de México. Ser. Zool. 68:137-152.</w:t>
      </w:r>
    </w:p>
    <w:p>
      <w:pPr>
        <w:spacing w:line="360" w:lineRule="auto" w:before="7"/>
        <w:ind w:left="544" w:right="110" w:hanging="428"/>
        <w:jc w:val="both"/>
        <w:rPr>
          <w:sz w:val="24"/>
        </w:rPr>
      </w:pPr>
      <w:r>
        <w:rPr>
          <w:sz w:val="24"/>
        </w:rPr>
        <w:t>González, O. R. H. 2011. </w:t>
      </w:r>
      <w:r>
        <w:rPr>
          <w:i/>
          <w:sz w:val="24"/>
        </w:rPr>
        <w:t>Orquídeas del parque universitario José Mariano Mociño, </w:t>
      </w:r>
      <w:r>
        <w:rPr>
          <w:i/>
          <w:sz w:val="24"/>
        </w:rPr>
        <w:t>Temascaltepec, México</w:t>
      </w:r>
      <w:r>
        <w:rPr>
          <w:sz w:val="24"/>
        </w:rPr>
        <w:t>. Tesis de licenciatura. Facultad de Ciencias Agrícolas. Universidad Autónoma del Estado de México. México.</w:t>
      </w:r>
    </w:p>
    <w:p>
      <w:pPr>
        <w:spacing w:line="362" w:lineRule="auto" w:before="2"/>
        <w:ind w:left="544" w:right="111" w:hanging="428"/>
        <w:jc w:val="both"/>
        <w:rPr>
          <w:sz w:val="24"/>
        </w:rPr>
      </w:pPr>
      <w:r>
        <w:rPr>
          <w:sz w:val="24"/>
        </w:rPr>
        <w:t>González-Elizondo, M. S., M. González-Elizondo y Y. Herrera-Arrieta. 1991. </w:t>
      </w:r>
      <w:r>
        <w:rPr>
          <w:i/>
          <w:sz w:val="24"/>
        </w:rPr>
        <w:t>Flora de </w:t>
      </w:r>
      <w:r>
        <w:rPr>
          <w:i/>
          <w:sz w:val="24"/>
        </w:rPr>
        <w:t>Durango. Listados florísticos de México</w:t>
      </w:r>
      <w:r>
        <w:rPr>
          <w:sz w:val="24"/>
        </w:rPr>
        <w:t>. IX. Instituto de Biología. Universidad Nacional Autónoma de México. México, D.F. 167pp.</w:t>
      </w:r>
    </w:p>
    <w:p>
      <w:pPr>
        <w:spacing w:line="360" w:lineRule="auto" w:before="0"/>
        <w:ind w:left="544" w:right="111" w:hanging="428"/>
        <w:jc w:val="both"/>
        <w:rPr>
          <w:sz w:val="24"/>
        </w:rPr>
      </w:pPr>
      <w:r>
        <w:rPr>
          <w:sz w:val="24"/>
        </w:rPr>
        <w:t>Guadarrama-Martínez N, M. Rubí-Arriaga, A. González-Huerta, L. M. Vázquez-García, I. Martínez-De la Cruz, J. A. López-Sandoval, G. V. Hernández-Flores. 2012. </w:t>
      </w:r>
      <w:r>
        <w:rPr>
          <w:i/>
          <w:sz w:val="24"/>
        </w:rPr>
        <w:t>Inventario de árboles y arbustos con potencial ornamental en el sureste del Estado </w:t>
      </w:r>
      <w:r>
        <w:rPr>
          <w:i/>
          <w:sz w:val="24"/>
        </w:rPr>
        <w:t>de México</w:t>
      </w:r>
      <w:r>
        <w:rPr>
          <w:sz w:val="24"/>
        </w:rPr>
        <w:t>. ФYTON 81: 221-228.</w:t>
      </w:r>
    </w:p>
    <w:p>
      <w:pPr>
        <w:pStyle w:val="BodyText"/>
        <w:spacing w:line="362" w:lineRule="auto" w:before="2"/>
        <w:ind w:left="544" w:right="116" w:hanging="428"/>
        <w:jc w:val="both"/>
      </w:pPr>
      <w:r>
        <w:rPr/>
        <w:t>Guerrero-Flores, J. J., S. Macías-Sánchez, V. Mundo-Hernández y F. Méndez-Sánchez. 2013. Ecología de la nutria (</w:t>
      </w:r>
      <w:r>
        <w:rPr>
          <w:i/>
        </w:rPr>
        <w:t>Lontra longicaudis</w:t>
      </w:r>
      <w:r>
        <w:rPr/>
        <w:t>) en el municipio de Temascaltepec, estado de México: estudio de caso.</w:t>
      </w:r>
    </w:p>
    <w:p>
      <w:pPr>
        <w:spacing w:before="0"/>
        <w:ind w:left="116" w:right="78" w:firstLine="0"/>
        <w:jc w:val="left"/>
        <w:rPr>
          <w:sz w:val="24"/>
        </w:rPr>
      </w:pPr>
      <w:r>
        <w:rPr>
          <w:sz w:val="24"/>
        </w:rPr>
        <w:t>Gutiérrez-Báez,  C.  2000.  </w:t>
      </w:r>
      <w:r>
        <w:rPr>
          <w:i/>
          <w:sz w:val="24"/>
        </w:rPr>
        <w:t>Listado  florístico  actualizado  del  estado  de     Campeche</w:t>
      </w:r>
      <w:r>
        <w:rPr>
          <w:sz w:val="24"/>
        </w:rPr>
        <w:t>.</w:t>
      </w:r>
    </w:p>
    <w:p>
      <w:pPr>
        <w:pStyle w:val="BodyText"/>
        <w:spacing w:before="137"/>
        <w:ind w:left="544" w:right="78"/>
      </w:pPr>
      <w:r>
        <w:rPr/>
        <w:t>México. Universidad Autónoma de Campeche, Campeche, México. 95pp.</w:t>
      </w:r>
    </w:p>
    <w:p>
      <w:pPr>
        <w:spacing w:line="362" w:lineRule="auto" w:before="137"/>
        <w:ind w:left="544" w:right="117" w:hanging="428"/>
        <w:jc w:val="both"/>
        <w:rPr>
          <w:sz w:val="24"/>
        </w:rPr>
      </w:pPr>
      <w:r>
        <w:rPr>
          <w:sz w:val="24"/>
        </w:rPr>
        <w:t>Graya, A. N., and D. L. Azuma. 2005. </w:t>
      </w:r>
      <w:r>
        <w:rPr>
          <w:i/>
          <w:sz w:val="24"/>
        </w:rPr>
        <w:t>Repeatability and implementation of a forest </w:t>
      </w:r>
      <w:r>
        <w:rPr>
          <w:i/>
          <w:sz w:val="24"/>
        </w:rPr>
        <w:t>vegetation indicator</w:t>
      </w:r>
      <w:r>
        <w:rPr>
          <w:sz w:val="24"/>
        </w:rPr>
        <w:t>. Ecol. Indicators 5: 57–71.</w:t>
      </w:r>
    </w:p>
    <w:p>
      <w:pPr>
        <w:pStyle w:val="BodyText"/>
        <w:ind w:left="116" w:right="78"/>
      </w:pPr>
      <w:r>
        <w:rPr/>
        <w:t>Groom, A. 2012. Lysiloma acapulcense. The IUCN Red List of Threatened Species.</w:t>
      </w:r>
    </w:p>
    <w:p>
      <w:pPr>
        <w:pStyle w:val="BodyText"/>
        <w:spacing w:before="137"/>
        <w:ind w:left="544" w:right="78"/>
      </w:pPr>
      <w:r>
        <w:rPr/>
        <w:t>Consultado el 13 de junio del 2014. Version 2014.2. &lt;</w:t>
      </w:r>
      <w:hyperlink r:id="rId196">
        <w:r>
          <w:rPr/>
          <w:t>www.iucnredlist.org</w:t>
        </w:r>
      </w:hyperlink>
      <w:r>
        <w:rPr/>
        <w:t>&gt;.</w:t>
      </w:r>
    </w:p>
    <w:p>
      <w:pPr>
        <w:pStyle w:val="BodyText"/>
        <w:spacing w:line="360" w:lineRule="auto" w:before="137"/>
        <w:ind w:left="544" w:right="116" w:hanging="428"/>
        <w:jc w:val="both"/>
      </w:pPr>
      <w:r>
        <w:rPr/>
        <w:t>Groom, A. 2012. Mimosa albida. The IUCN Red List of Threatened Species. Consultado el 13 de junio del 2014. Version 2014.2. &lt;</w:t>
      </w:r>
      <w:hyperlink r:id="rId196">
        <w:r>
          <w:rPr/>
          <w:t>www.iucnredlist.org</w:t>
        </w:r>
      </w:hyperlink>
      <w:r>
        <w:rPr/>
        <w:t>&gt;.</w:t>
      </w:r>
    </w:p>
    <w:p>
      <w:pPr>
        <w:spacing w:line="360" w:lineRule="auto" w:before="7"/>
        <w:ind w:left="544" w:right="117" w:hanging="428"/>
        <w:jc w:val="both"/>
        <w:rPr>
          <w:sz w:val="24"/>
        </w:rPr>
      </w:pPr>
      <w:r>
        <w:rPr>
          <w:sz w:val="24"/>
        </w:rPr>
        <w:t>Hanson, C., J. Ranganathan, C. Iceland y J. Finisdore. 2008. </w:t>
      </w:r>
      <w:r>
        <w:rPr>
          <w:i/>
          <w:sz w:val="24"/>
        </w:rPr>
        <w:t>Estudio sobre los servicios </w:t>
      </w:r>
      <w:r>
        <w:rPr>
          <w:i/>
          <w:sz w:val="24"/>
        </w:rPr>
        <w:t>de los ecosistemas corporativos. </w:t>
      </w:r>
      <w:r>
        <w:rPr>
          <w:sz w:val="24"/>
        </w:rPr>
        <w:t>WRI. Consultado el 1 de abril del 2013. Disponible en: </w:t>
      </w:r>
      <w:hyperlink r:id="rId198">
        <w:r>
          <w:rPr>
            <w:color w:val="0000FF"/>
            <w:sz w:val="24"/>
            <w:u w:val="single" w:color="0000FF"/>
          </w:rPr>
          <w:t>http://pdf.wri.org/corporate_ecosystem_services_review_es.pdf</w:t>
        </w:r>
      </w:hyperlink>
      <w:r>
        <w:rPr>
          <w:sz w:val="24"/>
        </w:rPr>
        <w:t>.</w:t>
      </w:r>
    </w:p>
    <w:p>
      <w:pPr>
        <w:spacing w:line="362" w:lineRule="auto" w:before="2"/>
        <w:ind w:left="544" w:right="118" w:hanging="428"/>
        <w:jc w:val="both"/>
        <w:rPr>
          <w:sz w:val="24"/>
        </w:rPr>
      </w:pPr>
      <w:r>
        <w:rPr>
          <w:sz w:val="24"/>
        </w:rPr>
        <w:t>Harley, R. M. 1972. </w:t>
      </w:r>
      <w:r>
        <w:rPr>
          <w:i/>
          <w:sz w:val="24"/>
        </w:rPr>
        <w:t>Notes on the genus Mentha (Labiatae). J. Linn. </w:t>
      </w:r>
      <w:r>
        <w:rPr>
          <w:sz w:val="24"/>
        </w:rPr>
        <w:t>Soc. Bot. 65 (2): 250-253, citado por Resquín, R. G. A., R. Degen de Arrúa, G. Delmás de Rojas y G.</w:t>
      </w:r>
    </w:p>
    <w:p>
      <w:pPr>
        <w:spacing w:after="0" w:line="362"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spacing w:line="362" w:lineRule="auto" w:before="70"/>
        <w:ind w:left="544" w:right="112" w:firstLine="0"/>
        <w:jc w:val="left"/>
        <w:rPr>
          <w:sz w:val="24"/>
        </w:rPr>
      </w:pPr>
      <w:r>
        <w:rPr>
          <w:sz w:val="24"/>
        </w:rPr>
        <w:t>Macchi L. 2011. </w:t>
      </w:r>
      <w:r>
        <w:rPr>
          <w:i/>
          <w:sz w:val="24"/>
        </w:rPr>
        <w:t>Las especies de Mentha L. cultivadas en paraguay. </w:t>
      </w:r>
      <w:r>
        <w:rPr>
          <w:sz w:val="24"/>
        </w:rPr>
        <w:t>Rojasiana10 (1):77-91</w:t>
      </w:r>
    </w:p>
    <w:p>
      <w:pPr>
        <w:spacing w:line="360" w:lineRule="auto" w:before="0"/>
        <w:ind w:left="544" w:right="117" w:hanging="428"/>
        <w:jc w:val="both"/>
        <w:rPr>
          <w:sz w:val="24"/>
        </w:rPr>
      </w:pPr>
      <w:r>
        <w:rPr>
          <w:sz w:val="24"/>
        </w:rPr>
        <w:t>Hurtado, R. N. E., Rodríguez, J. C. y Aguilar, C. A. 2006. </w:t>
      </w:r>
      <w:r>
        <w:rPr>
          <w:i/>
          <w:sz w:val="24"/>
        </w:rPr>
        <w:t>Estudio cualitativo y </w:t>
      </w:r>
      <w:r>
        <w:rPr>
          <w:i/>
          <w:sz w:val="24"/>
        </w:rPr>
        <w:t>cuantitativo de la flora medicinal del municipio de Copándaro de Galeana, Michoacán, México</w:t>
      </w:r>
      <w:r>
        <w:rPr>
          <w:sz w:val="24"/>
        </w:rPr>
        <w:t>. Polibotánica 22:21-50</w:t>
      </w:r>
    </w:p>
    <w:p>
      <w:pPr>
        <w:spacing w:line="360" w:lineRule="auto" w:before="7"/>
        <w:ind w:left="544" w:right="112" w:hanging="428"/>
        <w:jc w:val="both"/>
        <w:rPr>
          <w:sz w:val="24"/>
        </w:rPr>
      </w:pPr>
      <w:r>
        <w:rPr>
          <w:sz w:val="24"/>
        </w:rPr>
        <w:t>IB-UNAM (varios eds.) 1993-2008. </w:t>
      </w:r>
      <w:r>
        <w:rPr>
          <w:i/>
          <w:sz w:val="24"/>
        </w:rPr>
        <w:t>Flora del Valle de Tehuacán-Cuicatlán</w:t>
      </w:r>
      <w:r>
        <w:rPr>
          <w:sz w:val="24"/>
        </w:rPr>
        <w:t>. Serie de Fascículos, UNAM, México.</w:t>
      </w:r>
    </w:p>
    <w:p>
      <w:pPr>
        <w:pStyle w:val="BodyText"/>
        <w:spacing w:line="360" w:lineRule="auto" w:before="2"/>
        <w:ind w:left="544" w:right="112" w:hanging="428"/>
      </w:pPr>
      <w:r>
        <w:rPr/>
        <w:t>IGECEM, Instituto de Información e Investigación Geográfica, Estadística y Catastral del Estado de México. 2011. </w:t>
      </w:r>
      <w:r>
        <w:rPr>
          <w:i/>
        </w:rPr>
        <w:t>Estadística básica municipal del Estado de México. </w:t>
      </w:r>
      <w:r>
        <w:rPr>
          <w:i/>
        </w:rPr>
        <w:t>Temascaltepec</w:t>
      </w:r>
      <w:r>
        <w:rPr/>
        <w:t>. Consultado el 19 de febrero del 2013. Disponible en: </w:t>
      </w:r>
      <w:hyperlink r:id="rId182">
        <w:r>
          <w:rPr>
            <w:color w:val="0000FF"/>
            <w:u w:val="single" w:color="0000FF"/>
          </w:rPr>
          <w:t>http://igecem.edomex.gob.mx/descargas/estadistica/ESTADISTICABMUNI/ESTADI</w:t>
        </w:r>
      </w:hyperlink>
      <w:r>
        <w:rPr>
          <w:color w:val="0000FF"/>
          <w:u w:val="single" w:color="0000FF"/>
        </w:rPr>
        <w:t> </w:t>
      </w:r>
      <w:hyperlink r:id="rId182">
        <w:r>
          <w:rPr>
            <w:color w:val="0000FF"/>
            <w:u w:val="single" w:color="0000FF"/>
          </w:rPr>
          <w:t>STICABASI/ARCHIVOS/Temascaltepec.pdf</w:t>
        </w:r>
      </w:hyperlink>
    </w:p>
    <w:p>
      <w:pPr>
        <w:pStyle w:val="BodyText"/>
        <w:spacing w:line="362" w:lineRule="auto" w:before="2"/>
        <w:ind w:left="544" w:right="124" w:hanging="428"/>
        <w:jc w:val="both"/>
      </w:pPr>
      <w:r>
        <w:rPr/>
        <w:t>INAFED. 2010. Sistema Nacional de Información Municipal (SNIM). Disponible en </w:t>
      </w:r>
      <w:hyperlink r:id="rId199">
        <w:r>
          <w:rPr>
            <w:color w:val="0000FF"/>
            <w:u w:val="single" w:color="0000FF"/>
          </w:rPr>
          <w:t>http://www.snim.rami.gob.mx/</w:t>
        </w:r>
      </w:hyperlink>
      <w:r>
        <w:rPr/>
        <w:t>, fecha 31 de mayo del 2013.</w:t>
      </w:r>
    </w:p>
    <w:p>
      <w:pPr>
        <w:spacing w:line="360" w:lineRule="auto" w:before="0"/>
        <w:ind w:left="544" w:right="111" w:hanging="428"/>
        <w:jc w:val="both"/>
        <w:rPr>
          <w:sz w:val="24"/>
        </w:rPr>
      </w:pPr>
      <w:r>
        <w:rPr>
          <w:sz w:val="24"/>
        </w:rPr>
        <w:t>INEGI (Instituto Nacional de Estadística, Geografía e Informática). 1987. </w:t>
      </w:r>
      <w:r>
        <w:rPr>
          <w:i/>
          <w:sz w:val="24"/>
        </w:rPr>
        <w:t>Carta </w:t>
      </w:r>
      <w:r>
        <w:rPr>
          <w:i/>
          <w:sz w:val="24"/>
        </w:rPr>
        <w:t>Topográfica, Geológica y edafológica. </w:t>
      </w:r>
      <w:r>
        <w:rPr>
          <w:sz w:val="24"/>
        </w:rPr>
        <w:t>E14A46, Valle de Bravo, escala 1:50 000.</w:t>
      </w:r>
    </w:p>
    <w:p>
      <w:pPr>
        <w:spacing w:line="362" w:lineRule="auto" w:before="2"/>
        <w:ind w:left="544" w:right="116" w:hanging="428"/>
        <w:jc w:val="both"/>
        <w:rPr>
          <w:sz w:val="24"/>
        </w:rPr>
      </w:pPr>
      <w:r>
        <w:rPr>
          <w:sz w:val="24"/>
        </w:rPr>
        <w:t>INEGI, 2005. Instituto Nacional de Estadística, Geografía e Informática. </w:t>
      </w:r>
      <w:r>
        <w:rPr>
          <w:i/>
          <w:sz w:val="24"/>
        </w:rPr>
        <w:t>Compendio </w:t>
      </w:r>
      <w:r>
        <w:rPr>
          <w:i/>
          <w:sz w:val="24"/>
        </w:rPr>
        <w:t>Cartográfico Digital 2000</w:t>
      </w:r>
      <w:r>
        <w:rPr>
          <w:sz w:val="24"/>
        </w:rPr>
        <w:t>. México.</w:t>
      </w:r>
    </w:p>
    <w:p>
      <w:pPr>
        <w:spacing w:line="360" w:lineRule="auto" w:before="0"/>
        <w:ind w:left="544" w:right="110" w:hanging="428"/>
        <w:jc w:val="both"/>
        <w:rPr>
          <w:sz w:val="24"/>
        </w:rPr>
      </w:pPr>
      <w:r>
        <w:rPr>
          <w:sz w:val="24"/>
        </w:rPr>
        <w:t>INEGI (Instituto Nacional de Estadística, Geografía e Informática). 2010. </w:t>
      </w:r>
      <w:r>
        <w:rPr>
          <w:i/>
          <w:sz w:val="24"/>
        </w:rPr>
        <w:t>Censo de </w:t>
      </w:r>
      <w:r>
        <w:rPr>
          <w:i/>
          <w:sz w:val="24"/>
        </w:rPr>
        <w:t>Población y Vivienda 2010. Principales resultados por localidad (ITER)</w:t>
      </w:r>
      <w:r>
        <w:rPr>
          <w:sz w:val="24"/>
        </w:rPr>
        <w:t>. Instituto Nacional de Estadística y Geografía. Consultado el día 11 de marzo del 2013. Disponible en: </w:t>
      </w:r>
      <w:hyperlink r:id="rId183">
        <w:r>
          <w:rPr>
            <w:color w:val="0000FF"/>
            <w:sz w:val="24"/>
            <w:u w:val="single" w:color="0000FF"/>
          </w:rPr>
          <w:t>http://www.inegi.org.mx</w:t>
        </w:r>
      </w:hyperlink>
    </w:p>
    <w:p>
      <w:pPr>
        <w:spacing w:line="360" w:lineRule="auto" w:before="2"/>
        <w:ind w:left="683" w:right="109" w:hanging="567"/>
        <w:jc w:val="both"/>
        <w:rPr>
          <w:sz w:val="24"/>
        </w:rPr>
      </w:pPr>
      <w:r>
        <w:rPr>
          <w:sz w:val="24"/>
        </w:rPr>
        <w:t>INE y SEMARNAP. 2000. </w:t>
      </w:r>
      <w:r>
        <w:rPr>
          <w:i/>
          <w:sz w:val="24"/>
        </w:rPr>
        <w:t>Estrategia Nacional para la Vida Silvestre: Logros y retos  </w:t>
      </w:r>
      <w:r>
        <w:rPr>
          <w:i/>
          <w:sz w:val="24"/>
        </w:rPr>
        <w:t>para el desarrollo sustentable 1995 – 2000</w:t>
      </w:r>
      <w:r>
        <w:rPr>
          <w:sz w:val="24"/>
        </w:rPr>
        <w:t>. Instituto Nacional de Ecología y Secretaría de Medio Ambiente, Recursos Naturales y Pesca. 212</w:t>
      </w:r>
      <w:r>
        <w:rPr>
          <w:spacing w:val="-15"/>
          <w:sz w:val="24"/>
        </w:rPr>
        <w:t> </w:t>
      </w:r>
      <w:r>
        <w:rPr>
          <w:sz w:val="24"/>
        </w:rPr>
        <w:t>p.</w:t>
      </w:r>
    </w:p>
    <w:p>
      <w:pPr>
        <w:spacing w:line="362" w:lineRule="auto" w:before="2"/>
        <w:ind w:left="683" w:right="110" w:hanging="567"/>
        <w:jc w:val="both"/>
        <w:rPr>
          <w:sz w:val="24"/>
        </w:rPr>
      </w:pPr>
      <w:r>
        <w:rPr>
          <w:sz w:val="24"/>
        </w:rPr>
        <w:t>IUSS Grupo de Trabajo WRB. 2007. </w:t>
      </w:r>
      <w:r>
        <w:rPr>
          <w:i/>
          <w:sz w:val="24"/>
        </w:rPr>
        <w:t>Base Referencial Mundial del Recurso Suelo</w:t>
      </w:r>
      <w:r>
        <w:rPr>
          <w:sz w:val="24"/>
        </w:rPr>
        <w:t>. Primera  actualización  2007.  Informes sobre  Recursos Mundiales de  Suelos No.</w:t>
      </w:r>
    </w:p>
    <w:p>
      <w:pPr>
        <w:pStyle w:val="BodyText"/>
        <w:ind w:left="683" w:right="78"/>
      </w:pPr>
      <w:r>
        <w:rPr/>
        <w:t>103. FAO, Roma.</w:t>
      </w:r>
    </w:p>
    <w:p>
      <w:pPr>
        <w:spacing w:line="360" w:lineRule="auto" w:before="137"/>
        <w:ind w:left="683" w:right="120" w:hanging="567"/>
        <w:jc w:val="both"/>
        <w:rPr>
          <w:sz w:val="24"/>
        </w:rPr>
      </w:pPr>
      <w:r>
        <w:rPr>
          <w:sz w:val="24"/>
        </w:rPr>
        <w:t>Kantún-Balam, J. J. Salvador-Flores, J. Tun-Garrido. 2013. </w:t>
      </w:r>
      <w:r>
        <w:rPr>
          <w:i/>
          <w:sz w:val="24"/>
        </w:rPr>
        <w:t>Diversidad y origen </w:t>
      </w:r>
      <w:r>
        <w:rPr>
          <w:i/>
          <w:sz w:val="24"/>
        </w:rPr>
        <w:t>geográfico del recurso vegetal en los huertos familiares de Quintana Roo, México. </w:t>
      </w:r>
      <w:r>
        <w:rPr>
          <w:sz w:val="24"/>
        </w:rPr>
        <w:t>36:163-196.</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116" w:hanging="428"/>
        <w:jc w:val="both"/>
      </w:pPr>
      <w:r>
        <w:rPr/>
        <w:t>Lacoste A. y Salanon R. 1981. </w:t>
      </w:r>
      <w:r>
        <w:rPr>
          <w:i/>
        </w:rPr>
        <w:t>Biogeografía</w:t>
      </w:r>
      <w:r>
        <w:rPr/>
        <w:t>. Tercera edición. Oikos – tau, S. A. ediciones. 272 p.</w:t>
      </w:r>
    </w:p>
    <w:p>
      <w:pPr>
        <w:spacing w:line="360" w:lineRule="auto" w:before="0"/>
        <w:ind w:left="544" w:right="116" w:hanging="428"/>
        <w:jc w:val="both"/>
        <w:rPr>
          <w:sz w:val="24"/>
        </w:rPr>
      </w:pPr>
      <w:r>
        <w:rPr>
          <w:sz w:val="24"/>
        </w:rPr>
        <w:t>Llorente, J. y S. Ocegueda. 2008. </w:t>
      </w:r>
      <w:r>
        <w:rPr>
          <w:i/>
          <w:sz w:val="24"/>
        </w:rPr>
        <w:t>Estado de conocimiento de la biota de México</w:t>
      </w:r>
      <w:r>
        <w:rPr>
          <w:sz w:val="24"/>
        </w:rPr>
        <w:t>. En J. Soberón, G. Halffter y J. Llorente (eds.), </w:t>
      </w:r>
      <w:r>
        <w:rPr>
          <w:i/>
          <w:sz w:val="24"/>
        </w:rPr>
        <w:t>Capital natural de México, Vol. I: </w:t>
      </w:r>
      <w:r>
        <w:rPr>
          <w:i/>
          <w:sz w:val="24"/>
        </w:rPr>
        <w:t>Conocimiento actual de la biodiversidad</w:t>
      </w:r>
      <w:r>
        <w:rPr>
          <w:sz w:val="24"/>
        </w:rPr>
        <w:t>. Comisión Nacional para el Conocimiento y Uso de la Biodiversidad, México.</w:t>
      </w:r>
    </w:p>
    <w:p>
      <w:pPr>
        <w:spacing w:line="360" w:lineRule="auto" w:before="3"/>
        <w:ind w:left="544" w:right="114" w:hanging="428"/>
        <w:jc w:val="both"/>
        <w:rPr>
          <w:sz w:val="24"/>
        </w:rPr>
      </w:pPr>
      <w:r>
        <w:rPr>
          <w:sz w:val="24"/>
        </w:rPr>
        <w:t>López, A. B. A., M. I. Campos R. y L. M. Clímaco C. 2009. </w:t>
      </w:r>
      <w:r>
        <w:rPr>
          <w:i/>
          <w:sz w:val="24"/>
        </w:rPr>
        <w:t>Guía técnica de manejo </w:t>
      </w:r>
      <w:r>
        <w:rPr>
          <w:i/>
          <w:sz w:val="24"/>
        </w:rPr>
        <w:t>agronómico y costos de producción del cultivo de higuerillo (Ricinus communis) en los sistemas de monocultivo y asocio en zonas de laderas en el Salvador.</w:t>
      </w:r>
      <w:r>
        <w:rPr>
          <w:sz w:val="24"/>
        </w:rPr>
        <w:t>Programa para la agricultura sostenible en laderas de El Salvador (PASOLAES). 42 pp.</w:t>
      </w:r>
    </w:p>
    <w:p>
      <w:pPr>
        <w:pStyle w:val="BodyText"/>
        <w:spacing w:line="360" w:lineRule="auto" w:before="2"/>
        <w:ind w:left="544" w:right="118" w:hanging="428"/>
        <w:jc w:val="both"/>
      </w:pPr>
      <w:r>
        <w:rPr/>
        <w:t>López, B. F. 2002. Erosión y desertificación. Heridas de la tierra. Primera edición. Nivola Libros y ediciones, S. L.189 pp.</w:t>
      </w:r>
    </w:p>
    <w:p>
      <w:pPr>
        <w:pStyle w:val="BodyText"/>
        <w:spacing w:line="362" w:lineRule="auto" w:before="2"/>
        <w:ind w:left="544" w:right="111" w:hanging="428"/>
        <w:jc w:val="both"/>
      </w:pPr>
      <w:r>
        <w:rPr/>
        <w:t>López, P. E. J. 2012. Riqueza florística de Tenancingo, Malinalco y Zumpahuacán. Primera edición. Secretaría de Educación del Gobierno del Estado de México.406 pp.</w:t>
      </w:r>
    </w:p>
    <w:p>
      <w:pPr>
        <w:pStyle w:val="BodyText"/>
        <w:spacing w:line="360" w:lineRule="auto"/>
        <w:ind w:left="544" w:right="114" w:hanging="428"/>
        <w:jc w:val="both"/>
      </w:pPr>
      <w:r>
        <w:rPr/>
        <w:t>López-Pérez, Y. 1995. Inventario florístico y conocimiento estructural del bosque mesófilo en el municipio de Valle de Bravo, Estado de México. Tesis de Licenciatura. Escuela Nacional de Estudios Profesionales Iztacala. Universidad Nacional Autónoma de México. Los Reyes Iztacla. Estado de México. México. 92 pp.</w:t>
      </w:r>
    </w:p>
    <w:p>
      <w:pPr>
        <w:spacing w:line="360" w:lineRule="auto" w:before="3"/>
        <w:ind w:left="544" w:right="111" w:hanging="428"/>
        <w:jc w:val="both"/>
        <w:rPr>
          <w:sz w:val="24"/>
        </w:rPr>
      </w:pPr>
      <w:r>
        <w:rPr>
          <w:sz w:val="24"/>
        </w:rPr>
        <w:t>López-Sandoval, J. A., E. A. Hernández-Arana, E. J. Morales-Rosales, A. Domínguez- López y L. M., Vázquez-García. 2007. </w:t>
      </w:r>
      <w:r>
        <w:rPr>
          <w:i/>
          <w:sz w:val="24"/>
        </w:rPr>
        <w:t>Lista florística del campus universitario El </w:t>
      </w:r>
      <w:r>
        <w:rPr>
          <w:i/>
          <w:sz w:val="24"/>
        </w:rPr>
        <w:t>Cerrillo de la Universidad Autónoma del Estado de México</w:t>
      </w:r>
      <w:r>
        <w:rPr>
          <w:sz w:val="24"/>
        </w:rPr>
        <w:t>. Ciencias Agrícolas Informa 16:55-65.</w:t>
      </w:r>
    </w:p>
    <w:p>
      <w:pPr>
        <w:spacing w:line="360" w:lineRule="auto" w:before="3"/>
        <w:ind w:left="544" w:right="111" w:hanging="428"/>
        <w:jc w:val="both"/>
        <w:rPr>
          <w:sz w:val="24"/>
        </w:rPr>
      </w:pPr>
      <w:r>
        <w:rPr>
          <w:sz w:val="24"/>
        </w:rPr>
        <w:t>López-Sandoval, J. A., J. I. Valdez Mercado, L. M., Vázquez-García, E. J. Morales- Rosales y A. Domínguez-López. 2008. </w:t>
      </w:r>
      <w:r>
        <w:rPr>
          <w:i/>
          <w:sz w:val="24"/>
        </w:rPr>
        <w:t>Listado florístico preliminar del Cerro de </w:t>
      </w:r>
      <w:r>
        <w:rPr>
          <w:i/>
          <w:sz w:val="24"/>
        </w:rPr>
        <w:t>Jocotitlán, Estado de México. </w:t>
      </w:r>
      <w:r>
        <w:rPr>
          <w:sz w:val="24"/>
        </w:rPr>
        <w:t>Ciencias Agrícolas Informa 17: 28-42.</w:t>
      </w:r>
    </w:p>
    <w:p>
      <w:pPr>
        <w:spacing w:line="360" w:lineRule="auto" w:before="2"/>
        <w:ind w:left="544" w:right="111" w:hanging="428"/>
        <w:jc w:val="both"/>
        <w:rPr>
          <w:sz w:val="24"/>
        </w:rPr>
      </w:pPr>
      <w:r>
        <w:rPr>
          <w:sz w:val="24"/>
        </w:rPr>
        <w:t>López-Sandoval, J. A., Koch, S. D., Vázquez-García, L. M., Munguía-Lino, G. y Morales-Rosales E. J. 2010. </w:t>
      </w:r>
      <w:r>
        <w:rPr>
          <w:i/>
          <w:sz w:val="24"/>
        </w:rPr>
        <w:t>Estudio florístico de la parte central de la barranca </w:t>
      </w:r>
      <w:r>
        <w:rPr>
          <w:i/>
          <w:sz w:val="24"/>
        </w:rPr>
        <w:t>Nenetzingo, municipio de Ixtapan de la Sal, Estado de México</w:t>
      </w:r>
      <w:r>
        <w:rPr>
          <w:sz w:val="24"/>
        </w:rPr>
        <w:t>. Polibotánica. 30:9- 33</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spacing w:line="362" w:lineRule="auto" w:before="70"/>
        <w:ind w:left="471" w:right="122" w:hanging="356"/>
        <w:jc w:val="both"/>
        <w:rPr>
          <w:sz w:val="24"/>
        </w:rPr>
      </w:pPr>
      <w:r>
        <w:rPr>
          <w:sz w:val="24"/>
        </w:rPr>
        <w:t>Lozano, M., G. </w:t>
      </w:r>
      <w:r>
        <w:rPr>
          <w:spacing w:val="-3"/>
          <w:sz w:val="24"/>
        </w:rPr>
        <w:t>I. </w:t>
      </w:r>
      <w:r>
        <w:rPr>
          <w:sz w:val="24"/>
        </w:rPr>
        <w:t>1996. </w:t>
      </w:r>
      <w:r>
        <w:rPr>
          <w:i/>
          <w:sz w:val="24"/>
        </w:rPr>
        <w:t>Plantas medicinales utilizadas por los mazahuas del municipio </w:t>
      </w:r>
      <w:r>
        <w:rPr>
          <w:i/>
          <w:sz w:val="24"/>
        </w:rPr>
        <w:t>de San Felipe del Progreso, Estado de México</w:t>
      </w:r>
      <w:r>
        <w:rPr>
          <w:sz w:val="24"/>
        </w:rPr>
        <w:t>. Tesis de licenciatura. Facultad de Ciencias. Universidad Nacional Autónoma de México.</w:t>
      </w:r>
      <w:r>
        <w:rPr>
          <w:spacing w:val="-28"/>
          <w:sz w:val="24"/>
        </w:rPr>
        <w:t> </w:t>
      </w:r>
      <w:r>
        <w:rPr>
          <w:sz w:val="24"/>
        </w:rPr>
        <w:t>México.</w:t>
      </w:r>
    </w:p>
    <w:p>
      <w:pPr>
        <w:pStyle w:val="BodyText"/>
        <w:spacing w:line="360" w:lineRule="auto"/>
        <w:ind w:left="544" w:right="113" w:hanging="428"/>
        <w:jc w:val="both"/>
      </w:pPr>
      <w:r>
        <w:rPr/>
        <w:t>Mader, S. M. 2008. Biología. Segunda edición en español. McGraw-Hill/Interamericana editores S. A de C. V. México, D.F. 950 pp.</w:t>
      </w:r>
    </w:p>
    <w:p>
      <w:pPr>
        <w:spacing w:line="360" w:lineRule="auto" w:before="7"/>
        <w:ind w:left="544" w:right="124" w:hanging="428"/>
        <w:jc w:val="both"/>
        <w:rPr>
          <w:sz w:val="24"/>
        </w:rPr>
      </w:pPr>
      <w:r>
        <w:rPr>
          <w:sz w:val="24"/>
        </w:rPr>
        <w:t>Manrique-Forceck, E. A. 1988. </w:t>
      </w:r>
      <w:r>
        <w:rPr>
          <w:i/>
          <w:sz w:val="24"/>
        </w:rPr>
        <w:t>Gramíneas del distrito de Temascaltepec, Estado de </w:t>
      </w:r>
      <w:r>
        <w:rPr>
          <w:i/>
          <w:sz w:val="24"/>
        </w:rPr>
        <w:t>México. </w:t>
      </w:r>
      <w:r>
        <w:rPr>
          <w:sz w:val="24"/>
        </w:rPr>
        <w:t>Tesis de licenciatura, Biología. Facultad de Ciencias. Universidad Nacional AUTÓNOMA DE México, México, D.F. 89 pp.</w:t>
      </w:r>
    </w:p>
    <w:p>
      <w:pPr>
        <w:spacing w:line="362" w:lineRule="auto" w:before="2"/>
        <w:ind w:left="544" w:right="110" w:hanging="428"/>
        <w:jc w:val="both"/>
        <w:rPr>
          <w:sz w:val="24"/>
        </w:rPr>
      </w:pPr>
      <w:r>
        <w:rPr>
          <w:sz w:val="24"/>
        </w:rPr>
        <w:t>Marinelli, J. 2006. Planta. </w:t>
      </w:r>
      <w:r>
        <w:rPr>
          <w:i/>
          <w:sz w:val="24"/>
        </w:rPr>
        <w:t>La referencia visual más actual de plantas y flores del mundo</w:t>
      </w:r>
      <w:r>
        <w:rPr>
          <w:sz w:val="24"/>
        </w:rPr>
        <w:t>. Instituto de Biología. Universidad Nacional Autónoma de México y Royal Botanic Gardens Kew. Madrid, España. 512pp.</w:t>
      </w:r>
    </w:p>
    <w:p>
      <w:pPr>
        <w:spacing w:before="0"/>
        <w:ind w:left="116" w:right="78" w:firstLine="0"/>
        <w:jc w:val="left"/>
        <w:rPr>
          <w:sz w:val="24"/>
        </w:rPr>
      </w:pPr>
      <w:r>
        <w:rPr>
          <w:sz w:val="24"/>
        </w:rPr>
        <w:t>Martínez, A. 1958. </w:t>
      </w:r>
      <w:r>
        <w:rPr>
          <w:i/>
          <w:sz w:val="24"/>
        </w:rPr>
        <w:t>Flora medicinal del Estado de México</w:t>
      </w:r>
      <w:r>
        <w:rPr>
          <w:sz w:val="24"/>
        </w:rPr>
        <w:t>, Ed. Botas. México.</w:t>
      </w:r>
    </w:p>
    <w:p>
      <w:pPr>
        <w:spacing w:line="360" w:lineRule="auto" w:before="137"/>
        <w:ind w:left="544" w:right="112" w:hanging="428"/>
        <w:jc w:val="both"/>
        <w:rPr>
          <w:sz w:val="24"/>
        </w:rPr>
      </w:pPr>
      <w:r>
        <w:rPr>
          <w:sz w:val="24"/>
        </w:rPr>
        <w:t>Martínez-De la Cruz, I. 2005. </w:t>
      </w:r>
      <w:r>
        <w:rPr>
          <w:i/>
          <w:sz w:val="24"/>
        </w:rPr>
        <w:t>Estudio florístico y análisis de la vegetación arbórea en </w:t>
      </w:r>
      <w:r>
        <w:rPr>
          <w:i/>
          <w:sz w:val="24"/>
        </w:rPr>
        <w:t>una cañada protegida del municipio de Tlatlaya, Estado de México</w:t>
      </w:r>
      <w:r>
        <w:rPr>
          <w:sz w:val="24"/>
        </w:rPr>
        <w:t>. Tesis de Licenciatura Biología, Facultad de Ciencias, Universidad Autónoma del Estado de México, Toluca, México. 118</w:t>
      </w:r>
      <w:r>
        <w:rPr>
          <w:spacing w:val="-12"/>
          <w:sz w:val="24"/>
        </w:rPr>
        <w:t> </w:t>
      </w:r>
      <w:r>
        <w:rPr>
          <w:sz w:val="24"/>
        </w:rPr>
        <w:t>pp.</w:t>
      </w:r>
    </w:p>
    <w:p>
      <w:pPr>
        <w:spacing w:line="362" w:lineRule="auto" w:before="2"/>
        <w:ind w:left="544" w:right="123" w:hanging="428"/>
        <w:jc w:val="both"/>
        <w:rPr>
          <w:sz w:val="24"/>
        </w:rPr>
      </w:pPr>
      <w:r>
        <w:rPr>
          <w:sz w:val="24"/>
        </w:rPr>
        <w:t>Martínez-De la Cruz, I. 2010. </w:t>
      </w:r>
      <w:r>
        <w:rPr>
          <w:i/>
          <w:sz w:val="24"/>
        </w:rPr>
        <w:t>La flora y vegetación ruderal de Malinalco, Estado de </w:t>
      </w:r>
      <w:r>
        <w:rPr>
          <w:i/>
          <w:sz w:val="24"/>
        </w:rPr>
        <w:t>México. </w:t>
      </w:r>
      <w:r>
        <w:rPr>
          <w:sz w:val="24"/>
        </w:rPr>
        <w:t>Tesis de Maestría, Postgrado de botánica, Colegio de Postgraduados, Texcoco, México. 145 pp.</w:t>
      </w:r>
    </w:p>
    <w:p>
      <w:pPr>
        <w:spacing w:line="362" w:lineRule="auto" w:before="0"/>
        <w:ind w:left="544" w:right="116" w:hanging="428"/>
        <w:jc w:val="both"/>
        <w:rPr>
          <w:sz w:val="24"/>
        </w:rPr>
      </w:pPr>
      <w:r>
        <w:rPr>
          <w:sz w:val="24"/>
        </w:rPr>
        <w:t>Martínez, L., V. Franco, T. Balcázar. 2012. </w:t>
      </w:r>
      <w:r>
        <w:rPr>
          <w:i/>
          <w:sz w:val="24"/>
        </w:rPr>
        <w:t>Plan de acción en educación ambiental para </w:t>
      </w:r>
      <w:r>
        <w:rPr>
          <w:i/>
          <w:sz w:val="24"/>
        </w:rPr>
        <w:t>los Jardines Botánicos de México. </w:t>
      </w:r>
      <w:r>
        <w:rPr>
          <w:sz w:val="24"/>
        </w:rPr>
        <w:t>Asociación Mexicana de Jardines Botánicos, A. C., México.</w:t>
      </w:r>
    </w:p>
    <w:p>
      <w:pPr>
        <w:spacing w:before="0"/>
        <w:ind w:left="116" w:right="78" w:firstLine="0"/>
        <w:jc w:val="left"/>
        <w:rPr>
          <w:sz w:val="24"/>
        </w:rPr>
      </w:pPr>
      <w:r>
        <w:rPr>
          <w:sz w:val="24"/>
        </w:rPr>
        <w:t>Martínez, M. 1994. </w:t>
      </w:r>
      <w:r>
        <w:rPr>
          <w:i/>
          <w:sz w:val="24"/>
        </w:rPr>
        <w:t>Catálogo de nombres vulgares y científicos de Plantas Mexicana</w:t>
      </w:r>
      <w:r>
        <w:rPr>
          <w:sz w:val="24"/>
        </w:rPr>
        <w:t>.</w:t>
      </w:r>
    </w:p>
    <w:p>
      <w:pPr>
        <w:pStyle w:val="BodyText"/>
        <w:spacing w:before="137"/>
        <w:ind w:left="544" w:right="78"/>
      </w:pPr>
      <w:r>
        <w:rPr/>
        <w:t>Fondo de Cultura Económica. México, D.F. 1247 p.</w:t>
      </w:r>
    </w:p>
    <w:p>
      <w:pPr>
        <w:spacing w:line="360" w:lineRule="auto" w:before="137"/>
        <w:ind w:left="471" w:right="114" w:hanging="356"/>
        <w:jc w:val="both"/>
        <w:rPr>
          <w:sz w:val="24"/>
        </w:rPr>
      </w:pPr>
      <w:r>
        <w:rPr>
          <w:sz w:val="24"/>
        </w:rPr>
        <w:t>Martínez, M. y E. Matuda. 1979. </w:t>
      </w:r>
      <w:r>
        <w:rPr>
          <w:i/>
          <w:sz w:val="24"/>
        </w:rPr>
        <w:t>Flora del Estado de México. Edición facsimilar de los </w:t>
      </w:r>
      <w:r>
        <w:rPr>
          <w:i/>
          <w:sz w:val="24"/>
        </w:rPr>
        <w:t>fascículos publicados en los años de 1953 a 1972. Tomo III</w:t>
      </w:r>
      <w:r>
        <w:rPr>
          <w:sz w:val="24"/>
        </w:rPr>
        <w:t>. Biblioteca Enciclopédica del Estado de México. Editorial Libros de México, S. A. México, D.F.</w:t>
      </w:r>
    </w:p>
    <w:p>
      <w:pPr>
        <w:spacing w:line="360" w:lineRule="auto" w:before="2"/>
        <w:ind w:left="471" w:right="117" w:hanging="356"/>
        <w:jc w:val="both"/>
        <w:rPr>
          <w:sz w:val="24"/>
        </w:rPr>
      </w:pPr>
      <w:r>
        <w:rPr>
          <w:sz w:val="24"/>
        </w:rPr>
        <w:t>Mc Vaugh, R. 1987. </w:t>
      </w:r>
      <w:r>
        <w:rPr>
          <w:i/>
          <w:sz w:val="24"/>
        </w:rPr>
        <w:t>Flora Novo-Galiciana: a descriptive account of the vascular plants  </w:t>
      </w:r>
      <w:r>
        <w:rPr>
          <w:i/>
          <w:sz w:val="24"/>
        </w:rPr>
        <w:t>of western Mexico</w:t>
      </w:r>
      <w:r>
        <w:rPr>
          <w:sz w:val="24"/>
        </w:rPr>
        <w:t>. Volume 5, Leguminosae. Ann Arbor, Mich.: University of  Michigan Press. 789</w:t>
      </w:r>
      <w:r>
        <w:rPr>
          <w:spacing w:val="-4"/>
          <w:sz w:val="24"/>
        </w:rPr>
        <w:t> </w:t>
      </w:r>
      <w:r>
        <w:rPr>
          <w:sz w:val="24"/>
        </w:rPr>
        <w:t>p.</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471" w:right="123" w:hanging="356"/>
        <w:jc w:val="both"/>
      </w:pPr>
      <w:r>
        <w:rPr/>
        <w:t>Medina-Lemus, J. G. y J. D. Tejero-Díez. 2006. Flora y vegetación del parque estatal Atizapán-Valle Escondido, Estado de México. Polibotánica 21:1-43.</w:t>
      </w:r>
    </w:p>
    <w:p>
      <w:pPr>
        <w:spacing w:line="360" w:lineRule="auto" w:before="0"/>
        <w:ind w:left="544" w:right="111" w:hanging="428"/>
        <w:jc w:val="both"/>
        <w:rPr>
          <w:sz w:val="24"/>
        </w:rPr>
      </w:pPr>
      <w:r>
        <w:rPr>
          <w:sz w:val="24"/>
        </w:rPr>
        <w:t>Medina-Lemos, R. y R. M. Fonseca. 2009. </w:t>
      </w:r>
      <w:r>
        <w:rPr>
          <w:i/>
          <w:sz w:val="24"/>
        </w:rPr>
        <w:t>Anacardiaceae. Flora del Valle de Tehuacán- </w:t>
      </w:r>
      <w:r>
        <w:rPr>
          <w:i/>
          <w:sz w:val="24"/>
        </w:rPr>
        <w:t>Cuicatlán. </w:t>
      </w:r>
      <w:r>
        <w:rPr>
          <w:sz w:val="24"/>
        </w:rPr>
        <w:t>71: 1-54.</w:t>
      </w:r>
    </w:p>
    <w:p>
      <w:pPr>
        <w:spacing w:line="362" w:lineRule="auto" w:before="2"/>
        <w:ind w:left="471" w:right="120" w:hanging="356"/>
        <w:jc w:val="both"/>
        <w:rPr>
          <w:sz w:val="24"/>
        </w:rPr>
      </w:pPr>
      <w:r>
        <w:rPr>
          <w:sz w:val="24"/>
        </w:rPr>
        <w:t>Mendoza M., B. 1983. </w:t>
      </w:r>
      <w:r>
        <w:rPr>
          <w:i/>
          <w:sz w:val="24"/>
        </w:rPr>
        <w:t>Estudio etnobotánico del ejido de Santa Ana, Municipio de </w:t>
      </w:r>
      <w:r>
        <w:rPr>
          <w:i/>
          <w:sz w:val="24"/>
        </w:rPr>
        <w:t>Teoloyucan, Estado de México</w:t>
      </w:r>
      <w:r>
        <w:rPr>
          <w:sz w:val="24"/>
        </w:rPr>
        <w:t>. Tesis de licenciatura. Facultad de Ciencias. Universidad Nacional Autónoma de México. México.</w:t>
      </w:r>
    </w:p>
    <w:p>
      <w:pPr>
        <w:pStyle w:val="BodyText"/>
        <w:spacing w:line="360" w:lineRule="auto"/>
        <w:ind w:left="544" w:right="117" w:hanging="428"/>
        <w:jc w:val="both"/>
      </w:pPr>
      <w:r>
        <w:rPr/>
        <w:t>Miranda-Jiménez, M. E. y M. A. González-Ortíz. 1993. Estudio de la vegetación y florística de la mesa basáltica de Holotepec, Distrito de Tenango del Valle, Estado de México. Tesis de Licenciatura. Escuela Nacional de Estudios Profesionales Iztacala. Universidad Nacional Autónoma de México. Los Reyes Iztacala, Estado de México. México. 74 pp.</w:t>
      </w:r>
    </w:p>
    <w:p>
      <w:pPr>
        <w:pStyle w:val="BodyText"/>
        <w:spacing w:line="362" w:lineRule="auto" w:before="2"/>
        <w:ind w:left="471" w:right="115" w:hanging="356"/>
        <w:jc w:val="both"/>
      </w:pPr>
      <w:r>
        <w:rPr/>
        <w:t>Mittermeier, R. A. 1988. Primate diversity and the tropical forest: case studies of Brazil and Madagascar and the importance of megadiverse countries. pp. 145 – 154, en: Biodiversity (E. O. Wilson, ed) National Academic Press, Washington D,C.</w:t>
      </w:r>
    </w:p>
    <w:p>
      <w:pPr>
        <w:spacing w:line="360" w:lineRule="auto" w:before="0"/>
        <w:ind w:left="471" w:right="125" w:hanging="356"/>
        <w:jc w:val="both"/>
        <w:rPr>
          <w:sz w:val="24"/>
        </w:rPr>
      </w:pPr>
      <w:r>
        <w:rPr>
          <w:sz w:val="24"/>
        </w:rPr>
        <w:t>Molseed, E. 1970. </w:t>
      </w:r>
      <w:r>
        <w:rPr>
          <w:i/>
          <w:sz w:val="24"/>
        </w:rPr>
        <w:t>The Genus Tigridia (Iridaceae) of </w:t>
      </w:r>
      <w:r>
        <w:rPr>
          <w:i/>
          <w:spacing w:val="-3"/>
          <w:sz w:val="24"/>
        </w:rPr>
        <w:t>Mexico </w:t>
      </w:r>
      <w:r>
        <w:rPr>
          <w:i/>
          <w:sz w:val="24"/>
        </w:rPr>
        <w:t>and Central America. </w:t>
      </w:r>
      <w:r>
        <w:rPr>
          <w:sz w:val="24"/>
        </w:rPr>
        <w:t>University California Press, California. 127 pp. Citado por: Vázquez, G. L. M., T. H. Norman y M., M. C. Corona R. 2001. </w:t>
      </w:r>
      <w:r>
        <w:rPr>
          <w:i/>
          <w:sz w:val="24"/>
        </w:rPr>
        <w:t>Oceloxóchitl. Tigridia pavonia (L.f.) DC. </w:t>
      </w:r>
      <w:r>
        <w:rPr>
          <w:sz w:val="24"/>
        </w:rPr>
        <w:t>Primera edición. Universidad Autónoma del Estado de México. Toluca, Estado de México.</w:t>
      </w:r>
      <w:r>
        <w:rPr>
          <w:spacing w:val="-6"/>
          <w:sz w:val="24"/>
        </w:rPr>
        <w:t> </w:t>
      </w:r>
      <w:r>
        <w:rPr>
          <w:sz w:val="24"/>
        </w:rPr>
        <w:t>69pp.</w:t>
      </w:r>
    </w:p>
    <w:p>
      <w:pPr>
        <w:spacing w:line="360" w:lineRule="auto" w:before="3"/>
        <w:ind w:left="471" w:right="114" w:hanging="356"/>
        <w:jc w:val="both"/>
        <w:rPr>
          <w:sz w:val="24"/>
        </w:rPr>
      </w:pPr>
      <w:r>
        <w:rPr>
          <w:sz w:val="24"/>
        </w:rPr>
        <w:t>Monroy-Vilchis, O. y V. Mundo, 2009. </w:t>
      </w:r>
      <w:r>
        <w:rPr>
          <w:i/>
          <w:sz w:val="24"/>
        </w:rPr>
        <w:t>Nicho trófico de la nutria Neotropical (Lontra </w:t>
      </w:r>
      <w:r>
        <w:rPr>
          <w:i/>
          <w:sz w:val="24"/>
        </w:rPr>
        <w:t>longicaudis) en un ambiente modificado, Temascaltepec, México. </w:t>
      </w:r>
      <w:r>
        <w:rPr>
          <w:sz w:val="24"/>
        </w:rPr>
        <w:t>Rev. Mex. Biodiv. vol. 80:801-806.</w:t>
      </w:r>
    </w:p>
    <w:p>
      <w:pPr>
        <w:spacing w:line="360" w:lineRule="auto" w:before="2"/>
        <w:ind w:left="471" w:right="110" w:hanging="356"/>
        <w:jc w:val="both"/>
        <w:rPr>
          <w:sz w:val="24"/>
        </w:rPr>
      </w:pPr>
      <w:r>
        <w:rPr>
          <w:sz w:val="24"/>
        </w:rPr>
        <w:t>Munguía-Lino, G., L. M. Vázquez-García y J. A., López-Sandoval. 2010. </w:t>
      </w:r>
      <w:r>
        <w:rPr>
          <w:i/>
          <w:sz w:val="24"/>
        </w:rPr>
        <w:t>Plantas </w:t>
      </w:r>
      <w:r>
        <w:rPr>
          <w:i/>
          <w:sz w:val="24"/>
        </w:rPr>
        <w:t>silvestres ornamentales comercializadas en los mercados de la flor de Tenancingo y Jamaica, México. </w:t>
      </w:r>
      <w:r>
        <w:rPr>
          <w:sz w:val="24"/>
        </w:rPr>
        <w:t>Polibotánica 29: 281-308 pp.</w:t>
      </w:r>
    </w:p>
    <w:p>
      <w:pPr>
        <w:pStyle w:val="BodyText"/>
        <w:spacing w:before="7"/>
        <w:ind w:left="116" w:right="78"/>
      </w:pPr>
      <w:r>
        <w:rPr/>
        <w:t>Nabors, M. W. 2006. </w:t>
      </w:r>
      <w:r>
        <w:rPr>
          <w:i/>
        </w:rPr>
        <w:t>Introducción  </w:t>
      </w:r>
      <w:r>
        <w:rPr/>
        <w:t>a la Botánica. Primera Edición.    Pearson educación</w:t>
      </w:r>
    </w:p>
    <w:p>
      <w:pPr>
        <w:pStyle w:val="BodyText"/>
        <w:spacing w:before="137"/>
        <w:ind w:left="471" w:right="78"/>
      </w:pPr>
      <w:r>
        <w:rPr/>
        <w:t>S.A. Madrid, España. 712 p.</w:t>
      </w:r>
    </w:p>
    <w:p>
      <w:pPr>
        <w:pStyle w:val="BodyText"/>
        <w:spacing w:line="360" w:lineRule="auto" w:before="137"/>
        <w:ind w:left="544" w:right="113" w:hanging="428"/>
        <w:jc w:val="both"/>
      </w:pPr>
      <w:r>
        <w:rPr/>
        <w:t>Nava, B. G., Endara, A. A., Regil, G. H., Estrada, V. C., Arriaga, J. C., Franco, M. S. (Compiladores). 2010. </w:t>
      </w:r>
      <w:r>
        <w:rPr>
          <w:i/>
        </w:rPr>
        <w:t>Los bosques y selvas del Estado de México</w:t>
      </w:r>
      <w:r>
        <w:rPr/>
        <w:t>. Primera edición. Universidad Autónoma del Estado de México. Toluca, México. 144 pp.</w:t>
      </w:r>
    </w:p>
    <w:p>
      <w:pPr>
        <w:spacing w:after="0" w:line="360" w:lineRule="auto"/>
        <w:jc w:val="both"/>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0" w:lineRule="auto" w:before="70"/>
        <w:ind w:left="544" w:right="117" w:hanging="428"/>
        <w:jc w:val="both"/>
      </w:pPr>
      <w:r>
        <w:rPr/>
        <w:t>Nuñez-Reynoso, J. E. 1990. Estudio florístico de la vertiente oriental de la Sierra de Alcaparrosa. Tesis de Licenciatura. Escuela Nacional de Estudios Profesionales Iztacala. Universidad Nacional de México. Los Reyes Iztacala, Estado de México. México. 122 p.</w:t>
      </w:r>
    </w:p>
    <w:p>
      <w:pPr>
        <w:pStyle w:val="BodyText"/>
        <w:spacing w:line="360" w:lineRule="auto" w:before="2"/>
        <w:ind w:left="544" w:right="120" w:hanging="428"/>
        <w:jc w:val="both"/>
      </w:pPr>
      <w:r>
        <w:rPr/>
        <w:t>Orozco-Villa, M. 1995. Vegetación del municipio de Temascaltepec, Estado de México. Tesis de Licenciatura. Escuela Nacional de Estudios Profesionales Iztacala. Universidad Nacional Autónoma de México. Los Reyes Iztacala, Estado de México. México 100 pp.</w:t>
      </w:r>
    </w:p>
    <w:p>
      <w:pPr>
        <w:spacing w:line="362" w:lineRule="auto" w:before="2"/>
        <w:ind w:left="544" w:right="112" w:hanging="428"/>
        <w:jc w:val="both"/>
        <w:rPr>
          <w:sz w:val="24"/>
        </w:rPr>
      </w:pPr>
      <w:r>
        <w:rPr>
          <w:sz w:val="24"/>
        </w:rPr>
        <w:t>Oyama, K. Castillo, A. (coordinadores). 2007. </w:t>
      </w:r>
      <w:r>
        <w:rPr>
          <w:i/>
          <w:sz w:val="24"/>
        </w:rPr>
        <w:t>Manejo, conservación y restauración de </w:t>
      </w:r>
      <w:r>
        <w:rPr>
          <w:i/>
          <w:sz w:val="24"/>
        </w:rPr>
        <w:t>recursos naturales en México</w:t>
      </w:r>
      <w:r>
        <w:rPr>
          <w:sz w:val="24"/>
        </w:rPr>
        <w:t>. Segunda edición. Siglo XXI editores: UNAM, Centro de Investigaciones en Ecosistemas. 364 pp.</w:t>
      </w:r>
    </w:p>
    <w:p>
      <w:pPr>
        <w:pStyle w:val="BodyText"/>
        <w:spacing w:line="360" w:lineRule="auto"/>
        <w:ind w:left="544" w:right="122" w:hanging="428"/>
        <w:jc w:val="both"/>
      </w:pPr>
      <w:r>
        <w:rPr/>
        <w:t>Palacios, C. E. 1996. Localización, colecta y determinación taxonómica de especies vegetales silvestre de interés ornamental en los municipios de Temascaltepec y Zinacantepec. Tesis de Licenciatura, ingeniero agrónomo, Universidad Autónoma del Estado de México. 201 pp.</w:t>
      </w:r>
    </w:p>
    <w:p>
      <w:pPr>
        <w:pStyle w:val="BodyText"/>
        <w:spacing w:line="362" w:lineRule="auto" w:before="2"/>
        <w:ind w:left="544" w:right="117" w:hanging="428"/>
        <w:jc w:val="both"/>
      </w:pPr>
      <w:r>
        <w:rPr/>
        <w:t>Pennington, T. D. y J. Sarukhán. 1998. Árboles tropicales de México. Manual para la identificación de las principales especies. Segunda edición. Universidad Nacional Autónoma de México. Fondo de Cultura Económica. México, D. F. 521 pp.</w:t>
      </w:r>
    </w:p>
    <w:p>
      <w:pPr>
        <w:spacing w:line="360" w:lineRule="auto" w:before="0"/>
        <w:ind w:left="544" w:right="116" w:hanging="428"/>
        <w:jc w:val="both"/>
        <w:rPr>
          <w:sz w:val="24"/>
        </w:rPr>
      </w:pPr>
      <w:r>
        <w:rPr>
          <w:sz w:val="24"/>
        </w:rPr>
        <w:t>Pérez-Nicolás, M. L. y R. Fernández-Nava, 2007. </w:t>
      </w:r>
      <w:r>
        <w:rPr>
          <w:i/>
          <w:sz w:val="24"/>
        </w:rPr>
        <w:t>Plantas del estado de Querétaro, </w:t>
      </w:r>
      <w:r>
        <w:rPr>
          <w:i/>
          <w:sz w:val="24"/>
        </w:rPr>
        <w:t>México con potencial para uso ornamental. </w:t>
      </w:r>
      <w:r>
        <w:rPr>
          <w:sz w:val="24"/>
        </w:rPr>
        <w:t>Polibotánica 24: 83-115.</w:t>
      </w:r>
    </w:p>
    <w:p>
      <w:pPr>
        <w:pStyle w:val="BodyText"/>
        <w:spacing w:line="360" w:lineRule="auto" w:before="3"/>
        <w:ind w:left="471" w:right="114" w:hanging="356"/>
        <w:jc w:val="both"/>
      </w:pPr>
      <w:r>
        <w:rPr/>
        <w:t>Portales, B. G., J. E. San Roman, H. Benítez, A. Cruz, R. Fernández. 2009. La Diversidad en el mundo y en México. Pp. 39 –47, en: La Diversidad Biológica del Estado de México. Estudio de Estado. (Ceballos, G., R. List, G. Garduño, R.   López,</w:t>
      </w:r>
    </w:p>
    <w:p>
      <w:pPr>
        <w:pStyle w:val="BodyText"/>
        <w:spacing w:line="360" w:lineRule="auto" w:before="2"/>
        <w:ind w:left="471" w:right="78"/>
      </w:pPr>
      <w:r>
        <w:rPr/>
        <w:t>M. J. Muñozcano, E. Collado y J. E. San Roman compiladores) Biblioteca Mexiquense del Bicentenario. Toluca, México.</w:t>
      </w:r>
    </w:p>
    <w:p>
      <w:pPr>
        <w:spacing w:line="360" w:lineRule="auto" w:before="2"/>
        <w:ind w:left="471" w:right="118" w:hanging="356"/>
        <w:jc w:val="both"/>
        <w:rPr>
          <w:sz w:val="24"/>
        </w:rPr>
      </w:pPr>
      <w:r>
        <w:rPr>
          <w:sz w:val="24"/>
        </w:rPr>
        <w:t>Quintanar S., E. 1978. </w:t>
      </w:r>
      <w:r>
        <w:rPr>
          <w:i/>
          <w:sz w:val="24"/>
        </w:rPr>
        <w:t>Etnobotánica mexicana: Plantas popularmente utilizadas en la </w:t>
      </w:r>
      <w:r>
        <w:rPr>
          <w:i/>
          <w:sz w:val="24"/>
        </w:rPr>
        <w:t>Ciudad de Toluca, México, para el tratamiento de enfermedades de las vías urinarias</w:t>
      </w:r>
      <w:r>
        <w:rPr>
          <w:sz w:val="24"/>
        </w:rPr>
        <w:t>. Tesis de licenciatura. Facultad de Ciencias. Universidad Nacional Autónoma de México.</w:t>
      </w:r>
      <w:r>
        <w:rPr>
          <w:spacing w:val="-9"/>
          <w:sz w:val="24"/>
        </w:rPr>
        <w:t> </w:t>
      </w:r>
      <w:r>
        <w:rPr>
          <w:sz w:val="24"/>
        </w:rPr>
        <w:t>México.</w:t>
      </w:r>
    </w:p>
    <w:p>
      <w:pPr>
        <w:spacing w:line="362" w:lineRule="auto" w:before="2"/>
        <w:ind w:left="544" w:right="114" w:hanging="428"/>
        <w:jc w:val="both"/>
        <w:rPr>
          <w:sz w:val="24"/>
        </w:rPr>
      </w:pPr>
      <w:r>
        <w:rPr>
          <w:sz w:val="24"/>
        </w:rPr>
        <w:t>Ranganathan, J., K. Bennett, C. Raudsepp-Hearne, N. Lucas, F. Irwin, M. Zurek, N. Ash y P. West. </w:t>
      </w:r>
      <w:r>
        <w:rPr>
          <w:i/>
          <w:sz w:val="24"/>
        </w:rPr>
        <w:t>Ecosystem services: A guide for decision makers. </w:t>
      </w:r>
      <w:r>
        <w:rPr>
          <w:sz w:val="24"/>
        </w:rPr>
        <w:t>WRI. 2008. Disponible</w:t>
      </w:r>
    </w:p>
    <w:p>
      <w:pPr>
        <w:spacing w:after="0" w:line="362" w:lineRule="auto"/>
        <w:jc w:val="both"/>
        <w:rPr>
          <w:sz w:val="24"/>
        </w:rPr>
        <w:sectPr>
          <w:footerReference w:type="default" r:id="rId200"/>
          <w:pgSz w:w="12240" w:h="15840"/>
          <w:pgMar w:footer="1146" w:header="685" w:top="880" w:bottom="1340" w:left="1300" w:right="1300"/>
        </w:sectPr>
      </w:pPr>
    </w:p>
    <w:p>
      <w:pPr>
        <w:pStyle w:val="BodyText"/>
        <w:rPr>
          <w:sz w:val="20"/>
        </w:rPr>
      </w:pPr>
    </w:p>
    <w:p>
      <w:pPr>
        <w:pStyle w:val="BodyText"/>
        <w:spacing w:before="4"/>
        <w:rPr>
          <w:sz w:val="19"/>
        </w:rPr>
      </w:pPr>
    </w:p>
    <w:p>
      <w:pPr>
        <w:pStyle w:val="BodyText"/>
        <w:spacing w:before="70"/>
        <w:ind w:left="544" w:right="78"/>
      </w:pPr>
      <w:r>
        <w:rPr/>
        <w:t>en:</w:t>
      </w:r>
    </w:p>
    <w:p>
      <w:pPr>
        <w:pStyle w:val="BodyText"/>
        <w:tabs>
          <w:tab w:pos="8246" w:val="left" w:leader="none"/>
          <w:tab w:pos="9257" w:val="left" w:leader="none"/>
        </w:tabs>
        <w:spacing w:line="360" w:lineRule="auto" w:before="141"/>
        <w:ind w:left="544" w:right="112"/>
      </w:pPr>
      <w:hyperlink r:id="rId202">
        <w:r>
          <w:rPr>
            <w:color w:val="0000FF"/>
            <w:u w:val="single" w:color="0000FF"/>
          </w:rPr>
          <w:t>http://pdf.wri.org/ecosystem_services_guide_for_decisionmakers.pdf</w:t>
        </w:r>
      </w:hyperlink>
      <w:r>
        <w:rPr/>
        <w:t>.</w:t>
        <w:tab/>
        <w:t>Fecha</w:t>
        <w:tab/>
        <w:t>de consulta: 26 de marzo del</w:t>
      </w:r>
      <w:r>
        <w:rPr>
          <w:spacing w:val="-10"/>
        </w:rPr>
        <w:t> </w:t>
      </w:r>
      <w:r>
        <w:rPr/>
        <w:t>2013.</w:t>
      </w:r>
    </w:p>
    <w:p>
      <w:pPr>
        <w:pStyle w:val="BodyText"/>
        <w:spacing w:before="2"/>
        <w:ind w:left="116" w:right="78"/>
      </w:pPr>
      <w:r>
        <w:rPr/>
        <w:t>Redonda-Martínez, R. y J.  L. Villaseñor-Ríos. 2009. </w:t>
      </w:r>
      <w:r>
        <w:rPr>
          <w:i/>
        </w:rPr>
        <w:t>Asteraceae. </w:t>
      </w:r>
      <w:r>
        <w:rPr/>
        <w:t>Instituto de    Biología.</w:t>
      </w:r>
    </w:p>
    <w:p>
      <w:pPr>
        <w:spacing w:before="137"/>
        <w:ind w:left="544" w:right="78" w:firstLine="0"/>
        <w:jc w:val="left"/>
        <w:rPr>
          <w:i/>
          <w:sz w:val="24"/>
        </w:rPr>
      </w:pPr>
      <w:r>
        <w:rPr>
          <w:sz w:val="24"/>
        </w:rPr>
        <w:t>UNAM </w:t>
      </w:r>
      <w:r>
        <w:rPr>
          <w:i/>
          <w:sz w:val="24"/>
        </w:rPr>
        <w:t>72: 1-23</w:t>
      </w:r>
    </w:p>
    <w:p>
      <w:pPr>
        <w:spacing w:line="360" w:lineRule="auto" w:before="141"/>
        <w:ind w:left="544" w:right="110" w:hanging="428"/>
        <w:jc w:val="both"/>
        <w:rPr>
          <w:sz w:val="24"/>
        </w:rPr>
      </w:pPr>
      <w:r>
        <w:rPr>
          <w:sz w:val="24"/>
        </w:rPr>
        <w:t>Reyna, T. T. 2004. </w:t>
      </w:r>
      <w:r>
        <w:rPr>
          <w:i/>
          <w:sz w:val="24"/>
        </w:rPr>
        <w:t>Macadamia (M. tetraphylla Johnson M. integrifolia maiden y betch). </w:t>
      </w:r>
      <w:r>
        <w:rPr>
          <w:sz w:val="24"/>
          <w:u w:val="single"/>
        </w:rPr>
        <w:t>En</w:t>
      </w:r>
      <w:r>
        <w:rPr>
          <w:sz w:val="24"/>
        </w:rPr>
        <w:t>: Taboada, S. M. y R. Oliver G. (comp.). Cultivos alternativos en México. Universidad Autónoma del Estado de Morelos. pp. 95-106.</w:t>
      </w:r>
    </w:p>
    <w:p>
      <w:pPr>
        <w:spacing w:line="360" w:lineRule="auto" w:before="2"/>
        <w:ind w:left="544" w:right="116" w:hanging="428"/>
        <w:jc w:val="both"/>
        <w:rPr>
          <w:sz w:val="24"/>
        </w:rPr>
      </w:pPr>
      <w:r>
        <w:rPr>
          <w:sz w:val="24"/>
        </w:rPr>
        <w:t>Ribeiro, P. G. F. y Diniz, R.C. 2008. </w:t>
      </w:r>
      <w:r>
        <w:rPr>
          <w:i/>
          <w:sz w:val="24"/>
        </w:rPr>
        <w:t>Plantas aromáticas e medicinais, cultivo e </w:t>
      </w:r>
      <w:r>
        <w:rPr>
          <w:i/>
          <w:sz w:val="24"/>
        </w:rPr>
        <w:t>utilizaḉào. Londrina, BR, IAPAR. 218p</w:t>
      </w:r>
      <w:r>
        <w:rPr>
          <w:sz w:val="24"/>
        </w:rPr>
        <w:t>, citado por Resquín, R. G. A., R. Degen de Arrúa, G. Delmás de Rojas y G. Macchi L. 2011. </w:t>
      </w:r>
      <w:r>
        <w:rPr>
          <w:i/>
          <w:sz w:val="24"/>
        </w:rPr>
        <w:t>Las especies de Mentha L. </w:t>
      </w:r>
      <w:r>
        <w:rPr>
          <w:i/>
          <w:sz w:val="24"/>
        </w:rPr>
        <w:t>cultivadas en paraguay. </w:t>
      </w:r>
      <w:r>
        <w:rPr>
          <w:sz w:val="24"/>
        </w:rPr>
        <w:t>Rojasiana10</w:t>
      </w:r>
      <w:r>
        <w:rPr>
          <w:spacing w:val="-20"/>
          <w:sz w:val="24"/>
        </w:rPr>
        <w:t> </w:t>
      </w:r>
      <w:r>
        <w:rPr>
          <w:sz w:val="24"/>
        </w:rPr>
        <w:t>(1):77-91</w:t>
      </w:r>
    </w:p>
    <w:p>
      <w:pPr>
        <w:spacing w:line="362" w:lineRule="auto" w:before="2"/>
        <w:ind w:left="544" w:right="124" w:hanging="428"/>
        <w:jc w:val="both"/>
        <w:rPr>
          <w:sz w:val="24"/>
        </w:rPr>
      </w:pPr>
      <w:r>
        <w:rPr>
          <w:sz w:val="24"/>
        </w:rPr>
        <w:t>Rico, A. M. de L. y S. Bachman. 2006. </w:t>
      </w:r>
      <w:r>
        <w:rPr>
          <w:i/>
          <w:sz w:val="24"/>
        </w:rPr>
        <w:t>A taxonomic revisión of Acaciella (Leguminosae, </w:t>
      </w:r>
      <w:r>
        <w:rPr>
          <w:i/>
          <w:sz w:val="24"/>
        </w:rPr>
        <w:t>Mimosoideae)</w:t>
      </w:r>
      <w:r>
        <w:rPr>
          <w:sz w:val="24"/>
        </w:rPr>
        <w:t>. Anales del Jardín Botánico Madrid 63(2):189-244.</w:t>
      </w:r>
    </w:p>
    <w:p>
      <w:pPr>
        <w:spacing w:line="360" w:lineRule="auto" w:before="0"/>
        <w:ind w:left="544" w:right="113" w:hanging="428"/>
        <w:jc w:val="both"/>
        <w:rPr>
          <w:sz w:val="24"/>
        </w:rPr>
      </w:pPr>
      <w:r>
        <w:rPr>
          <w:sz w:val="24"/>
        </w:rPr>
        <w:t>Rincón-Rosales, R., N.R. Culebro-Espinosa, F. A. Gutiérrez-Miceli, y L. Dendooven. 2003. </w:t>
      </w:r>
      <w:r>
        <w:rPr>
          <w:i/>
          <w:sz w:val="24"/>
        </w:rPr>
        <w:t>Scarification of seeds of Acacia angustissima (Mill.) Kuntze and its effect on </w:t>
      </w:r>
      <w:r>
        <w:rPr>
          <w:i/>
          <w:sz w:val="24"/>
        </w:rPr>
        <w:t>germination</w:t>
      </w:r>
      <w:r>
        <w:rPr>
          <w:sz w:val="24"/>
        </w:rPr>
        <w:t>. Seed Science and Technology 31(2): 301-307.</w:t>
      </w:r>
    </w:p>
    <w:p>
      <w:pPr>
        <w:spacing w:line="360" w:lineRule="auto" w:before="8"/>
        <w:ind w:left="544" w:right="120" w:hanging="428"/>
        <w:jc w:val="both"/>
        <w:rPr>
          <w:sz w:val="24"/>
        </w:rPr>
      </w:pPr>
      <w:r>
        <w:rPr>
          <w:sz w:val="24"/>
        </w:rPr>
        <w:t>Rincón-Rosales, R., y F. A. Gutiérrez-Miceli. 2008. </w:t>
      </w:r>
      <w:r>
        <w:rPr>
          <w:i/>
          <w:sz w:val="24"/>
        </w:rPr>
        <w:t>Características biológicas de </w:t>
      </w:r>
      <w:r>
        <w:rPr>
          <w:i/>
          <w:sz w:val="24"/>
        </w:rPr>
        <w:t>Acaciella angustissima (Mill.) Britton &amp; Rose en su hábitat natural y evaluación de  su potencial cortical en Chiapas, México</w:t>
      </w:r>
      <w:r>
        <w:rPr>
          <w:sz w:val="24"/>
        </w:rPr>
        <w:t>. Agrociencia 42:</w:t>
      </w:r>
      <w:r>
        <w:rPr>
          <w:spacing w:val="-18"/>
          <w:sz w:val="24"/>
        </w:rPr>
        <w:t> </w:t>
      </w:r>
      <w:r>
        <w:rPr>
          <w:sz w:val="24"/>
        </w:rPr>
        <w:t>129-137.</w:t>
      </w:r>
    </w:p>
    <w:p>
      <w:pPr>
        <w:spacing w:line="360" w:lineRule="auto" w:before="3"/>
        <w:ind w:left="544" w:right="114" w:hanging="428"/>
        <w:jc w:val="both"/>
        <w:rPr>
          <w:sz w:val="24"/>
        </w:rPr>
      </w:pPr>
      <w:r>
        <w:rPr>
          <w:sz w:val="24"/>
        </w:rPr>
        <w:t>Rocha, E. A. 1998. </w:t>
      </w:r>
      <w:r>
        <w:rPr>
          <w:i/>
          <w:sz w:val="24"/>
        </w:rPr>
        <w:t>Cnidoscolus chayamansa Mc Vaugh como fuente de proteína </w:t>
      </w:r>
      <w:r>
        <w:rPr>
          <w:i/>
          <w:sz w:val="24"/>
        </w:rPr>
        <w:t>incorporada en dietas para Penaeus stylirostris. </w:t>
      </w:r>
      <w:r>
        <w:rPr>
          <w:sz w:val="24"/>
        </w:rPr>
        <w:t>Facultad de ciencias Biológicas. Maestro en ciencias con especialidad en recursos alimenticios y producción acuícola. Universidad Autónoma de Nuevo León. San Nicolás de los Garza, Nuevo, León. 51 pp.</w:t>
      </w:r>
    </w:p>
    <w:p>
      <w:pPr>
        <w:pStyle w:val="BodyText"/>
        <w:spacing w:line="360" w:lineRule="auto" w:before="2"/>
        <w:ind w:left="544" w:right="114" w:hanging="428"/>
      </w:pPr>
      <w:r>
        <w:rPr/>
        <w:t>Rodríguez-Acosta, M. (Ed.) 2000. </w:t>
      </w:r>
      <w:r>
        <w:rPr>
          <w:i/>
        </w:rPr>
        <w:t>Estrategia de conservación para los jardines </w:t>
      </w:r>
      <w:r>
        <w:rPr>
          <w:i/>
        </w:rPr>
        <w:t>Botánicos Mexicanos, 2000. </w:t>
      </w:r>
      <w:r>
        <w:rPr/>
        <w:t>Asociación Mexicana de Jardines Botánicos, A. C. México. Consultado el 12 de febrero del 2014. Disponible en: </w:t>
      </w:r>
      <w:hyperlink r:id="rId203">
        <w:r>
          <w:rPr>
            <w:color w:val="0000FF"/>
            <w:u w:val="single" w:color="0000FF"/>
          </w:rPr>
          <w:t>http://www.conabio.gob.mx/institucion/cooperacion_internacional/doctos/b07/Estrate</w:t>
        </w:r>
      </w:hyperlink>
      <w:r>
        <w:rPr>
          <w:color w:val="0000FF"/>
          <w:u w:val="single" w:color="0000FF"/>
        </w:rPr>
        <w:t> </w:t>
      </w:r>
      <w:hyperlink r:id="rId203">
        <w:r>
          <w:rPr>
            <w:color w:val="0000FF"/>
            <w:u w:val="single" w:color="0000FF"/>
          </w:rPr>
          <w:t>gia%20de%20Conservacion%20para%20los%20jardines%20botanicos%20mexican</w:t>
        </w:r>
      </w:hyperlink>
      <w:r>
        <w:rPr>
          <w:color w:val="0000FF"/>
          <w:u w:val="single" w:color="0000FF"/>
        </w:rPr>
        <w:t> </w:t>
      </w:r>
      <w:hyperlink r:id="rId203">
        <w:r>
          <w:rPr>
            <w:color w:val="0000FF"/>
            <w:u w:val="single" w:color="0000FF"/>
          </w:rPr>
          <w:t>os%202000-1.pdf</w:t>
        </w:r>
      </w:hyperlink>
    </w:p>
    <w:p>
      <w:pPr>
        <w:spacing w:after="0" w:line="360" w:lineRule="auto"/>
        <w:sectPr>
          <w:footerReference w:type="default" r:id="rId201"/>
          <w:pgSz w:w="12240" w:h="15840"/>
          <w:pgMar w:footer="1146" w:header="685" w:top="880" w:bottom="1340" w:left="1300" w:right="1300"/>
          <w:pgNumType w:start="181"/>
        </w:sectPr>
      </w:pPr>
    </w:p>
    <w:p>
      <w:pPr>
        <w:pStyle w:val="BodyText"/>
        <w:rPr>
          <w:sz w:val="20"/>
        </w:rPr>
      </w:pPr>
    </w:p>
    <w:p>
      <w:pPr>
        <w:pStyle w:val="BodyText"/>
        <w:spacing w:before="4"/>
        <w:rPr>
          <w:sz w:val="19"/>
        </w:rPr>
      </w:pPr>
    </w:p>
    <w:p>
      <w:pPr>
        <w:spacing w:line="360" w:lineRule="auto" w:before="70"/>
        <w:ind w:left="544" w:right="111" w:hanging="428"/>
        <w:jc w:val="both"/>
        <w:rPr>
          <w:sz w:val="24"/>
        </w:rPr>
      </w:pPr>
      <w:r>
        <w:rPr>
          <w:sz w:val="24"/>
        </w:rPr>
        <w:t>Rodríguez-Jiménez L. S. y Espinosa-Garduño, J. 1995. </w:t>
      </w:r>
      <w:r>
        <w:rPr>
          <w:i/>
          <w:sz w:val="24"/>
        </w:rPr>
        <w:t>Listados florísticos del estado  </w:t>
      </w:r>
      <w:r>
        <w:rPr>
          <w:i/>
          <w:sz w:val="24"/>
        </w:rPr>
        <w:t>de Michoacán. Sección I (Gymnospermae; Angiospermae: Acanthaceae- Commelinaceae)</w:t>
      </w:r>
      <w:r>
        <w:rPr>
          <w:sz w:val="24"/>
        </w:rPr>
        <w:t>. Flora del Bajío y de Regiones Adyacentes. Fascículo Complementario VI. Instituto de Ecología, A.C., Centro Regional del Bajío. Pátzcuaro, Michoacán. 208</w:t>
      </w:r>
      <w:r>
        <w:rPr>
          <w:spacing w:val="-9"/>
          <w:sz w:val="24"/>
        </w:rPr>
        <w:t> </w:t>
      </w:r>
      <w:r>
        <w:rPr>
          <w:sz w:val="24"/>
        </w:rPr>
        <w:t>pp.</w:t>
      </w:r>
    </w:p>
    <w:p>
      <w:pPr>
        <w:spacing w:line="360" w:lineRule="auto" w:before="7"/>
        <w:ind w:left="544" w:right="114" w:hanging="428"/>
        <w:jc w:val="both"/>
        <w:rPr>
          <w:sz w:val="24"/>
        </w:rPr>
      </w:pPr>
      <w:r>
        <w:rPr>
          <w:sz w:val="24"/>
        </w:rPr>
        <w:t>Rodríguez-Jiménez L. S. y Espinosa-Garduño, J. 1996a. </w:t>
      </w:r>
      <w:r>
        <w:rPr>
          <w:i/>
          <w:sz w:val="24"/>
        </w:rPr>
        <w:t>Listados florísticos del estado </w:t>
      </w:r>
      <w:r>
        <w:rPr>
          <w:i/>
          <w:sz w:val="24"/>
        </w:rPr>
        <w:t>de Michoacán. Sección III (Angiospermae: Connaraceae-Myrtaceae excepto Fagaceae, Gramineae, Krameriaceae y Laguminosae)</w:t>
      </w:r>
      <w:r>
        <w:rPr>
          <w:sz w:val="24"/>
        </w:rPr>
        <w:t>. Flora del Bajío y de Regiones Adyacentes. Fascículo Complementario X. Instituto de Ecología, A.C., Centro Regional del Bajío. Pátzcuaro, Michoacán. 296 pp.</w:t>
      </w:r>
    </w:p>
    <w:p>
      <w:pPr>
        <w:spacing w:line="360" w:lineRule="auto" w:before="2"/>
        <w:ind w:left="544" w:right="112" w:hanging="428"/>
        <w:jc w:val="both"/>
        <w:rPr>
          <w:sz w:val="24"/>
        </w:rPr>
      </w:pPr>
      <w:r>
        <w:rPr>
          <w:sz w:val="24"/>
        </w:rPr>
        <w:t>Rodríguez-Jiménez L. S. y Espinosa-Garduño, J. 1996b. </w:t>
      </w:r>
      <w:r>
        <w:rPr>
          <w:i/>
          <w:sz w:val="24"/>
        </w:rPr>
        <w:t>Listados florísticos del estado </w:t>
      </w:r>
      <w:r>
        <w:rPr>
          <w:i/>
          <w:sz w:val="24"/>
        </w:rPr>
        <w:t>de Michoacán. Sección V (Angiospermae: Najadaceae-Zygophyllaceae)</w:t>
      </w:r>
      <w:r>
        <w:rPr>
          <w:sz w:val="24"/>
        </w:rPr>
        <w:t>. Flora del Bajío y de Regiones Adyacentes. Fascículo Complementario XV. Instituto de Ecología, A.C., Centro Regional del Bajío. Pátzcuaro, Michoacán. 344 pp.</w:t>
      </w:r>
    </w:p>
    <w:p>
      <w:pPr>
        <w:pStyle w:val="BodyText"/>
        <w:spacing w:line="360" w:lineRule="auto" w:before="2"/>
        <w:ind w:left="544" w:right="121" w:hanging="428"/>
        <w:jc w:val="both"/>
      </w:pPr>
      <w:r>
        <w:rPr/>
        <w:t>Romero-Rangel, S. y E. C. Rojas-Zenteno. 1991. Estudio florístico de la región de huehuetoca, Estado de México. Acta Bot. Mex. 14:33-57.</w:t>
      </w:r>
    </w:p>
    <w:p>
      <w:pPr>
        <w:pStyle w:val="BodyText"/>
        <w:spacing w:line="360" w:lineRule="auto" w:before="2"/>
        <w:ind w:left="827" w:right="112" w:hanging="711"/>
        <w:jc w:val="both"/>
      </w:pPr>
      <w:r>
        <w:rPr/>
        <w:t>Roshetko, J. M. 2001. Agroforestry Species and Technologies. A compilation of the highlights and factsheets published by NFTA and FACT Net 1985-1999. Taiwan Forestry Research Institute and Council of Agriculture, Taiwam, Republic of China; Winrock International. Morrilton, Arkansas, USA. 9-12</w:t>
      </w:r>
      <w:r>
        <w:rPr>
          <w:spacing w:val="-16"/>
        </w:rPr>
        <w:t> </w:t>
      </w:r>
      <w:r>
        <w:rPr/>
        <w:t>pp.</w:t>
      </w:r>
    </w:p>
    <w:p>
      <w:pPr>
        <w:pStyle w:val="BodyText"/>
        <w:spacing w:line="362" w:lineRule="auto" w:before="3"/>
        <w:ind w:left="544" w:right="121" w:hanging="428"/>
        <w:jc w:val="both"/>
      </w:pPr>
      <w:r>
        <w:rPr/>
        <w:t>Rzedowski, J. 1988. </w:t>
      </w:r>
      <w:r>
        <w:rPr>
          <w:i/>
        </w:rPr>
        <w:t>Vegetación de México</w:t>
      </w:r>
      <w:r>
        <w:rPr/>
        <w:t>. Editorial Limusa, S.A. de C.V. México, D.F. Primera Edición, Cuarta impresión.</w:t>
      </w:r>
    </w:p>
    <w:p>
      <w:pPr>
        <w:spacing w:line="360" w:lineRule="auto" w:before="0"/>
        <w:ind w:left="544" w:right="116" w:hanging="428"/>
        <w:jc w:val="both"/>
        <w:rPr>
          <w:sz w:val="24"/>
        </w:rPr>
      </w:pPr>
      <w:r>
        <w:rPr>
          <w:sz w:val="24"/>
        </w:rPr>
        <w:t>Rzedowski, J. 1998. </w:t>
      </w:r>
      <w:r>
        <w:rPr>
          <w:i/>
          <w:sz w:val="24"/>
        </w:rPr>
        <w:t>Diversidad y orígenes de la flora fanerogámica de México</w:t>
      </w:r>
      <w:r>
        <w:rPr>
          <w:sz w:val="24"/>
        </w:rPr>
        <w:t>. En T. P. Ramamoorthy, R. Bye, A. Lot y J. Fa (eds.) D</w:t>
      </w:r>
      <w:r>
        <w:rPr>
          <w:i/>
          <w:sz w:val="24"/>
        </w:rPr>
        <w:t>iversidad biológica de México: </w:t>
      </w:r>
      <w:r>
        <w:rPr>
          <w:i/>
          <w:sz w:val="24"/>
        </w:rPr>
        <w:t>orígenes y su distribución</w:t>
      </w:r>
      <w:r>
        <w:rPr>
          <w:sz w:val="24"/>
        </w:rPr>
        <w:t>. IBUNAM, México.</w:t>
      </w:r>
      <w:r>
        <w:rPr>
          <w:spacing w:val="-20"/>
          <w:sz w:val="24"/>
        </w:rPr>
        <w:t> </w:t>
      </w:r>
      <w:r>
        <w:rPr>
          <w:sz w:val="24"/>
        </w:rPr>
        <w:t>129-145pp.</w:t>
      </w:r>
    </w:p>
    <w:p>
      <w:pPr>
        <w:spacing w:line="360" w:lineRule="auto" w:before="2"/>
        <w:ind w:left="544" w:right="115" w:hanging="428"/>
        <w:jc w:val="both"/>
        <w:rPr>
          <w:sz w:val="24"/>
        </w:rPr>
      </w:pPr>
      <w:r>
        <w:rPr>
          <w:sz w:val="24"/>
        </w:rPr>
        <w:t>Rzedowski, J. Calderón de R. G. y P. Carrillo-Reyes. 2011. </w:t>
      </w:r>
      <w:r>
        <w:rPr>
          <w:i/>
          <w:sz w:val="24"/>
        </w:rPr>
        <w:t>Compositae. Tribu </w:t>
      </w:r>
      <w:r>
        <w:rPr>
          <w:i/>
          <w:sz w:val="24"/>
        </w:rPr>
        <w:t>Heliantheae II (géneros Lagascea – Zinnia)</w:t>
      </w:r>
      <w:r>
        <w:rPr>
          <w:sz w:val="24"/>
        </w:rPr>
        <w:t>. Flora del Bajío y de Regiones Adyacentes. 173: 1-100.</w:t>
      </w:r>
    </w:p>
    <w:p>
      <w:pPr>
        <w:pStyle w:val="BodyText"/>
        <w:spacing w:line="360" w:lineRule="auto" w:before="3"/>
        <w:ind w:left="544" w:right="119" w:hanging="428"/>
        <w:jc w:val="both"/>
      </w:pPr>
      <w:r>
        <w:rPr/>
        <w:t>Rzedowski, G. C. de, J. Rzedowski. 2001</w:t>
      </w:r>
      <w:r>
        <w:rPr>
          <w:i/>
        </w:rPr>
        <w:t>. Flora fanerogámica del Valle de México</w:t>
      </w:r>
      <w:r>
        <w:rPr/>
        <w:t>. Segunda Edición. Instituto de Ecología, A.C. y Comisión Nacional para el Conocimiento y Uso de la Biodiversidad, Pátzcuaro, Michoacán. 1406pp.</w:t>
      </w:r>
    </w:p>
    <w:p>
      <w:pPr>
        <w:spacing w:after="0" w:line="360" w:lineRule="auto"/>
        <w:jc w:val="both"/>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120" w:hanging="428"/>
        <w:jc w:val="both"/>
      </w:pPr>
      <w:r>
        <w:rPr/>
        <w:t>Rzedowski, G. C. de, J. Rzedowski y colaboradores, 2005. </w:t>
      </w:r>
      <w:r>
        <w:rPr>
          <w:i/>
        </w:rPr>
        <w:t>Flora fanerogámica del Valle </w:t>
      </w:r>
      <w:r>
        <w:rPr>
          <w:i/>
        </w:rPr>
        <w:t>de México</w:t>
      </w:r>
      <w:r>
        <w:rPr/>
        <w:t>. 2a. ed., 1a reimp., Instituto de Ecología, A.C. y Comisión Nacional para el Conocimiento y Uso de la Biodiversidad, Pátzcuaro (Michoacán), 1406 p.</w:t>
      </w:r>
    </w:p>
    <w:p>
      <w:pPr>
        <w:pStyle w:val="BodyText"/>
        <w:spacing w:line="360" w:lineRule="auto"/>
        <w:ind w:left="544" w:right="125" w:hanging="428"/>
        <w:jc w:val="both"/>
      </w:pPr>
      <w:r>
        <w:rPr/>
        <w:t>Rzedowski, J., 2006. </w:t>
      </w:r>
      <w:r>
        <w:rPr>
          <w:i/>
        </w:rPr>
        <w:t>Vegetación de México</w:t>
      </w:r>
      <w:r>
        <w:rPr/>
        <w:t>. Primera edición digital, Comisión Nacional para el Conocimiento y Uso de la Biodiversidad, México, 504 pp.</w:t>
      </w:r>
    </w:p>
    <w:p>
      <w:pPr>
        <w:pStyle w:val="BodyText"/>
        <w:spacing w:line="360" w:lineRule="auto" w:before="7"/>
        <w:ind w:left="683" w:right="78" w:hanging="567"/>
      </w:pPr>
      <w:r>
        <w:rPr/>
        <w:t>SAGARPA, INIFAP y CIRPS. 2002. El cedro (</w:t>
      </w:r>
      <w:r>
        <w:rPr>
          <w:i/>
        </w:rPr>
        <w:t>Juniperus flaccida </w:t>
      </w:r>
      <w:r>
        <w:rPr/>
        <w:t>Schldl.) en el estado de Guerrero. Folleto No. 4. Chilpancingo, Guerrero. 33 pp.</w:t>
      </w:r>
    </w:p>
    <w:p>
      <w:pPr>
        <w:spacing w:line="360" w:lineRule="auto" w:before="2"/>
        <w:ind w:left="544" w:right="113" w:hanging="428"/>
        <w:jc w:val="both"/>
        <w:rPr>
          <w:sz w:val="24"/>
        </w:rPr>
      </w:pPr>
      <w:r>
        <w:rPr>
          <w:sz w:val="24"/>
        </w:rPr>
        <w:t>Sampieri, H. R., C. C., Fernández y L. P., Baptista 1998. </w:t>
      </w:r>
      <w:r>
        <w:rPr>
          <w:i/>
          <w:sz w:val="24"/>
        </w:rPr>
        <w:t>Metodología de la </w:t>
      </w:r>
      <w:r>
        <w:rPr>
          <w:i/>
          <w:sz w:val="24"/>
        </w:rPr>
        <w:t>Investigación</w:t>
      </w:r>
      <w:r>
        <w:rPr>
          <w:sz w:val="24"/>
        </w:rPr>
        <w:t>. Segunda Edición. Mc Graw Hill. México. 613p.</w:t>
      </w:r>
    </w:p>
    <w:p>
      <w:pPr>
        <w:pStyle w:val="BodyText"/>
        <w:spacing w:before="8"/>
        <w:ind w:left="116" w:right="78"/>
      </w:pPr>
      <w:r>
        <w:rPr/>
        <w:t>Sánchez, S. O. 1969. La flora del Valle de México. Editorial Herrero, S. A. México, </w:t>
      </w:r>
      <w:r>
        <w:rPr>
          <w:spacing w:val="62"/>
        </w:rPr>
        <w:t> </w:t>
      </w:r>
      <w:r>
        <w:rPr/>
        <w:t>D.F.</w:t>
      </w:r>
    </w:p>
    <w:p>
      <w:pPr>
        <w:pStyle w:val="BodyText"/>
        <w:spacing w:before="137"/>
        <w:ind w:left="544" w:right="78"/>
      </w:pPr>
      <w:r>
        <w:rPr/>
        <w:t>519 pp.</w:t>
      </w:r>
    </w:p>
    <w:p>
      <w:pPr>
        <w:tabs>
          <w:tab w:pos="2573" w:val="left" w:leader="none"/>
          <w:tab w:pos="4421" w:val="left" w:leader="none"/>
          <w:tab w:pos="6537" w:val="left" w:leader="none"/>
          <w:tab w:pos="9186" w:val="left" w:leader="none"/>
        </w:tabs>
        <w:spacing w:line="360" w:lineRule="auto" w:before="137"/>
        <w:ind w:left="544" w:right="113" w:hanging="428"/>
        <w:jc w:val="both"/>
        <w:rPr>
          <w:sz w:val="24"/>
        </w:rPr>
      </w:pPr>
      <w:r>
        <w:rPr>
          <w:sz w:val="24"/>
        </w:rPr>
        <w:t>Sandoval, J. M. C. y J. L. Martínez y P. 1997. </w:t>
      </w:r>
      <w:r>
        <w:rPr>
          <w:i/>
          <w:sz w:val="24"/>
        </w:rPr>
        <w:t>El uso de kalanchoe pinnata (Lam.) Pers. </w:t>
      </w:r>
      <w:r>
        <w:rPr>
          <w:i/>
          <w:sz w:val="24"/>
        </w:rPr>
        <w:t>en el Estado de Veracruz. </w:t>
      </w:r>
      <w:r>
        <w:rPr>
          <w:sz w:val="24"/>
        </w:rPr>
        <w:t>La ciencia y el hombre. 16: 49 – 56. Consultado el 13 de junio</w:t>
        <w:tab/>
        <w:t>del</w:t>
        <w:tab/>
        <w:t>2014.</w:t>
        <w:tab/>
        <w:t>Disponible</w:t>
        <w:tab/>
        <w:t>en: </w:t>
      </w:r>
      <w:hyperlink r:id="rId204">
        <w:r>
          <w:rPr>
            <w:color w:val="0000FF"/>
            <w:sz w:val="24"/>
            <w:u w:val="single" w:color="0000FF"/>
          </w:rPr>
          <w:t>http://cdigital.uv.mx/bitstream/123456789/5234/2/199416P49.pdf</w:t>
        </w:r>
      </w:hyperlink>
    </w:p>
    <w:p>
      <w:pPr>
        <w:spacing w:line="362" w:lineRule="auto" w:before="2"/>
        <w:ind w:left="544" w:right="112" w:hanging="428"/>
        <w:jc w:val="both"/>
        <w:rPr>
          <w:sz w:val="24"/>
        </w:rPr>
      </w:pPr>
      <w:r>
        <w:rPr>
          <w:sz w:val="24"/>
        </w:rPr>
        <w:t>Santiago R., I. Rojas, G. Arvizu, D. Muñoz, D. Pérez y M. Sucilla. 2005. </w:t>
      </w:r>
      <w:r>
        <w:rPr>
          <w:i/>
          <w:sz w:val="24"/>
        </w:rPr>
        <w:t>Caracterización </w:t>
      </w:r>
      <w:r>
        <w:rPr>
          <w:i/>
          <w:sz w:val="24"/>
        </w:rPr>
        <w:t>del potencial fitotóxico de Agastache mexicana (Kunth.) Lint et Epling.</w:t>
      </w:r>
      <w:r>
        <w:rPr>
          <w:sz w:val="24"/>
        </w:rPr>
        <w:t>Investigación Universitaria Multidisciplinaria. 4:14-20.</w:t>
      </w:r>
    </w:p>
    <w:p>
      <w:pPr>
        <w:spacing w:line="360" w:lineRule="auto" w:before="0"/>
        <w:ind w:left="544" w:right="120" w:hanging="428"/>
        <w:jc w:val="both"/>
        <w:rPr>
          <w:sz w:val="24"/>
        </w:rPr>
      </w:pPr>
      <w:r>
        <w:rPr>
          <w:sz w:val="24"/>
        </w:rPr>
        <w:t>Schuyt, K. y L. Brander. 2004. WWF. Gland/Amsterdam. </w:t>
      </w:r>
      <w:r>
        <w:rPr>
          <w:i/>
          <w:sz w:val="24"/>
        </w:rPr>
        <w:t>The Economic Values or the </w:t>
      </w:r>
      <w:r>
        <w:rPr>
          <w:i/>
          <w:sz w:val="24"/>
        </w:rPr>
        <w:t>World´s Wetlands. </w:t>
      </w:r>
      <w:r>
        <w:rPr>
          <w:sz w:val="24"/>
        </w:rPr>
        <w:t>Consultado el 15 de octubre del 2012. Disponible en: </w:t>
      </w:r>
      <w:hyperlink r:id="rId205">
        <w:r>
          <w:rPr>
            <w:color w:val="0000FF"/>
            <w:sz w:val="24"/>
            <w:u w:val="single" w:color="0000FF"/>
          </w:rPr>
          <w:t>http://www.unwater.org/downloads/wetlandsbrochurefinal.pdf</w:t>
        </w:r>
      </w:hyperlink>
    </w:p>
    <w:p>
      <w:pPr>
        <w:spacing w:line="360" w:lineRule="auto" w:before="7"/>
        <w:ind w:left="544" w:right="115" w:hanging="428"/>
        <w:jc w:val="both"/>
        <w:rPr>
          <w:sz w:val="24"/>
        </w:rPr>
      </w:pPr>
      <w:r>
        <w:rPr>
          <w:sz w:val="24"/>
        </w:rPr>
        <w:t>Sierra, E. J. A., F. Alzate G. H. S. Soto R., B. Durán R. y L. M. Losada V. 2005. </w:t>
      </w:r>
      <w:r>
        <w:rPr>
          <w:i/>
          <w:sz w:val="24"/>
        </w:rPr>
        <w:t>Plantas </w:t>
      </w:r>
      <w:r>
        <w:rPr>
          <w:i/>
          <w:sz w:val="24"/>
        </w:rPr>
        <w:t>silvestres con potencial ornamental de los bosques montano bajos del oriente Antioqueño, Colombia. </w:t>
      </w:r>
      <w:r>
        <w:rPr>
          <w:sz w:val="24"/>
        </w:rPr>
        <w:t>Rev. Fac. Nal. Agr. Medellín. 58 (1): 2651 - 2663</w:t>
      </w:r>
    </w:p>
    <w:p>
      <w:pPr>
        <w:pStyle w:val="BodyText"/>
        <w:spacing w:line="360" w:lineRule="auto" w:before="3"/>
        <w:ind w:left="544" w:right="111" w:hanging="428"/>
        <w:jc w:val="both"/>
      </w:pPr>
      <w:r>
        <w:rPr/>
        <w:t>Scangel R. F.; R. J., Bandoni; J. R., Maze; G. E. Rouse; W. B., Schofield; y J. R. Stein 1991. </w:t>
      </w:r>
      <w:r>
        <w:rPr>
          <w:i/>
        </w:rPr>
        <w:t>Plantas no vasculares</w:t>
      </w:r>
      <w:r>
        <w:rPr/>
        <w:t>. Ediciones Omega, S.A. Primera edición. Barcelona, España. 548 p.</w:t>
      </w:r>
    </w:p>
    <w:p>
      <w:pPr>
        <w:pStyle w:val="BodyText"/>
        <w:spacing w:line="360" w:lineRule="auto" w:before="2"/>
        <w:ind w:left="544" w:right="117" w:hanging="428"/>
        <w:jc w:val="both"/>
      </w:pPr>
      <w:r>
        <w:rPr/>
        <w:t>SCT. Secretaría de Comunicaciones y Transportes. Aplicación: Traza tu ruta, mappir México. Subsecretaría de infraestructura. Dirección General de Desarrollo carretero. Disponible en </w:t>
      </w:r>
      <w:hyperlink r:id="rId206">
        <w:r>
          <w:rPr/>
          <w:t>http://www.sct.gob.mx/,</w:t>
        </w:r>
      </w:hyperlink>
      <w:r>
        <w:rPr/>
        <w:t> consultado el día 22 de febrero del 2013.</w:t>
      </w:r>
    </w:p>
    <w:p>
      <w:pPr>
        <w:spacing w:after="0" w:line="360" w:lineRule="auto"/>
        <w:jc w:val="both"/>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113" w:hanging="428"/>
        <w:jc w:val="both"/>
      </w:pPr>
      <w:r>
        <w:rPr/>
        <w:t>Secretaría del Medio Ambiente. 2009. </w:t>
      </w:r>
      <w:r>
        <w:rPr>
          <w:i/>
        </w:rPr>
        <w:t>Las orquídeas del Estado de México</w:t>
      </w:r>
      <w:r>
        <w:rPr/>
        <w:t>. Primera Edición. Consejo Editorial de la Administración Pública Estatal. Toluca de Lerdo, Estado de México. 240pp.</w:t>
      </w:r>
    </w:p>
    <w:p>
      <w:pPr>
        <w:pStyle w:val="BodyText"/>
        <w:tabs>
          <w:tab w:pos="3311" w:val="left" w:leader="none"/>
          <w:tab w:pos="5096" w:val="left" w:leader="none"/>
          <w:tab w:pos="7485" w:val="left" w:leader="none"/>
          <w:tab w:pos="8930" w:val="left" w:leader="none"/>
        </w:tabs>
        <w:spacing w:line="360" w:lineRule="auto"/>
        <w:ind w:left="544" w:right="118" w:hanging="428"/>
      </w:pPr>
      <w:r>
        <w:rPr/>
        <w:t>SEDESOL, Secretaría de Desarrollo Social. Dirección General Adjunta de Planeación Microrregional,</w:t>
        <w:tab/>
        <w:t>2012.</w:t>
        <w:tab/>
        <w:t>Consultado</w:t>
        <w:tab/>
        <w:t>en</w:t>
        <w:tab/>
        <w:t>línea: </w:t>
      </w:r>
      <w:hyperlink r:id="rId184">
        <w:r>
          <w:rPr>
            <w:color w:val="0000FF"/>
            <w:u w:val="single" w:color="0000FF"/>
          </w:rPr>
          <w:t>http://www.microrregiones.gob.mx/zap/datGenerales.aspx?entra=pdzp&amp;ent=15&amp;mu</w:t>
        </w:r>
      </w:hyperlink>
      <w:r>
        <w:rPr>
          <w:color w:val="0000FF"/>
          <w:u w:val="single" w:color="0000FF"/>
        </w:rPr>
        <w:t> </w:t>
      </w:r>
      <w:hyperlink r:id="rId184">
        <w:r>
          <w:rPr>
            <w:color w:val="0000FF"/>
            <w:u w:val="single" w:color="0000FF"/>
          </w:rPr>
          <w:t>n=086 </w:t>
        </w:r>
      </w:hyperlink>
      <w:r>
        <w:rPr/>
        <w:t>Fecha 15 de octubre </w:t>
      </w:r>
      <w:r>
        <w:rPr>
          <w:spacing w:val="-3"/>
        </w:rPr>
        <w:t>del</w:t>
      </w:r>
      <w:r>
        <w:rPr>
          <w:spacing w:val="-7"/>
        </w:rPr>
        <w:t> </w:t>
      </w:r>
      <w:r>
        <w:rPr/>
        <w:t>2012.</w:t>
      </w:r>
    </w:p>
    <w:p>
      <w:pPr>
        <w:spacing w:line="362" w:lineRule="auto" w:before="2"/>
        <w:ind w:left="544" w:right="117" w:hanging="428"/>
        <w:jc w:val="both"/>
        <w:rPr>
          <w:sz w:val="24"/>
        </w:rPr>
      </w:pPr>
      <w:r>
        <w:rPr>
          <w:sz w:val="24"/>
        </w:rPr>
        <w:t>SEMARNAP. 1997. </w:t>
      </w:r>
      <w:r>
        <w:rPr>
          <w:i/>
          <w:sz w:val="24"/>
        </w:rPr>
        <w:t>Programa de conservación de la vida silvestre y diversificación </w:t>
      </w:r>
      <w:r>
        <w:rPr>
          <w:i/>
          <w:sz w:val="24"/>
        </w:rPr>
        <w:t>productiva del sector rural: 1997–2000</w:t>
      </w:r>
      <w:r>
        <w:rPr>
          <w:sz w:val="24"/>
        </w:rPr>
        <w:t>. Secretaría de Medio Ambiente, Recursos Naturales y Pesca. México, D. F.</w:t>
      </w:r>
    </w:p>
    <w:p>
      <w:pPr>
        <w:spacing w:line="360" w:lineRule="auto" w:before="0"/>
        <w:ind w:left="544" w:right="117" w:hanging="428"/>
        <w:jc w:val="both"/>
        <w:rPr>
          <w:sz w:val="24"/>
        </w:rPr>
      </w:pPr>
      <w:r>
        <w:rPr>
          <w:sz w:val="24"/>
        </w:rPr>
        <w:t>Shreve, F. 1951. </w:t>
      </w:r>
      <w:r>
        <w:rPr>
          <w:i/>
          <w:sz w:val="24"/>
        </w:rPr>
        <w:t>Vegetation of the Sonoran Desert. </w:t>
      </w:r>
      <w:r>
        <w:rPr>
          <w:sz w:val="24"/>
        </w:rPr>
        <w:t>Carnegie Institute of Washington Publications 591: 1-192.</w:t>
      </w:r>
    </w:p>
    <w:p>
      <w:pPr>
        <w:pStyle w:val="BodyText"/>
        <w:spacing w:line="360" w:lineRule="auto" w:before="2"/>
        <w:ind w:left="544" w:right="78" w:hanging="428"/>
      </w:pPr>
      <w:r>
        <w:rPr/>
        <w:t>SMN (Servicio Meteorológico Nacional). 2010. Normales meteorológicas. Comisión Nacional del Agua. Consultado el 22 de agosto del 2014. Disponible en: </w:t>
      </w:r>
      <w:hyperlink r:id="rId207">
        <w:r>
          <w:rPr>
            <w:color w:val="0000FF"/>
            <w:u w:val="single" w:color="0000FF"/>
          </w:rPr>
          <w:t>http://smn.cna.gob.mx/index.php?option=com_content&amp;view=article&amp;id=42&amp;Itemid=</w:t>
        </w:r>
      </w:hyperlink>
      <w:r>
        <w:rPr>
          <w:color w:val="0000FF"/>
          <w:u w:val="single" w:color="0000FF"/>
        </w:rPr>
        <w:t> </w:t>
      </w:r>
      <w:hyperlink r:id="rId207">
        <w:r>
          <w:rPr>
            <w:color w:val="0000FF"/>
            <w:u w:val="single" w:color="0000FF"/>
          </w:rPr>
          <w:t>75</w:t>
        </w:r>
      </w:hyperlink>
    </w:p>
    <w:p>
      <w:pPr>
        <w:pStyle w:val="BodyText"/>
        <w:spacing w:line="362" w:lineRule="auto" w:before="2"/>
        <w:ind w:left="544" w:right="121" w:hanging="428"/>
        <w:jc w:val="both"/>
      </w:pPr>
      <w:r>
        <w:rPr/>
        <w:t>Sosa, V. (ed.) 1978-2008. Flora de Veracruz (serie de fascículos). Instituto de Investigaciones sobre Recursos Bióticos, Instituto de Ecología, A. C., Xalapa.</w:t>
      </w:r>
    </w:p>
    <w:p>
      <w:pPr>
        <w:spacing w:before="0"/>
        <w:ind w:left="116" w:right="78" w:firstLine="0"/>
        <w:jc w:val="left"/>
        <w:rPr>
          <w:sz w:val="24"/>
        </w:rPr>
      </w:pPr>
      <w:r>
        <w:rPr>
          <w:sz w:val="24"/>
        </w:rPr>
        <w:t>Sosa, V. y A., Gómez-Pompa 1994. </w:t>
      </w:r>
      <w:r>
        <w:rPr>
          <w:i/>
          <w:sz w:val="24"/>
        </w:rPr>
        <w:t>Lista florística. Flora de Veracruz. Fascículo 82</w:t>
      </w:r>
      <w:r>
        <w:rPr>
          <w:sz w:val="24"/>
        </w:rPr>
        <w:t>.</w:t>
      </w:r>
    </w:p>
    <w:p>
      <w:pPr>
        <w:pStyle w:val="BodyText"/>
        <w:spacing w:before="137"/>
        <w:ind w:left="544" w:right="78"/>
      </w:pPr>
      <w:r>
        <w:rPr/>
        <w:t>Instituto de Ecología, A.C. University of California. Xalapa, Veracruz. 80pp.</w:t>
      </w:r>
    </w:p>
    <w:p>
      <w:pPr>
        <w:spacing w:line="360" w:lineRule="auto" w:before="137"/>
        <w:ind w:left="544" w:right="116" w:hanging="428"/>
        <w:jc w:val="both"/>
        <w:rPr>
          <w:sz w:val="24"/>
        </w:rPr>
      </w:pPr>
      <w:r>
        <w:rPr>
          <w:sz w:val="24"/>
        </w:rPr>
        <w:t>Sousa-Sánchez, M. y E. F., Cabrera. 1983. </w:t>
      </w:r>
      <w:r>
        <w:rPr>
          <w:i/>
          <w:sz w:val="24"/>
        </w:rPr>
        <w:t>Flora de Quintana Roo. Listado florístico de </w:t>
      </w:r>
      <w:r>
        <w:rPr>
          <w:i/>
          <w:sz w:val="24"/>
        </w:rPr>
        <w:t>México II</w:t>
      </w:r>
      <w:r>
        <w:rPr>
          <w:sz w:val="24"/>
        </w:rPr>
        <w:t>. Instituto de Biología. Universidad Nacional de México. México, D.F. 100pp.</w:t>
      </w:r>
    </w:p>
    <w:p>
      <w:pPr>
        <w:pStyle w:val="BodyText"/>
        <w:spacing w:line="360" w:lineRule="auto" w:before="2"/>
        <w:ind w:left="544" w:right="120" w:hanging="428"/>
        <w:jc w:val="both"/>
      </w:pPr>
      <w:r>
        <w:rPr/>
        <w:t>Stanley, C., P. 1982. </w:t>
      </w:r>
      <w:r>
        <w:rPr>
          <w:i/>
        </w:rPr>
        <w:t>Trees and shrubs of Mexico</w:t>
      </w:r>
      <w:r>
        <w:rPr/>
        <w:t>. Smithsonian Institution United states National Museum. Contributions from the United States National Herbarium. Vol. 23. Alemania. p. 419.</w:t>
      </w:r>
    </w:p>
    <w:p>
      <w:pPr>
        <w:spacing w:line="360" w:lineRule="auto" w:before="7"/>
        <w:ind w:left="544" w:right="114" w:hanging="428"/>
        <w:jc w:val="both"/>
        <w:rPr>
          <w:sz w:val="24"/>
        </w:rPr>
      </w:pPr>
      <w:r>
        <w:rPr>
          <w:sz w:val="24"/>
        </w:rPr>
        <w:t>Tapia-Robles, C. A. 1985. </w:t>
      </w:r>
      <w:r>
        <w:rPr>
          <w:i/>
          <w:sz w:val="24"/>
        </w:rPr>
        <w:t>Estudio morfológico y taxonómico de la familia Orchidaceae </w:t>
      </w:r>
      <w:r>
        <w:rPr>
          <w:i/>
          <w:sz w:val="24"/>
        </w:rPr>
        <w:t>en el municipio de Temascaltepec, Estado de México. </w:t>
      </w:r>
      <w:r>
        <w:rPr>
          <w:sz w:val="24"/>
        </w:rPr>
        <w:t>Tesis de Licenciatura. Ingeniero agrónomo. Universidad Autónoma del Estado de México. Toluca, México. 155 pp.</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spacing w:line="362" w:lineRule="auto" w:before="70"/>
        <w:ind w:left="544" w:right="116" w:hanging="428"/>
        <w:jc w:val="both"/>
        <w:rPr>
          <w:sz w:val="24"/>
        </w:rPr>
      </w:pPr>
      <w:r>
        <w:rPr>
          <w:sz w:val="24"/>
        </w:rPr>
        <w:t>Toledo, V.M. 1994. </w:t>
      </w:r>
      <w:r>
        <w:rPr>
          <w:i/>
          <w:sz w:val="24"/>
        </w:rPr>
        <w:t>La diversidad biológica de México</w:t>
      </w:r>
      <w:r>
        <w:rPr>
          <w:sz w:val="24"/>
        </w:rPr>
        <w:t>. Nuevo retos para la investigación en los noventas. Ciencias 34:43-59.</w:t>
      </w:r>
    </w:p>
    <w:p>
      <w:pPr>
        <w:spacing w:line="360" w:lineRule="auto" w:before="0"/>
        <w:ind w:left="544" w:right="117" w:hanging="428"/>
        <w:jc w:val="both"/>
        <w:rPr>
          <w:sz w:val="24"/>
        </w:rPr>
      </w:pPr>
      <w:r>
        <w:rPr>
          <w:sz w:val="24"/>
        </w:rPr>
        <w:t>Toledo, V. M. y M. J., Ordóñez 1998. </w:t>
      </w:r>
      <w:r>
        <w:rPr>
          <w:i/>
          <w:sz w:val="24"/>
        </w:rPr>
        <w:t>El panorama de la biodiversidad de México: una </w:t>
      </w:r>
      <w:r>
        <w:rPr>
          <w:i/>
          <w:sz w:val="24"/>
        </w:rPr>
        <w:t>revisión de los hábitats terrestres</w:t>
      </w:r>
      <w:r>
        <w:rPr>
          <w:sz w:val="24"/>
        </w:rPr>
        <w:t>. In: Ramamoorthy, T. P., R. Bye, A. Lot y J. Fa (eds) </w:t>
      </w:r>
      <w:r>
        <w:rPr>
          <w:i/>
          <w:sz w:val="24"/>
        </w:rPr>
        <w:t>Diversidad biológica de México: orígenes y distribución. Instituto de Biología, </w:t>
      </w:r>
      <w:r>
        <w:rPr>
          <w:i/>
          <w:sz w:val="24"/>
        </w:rPr>
        <w:t>Universidad Nacional Autónoma de México. </w:t>
      </w:r>
      <w:r>
        <w:rPr>
          <w:sz w:val="24"/>
        </w:rPr>
        <w:t>México, D.F. 739-757 pp.</w:t>
      </w:r>
    </w:p>
    <w:p>
      <w:pPr>
        <w:pStyle w:val="BodyText"/>
        <w:spacing w:line="360" w:lineRule="auto" w:before="3"/>
        <w:ind w:left="544" w:right="125" w:hanging="428"/>
        <w:jc w:val="both"/>
      </w:pPr>
      <w:r>
        <w:rPr/>
        <w:t>Torres-Soria, P. 2001. Flora fanerogámica de la zona arqueológica de Teotihuacán, Estado de México. Polibotánica 12:57-83.</w:t>
      </w:r>
    </w:p>
    <w:p>
      <w:pPr>
        <w:spacing w:line="364" w:lineRule="auto" w:before="2"/>
        <w:ind w:left="544" w:right="123" w:hanging="428"/>
        <w:jc w:val="both"/>
        <w:rPr>
          <w:sz w:val="24"/>
        </w:rPr>
      </w:pPr>
      <w:r>
        <w:rPr>
          <w:sz w:val="24"/>
        </w:rPr>
        <w:t>Turner, B. L. 1996. </w:t>
      </w:r>
      <w:r>
        <w:rPr>
          <w:i/>
          <w:sz w:val="24"/>
        </w:rPr>
        <w:t>The comps of Mexico: A systematic account of the family </w:t>
      </w:r>
      <w:r>
        <w:rPr>
          <w:i/>
          <w:sz w:val="24"/>
        </w:rPr>
        <w:t>Asteraceaea, </w:t>
      </w:r>
      <w:r>
        <w:rPr>
          <w:sz w:val="24"/>
        </w:rPr>
        <w:t>vol. 6. Tageteae and Athemideae. Phytologia Memoirs 10.</w:t>
      </w:r>
    </w:p>
    <w:p>
      <w:pPr>
        <w:pStyle w:val="BodyText"/>
        <w:spacing w:line="360" w:lineRule="auto"/>
        <w:ind w:left="544" w:right="124" w:hanging="428"/>
        <w:jc w:val="both"/>
      </w:pPr>
      <w:r>
        <w:rPr/>
        <w:t>UICN. 2012. Categorías y Criterios de la Lista Roja de la UICN: Versión 3.1 Segunda edición. Gland, Suiza y Cambridge, Reino Unido: UICN. vi + 34pp. Originalmente publicado como IUCN Red List Categories and Criteria: Version 3.1. Second edition. (Gland, Switzerland and Cambridge, UK: IUCN, 2012). Consultado el 18 de julio del 2014. Disponible en: </w:t>
      </w:r>
      <w:hyperlink r:id="rId208">
        <w:r>
          <w:rPr>
            <w:color w:val="0000FF"/>
            <w:u w:val="single" w:color="0000FF"/>
          </w:rPr>
          <w:t>http://www.iucnredlist.org/documents/redlist_cats_crit_sp.pdf</w:t>
        </w:r>
      </w:hyperlink>
    </w:p>
    <w:p>
      <w:pPr>
        <w:spacing w:line="362" w:lineRule="auto" w:before="2"/>
        <w:ind w:left="544" w:right="120" w:hanging="428"/>
        <w:jc w:val="both"/>
        <w:rPr>
          <w:sz w:val="24"/>
        </w:rPr>
      </w:pPr>
      <w:r>
        <w:rPr>
          <w:sz w:val="24"/>
        </w:rPr>
        <w:t>UNAM. Universidad Nacional Autónoma de México. 2014. </w:t>
      </w:r>
      <w:r>
        <w:rPr>
          <w:i/>
          <w:sz w:val="24"/>
        </w:rPr>
        <w:t>Biblioteca digital de la </w:t>
      </w:r>
      <w:r>
        <w:rPr>
          <w:i/>
          <w:sz w:val="24"/>
        </w:rPr>
        <w:t>medicina tradicinal mexicana</w:t>
      </w:r>
      <w:r>
        <w:rPr>
          <w:sz w:val="24"/>
        </w:rPr>
        <w:t>. Consultado el 12 de junio del 2014. Disponible en: </w:t>
      </w:r>
      <w:hyperlink r:id="rId209">
        <w:r>
          <w:rPr>
            <w:color w:val="0000FF"/>
            <w:sz w:val="24"/>
            <w:u w:val="single" w:color="0000FF"/>
          </w:rPr>
          <w:t>http://www.medicinatradicionalmexicana.unam.mx/indice_alfa.php?letra=A&amp;dato=a</w:t>
        </w:r>
      </w:hyperlink>
    </w:p>
    <w:p>
      <w:pPr>
        <w:tabs>
          <w:tab w:pos="3312" w:val="left" w:leader="none"/>
          <w:tab w:pos="5230" w:val="left" w:leader="none"/>
        </w:tabs>
        <w:spacing w:line="360" w:lineRule="auto" w:before="0"/>
        <w:ind w:left="544" w:right="111" w:hanging="428"/>
        <w:jc w:val="both"/>
        <w:rPr>
          <w:sz w:val="24"/>
        </w:rPr>
      </w:pPr>
      <w:r>
        <w:rPr>
          <w:sz w:val="24"/>
        </w:rPr>
        <w:t>UNDP, UNEP, </w:t>
      </w:r>
      <w:r>
        <w:rPr>
          <w:spacing w:val="6"/>
          <w:sz w:val="24"/>
        </w:rPr>
        <w:t>WB </w:t>
      </w:r>
      <w:r>
        <w:rPr>
          <w:sz w:val="24"/>
        </w:rPr>
        <w:t>y </w:t>
      </w:r>
      <w:r>
        <w:rPr>
          <w:spacing w:val="2"/>
          <w:sz w:val="24"/>
        </w:rPr>
        <w:t>WRI</w:t>
      </w:r>
      <w:r>
        <w:rPr>
          <w:i/>
          <w:spacing w:val="2"/>
          <w:sz w:val="24"/>
        </w:rPr>
        <w:t>. </w:t>
      </w:r>
      <w:r>
        <w:rPr>
          <w:sz w:val="24"/>
        </w:rPr>
        <w:t>2000. </w:t>
      </w:r>
      <w:r>
        <w:rPr>
          <w:i/>
          <w:sz w:val="24"/>
        </w:rPr>
        <w:t>A guide to World Resources 2000-2001: People and </w:t>
      </w:r>
      <w:r>
        <w:rPr>
          <w:i/>
          <w:sz w:val="24"/>
        </w:rPr>
        <w:t>Ecosystems: The Fraying Web of life</w:t>
      </w:r>
      <w:r>
        <w:rPr>
          <w:sz w:val="24"/>
        </w:rPr>
        <w:t>. World Resources Institute. Washington, DC. Disponible</w:t>
        <w:tab/>
        <w:t>en</w:t>
        <w:tab/>
      </w:r>
      <w:hyperlink r:id="rId210">
        <w:r>
          <w:rPr>
            <w:color w:val="0000FF"/>
            <w:spacing w:val="-1"/>
            <w:sz w:val="24"/>
            <w:u w:val="single" w:color="0000FF"/>
          </w:rPr>
          <w:t>http://pdf.wri.org/world_resources_2000-</w:t>
        </w:r>
      </w:hyperlink>
      <w:r>
        <w:rPr>
          <w:color w:val="0000FF"/>
          <w:spacing w:val="-1"/>
          <w:sz w:val="24"/>
          <w:u w:val="single" w:color="0000FF"/>
        </w:rPr>
        <w:t> </w:t>
      </w:r>
      <w:hyperlink r:id="rId210">
        <w:r>
          <w:rPr>
            <w:color w:val="0000FF"/>
            <w:sz w:val="24"/>
            <w:u w:val="single" w:color="0000FF"/>
          </w:rPr>
          <w:t>2001_people_and_ecosystems.pdf</w:t>
        </w:r>
      </w:hyperlink>
      <w:r>
        <w:rPr>
          <w:sz w:val="24"/>
        </w:rPr>
        <w:t>, consultado el 1 de abril del</w:t>
      </w:r>
      <w:r>
        <w:rPr>
          <w:spacing w:val="-28"/>
          <w:sz w:val="24"/>
        </w:rPr>
        <w:t> </w:t>
      </w:r>
      <w:r>
        <w:rPr>
          <w:sz w:val="24"/>
        </w:rPr>
        <w:t>2013.</w:t>
      </w:r>
    </w:p>
    <w:p>
      <w:pPr>
        <w:spacing w:line="360" w:lineRule="auto" w:before="2"/>
        <w:ind w:left="544" w:right="117" w:hanging="428"/>
        <w:jc w:val="both"/>
        <w:rPr>
          <w:sz w:val="24"/>
        </w:rPr>
      </w:pPr>
      <w:r>
        <w:rPr>
          <w:sz w:val="24"/>
        </w:rPr>
        <w:t>Valdez, P. D. 2003. </w:t>
      </w:r>
      <w:r>
        <w:rPr>
          <w:i/>
          <w:sz w:val="24"/>
        </w:rPr>
        <w:t>Estudio florístico del parque en Temascaltepec, Estado de México</w:t>
      </w:r>
      <w:r>
        <w:rPr>
          <w:sz w:val="24"/>
        </w:rPr>
        <w:t>. Tesis de Licenciatura. Facultad de Ciencias. Universidad Autónoma del Estado de México. México.</w:t>
      </w:r>
    </w:p>
    <w:p>
      <w:pPr>
        <w:pStyle w:val="BodyText"/>
        <w:spacing w:line="360" w:lineRule="auto" w:before="2"/>
        <w:ind w:left="544" w:right="110" w:hanging="428"/>
        <w:jc w:val="both"/>
      </w:pPr>
      <w:r>
        <w:rPr/>
        <w:t>Vega-Aviña, R., G. A., Bojórquez y Hernández – Álvarez. 1989. </w:t>
      </w:r>
      <w:r>
        <w:rPr>
          <w:i/>
        </w:rPr>
        <w:t>Flora de Sinaloa</w:t>
      </w:r>
      <w:r>
        <w:rPr/>
        <w:t>. Secretaría de Educación Pública y Universidad Autónoma de Sinaloa. Culiacán, Sinaloa, México. 49 pp.</w:t>
      </w:r>
    </w:p>
    <w:p>
      <w:pPr>
        <w:spacing w:line="360" w:lineRule="auto" w:before="3"/>
        <w:ind w:left="544" w:right="119" w:hanging="428"/>
        <w:jc w:val="both"/>
        <w:rPr>
          <w:sz w:val="24"/>
        </w:rPr>
      </w:pPr>
      <w:r>
        <w:rPr>
          <w:sz w:val="24"/>
        </w:rPr>
        <w:t>Villarreal, Q. J. A. 1993. </w:t>
      </w:r>
      <w:r>
        <w:rPr>
          <w:i/>
          <w:sz w:val="24"/>
        </w:rPr>
        <w:t>Introducción a la botánica forestal</w:t>
      </w:r>
      <w:r>
        <w:rPr>
          <w:sz w:val="24"/>
        </w:rPr>
        <w:t>. Segunda edición. Editorial Trillas. Universidad Autónoma Agraria Antonio Narro. México, D.F. 151 p.</w:t>
      </w:r>
    </w:p>
    <w:p>
      <w:pPr>
        <w:spacing w:after="0" w:line="360" w:lineRule="auto"/>
        <w:jc w:val="both"/>
        <w:rPr>
          <w:sz w:val="24"/>
        </w:rPr>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121" w:hanging="428"/>
        <w:jc w:val="both"/>
      </w:pPr>
      <w:r>
        <w:rPr/>
        <w:t>Villarreal, Q. J. A. 2003. </w:t>
      </w:r>
      <w:r>
        <w:rPr>
          <w:i/>
        </w:rPr>
        <w:t>Familia Compositae. Tribu Tageteae. </w:t>
      </w:r>
      <w:r>
        <w:rPr/>
        <w:t>Flora del Bajío y de Regiones adyacentes. Fascículo 113. Instituto de Ecología A. C. Pátzcuaro, Michoacán. México 85 p.</w:t>
      </w:r>
    </w:p>
    <w:p>
      <w:pPr>
        <w:spacing w:line="360" w:lineRule="auto" w:before="0"/>
        <w:ind w:left="544" w:right="113" w:hanging="428"/>
        <w:jc w:val="both"/>
        <w:rPr>
          <w:sz w:val="24"/>
        </w:rPr>
      </w:pPr>
      <w:r>
        <w:rPr>
          <w:sz w:val="24"/>
        </w:rPr>
        <w:t>Villarreal-Quintanilla, J. A. 2001. </w:t>
      </w:r>
      <w:r>
        <w:rPr>
          <w:i/>
          <w:sz w:val="24"/>
        </w:rPr>
        <w:t>Flora de Coahuila. Listado florístico de México XXIII</w:t>
      </w:r>
      <w:r>
        <w:rPr>
          <w:sz w:val="24"/>
        </w:rPr>
        <w:t>. Instituto de Biología. Universidad Nacional Autónoma de México. México, D.F. 138 pp.</w:t>
      </w:r>
    </w:p>
    <w:p>
      <w:pPr>
        <w:spacing w:before="3"/>
        <w:ind w:left="116" w:right="78" w:firstLine="0"/>
        <w:jc w:val="left"/>
        <w:rPr>
          <w:sz w:val="24"/>
        </w:rPr>
      </w:pPr>
      <w:r>
        <w:rPr>
          <w:sz w:val="24"/>
        </w:rPr>
        <w:t>Villaseñor,  J.  L.  2003.  </w:t>
      </w:r>
      <w:r>
        <w:rPr>
          <w:i/>
          <w:sz w:val="24"/>
        </w:rPr>
        <w:t>Diversidad  y  distribución  de  las  Magnoliophyta  de   México</w:t>
      </w:r>
      <w:r>
        <w:rPr>
          <w:sz w:val="24"/>
        </w:rPr>
        <w:t>.</w:t>
      </w:r>
    </w:p>
    <w:p>
      <w:pPr>
        <w:pStyle w:val="BodyText"/>
        <w:spacing w:before="137"/>
        <w:ind w:left="544" w:right="78"/>
      </w:pPr>
      <w:r>
        <w:rPr/>
        <w:t>Interciencia 28: 160-167.</w:t>
      </w:r>
    </w:p>
    <w:p>
      <w:pPr>
        <w:pStyle w:val="BodyText"/>
        <w:spacing w:line="362" w:lineRule="auto" w:before="137"/>
        <w:ind w:left="544" w:right="115" w:hanging="428"/>
        <w:jc w:val="both"/>
      </w:pPr>
      <w:r>
        <w:rPr/>
        <w:t>Villaseñor-Ríos, J. L. y F. J. Espinosa-García, 1998. Catálogo de malezas de México. Universidad Nacional Autónoma de México. Consejo Nacional Consultivo Fitosanitario y Fondo de Cultura Económica. México, D.F. 280pp.</w:t>
      </w:r>
    </w:p>
    <w:p>
      <w:pPr>
        <w:pStyle w:val="BodyText"/>
        <w:spacing w:line="362" w:lineRule="auto"/>
        <w:ind w:left="544" w:right="112" w:hanging="428"/>
        <w:jc w:val="both"/>
      </w:pPr>
      <w:r>
        <w:rPr/>
        <w:t>Villavicencio, M. A., B. E. Pérez-Escandón y A. Ramírez Aguirre. 1998. </w:t>
      </w:r>
      <w:r>
        <w:rPr>
          <w:i/>
        </w:rPr>
        <w:t>Lista florística </w:t>
      </w:r>
      <w:r>
        <w:rPr>
          <w:i/>
        </w:rPr>
        <w:t>del estado de Hidalgo</w:t>
      </w:r>
      <w:r>
        <w:rPr/>
        <w:t>. Recopilación bibliográfica. Universidad Autónoma del Estado de Hidalgo. Centro de Investigaciones Biológicas. Pachuca, México.</w:t>
      </w:r>
      <w:r>
        <w:rPr>
          <w:spacing w:val="-32"/>
        </w:rPr>
        <w:t> </w:t>
      </w:r>
      <w:r>
        <w:rPr/>
        <w:t>147pp.</w:t>
      </w:r>
    </w:p>
    <w:p>
      <w:pPr>
        <w:pStyle w:val="BodyText"/>
        <w:spacing w:line="360" w:lineRule="auto"/>
        <w:ind w:left="544" w:right="111" w:hanging="428"/>
      </w:pPr>
      <w:r>
        <w:rPr/>
        <w:t>Vovides, A. P.; E. Linares, y R. Bye, 2010. </w:t>
      </w:r>
      <w:r>
        <w:rPr>
          <w:i/>
        </w:rPr>
        <w:t>Jardines botánicos de México: historia y </w:t>
      </w:r>
      <w:r>
        <w:rPr>
          <w:i/>
        </w:rPr>
        <w:t>perspectivas</w:t>
      </w:r>
      <w:r>
        <w:rPr/>
        <w:t>. Secretaría de educación de Veracruz. México, D.F. 232 pp. Disponible en: </w:t>
      </w:r>
      <w:hyperlink r:id="rId186">
        <w:r>
          <w:rPr>
            <w:color w:val="0000FF"/>
            <w:u w:val="single" w:color="0000FF"/>
          </w:rPr>
          <w:t>http://www.sev.gob.mx/servicios/publicaciones/serie_hcyt/jardines_botanicos.pdf</w:t>
        </w:r>
      </w:hyperlink>
      <w:r>
        <w:rPr/>
        <w:t>, consultado el día 4 de abril del</w:t>
      </w:r>
      <w:r>
        <w:rPr>
          <w:spacing w:val="-14"/>
        </w:rPr>
        <w:t> </w:t>
      </w:r>
      <w:r>
        <w:rPr/>
        <w:t>2013.</w:t>
      </w:r>
    </w:p>
    <w:p>
      <w:pPr>
        <w:spacing w:line="362" w:lineRule="auto" w:before="2"/>
        <w:ind w:left="544" w:right="119" w:hanging="428"/>
        <w:jc w:val="both"/>
        <w:rPr>
          <w:sz w:val="24"/>
        </w:rPr>
      </w:pPr>
      <w:r>
        <w:rPr>
          <w:sz w:val="24"/>
        </w:rPr>
        <w:t>Waizel J. (2006). </w:t>
      </w:r>
      <w:r>
        <w:rPr>
          <w:i/>
          <w:sz w:val="24"/>
        </w:rPr>
        <w:t>Las plantas Medicinales y las Ciencias. Una visión multidisciplinaria</w:t>
      </w:r>
      <w:r>
        <w:rPr>
          <w:sz w:val="24"/>
        </w:rPr>
        <w:t>. Primera edición. Publicaciones Tresguerras 27. Instituto Politécnico Nacional, México, D. F. Cap. 5, 9-13, 16-18. Pp. 587.</w:t>
      </w:r>
    </w:p>
    <w:p>
      <w:pPr>
        <w:spacing w:before="0"/>
        <w:ind w:left="116" w:right="78" w:firstLine="0"/>
        <w:jc w:val="left"/>
        <w:rPr>
          <w:i/>
          <w:sz w:val="24"/>
        </w:rPr>
      </w:pPr>
      <w:r>
        <w:rPr>
          <w:sz w:val="24"/>
        </w:rPr>
        <w:t>Waylen, K. (2006). </w:t>
      </w:r>
      <w:r>
        <w:rPr>
          <w:i/>
          <w:sz w:val="24"/>
        </w:rPr>
        <w:t>Botanic gardens: using biodiversity to improve human well-being.</w:t>
      </w:r>
    </w:p>
    <w:p>
      <w:pPr>
        <w:pStyle w:val="BodyText"/>
        <w:spacing w:before="137"/>
        <w:ind w:left="544" w:right="78"/>
      </w:pPr>
      <w:r>
        <w:rPr/>
        <w:t>Reino Unido: Botanic Gardens International, Richmond.</w:t>
      </w:r>
    </w:p>
    <w:p>
      <w:pPr>
        <w:spacing w:line="360" w:lineRule="auto" w:before="137"/>
        <w:ind w:left="544" w:right="116" w:hanging="428"/>
        <w:jc w:val="both"/>
        <w:rPr>
          <w:sz w:val="24"/>
        </w:rPr>
      </w:pPr>
      <w:r>
        <w:rPr>
          <w:sz w:val="24"/>
        </w:rPr>
        <w:t>Wiggins, I. L. 1980. </w:t>
      </w:r>
      <w:r>
        <w:rPr>
          <w:i/>
          <w:sz w:val="24"/>
        </w:rPr>
        <w:t>Flora of Baja California</w:t>
      </w:r>
      <w:r>
        <w:rPr>
          <w:sz w:val="24"/>
        </w:rPr>
        <w:t>. Standford University Press. Stanford, California. 1025 pp.</w:t>
      </w:r>
    </w:p>
    <w:p>
      <w:pPr>
        <w:tabs>
          <w:tab w:pos="9185" w:val="left" w:leader="none"/>
        </w:tabs>
        <w:spacing w:line="360" w:lineRule="auto" w:before="7"/>
        <w:ind w:left="544" w:right="117" w:hanging="428"/>
        <w:jc w:val="both"/>
        <w:rPr>
          <w:sz w:val="24"/>
        </w:rPr>
      </w:pPr>
      <w:r>
        <w:rPr>
          <w:sz w:val="24"/>
        </w:rPr>
        <w:t>Jackson, P. S. y L. A. Sutherland. 2000. </w:t>
      </w:r>
      <w:r>
        <w:rPr>
          <w:i/>
          <w:sz w:val="24"/>
        </w:rPr>
        <w:t>Agenda Internacional para la Conservación en </w:t>
      </w:r>
      <w:r>
        <w:rPr>
          <w:i/>
          <w:sz w:val="24"/>
        </w:rPr>
        <w:t>Jardines Botánicos. </w:t>
      </w:r>
      <w:r>
        <w:rPr>
          <w:sz w:val="24"/>
        </w:rPr>
        <w:t>Organización Internacional para la Conservación en Jardines Botánicos (BGCI), United Kingdom. Consultado el 17 de febrero del 2014. Disponible</w:t>
        <w:tab/>
        <w:t>en:</w:t>
      </w:r>
    </w:p>
    <w:p>
      <w:pPr>
        <w:pStyle w:val="BodyText"/>
        <w:spacing w:before="7"/>
        <w:ind w:left="544" w:right="78"/>
      </w:pPr>
      <w:hyperlink r:id="rId211">
        <w:r>
          <w:rPr>
            <w:color w:val="0000FF"/>
            <w:u w:val="single" w:color="0000FF"/>
          </w:rPr>
          <w:t>http://www.ciceana.org.mx/recursos/agenda_internacional_conservacion_jb.pdf</w:t>
        </w:r>
      </w:hyperlink>
    </w:p>
    <w:p>
      <w:pPr>
        <w:spacing w:after="0"/>
        <w:sectPr>
          <w:pgSz w:w="12240" w:h="15840"/>
          <w:pgMar w:header="685" w:footer="1146" w:top="880" w:bottom="1340" w:left="1300" w:right="1300"/>
        </w:sectPr>
      </w:pPr>
    </w:p>
    <w:p>
      <w:pPr>
        <w:pStyle w:val="BodyText"/>
        <w:rPr>
          <w:sz w:val="20"/>
        </w:rPr>
      </w:pPr>
    </w:p>
    <w:p>
      <w:pPr>
        <w:pStyle w:val="BodyText"/>
        <w:spacing w:before="4"/>
        <w:rPr>
          <w:sz w:val="19"/>
        </w:rPr>
      </w:pPr>
    </w:p>
    <w:p>
      <w:pPr>
        <w:pStyle w:val="BodyText"/>
        <w:spacing w:line="362" w:lineRule="auto" w:before="70"/>
        <w:ind w:left="544" w:right="99" w:hanging="428"/>
        <w:jc w:val="both"/>
      </w:pPr>
      <w:r>
        <w:rPr/>
        <w:t>Zepeda-Gómez, R. C. y E. Velázquez-Montes, 1999. El bosque tropical caducifolio de la vertiente sur de la Sierra de Nanchititla, Estado de México: la composición y la afinidad geográfica de su flora. Acta Bot. Méx., 46: 29-52.</w:t>
      </w:r>
    </w:p>
    <w:p>
      <w:pPr>
        <w:spacing w:after="0" w:line="362" w:lineRule="auto"/>
        <w:jc w:val="both"/>
        <w:sectPr>
          <w:pgSz w:w="12240" w:h="15840"/>
          <w:pgMar w:header="685" w:footer="1146" w:top="880" w:bottom="1340" w:left="130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Heading1"/>
        <w:spacing w:before="61"/>
        <w:ind w:left="397"/>
      </w:pPr>
      <w:r>
        <w:rPr/>
        <w:t>ANEXO 1</w:t>
      </w:r>
    </w:p>
    <w:p>
      <w:pPr>
        <w:spacing w:before="256"/>
        <w:ind w:left="394" w:right="794" w:firstLine="0"/>
        <w:jc w:val="center"/>
        <w:rPr>
          <w:b/>
          <w:sz w:val="32"/>
        </w:rPr>
      </w:pPr>
      <w:r>
        <w:rPr>
          <w:b/>
          <w:sz w:val="32"/>
        </w:rPr>
        <w:t>Ficha de colecta de plantas</w:t>
      </w:r>
    </w:p>
    <w:p>
      <w:pPr>
        <w:spacing w:after="0"/>
        <w:jc w:val="center"/>
        <w:rPr>
          <w:sz w:val="32"/>
        </w:rPr>
        <w:sectPr>
          <w:pgSz w:w="12240" w:h="15840"/>
          <w:pgMar w:header="685" w:footer="1146" w:top="880" w:bottom="1340" w:left="172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9"/>
        <w:gridCol w:w="408"/>
        <w:gridCol w:w="144"/>
        <w:gridCol w:w="567"/>
        <w:gridCol w:w="283"/>
        <w:gridCol w:w="1700"/>
        <w:gridCol w:w="144"/>
        <w:gridCol w:w="115"/>
        <w:gridCol w:w="221"/>
        <w:gridCol w:w="130"/>
        <w:gridCol w:w="668"/>
        <w:gridCol w:w="427"/>
        <w:gridCol w:w="566"/>
        <w:gridCol w:w="409"/>
        <w:gridCol w:w="2160"/>
      </w:tblGrid>
      <w:tr>
        <w:trPr>
          <w:trHeight w:val="355" w:hRule="exact"/>
        </w:trPr>
        <w:tc>
          <w:tcPr>
            <w:tcW w:w="9061" w:type="dxa"/>
            <w:gridSpan w:val="15"/>
          </w:tcPr>
          <w:p>
            <w:pPr>
              <w:pStyle w:val="TableParagraph"/>
              <w:spacing w:line="220" w:lineRule="exact"/>
              <w:ind w:left="2780"/>
              <w:rPr>
                <w:b/>
                <w:i/>
                <w:sz w:val="20"/>
              </w:rPr>
            </w:pPr>
            <w:r>
              <w:rPr>
                <w:b/>
                <w:i/>
                <w:sz w:val="20"/>
              </w:rPr>
              <w:t>Anexo 1. Ficha de colecta de plantas</w:t>
            </w:r>
          </w:p>
        </w:tc>
      </w:tr>
      <w:tr>
        <w:trPr>
          <w:trHeight w:val="303" w:hRule="exact"/>
        </w:trPr>
        <w:tc>
          <w:tcPr>
            <w:tcW w:w="9061" w:type="dxa"/>
            <w:gridSpan w:val="15"/>
          </w:tcPr>
          <w:p>
            <w:pPr>
              <w:pStyle w:val="TableParagraph"/>
              <w:spacing w:line="220" w:lineRule="exact"/>
              <w:ind w:left="105"/>
              <w:rPr>
                <w:b/>
                <w:sz w:val="20"/>
              </w:rPr>
            </w:pPr>
            <w:r>
              <w:rPr>
                <w:b/>
                <w:sz w:val="20"/>
              </w:rPr>
              <w:t>DATOS DEL SITIO</w:t>
            </w:r>
          </w:p>
        </w:tc>
      </w:tr>
      <w:tr>
        <w:trPr>
          <w:trHeight w:val="298" w:hRule="exact"/>
        </w:trPr>
        <w:tc>
          <w:tcPr>
            <w:tcW w:w="9061" w:type="dxa"/>
            <w:gridSpan w:val="15"/>
          </w:tcPr>
          <w:p>
            <w:pPr>
              <w:pStyle w:val="TableParagraph"/>
              <w:spacing w:line="220" w:lineRule="exact"/>
              <w:ind w:left="105"/>
              <w:rPr>
                <w:b/>
                <w:sz w:val="20"/>
              </w:rPr>
            </w:pPr>
            <w:r>
              <w:rPr>
                <w:b/>
                <w:sz w:val="20"/>
              </w:rPr>
              <w:t>PARQUE UNIVERSITARIO “LAS ORQUÍDEAS”</w:t>
            </w:r>
          </w:p>
        </w:tc>
      </w:tr>
      <w:tr>
        <w:trPr>
          <w:trHeight w:val="302" w:hRule="exact"/>
        </w:trPr>
        <w:tc>
          <w:tcPr>
            <w:tcW w:w="1119" w:type="dxa"/>
          </w:tcPr>
          <w:p>
            <w:pPr>
              <w:pStyle w:val="TableParagraph"/>
              <w:spacing w:line="225" w:lineRule="exact"/>
              <w:ind w:left="126" w:right="92"/>
              <w:jc w:val="center"/>
              <w:rPr>
                <w:sz w:val="20"/>
              </w:rPr>
            </w:pPr>
            <w:r>
              <w:rPr>
                <w:sz w:val="20"/>
              </w:rPr>
              <w:t>Fecha</w:t>
            </w:r>
          </w:p>
        </w:tc>
        <w:tc>
          <w:tcPr>
            <w:tcW w:w="3246" w:type="dxa"/>
            <w:gridSpan w:val="6"/>
          </w:tcPr>
          <w:p>
            <w:pPr/>
          </w:p>
        </w:tc>
        <w:tc>
          <w:tcPr>
            <w:tcW w:w="2535" w:type="dxa"/>
            <w:gridSpan w:val="7"/>
          </w:tcPr>
          <w:p>
            <w:pPr>
              <w:pStyle w:val="TableParagraph"/>
              <w:spacing w:line="225" w:lineRule="exact"/>
              <w:ind w:left="359"/>
              <w:rPr>
                <w:sz w:val="20"/>
              </w:rPr>
            </w:pPr>
            <w:r>
              <w:rPr>
                <w:sz w:val="20"/>
              </w:rPr>
              <w:t>Número consecutivo</w:t>
            </w:r>
          </w:p>
        </w:tc>
        <w:tc>
          <w:tcPr>
            <w:tcW w:w="2160" w:type="dxa"/>
          </w:tcPr>
          <w:p>
            <w:pPr/>
          </w:p>
        </w:tc>
      </w:tr>
      <w:tr>
        <w:trPr>
          <w:trHeight w:val="298" w:hRule="exact"/>
        </w:trPr>
        <w:tc>
          <w:tcPr>
            <w:tcW w:w="1119" w:type="dxa"/>
          </w:tcPr>
          <w:p>
            <w:pPr>
              <w:pStyle w:val="TableParagraph"/>
              <w:spacing w:line="225" w:lineRule="exact"/>
              <w:ind w:left="131" w:right="92"/>
              <w:jc w:val="center"/>
              <w:rPr>
                <w:sz w:val="20"/>
              </w:rPr>
            </w:pPr>
            <w:r>
              <w:rPr>
                <w:sz w:val="20"/>
              </w:rPr>
              <w:t>Municipio</w:t>
            </w:r>
          </w:p>
        </w:tc>
        <w:tc>
          <w:tcPr>
            <w:tcW w:w="3102" w:type="dxa"/>
            <w:gridSpan w:val="5"/>
          </w:tcPr>
          <w:p>
            <w:pPr>
              <w:pStyle w:val="TableParagraph"/>
              <w:spacing w:line="225" w:lineRule="exact"/>
              <w:ind w:left="883"/>
              <w:rPr>
                <w:sz w:val="20"/>
              </w:rPr>
            </w:pPr>
            <w:r>
              <w:rPr>
                <w:sz w:val="20"/>
              </w:rPr>
              <w:t>Temascaltepec</w:t>
            </w:r>
          </w:p>
        </w:tc>
        <w:tc>
          <w:tcPr>
            <w:tcW w:w="1278" w:type="dxa"/>
            <w:gridSpan w:val="5"/>
          </w:tcPr>
          <w:p>
            <w:pPr>
              <w:pStyle w:val="TableParagraph"/>
              <w:spacing w:line="225" w:lineRule="exact"/>
              <w:ind w:left="321"/>
              <w:rPr>
                <w:sz w:val="20"/>
              </w:rPr>
            </w:pPr>
            <w:r>
              <w:rPr>
                <w:sz w:val="20"/>
              </w:rPr>
              <w:t>Estado</w:t>
            </w:r>
          </w:p>
        </w:tc>
        <w:tc>
          <w:tcPr>
            <w:tcW w:w="3563" w:type="dxa"/>
            <w:gridSpan w:val="4"/>
          </w:tcPr>
          <w:p>
            <w:pPr>
              <w:pStyle w:val="TableParagraph"/>
              <w:spacing w:line="225" w:lineRule="exact"/>
              <w:ind w:left="1442" w:right="1436"/>
              <w:jc w:val="center"/>
              <w:rPr>
                <w:sz w:val="20"/>
              </w:rPr>
            </w:pPr>
            <w:r>
              <w:rPr>
                <w:sz w:val="20"/>
              </w:rPr>
              <w:t>México</w:t>
            </w:r>
          </w:p>
        </w:tc>
      </w:tr>
      <w:tr>
        <w:trPr>
          <w:trHeight w:val="591" w:hRule="exact"/>
        </w:trPr>
        <w:tc>
          <w:tcPr>
            <w:tcW w:w="1527" w:type="dxa"/>
            <w:gridSpan w:val="2"/>
          </w:tcPr>
          <w:p>
            <w:pPr>
              <w:pStyle w:val="TableParagraph"/>
              <w:spacing w:line="304" w:lineRule="auto"/>
              <w:ind w:left="316" w:right="153" w:hanging="140"/>
              <w:rPr>
                <w:sz w:val="20"/>
              </w:rPr>
            </w:pPr>
            <w:r>
              <w:rPr>
                <w:sz w:val="20"/>
              </w:rPr>
              <w:t>Zona Manejo Ambiental</w:t>
            </w:r>
          </w:p>
        </w:tc>
        <w:tc>
          <w:tcPr>
            <w:tcW w:w="2694" w:type="dxa"/>
            <w:gridSpan w:val="4"/>
          </w:tcPr>
          <w:p>
            <w:pPr/>
          </w:p>
        </w:tc>
        <w:tc>
          <w:tcPr>
            <w:tcW w:w="1278" w:type="dxa"/>
            <w:gridSpan w:val="5"/>
          </w:tcPr>
          <w:p>
            <w:pPr>
              <w:pStyle w:val="TableParagraph"/>
              <w:spacing w:before="143"/>
              <w:ind w:left="355"/>
              <w:rPr>
                <w:sz w:val="20"/>
              </w:rPr>
            </w:pPr>
            <w:r>
              <w:rPr>
                <w:sz w:val="20"/>
              </w:rPr>
              <w:t>Altitud</w:t>
            </w:r>
          </w:p>
        </w:tc>
        <w:tc>
          <w:tcPr>
            <w:tcW w:w="3563" w:type="dxa"/>
            <w:gridSpan w:val="4"/>
          </w:tcPr>
          <w:p>
            <w:pPr/>
          </w:p>
        </w:tc>
      </w:tr>
      <w:tr>
        <w:trPr>
          <w:trHeight w:val="302" w:hRule="exact"/>
        </w:trPr>
        <w:tc>
          <w:tcPr>
            <w:tcW w:w="1671" w:type="dxa"/>
            <w:gridSpan w:val="3"/>
          </w:tcPr>
          <w:p>
            <w:pPr>
              <w:pStyle w:val="TableParagraph"/>
              <w:spacing w:line="225" w:lineRule="exact"/>
              <w:ind w:left="230"/>
              <w:rPr>
                <w:sz w:val="20"/>
              </w:rPr>
            </w:pPr>
            <w:r>
              <w:rPr>
                <w:sz w:val="20"/>
              </w:rPr>
              <w:t>Coordenadas</w:t>
            </w:r>
          </w:p>
        </w:tc>
        <w:tc>
          <w:tcPr>
            <w:tcW w:w="3827" w:type="dxa"/>
            <w:gridSpan w:val="8"/>
          </w:tcPr>
          <w:p>
            <w:pPr/>
          </w:p>
        </w:tc>
        <w:tc>
          <w:tcPr>
            <w:tcW w:w="3563" w:type="dxa"/>
            <w:gridSpan w:val="4"/>
          </w:tcPr>
          <w:p>
            <w:pPr/>
          </w:p>
        </w:tc>
      </w:tr>
      <w:tr>
        <w:trPr>
          <w:trHeight w:val="298" w:hRule="exact"/>
        </w:trPr>
        <w:tc>
          <w:tcPr>
            <w:tcW w:w="9061" w:type="dxa"/>
            <w:gridSpan w:val="15"/>
          </w:tcPr>
          <w:p>
            <w:pPr>
              <w:pStyle w:val="TableParagraph"/>
              <w:spacing w:line="220" w:lineRule="exact"/>
              <w:ind w:left="105"/>
              <w:rPr>
                <w:b/>
                <w:sz w:val="20"/>
              </w:rPr>
            </w:pPr>
            <w:r>
              <w:rPr>
                <w:b/>
                <w:sz w:val="20"/>
              </w:rPr>
              <w:t>INFORMACIÓN DE LA ESPECIE</w:t>
            </w:r>
          </w:p>
        </w:tc>
      </w:tr>
      <w:tr>
        <w:trPr>
          <w:trHeight w:val="302" w:hRule="exact"/>
        </w:trPr>
        <w:tc>
          <w:tcPr>
            <w:tcW w:w="2521" w:type="dxa"/>
            <w:gridSpan w:val="5"/>
          </w:tcPr>
          <w:p>
            <w:pPr>
              <w:pStyle w:val="TableParagraph"/>
              <w:spacing w:line="225" w:lineRule="exact"/>
              <w:ind w:left="105" w:right="102"/>
              <w:rPr>
                <w:sz w:val="20"/>
              </w:rPr>
            </w:pPr>
            <w:r>
              <w:rPr>
                <w:sz w:val="20"/>
              </w:rPr>
              <w:t>Nombre (s) común (es)</w:t>
            </w:r>
          </w:p>
        </w:tc>
        <w:tc>
          <w:tcPr>
            <w:tcW w:w="6540" w:type="dxa"/>
            <w:gridSpan w:val="10"/>
          </w:tcPr>
          <w:p>
            <w:pPr/>
          </w:p>
        </w:tc>
      </w:tr>
      <w:tr>
        <w:trPr>
          <w:trHeight w:val="298" w:hRule="exact"/>
        </w:trPr>
        <w:tc>
          <w:tcPr>
            <w:tcW w:w="2521" w:type="dxa"/>
            <w:gridSpan w:val="5"/>
          </w:tcPr>
          <w:p>
            <w:pPr>
              <w:pStyle w:val="TableParagraph"/>
              <w:spacing w:line="225" w:lineRule="exact"/>
              <w:ind w:left="105" w:right="102"/>
              <w:rPr>
                <w:sz w:val="20"/>
              </w:rPr>
            </w:pPr>
            <w:r>
              <w:rPr>
                <w:sz w:val="20"/>
              </w:rPr>
              <w:t>Nombre científico</w:t>
            </w:r>
          </w:p>
        </w:tc>
        <w:tc>
          <w:tcPr>
            <w:tcW w:w="6540" w:type="dxa"/>
            <w:gridSpan w:val="10"/>
          </w:tcPr>
          <w:p>
            <w:pPr/>
          </w:p>
        </w:tc>
      </w:tr>
      <w:tr>
        <w:trPr>
          <w:trHeight w:val="303" w:hRule="exact"/>
        </w:trPr>
        <w:tc>
          <w:tcPr>
            <w:tcW w:w="2521" w:type="dxa"/>
            <w:gridSpan w:val="5"/>
          </w:tcPr>
          <w:p>
            <w:pPr>
              <w:pStyle w:val="TableParagraph"/>
              <w:spacing w:line="225" w:lineRule="exact"/>
              <w:ind w:left="105" w:right="102"/>
              <w:rPr>
                <w:sz w:val="20"/>
              </w:rPr>
            </w:pPr>
            <w:r>
              <w:rPr>
                <w:sz w:val="20"/>
              </w:rPr>
              <w:t>Nombre del colector</w:t>
            </w:r>
          </w:p>
        </w:tc>
        <w:tc>
          <w:tcPr>
            <w:tcW w:w="6540" w:type="dxa"/>
            <w:gridSpan w:val="10"/>
          </w:tcPr>
          <w:p>
            <w:pPr/>
          </w:p>
        </w:tc>
      </w:tr>
      <w:tr>
        <w:trPr>
          <w:trHeight w:val="298" w:hRule="exact"/>
        </w:trPr>
        <w:tc>
          <w:tcPr>
            <w:tcW w:w="2521" w:type="dxa"/>
            <w:gridSpan w:val="5"/>
          </w:tcPr>
          <w:p>
            <w:pPr>
              <w:pStyle w:val="TableParagraph"/>
              <w:spacing w:line="225" w:lineRule="exact"/>
              <w:ind w:left="105" w:right="102"/>
              <w:rPr>
                <w:sz w:val="20"/>
              </w:rPr>
            </w:pPr>
            <w:r>
              <w:rPr>
                <w:sz w:val="20"/>
              </w:rPr>
              <w:t>Forma biológica</w:t>
            </w:r>
          </w:p>
        </w:tc>
        <w:tc>
          <w:tcPr>
            <w:tcW w:w="1959" w:type="dxa"/>
            <w:gridSpan w:val="3"/>
          </w:tcPr>
          <w:p>
            <w:pPr>
              <w:pStyle w:val="TableParagraph"/>
              <w:spacing w:line="225" w:lineRule="exact"/>
              <w:ind w:left="641" w:right="635"/>
              <w:jc w:val="center"/>
              <w:rPr>
                <w:sz w:val="20"/>
              </w:rPr>
            </w:pPr>
            <w:r>
              <w:rPr>
                <w:sz w:val="20"/>
              </w:rPr>
              <w:t>Árbol</w:t>
            </w:r>
          </w:p>
        </w:tc>
        <w:tc>
          <w:tcPr>
            <w:tcW w:w="2012" w:type="dxa"/>
            <w:gridSpan w:val="5"/>
          </w:tcPr>
          <w:p>
            <w:pPr>
              <w:pStyle w:val="TableParagraph"/>
              <w:spacing w:line="225" w:lineRule="exact"/>
              <w:ind w:left="657"/>
              <w:rPr>
                <w:sz w:val="20"/>
              </w:rPr>
            </w:pPr>
            <w:r>
              <w:rPr>
                <w:sz w:val="20"/>
              </w:rPr>
              <w:t>Arbusto</w:t>
            </w:r>
          </w:p>
        </w:tc>
        <w:tc>
          <w:tcPr>
            <w:tcW w:w="2569" w:type="dxa"/>
            <w:gridSpan w:val="2"/>
          </w:tcPr>
          <w:p>
            <w:pPr>
              <w:pStyle w:val="TableParagraph"/>
              <w:spacing w:line="225" w:lineRule="exact"/>
              <w:ind w:left="845"/>
              <w:rPr>
                <w:sz w:val="20"/>
              </w:rPr>
            </w:pPr>
            <w:r>
              <w:rPr>
                <w:sz w:val="20"/>
              </w:rPr>
              <w:t>Herbácea</w:t>
            </w:r>
          </w:p>
        </w:tc>
      </w:tr>
      <w:tr>
        <w:trPr>
          <w:trHeight w:val="302" w:hRule="exact"/>
        </w:trPr>
        <w:tc>
          <w:tcPr>
            <w:tcW w:w="2521" w:type="dxa"/>
            <w:gridSpan w:val="5"/>
          </w:tcPr>
          <w:p>
            <w:pPr>
              <w:pStyle w:val="TableParagraph"/>
              <w:spacing w:line="225" w:lineRule="exact"/>
              <w:ind w:left="105" w:right="102"/>
              <w:rPr>
                <w:sz w:val="20"/>
              </w:rPr>
            </w:pPr>
            <w:r>
              <w:rPr>
                <w:sz w:val="20"/>
              </w:rPr>
              <w:t>Hábitat de la planta</w:t>
            </w:r>
          </w:p>
        </w:tc>
        <w:tc>
          <w:tcPr>
            <w:tcW w:w="6540" w:type="dxa"/>
            <w:gridSpan w:val="10"/>
          </w:tcPr>
          <w:p>
            <w:pPr/>
          </w:p>
        </w:tc>
      </w:tr>
      <w:tr>
        <w:trPr>
          <w:trHeight w:val="298" w:hRule="exact"/>
        </w:trPr>
        <w:tc>
          <w:tcPr>
            <w:tcW w:w="2521" w:type="dxa"/>
            <w:gridSpan w:val="5"/>
          </w:tcPr>
          <w:p>
            <w:pPr>
              <w:pStyle w:val="TableParagraph"/>
              <w:spacing w:line="225" w:lineRule="exact"/>
              <w:ind w:left="105" w:right="102"/>
              <w:rPr>
                <w:sz w:val="20"/>
              </w:rPr>
            </w:pPr>
            <w:r>
              <w:rPr>
                <w:sz w:val="20"/>
              </w:rPr>
              <w:t>Presencia de exudado</w:t>
            </w:r>
          </w:p>
        </w:tc>
        <w:tc>
          <w:tcPr>
            <w:tcW w:w="2180" w:type="dxa"/>
            <w:gridSpan w:val="4"/>
          </w:tcPr>
          <w:p>
            <w:pPr>
              <w:pStyle w:val="TableParagraph"/>
              <w:spacing w:line="225" w:lineRule="exact"/>
              <w:ind w:left="974" w:right="966"/>
              <w:jc w:val="center"/>
              <w:rPr>
                <w:sz w:val="20"/>
              </w:rPr>
            </w:pPr>
            <w:r>
              <w:rPr>
                <w:sz w:val="20"/>
              </w:rPr>
              <w:t>SI</w:t>
            </w:r>
          </w:p>
        </w:tc>
        <w:tc>
          <w:tcPr>
            <w:tcW w:w="2199" w:type="dxa"/>
            <w:gridSpan w:val="5"/>
          </w:tcPr>
          <w:p>
            <w:pPr>
              <w:pStyle w:val="TableParagraph"/>
              <w:spacing w:line="225" w:lineRule="exact"/>
              <w:ind w:left="917" w:right="932"/>
              <w:jc w:val="center"/>
              <w:rPr>
                <w:sz w:val="20"/>
              </w:rPr>
            </w:pPr>
            <w:r>
              <w:rPr>
                <w:sz w:val="20"/>
              </w:rPr>
              <w:t>NO</w:t>
            </w:r>
          </w:p>
        </w:tc>
        <w:tc>
          <w:tcPr>
            <w:tcW w:w="2160" w:type="dxa"/>
          </w:tcPr>
          <w:p>
            <w:pPr>
              <w:pStyle w:val="TableParagraph"/>
              <w:spacing w:line="225" w:lineRule="exact"/>
              <w:ind w:left="647"/>
              <w:rPr>
                <w:sz w:val="20"/>
              </w:rPr>
            </w:pPr>
            <w:r>
              <w:rPr>
                <w:sz w:val="20"/>
              </w:rPr>
              <w:t>No aplica</w:t>
            </w:r>
          </w:p>
        </w:tc>
      </w:tr>
      <w:tr>
        <w:trPr>
          <w:trHeight w:val="480" w:hRule="exact"/>
        </w:trPr>
        <w:tc>
          <w:tcPr>
            <w:tcW w:w="2521" w:type="dxa"/>
            <w:gridSpan w:val="5"/>
            <w:vMerge w:val="restart"/>
          </w:tcPr>
          <w:p>
            <w:pPr>
              <w:pStyle w:val="TableParagraph"/>
              <w:ind w:left="105" w:right="102"/>
              <w:rPr>
                <w:sz w:val="20"/>
              </w:rPr>
            </w:pPr>
            <w:r>
              <w:rPr>
                <w:sz w:val="20"/>
              </w:rPr>
              <w:t>Color del exudado (látex, resinas o gomas)</w:t>
            </w:r>
          </w:p>
        </w:tc>
        <w:tc>
          <w:tcPr>
            <w:tcW w:w="6540" w:type="dxa"/>
            <w:gridSpan w:val="10"/>
          </w:tcPr>
          <w:p>
            <w:pPr/>
          </w:p>
        </w:tc>
      </w:tr>
      <w:tr>
        <w:trPr>
          <w:trHeight w:val="298" w:hRule="exact"/>
        </w:trPr>
        <w:tc>
          <w:tcPr>
            <w:tcW w:w="2521" w:type="dxa"/>
            <w:gridSpan w:val="5"/>
            <w:vMerge/>
          </w:tcPr>
          <w:p>
            <w:pPr/>
          </w:p>
        </w:tc>
        <w:tc>
          <w:tcPr>
            <w:tcW w:w="6540" w:type="dxa"/>
            <w:gridSpan w:val="10"/>
          </w:tcPr>
          <w:p>
            <w:pPr/>
          </w:p>
        </w:tc>
      </w:tr>
      <w:tr>
        <w:trPr>
          <w:trHeight w:val="302" w:hRule="exact"/>
        </w:trPr>
        <w:tc>
          <w:tcPr>
            <w:tcW w:w="9061" w:type="dxa"/>
            <w:gridSpan w:val="15"/>
          </w:tcPr>
          <w:p>
            <w:pPr>
              <w:pStyle w:val="TableParagraph"/>
              <w:spacing w:line="225" w:lineRule="exact"/>
              <w:ind w:left="105"/>
              <w:rPr>
                <w:sz w:val="20"/>
              </w:rPr>
            </w:pPr>
            <w:r>
              <w:rPr>
                <w:sz w:val="20"/>
              </w:rPr>
              <w:t>CARACTERÍSTICAS DE LA FLOR</w:t>
            </w:r>
          </w:p>
        </w:tc>
      </w:tr>
      <w:tr>
        <w:trPr>
          <w:trHeight w:val="298" w:hRule="exact"/>
        </w:trPr>
        <w:tc>
          <w:tcPr>
            <w:tcW w:w="1119" w:type="dxa"/>
            <w:vMerge w:val="restart"/>
          </w:tcPr>
          <w:p>
            <w:pPr>
              <w:pStyle w:val="TableParagraph"/>
              <w:spacing w:before="143"/>
              <w:ind w:left="105"/>
              <w:rPr>
                <w:sz w:val="20"/>
              </w:rPr>
            </w:pPr>
            <w:r>
              <w:rPr>
                <w:sz w:val="20"/>
              </w:rPr>
              <w:t>Color</w:t>
            </w:r>
          </w:p>
        </w:tc>
        <w:tc>
          <w:tcPr>
            <w:tcW w:w="3712" w:type="dxa"/>
            <w:gridSpan w:val="9"/>
          </w:tcPr>
          <w:p>
            <w:pPr/>
          </w:p>
        </w:tc>
        <w:tc>
          <w:tcPr>
            <w:tcW w:w="1095" w:type="dxa"/>
            <w:gridSpan w:val="2"/>
            <w:vMerge w:val="restart"/>
          </w:tcPr>
          <w:p>
            <w:pPr>
              <w:pStyle w:val="TableParagraph"/>
              <w:spacing w:before="143"/>
              <w:ind w:left="143"/>
              <w:rPr>
                <w:sz w:val="20"/>
              </w:rPr>
            </w:pPr>
            <w:r>
              <w:rPr>
                <w:sz w:val="20"/>
              </w:rPr>
              <w:t>Forma</w:t>
            </w:r>
          </w:p>
        </w:tc>
        <w:tc>
          <w:tcPr>
            <w:tcW w:w="3135" w:type="dxa"/>
            <w:gridSpan w:val="3"/>
          </w:tcPr>
          <w:p>
            <w:pPr/>
          </w:p>
        </w:tc>
      </w:tr>
      <w:tr>
        <w:trPr>
          <w:trHeight w:val="302" w:hRule="exact"/>
        </w:trPr>
        <w:tc>
          <w:tcPr>
            <w:tcW w:w="1119" w:type="dxa"/>
            <w:vMerge/>
          </w:tcPr>
          <w:p>
            <w:pPr/>
          </w:p>
        </w:tc>
        <w:tc>
          <w:tcPr>
            <w:tcW w:w="3712" w:type="dxa"/>
            <w:gridSpan w:val="9"/>
          </w:tcPr>
          <w:p>
            <w:pPr/>
          </w:p>
        </w:tc>
        <w:tc>
          <w:tcPr>
            <w:tcW w:w="1095" w:type="dxa"/>
            <w:gridSpan w:val="2"/>
            <w:vMerge/>
          </w:tcPr>
          <w:p>
            <w:pPr/>
          </w:p>
        </w:tc>
        <w:tc>
          <w:tcPr>
            <w:tcW w:w="3135" w:type="dxa"/>
            <w:gridSpan w:val="3"/>
          </w:tcPr>
          <w:p>
            <w:pPr/>
          </w:p>
        </w:tc>
      </w:tr>
      <w:tr>
        <w:trPr>
          <w:trHeight w:val="298" w:hRule="exact"/>
        </w:trPr>
        <w:tc>
          <w:tcPr>
            <w:tcW w:w="9061" w:type="dxa"/>
            <w:gridSpan w:val="15"/>
          </w:tcPr>
          <w:p>
            <w:pPr>
              <w:pStyle w:val="TableParagraph"/>
              <w:spacing w:line="225" w:lineRule="exact"/>
              <w:ind w:left="105"/>
              <w:rPr>
                <w:sz w:val="20"/>
              </w:rPr>
            </w:pPr>
            <w:r>
              <w:rPr>
                <w:sz w:val="20"/>
              </w:rPr>
              <w:t>CARACTERÍSTICAS DEL FRUTO</w:t>
            </w:r>
          </w:p>
        </w:tc>
      </w:tr>
      <w:tr>
        <w:trPr>
          <w:trHeight w:val="303" w:hRule="exact"/>
        </w:trPr>
        <w:tc>
          <w:tcPr>
            <w:tcW w:w="1119" w:type="dxa"/>
            <w:vMerge w:val="restart"/>
          </w:tcPr>
          <w:p>
            <w:pPr>
              <w:pStyle w:val="TableParagraph"/>
              <w:spacing w:before="149"/>
              <w:ind w:left="105"/>
              <w:rPr>
                <w:sz w:val="20"/>
              </w:rPr>
            </w:pPr>
            <w:r>
              <w:rPr>
                <w:sz w:val="20"/>
              </w:rPr>
              <w:t>Color</w:t>
            </w:r>
          </w:p>
        </w:tc>
        <w:tc>
          <w:tcPr>
            <w:tcW w:w="3712" w:type="dxa"/>
            <w:gridSpan w:val="9"/>
          </w:tcPr>
          <w:p>
            <w:pPr/>
          </w:p>
        </w:tc>
        <w:tc>
          <w:tcPr>
            <w:tcW w:w="1095" w:type="dxa"/>
            <w:gridSpan w:val="2"/>
            <w:vMerge w:val="restart"/>
          </w:tcPr>
          <w:p>
            <w:pPr>
              <w:pStyle w:val="TableParagraph"/>
              <w:spacing w:before="149"/>
              <w:ind w:left="62"/>
              <w:rPr>
                <w:sz w:val="20"/>
              </w:rPr>
            </w:pPr>
            <w:r>
              <w:rPr>
                <w:sz w:val="20"/>
              </w:rPr>
              <w:t>Forma</w:t>
            </w:r>
          </w:p>
        </w:tc>
        <w:tc>
          <w:tcPr>
            <w:tcW w:w="3135" w:type="dxa"/>
            <w:gridSpan w:val="3"/>
          </w:tcPr>
          <w:p>
            <w:pPr/>
          </w:p>
        </w:tc>
      </w:tr>
      <w:tr>
        <w:trPr>
          <w:trHeight w:val="298" w:hRule="exact"/>
        </w:trPr>
        <w:tc>
          <w:tcPr>
            <w:tcW w:w="1119" w:type="dxa"/>
            <w:vMerge/>
          </w:tcPr>
          <w:p>
            <w:pPr/>
          </w:p>
        </w:tc>
        <w:tc>
          <w:tcPr>
            <w:tcW w:w="3712" w:type="dxa"/>
            <w:gridSpan w:val="9"/>
          </w:tcPr>
          <w:p>
            <w:pPr/>
          </w:p>
        </w:tc>
        <w:tc>
          <w:tcPr>
            <w:tcW w:w="1095" w:type="dxa"/>
            <w:gridSpan w:val="2"/>
            <w:vMerge/>
          </w:tcPr>
          <w:p>
            <w:pPr/>
          </w:p>
        </w:tc>
        <w:tc>
          <w:tcPr>
            <w:tcW w:w="3135" w:type="dxa"/>
            <w:gridSpan w:val="3"/>
          </w:tcPr>
          <w:p>
            <w:pPr/>
          </w:p>
        </w:tc>
      </w:tr>
      <w:tr>
        <w:trPr>
          <w:trHeight w:val="302" w:hRule="exact"/>
        </w:trPr>
        <w:tc>
          <w:tcPr>
            <w:tcW w:w="2238" w:type="dxa"/>
            <w:gridSpan w:val="4"/>
          </w:tcPr>
          <w:p>
            <w:pPr>
              <w:pStyle w:val="TableParagraph"/>
              <w:spacing w:line="225" w:lineRule="exact"/>
              <w:ind w:left="105"/>
              <w:rPr>
                <w:sz w:val="20"/>
              </w:rPr>
            </w:pPr>
            <w:r>
              <w:rPr>
                <w:sz w:val="20"/>
              </w:rPr>
              <w:t>PROCEDENCIA</w:t>
            </w:r>
          </w:p>
        </w:tc>
        <w:tc>
          <w:tcPr>
            <w:tcW w:w="3688" w:type="dxa"/>
            <w:gridSpan w:val="8"/>
          </w:tcPr>
          <w:p>
            <w:pPr>
              <w:pStyle w:val="TableParagraph"/>
              <w:spacing w:line="225" w:lineRule="exact"/>
              <w:ind w:left="1436" w:right="1435"/>
              <w:jc w:val="center"/>
              <w:rPr>
                <w:sz w:val="20"/>
              </w:rPr>
            </w:pPr>
            <w:r>
              <w:rPr>
                <w:sz w:val="20"/>
              </w:rPr>
              <w:t>Silvestre</w:t>
            </w:r>
          </w:p>
        </w:tc>
        <w:tc>
          <w:tcPr>
            <w:tcW w:w="3135" w:type="dxa"/>
            <w:gridSpan w:val="3"/>
          </w:tcPr>
          <w:p>
            <w:pPr>
              <w:pStyle w:val="TableParagraph"/>
              <w:spacing w:line="225" w:lineRule="exact"/>
              <w:ind w:left="1129" w:right="1123"/>
              <w:jc w:val="center"/>
              <w:rPr>
                <w:sz w:val="20"/>
              </w:rPr>
            </w:pPr>
            <w:r>
              <w:rPr>
                <w:sz w:val="20"/>
              </w:rPr>
              <w:t>Cultivada</w:t>
            </w:r>
          </w:p>
        </w:tc>
      </w:tr>
      <w:tr>
        <w:trPr>
          <w:trHeight w:val="298" w:hRule="exact"/>
        </w:trPr>
        <w:tc>
          <w:tcPr>
            <w:tcW w:w="2238" w:type="dxa"/>
            <w:gridSpan w:val="4"/>
            <w:vMerge w:val="restart"/>
          </w:tcPr>
          <w:p>
            <w:pPr>
              <w:pStyle w:val="TableParagraph"/>
              <w:rPr>
                <w:rFonts w:ascii="Times New Roman"/>
                <w:sz w:val="20"/>
              </w:rPr>
            </w:pPr>
          </w:p>
          <w:p>
            <w:pPr>
              <w:pStyle w:val="TableParagraph"/>
              <w:rPr>
                <w:rFonts w:ascii="Times New Roman"/>
                <w:sz w:val="20"/>
              </w:rPr>
            </w:pPr>
          </w:p>
          <w:p>
            <w:pPr>
              <w:pStyle w:val="TableParagraph"/>
              <w:spacing w:before="135"/>
              <w:ind w:left="105"/>
              <w:rPr>
                <w:sz w:val="20"/>
              </w:rPr>
            </w:pPr>
            <w:r>
              <w:rPr>
                <w:sz w:val="20"/>
              </w:rPr>
              <w:t>OBSERVACIONES</w:t>
            </w:r>
          </w:p>
        </w:tc>
        <w:tc>
          <w:tcPr>
            <w:tcW w:w="6823" w:type="dxa"/>
            <w:gridSpan w:val="11"/>
          </w:tcPr>
          <w:p>
            <w:pPr/>
          </w:p>
        </w:tc>
      </w:tr>
      <w:tr>
        <w:trPr>
          <w:trHeight w:val="302" w:hRule="exact"/>
        </w:trPr>
        <w:tc>
          <w:tcPr>
            <w:tcW w:w="2238" w:type="dxa"/>
            <w:gridSpan w:val="4"/>
            <w:vMerge/>
          </w:tcPr>
          <w:p>
            <w:pPr/>
          </w:p>
        </w:tc>
        <w:tc>
          <w:tcPr>
            <w:tcW w:w="6823" w:type="dxa"/>
            <w:gridSpan w:val="11"/>
          </w:tcPr>
          <w:p>
            <w:pPr/>
          </w:p>
        </w:tc>
      </w:tr>
      <w:tr>
        <w:trPr>
          <w:trHeight w:val="298" w:hRule="exact"/>
        </w:trPr>
        <w:tc>
          <w:tcPr>
            <w:tcW w:w="2238" w:type="dxa"/>
            <w:gridSpan w:val="4"/>
            <w:vMerge/>
          </w:tcPr>
          <w:p>
            <w:pPr/>
          </w:p>
        </w:tc>
        <w:tc>
          <w:tcPr>
            <w:tcW w:w="6823" w:type="dxa"/>
            <w:gridSpan w:val="11"/>
          </w:tcPr>
          <w:p>
            <w:pPr/>
          </w:p>
        </w:tc>
      </w:tr>
      <w:tr>
        <w:trPr>
          <w:trHeight w:val="302" w:hRule="exact"/>
        </w:trPr>
        <w:tc>
          <w:tcPr>
            <w:tcW w:w="2238" w:type="dxa"/>
            <w:gridSpan w:val="4"/>
            <w:vMerge/>
          </w:tcPr>
          <w:p>
            <w:pPr/>
          </w:p>
        </w:tc>
        <w:tc>
          <w:tcPr>
            <w:tcW w:w="6823" w:type="dxa"/>
            <w:gridSpan w:val="11"/>
          </w:tcPr>
          <w:p>
            <w:pPr/>
          </w:p>
        </w:tc>
      </w:tr>
      <w:tr>
        <w:trPr>
          <w:trHeight w:val="298" w:hRule="exact"/>
        </w:trPr>
        <w:tc>
          <w:tcPr>
            <w:tcW w:w="2238" w:type="dxa"/>
            <w:gridSpan w:val="4"/>
            <w:vMerge/>
          </w:tcPr>
          <w:p>
            <w:pPr/>
          </w:p>
        </w:tc>
        <w:tc>
          <w:tcPr>
            <w:tcW w:w="6823" w:type="dxa"/>
            <w:gridSpan w:val="11"/>
          </w:tcPr>
          <w:p>
            <w:pPr/>
          </w:p>
        </w:tc>
      </w:tr>
    </w:tbl>
    <w:p>
      <w:pPr>
        <w:spacing w:after="0"/>
        <w:sectPr>
          <w:pgSz w:w="12240" w:h="15840"/>
          <w:pgMar w:header="685" w:footer="1146" w:top="880" w:bottom="1340" w:left="120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187"/>
        <w:ind w:right="145"/>
      </w:pPr>
      <w:r>
        <w:rPr/>
        <w:t>ANEXO 2</w:t>
      </w:r>
    </w:p>
    <w:p>
      <w:pPr>
        <w:spacing w:before="256"/>
        <w:ind w:left="88" w:right="147" w:firstLine="0"/>
        <w:jc w:val="center"/>
        <w:rPr>
          <w:b/>
          <w:sz w:val="32"/>
        </w:rPr>
      </w:pPr>
      <w:r>
        <w:rPr>
          <w:b/>
          <w:sz w:val="32"/>
        </w:rPr>
        <w:t>Cuestionario para identificar el uso tradicional de las plantas</w:t>
      </w:r>
    </w:p>
    <w:p>
      <w:pPr>
        <w:spacing w:after="0"/>
        <w:jc w:val="center"/>
        <w:rPr>
          <w:sz w:val="32"/>
        </w:rPr>
        <w:sectPr>
          <w:footerReference w:type="default" r:id="rId212"/>
          <w:pgSz w:w="12240" w:h="15840"/>
          <w:pgMar w:footer="1146" w:header="685" w:top="880" w:bottom="1340" w:left="13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1"/>
        <w:gridCol w:w="326"/>
        <w:gridCol w:w="96"/>
        <w:gridCol w:w="283"/>
        <w:gridCol w:w="644"/>
        <w:gridCol w:w="350"/>
        <w:gridCol w:w="1700"/>
        <w:gridCol w:w="260"/>
        <w:gridCol w:w="221"/>
        <w:gridCol w:w="797"/>
        <w:gridCol w:w="144"/>
        <w:gridCol w:w="994"/>
        <w:gridCol w:w="140"/>
        <w:gridCol w:w="106"/>
        <w:gridCol w:w="605"/>
        <w:gridCol w:w="288"/>
        <w:gridCol w:w="562"/>
        <w:gridCol w:w="725"/>
      </w:tblGrid>
      <w:tr>
        <w:trPr>
          <w:trHeight w:val="355" w:hRule="exact"/>
        </w:trPr>
        <w:tc>
          <w:tcPr>
            <w:tcW w:w="9061" w:type="dxa"/>
            <w:gridSpan w:val="18"/>
          </w:tcPr>
          <w:p>
            <w:pPr>
              <w:pStyle w:val="TableParagraph"/>
              <w:spacing w:line="220" w:lineRule="exact"/>
              <w:ind w:left="1181"/>
              <w:rPr>
                <w:b/>
                <w:i/>
                <w:sz w:val="20"/>
              </w:rPr>
            </w:pPr>
            <w:r>
              <w:rPr>
                <w:b/>
                <w:sz w:val="20"/>
              </w:rPr>
              <w:t>Anexo 2. C</w:t>
            </w:r>
            <w:r>
              <w:rPr>
                <w:b/>
                <w:i/>
                <w:sz w:val="20"/>
              </w:rPr>
              <w:t>uestionario para identificar el uso tradicional de las plantas</w:t>
            </w:r>
          </w:p>
        </w:tc>
      </w:tr>
      <w:tr>
        <w:trPr>
          <w:trHeight w:val="298" w:hRule="exact"/>
        </w:trPr>
        <w:tc>
          <w:tcPr>
            <w:tcW w:w="9061" w:type="dxa"/>
            <w:gridSpan w:val="18"/>
          </w:tcPr>
          <w:p>
            <w:pPr>
              <w:pStyle w:val="TableParagraph"/>
              <w:spacing w:line="220" w:lineRule="exact"/>
              <w:ind w:left="105"/>
              <w:rPr>
                <w:b/>
                <w:sz w:val="20"/>
              </w:rPr>
            </w:pPr>
            <w:r>
              <w:rPr>
                <w:b/>
                <w:sz w:val="20"/>
              </w:rPr>
              <w:t>DATOS GENERALES</w:t>
            </w:r>
          </w:p>
        </w:tc>
      </w:tr>
      <w:tr>
        <w:trPr>
          <w:trHeight w:val="302" w:hRule="exact"/>
        </w:trPr>
        <w:tc>
          <w:tcPr>
            <w:tcW w:w="1148" w:type="dxa"/>
            <w:gridSpan w:val="2"/>
          </w:tcPr>
          <w:p>
            <w:pPr>
              <w:pStyle w:val="TableParagraph"/>
              <w:spacing w:line="230" w:lineRule="exact"/>
              <w:ind w:left="292"/>
              <w:rPr>
                <w:sz w:val="20"/>
              </w:rPr>
            </w:pPr>
            <w:r>
              <w:rPr>
                <w:sz w:val="20"/>
              </w:rPr>
              <w:t>Fecha</w:t>
            </w:r>
          </w:p>
        </w:tc>
        <w:tc>
          <w:tcPr>
            <w:tcW w:w="5628" w:type="dxa"/>
            <w:gridSpan w:val="11"/>
          </w:tcPr>
          <w:p>
            <w:pPr/>
          </w:p>
        </w:tc>
        <w:tc>
          <w:tcPr>
            <w:tcW w:w="998" w:type="dxa"/>
            <w:gridSpan w:val="3"/>
          </w:tcPr>
          <w:p>
            <w:pPr>
              <w:pStyle w:val="TableParagraph"/>
              <w:spacing w:line="230" w:lineRule="exact"/>
              <w:ind w:left="139"/>
              <w:rPr>
                <w:sz w:val="20"/>
              </w:rPr>
            </w:pPr>
            <w:r>
              <w:rPr>
                <w:sz w:val="20"/>
              </w:rPr>
              <w:t>Número</w:t>
            </w:r>
          </w:p>
        </w:tc>
        <w:tc>
          <w:tcPr>
            <w:tcW w:w="1287" w:type="dxa"/>
            <w:gridSpan w:val="2"/>
          </w:tcPr>
          <w:p>
            <w:pPr/>
          </w:p>
        </w:tc>
      </w:tr>
      <w:tr>
        <w:trPr>
          <w:trHeight w:val="298" w:hRule="exact"/>
        </w:trPr>
        <w:tc>
          <w:tcPr>
            <w:tcW w:w="1148" w:type="dxa"/>
            <w:gridSpan w:val="2"/>
          </w:tcPr>
          <w:p>
            <w:pPr>
              <w:pStyle w:val="TableParagraph"/>
              <w:spacing w:line="225" w:lineRule="exact"/>
              <w:ind w:left="148"/>
              <w:rPr>
                <w:sz w:val="20"/>
              </w:rPr>
            </w:pPr>
            <w:r>
              <w:rPr>
                <w:sz w:val="20"/>
              </w:rPr>
              <w:t>Municipio</w:t>
            </w:r>
          </w:p>
        </w:tc>
        <w:tc>
          <w:tcPr>
            <w:tcW w:w="3073" w:type="dxa"/>
            <w:gridSpan w:val="5"/>
          </w:tcPr>
          <w:p>
            <w:pPr/>
          </w:p>
        </w:tc>
        <w:tc>
          <w:tcPr>
            <w:tcW w:w="1278" w:type="dxa"/>
            <w:gridSpan w:val="3"/>
          </w:tcPr>
          <w:p>
            <w:pPr>
              <w:pStyle w:val="TableParagraph"/>
              <w:spacing w:line="225" w:lineRule="exact"/>
              <w:ind w:left="206"/>
              <w:rPr>
                <w:sz w:val="20"/>
              </w:rPr>
            </w:pPr>
            <w:r>
              <w:rPr>
                <w:sz w:val="20"/>
              </w:rPr>
              <w:t>Localidad</w:t>
            </w:r>
          </w:p>
        </w:tc>
        <w:tc>
          <w:tcPr>
            <w:tcW w:w="3563" w:type="dxa"/>
            <w:gridSpan w:val="8"/>
          </w:tcPr>
          <w:p>
            <w:pPr/>
          </w:p>
        </w:tc>
      </w:tr>
      <w:tr>
        <w:trPr>
          <w:trHeight w:val="302" w:hRule="exact"/>
        </w:trPr>
        <w:tc>
          <w:tcPr>
            <w:tcW w:w="1148" w:type="dxa"/>
            <w:gridSpan w:val="2"/>
          </w:tcPr>
          <w:p>
            <w:pPr>
              <w:pStyle w:val="TableParagraph"/>
              <w:spacing w:line="230" w:lineRule="exact"/>
              <w:ind w:left="153"/>
              <w:rPr>
                <w:sz w:val="20"/>
              </w:rPr>
            </w:pPr>
            <w:r>
              <w:rPr>
                <w:sz w:val="20"/>
              </w:rPr>
              <w:t>Dirección</w:t>
            </w:r>
          </w:p>
        </w:tc>
        <w:tc>
          <w:tcPr>
            <w:tcW w:w="7913" w:type="dxa"/>
            <w:gridSpan w:val="16"/>
          </w:tcPr>
          <w:p>
            <w:pPr/>
          </w:p>
        </w:tc>
      </w:tr>
      <w:tr>
        <w:trPr>
          <w:trHeight w:val="298" w:hRule="exact"/>
        </w:trPr>
        <w:tc>
          <w:tcPr>
            <w:tcW w:w="9061" w:type="dxa"/>
            <w:gridSpan w:val="18"/>
          </w:tcPr>
          <w:p>
            <w:pPr>
              <w:pStyle w:val="TableParagraph"/>
              <w:spacing w:line="220" w:lineRule="exact"/>
              <w:ind w:left="105"/>
              <w:rPr>
                <w:b/>
                <w:sz w:val="20"/>
              </w:rPr>
            </w:pPr>
            <w:r>
              <w:rPr>
                <w:b/>
                <w:sz w:val="20"/>
              </w:rPr>
              <w:t>DATOS DEL INFORMANTE</w:t>
            </w:r>
          </w:p>
        </w:tc>
      </w:tr>
      <w:tr>
        <w:trPr>
          <w:trHeight w:val="302" w:hRule="exact"/>
        </w:trPr>
        <w:tc>
          <w:tcPr>
            <w:tcW w:w="1244" w:type="dxa"/>
            <w:gridSpan w:val="3"/>
          </w:tcPr>
          <w:p>
            <w:pPr>
              <w:pStyle w:val="TableParagraph"/>
              <w:spacing w:line="230" w:lineRule="exact"/>
              <w:ind w:left="105"/>
              <w:rPr>
                <w:sz w:val="20"/>
              </w:rPr>
            </w:pPr>
            <w:r>
              <w:rPr>
                <w:sz w:val="20"/>
              </w:rPr>
              <w:t>Nombre:</w:t>
            </w:r>
          </w:p>
        </w:tc>
        <w:tc>
          <w:tcPr>
            <w:tcW w:w="7817" w:type="dxa"/>
            <w:gridSpan w:val="15"/>
          </w:tcPr>
          <w:p>
            <w:pPr/>
          </w:p>
        </w:tc>
      </w:tr>
      <w:tr>
        <w:trPr>
          <w:trHeight w:val="298" w:hRule="exact"/>
        </w:trPr>
        <w:tc>
          <w:tcPr>
            <w:tcW w:w="821" w:type="dxa"/>
          </w:tcPr>
          <w:p>
            <w:pPr>
              <w:pStyle w:val="TableParagraph"/>
              <w:spacing w:line="225" w:lineRule="exact"/>
              <w:ind w:left="105"/>
              <w:rPr>
                <w:sz w:val="20"/>
              </w:rPr>
            </w:pPr>
            <w:r>
              <w:rPr>
                <w:sz w:val="20"/>
              </w:rPr>
              <w:t>Edad:</w:t>
            </w:r>
          </w:p>
        </w:tc>
        <w:tc>
          <w:tcPr>
            <w:tcW w:w="5815" w:type="dxa"/>
            <w:gridSpan w:val="11"/>
          </w:tcPr>
          <w:p>
            <w:pPr/>
          </w:p>
        </w:tc>
        <w:tc>
          <w:tcPr>
            <w:tcW w:w="850" w:type="dxa"/>
            <w:gridSpan w:val="3"/>
          </w:tcPr>
          <w:p>
            <w:pPr>
              <w:pStyle w:val="TableParagraph"/>
              <w:spacing w:line="225" w:lineRule="exact"/>
              <w:ind w:left="101"/>
              <w:rPr>
                <w:sz w:val="20"/>
              </w:rPr>
            </w:pPr>
            <w:r>
              <w:rPr>
                <w:sz w:val="20"/>
              </w:rPr>
              <w:t>Sexo</w:t>
            </w:r>
          </w:p>
        </w:tc>
        <w:tc>
          <w:tcPr>
            <w:tcW w:w="850" w:type="dxa"/>
            <w:gridSpan w:val="2"/>
          </w:tcPr>
          <w:p>
            <w:pPr>
              <w:pStyle w:val="TableParagraph"/>
              <w:spacing w:line="225" w:lineRule="exact"/>
              <w:ind w:left="2"/>
              <w:jc w:val="center"/>
              <w:rPr>
                <w:sz w:val="20"/>
              </w:rPr>
            </w:pPr>
            <w:r>
              <w:rPr>
                <w:w w:val="100"/>
                <w:sz w:val="20"/>
              </w:rPr>
              <w:t>F</w:t>
            </w:r>
          </w:p>
        </w:tc>
        <w:tc>
          <w:tcPr>
            <w:tcW w:w="725" w:type="dxa"/>
          </w:tcPr>
          <w:p>
            <w:pPr>
              <w:pStyle w:val="TableParagraph"/>
              <w:spacing w:line="225" w:lineRule="exact"/>
              <w:jc w:val="center"/>
              <w:rPr>
                <w:sz w:val="20"/>
              </w:rPr>
            </w:pPr>
            <w:r>
              <w:rPr>
                <w:w w:val="100"/>
                <w:sz w:val="20"/>
              </w:rPr>
              <w:t>M</w:t>
            </w:r>
          </w:p>
        </w:tc>
      </w:tr>
      <w:tr>
        <w:trPr>
          <w:trHeight w:val="303" w:hRule="exact"/>
        </w:trPr>
        <w:tc>
          <w:tcPr>
            <w:tcW w:w="1527" w:type="dxa"/>
            <w:gridSpan w:val="4"/>
          </w:tcPr>
          <w:p>
            <w:pPr>
              <w:pStyle w:val="TableParagraph"/>
              <w:spacing w:line="230" w:lineRule="exact"/>
              <w:ind w:left="105" w:right="153"/>
              <w:rPr>
                <w:sz w:val="20"/>
              </w:rPr>
            </w:pPr>
            <w:r>
              <w:rPr>
                <w:sz w:val="20"/>
              </w:rPr>
              <w:t>Escolaridad:</w:t>
            </w:r>
          </w:p>
        </w:tc>
        <w:tc>
          <w:tcPr>
            <w:tcW w:w="7534" w:type="dxa"/>
            <w:gridSpan w:val="14"/>
          </w:tcPr>
          <w:p>
            <w:pPr/>
          </w:p>
        </w:tc>
      </w:tr>
      <w:tr>
        <w:trPr>
          <w:trHeight w:val="298" w:hRule="exact"/>
        </w:trPr>
        <w:tc>
          <w:tcPr>
            <w:tcW w:w="2171" w:type="dxa"/>
            <w:gridSpan w:val="5"/>
          </w:tcPr>
          <w:p>
            <w:pPr>
              <w:pStyle w:val="TableParagraph"/>
              <w:spacing w:line="225" w:lineRule="exact"/>
              <w:ind w:left="105"/>
              <w:rPr>
                <w:sz w:val="20"/>
              </w:rPr>
            </w:pPr>
            <w:r>
              <w:rPr>
                <w:sz w:val="20"/>
              </w:rPr>
              <w:t>Actividad principal:</w:t>
            </w:r>
          </w:p>
        </w:tc>
        <w:tc>
          <w:tcPr>
            <w:tcW w:w="6890" w:type="dxa"/>
            <w:gridSpan w:val="13"/>
          </w:tcPr>
          <w:p>
            <w:pPr/>
          </w:p>
        </w:tc>
      </w:tr>
      <w:tr>
        <w:trPr>
          <w:trHeight w:val="302" w:hRule="exact"/>
        </w:trPr>
        <w:tc>
          <w:tcPr>
            <w:tcW w:w="2171" w:type="dxa"/>
            <w:gridSpan w:val="5"/>
            <w:vMerge w:val="restart"/>
          </w:tcPr>
          <w:p>
            <w:pPr>
              <w:pStyle w:val="TableParagraph"/>
              <w:spacing w:before="9"/>
              <w:rPr>
                <w:rFonts w:ascii="Times New Roman"/>
                <w:sz w:val="25"/>
              </w:rPr>
            </w:pPr>
          </w:p>
          <w:p>
            <w:pPr>
              <w:pStyle w:val="TableParagraph"/>
              <w:ind w:left="105"/>
              <w:rPr>
                <w:sz w:val="20"/>
              </w:rPr>
            </w:pPr>
            <w:r>
              <w:rPr>
                <w:sz w:val="20"/>
              </w:rPr>
              <w:t>OBSERVACIONES</w:t>
            </w:r>
          </w:p>
        </w:tc>
        <w:tc>
          <w:tcPr>
            <w:tcW w:w="6890" w:type="dxa"/>
            <w:gridSpan w:val="13"/>
          </w:tcPr>
          <w:p>
            <w:pPr/>
          </w:p>
        </w:tc>
      </w:tr>
      <w:tr>
        <w:trPr>
          <w:trHeight w:val="298" w:hRule="exact"/>
        </w:trPr>
        <w:tc>
          <w:tcPr>
            <w:tcW w:w="2171" w:type="dxa"/>
            <w:gridSpan w:val="5"/>
            <w:vMerge/>
          </w:tcPr>
          <w:p>
            <w:pPr/>
          </w:p>
        </w:tc>
        <w:tc>
          <w:tcPr>
            <w:tcW w:w="6890" w:type="dxa"/>
            <w:gridSpan w:val="13"/>
          </w:tcPr>
          <w:p>
            <w:pPr/>
          </w:p>
        </w:tc>
      </w:tr>
      <w:tr>
        <w:trPr>
          <w:trHeight w:val="302" w:hRule="exact"/>
        </w:trPr>
        <w:tc>
          <w:tcPr>
            <w:tcW w:w="2171" w:type="dxa"/>
            <w:gridSpan w:val="5"/>
            <w:vMerge/>
          </w:tcPr>
          <w:p>
            <w:pPr/>
          </w:p>
        </w:tc>
        <w:tc>
          <w:tcPr>
            <w:tcW w:w="6890" w:type="dxa"/>
            <w:gridSpan w:val="13"/>
          </w:tcPr>
          <w:p>
            <w:pPr/>
          </w:p>
        </w:tc>
      </w:tr>
      <w:tr>
        <w:trPr>
          <w:trHeight w:val="298" w:hRule="exact"/>
        </w:trPr>
        <w:tc>
          <w:tcPr>
            <w:tcW w:w="9061" w:type="dxa"/>
            <w:gridSpan w:val="18"/>
          </w:tcPr>
          <w:p>
            <w:pPr>
              <w:pStyle w:val="TableParagraph"/>
              <w:spacing w:line="220" w:lineRule="exact"/>
              <w:ind w:left="105"/>
              <w:rPr>
                <w:b/>
                <w:sz w:val="20"/>
              </w:rPr>
            </w:pPr>
            <w:r>
              <w:rPr>
                <w:b/>
                <w:sz w:val="20"/>
              </w:rPr>
              <w:t>INFORMACIÓN DE LA ESPECIE VEGETAL</w:t>
            </w:r>
          </w:p>
        </w:tc>
      </w:tr>
      <w:tr>
        <w:trPr>
          <w:trHeight w:val="302" w:hRule="exact"/>
        </w:trPr>
        <w:tc>
          <w:tcPr>
            <w:tcW w:w="2521" w:type="dxa"/>
            <w:gridSpan w:val="6"/>
          </w:tcPr>
          <w:p>
            <w:pPr>
              <w:pStyle w:val="TableParagraph"/>
              <w:spacing w:line="230" w:lineRule="exact"/>
              <w:ind w:left="105" w:right="102"/>
              <w:rPr>
                <w:sz w:val="20"/>
              </w:rPr>
            </w:pPr>
            <w:r>
              <w:rPr>
                <w:sz w:val="20"/>
              </w:rPr>
              <w:t>Nombre (s) común (es)</w:t>
            </w:r>
          </w:p>
        </w:tc>
        <w:tc>
          <w:tcPr>
            <w:tcW w:w="6540" w:type="dxa"/>
            <w:gridSpan w:val="12"/>
          </w:tcPr>
          <w:p>
            <w:pPr/>
          </w:p>
        </w:tc>
      </w:tr>
      <w:tr>
        <w:trPr>
          <w:trHeight w:val="298" w:hRule="exact"/>
        </w:trPr>
        <w:tc>
          <w:tcPr>
            <w:tcW w:w="2521" w:type="dxa"/>
            <w:gridSpan w:val="6"/>
          </w:tcPr>
          <w:p>
            <w:pPr>
              <w:pStyle w:val="TableParagraph"/>
              <w:spacing w:line="225" w:lineRule="exact"/>
              <w:ind w:left="105" w:right="102"/>
              <w:rPr>
                <w:sz w:val="20"/>
              </w:rPr>
            </w:pPr>
            <w:r>
              <w:rPr>
                <w:sz w:val="20"/>
              </w:rPr>
              <w:t>Nombre científico</w:t>
            </w:r>
          </w:p>
        </w:tc>
        <w:tc>
          <w:tcPr>
            <w:tcW w:w="6540" w:type="dxa"/>
            <w:gridSpan w:val="12"/>
          </w:tcPr>
          <w:p>
            <w:pPr/>
          </w:p>
        </w:tc>
      </w:tr>
      <w:tr>
        <w:trPr>
          <w:trHeight w:val="302" w:hRule="exact"/>
        </w:trPr>
        <w:tc>
          <w:tcPr>
            <w:tcW w:w="2521" w:type="dxa"/>
            <w:gridSpan w:val="6"/>
          </w:tcPr>
          <w:p>
            <w:pPr>
              <w:pStyle w:val="TableParagraph"/>
              <w:spacing w:line="225" w:lineRule="exact"/>
              <w:ind w:left="105" w:right="102"/>
              <w:rPr>
                <w:sz w:val="20"/>
              </w:rPr>
            </w:pPr>
            <w:r>
              <w:rPr>
                <w:sz w:val="20"/>
              </w:rPr>
              <w:t>Nombre del colector</w:t>
            </w:r>
          </w:p>
        </w:tc>
        <w:tc>
          <w:tcPr>
            <w:tcW w:w="6540" w:type="dxa"/>
            <w:gridSpan w:val="12"/>
          </w:tcPr>
          <w:p>
            <w:pPr/>
          </w:p>
        </w:tc>
      </w:tr>
      <w:tr>
        <w:trPr>
          <w:trHeight w:val="298" w:hRule="exact"/>
        </w:trPr>
        <w:tc>
          <w:tcPr>
            <w:tcW w:w="2521" w:type="dxa"/>
            <w:gridSpan w:val="6"/>
            <w:vMerge w:val="restart"/>
          </w:tcPr>
          <w:p>
            <w:pPr>
              <w:pStyle w:val="TableParagraph"/>
              <w:tabs>
                <w:tab w:pos="1731" w:val="left" w:leader="none"/>
                <w:tab w:pos="2245" w:val="left" w:leader="none"/>
              </w:tabs>
              <w:ind w:left="105" w:right="104"/>
              <w:rPr>
                <w:sz w:val="20"/>
              </w:rPr>
            </w:pPr>
            <w:r>
              <w:rPr>
                <w:sz w:val="20"/>
              </w:rPr>
              <w:t>Características</w:t>
              <w:tab/>
              <w:t>de</w:t>
              <w:tab/>
              <w:t>la planta</w:t>
            </w:r>
          </w:p>
        </w:tc>
        <w:tc>
          <w:tcPr>
            <w:tcW w:w="1959" w:type="dxa"/>
            <w:gridSpan w:val="2"/>
          </w:tcPr>
          <w:p>
            <w:pPr>
              <w:pStyle w:val="TableParagraph"/>
              <w:spacing w:line="225" w:lineRule="exact"/>
              <w:ind w:left="641" w:right="635"/>
              <w:jc w:val="center"/>
              <w:rPr>
                <w:sz w:val="20"/>
              </w:rPr>
            </w:pPr>
            <w:r>
              <w:rPr>
                <w:sz w:val="20"/>
              </w:rPr>
              <w:t>Árbol</w:t>
            </w:r>
          </w:p>
        </w:tc>
        <w:tc>
          <w:tcPr>
            <w:tcW w:w="2295" w:type="dxa"/>
            <w:gridSpan w:val="5"/>
          </w:tcPr>
          <w:p>
            <w:pPr>
              <w:pStyle w:val="TableParagraph"/>
              <w:spacing w:line="225" w:lineRule="exact"/>
              <w:ind w:left="777" w:right="779"/>
              <w:jc w:val="center"/>
              <w:rPr>
                <w:sz w:val="20"/>
              </w:rPr>
            </w:pPr>
            <w:r>
              <w:rPr>
                <w:sz w:val="20"/>
              </w:rPr>
              <w:t>Arbusto</w:t>
            </w:r>
          </w:p>
        </w:tc>
        <w:tc>
          <w:tcPr>
            <w:tcW w:w="2285" w:type="dxa"/>
            <w:gridSpan w:val="5"/>
          </w:tcPr>
          <w:p>
            <w:pPr>
              <w:pStyle w:val="TableParagraph"/>
              <w:spacing w:line="225" w:lineRule="exact"/>
              <w:ind w:left="705"/>
              <w:rPr>
                <w:sz w:val="20"/>
              </w:rPr>
            </w:pPr>
            <w:r>
              <w:rPr>
                <w:sz w:val="20"/>
              </w:rPr>
              <w:t>Herbácea</w:t>
            </w:r>
          </w:p>
        </w:tc>
      </w:tr>
      <w:tr>
        <w:trPr>
          <w:trHeight w:val="303" w:hRule="exact"/>
        </w:trPr>
        <w:tc>
          <w:tcPr>
            <w:tcW w:w="2521" w:type="dxa"/>
            <w:gridSpan w:val="6"/>
            <w:vMerge/>
          </w:tcPr>
          <w:p>
            <w:pPr/>
          </w:p>
        </w:tc>
        <w:tc>
          <w:tcPr>
            <w:tcW w:w="6540" w:type="dxa"/>
            <w:gridSpan w:val="12"/>
          </w:tcPr>
          <w:p>
            <w:pPr>
              <w:pStyle w:val="TableParagraph"/>
              <w:spacing w:line="225" w:lineRule="exact"/>
              <w:ind w:left="105"/>
              <w:rPr>
                <w:sz w:val="20"/>
              </w:rPr>
            </w:pPr>
            <w:r>
              <w:rPr>
                <w:sz w:val="20"/>
              </w:rPr>
              <w:t>Otra:</w:t>
            </w:r>
          </w:p>
        </w:tc>
      </w:tr>
      <w:tr>
        <w:trPr>
          <w:trHeight w:val="298" w:hRule="exact"/>
        </w:trPr>
        <w:tc>
          <w:tcPr>
            <w:tcW w:w="2521" w:type="dxa"/>
            <w:gridSpan w:val="6"/>
            <w:vMerge w:val="restart"/>
          </w:tcPr>
          <w:p>
            <w:pPr>
              <w:pStyle w:val="TableParagraph"/>
              <w:spacing w:before="4"/>
              <w:rPr>
                <w:rFonts w:ascii="Times New Roman"/>
                <w:sz w:val="25"/>
              </w:rPr>
            </w:pPr>
          </w:p>
          <w:p>
            <w:pPr>
              <w:pStyle w:val="TableParagraph"/>
              <w:spacing w:before="1"/>
              <w:ind w:left="105" w:right="102"/>
              <w:rPr>
                <w:sz w:val="20"/>
              </w:rPr>
            </w:pPr>
            <w:r>
              <w:rPr>
                <w:sz w:val="20"/>
              </w:rPr>
              <w:t>Usos</w:t>
            </w:r>
          </w:p>
        </w:tc>
        <w:tc>
          <w:tcPr>
            <w:tcW w:w="1959" w:type="dxa"/>
            <w:gridSpan w:val="2"/>
          </w:tcPr>
          <w:p>
            <w:pPr>
              <w:pStyle w:val="TableParagraph"/>
              <w:spacing w:line="225" w:lineRule="exact"/>
              <w:ind w:left="475"/>
              <w:rPr>
                <w:sz w:val="20"/>
              </w:rPr>
            </w:pPr>
            <w:r>
              <w:rPr>
                <w:sz w:val="20"/>
              </w:rPr>
              <w:t>Comestible</w:t>
            </w:r>
          </w:p>
        </w:tc>
        <w:tc>
          <w:tcPr>
            <w:tcW w:w="2295" w:type="dxa"/>
            <w:gridSpan w:val="5"/>
          </w:tcPr>
          <w:p>
            <w:pPr>
              <w:pStyle w:val="TableParagraph"/>
              <w:spacing w:line="225" w:lineRule="exact"/>
              <w:ind w:left="619"/>
              <w:rPr>
                <w:sz w:val="20"/>
              </w:rPr>
            </w:pPr>
            <w:r>
              <w:rPr>
                <w:sz w:val="20"/>
              </w:rPr>
              <w:t>Ornamental</w:t>
            </w:r>
          </w:p>
        </w:tc>
        <w:tc>
          <w:tcPr>
            <w:tcW w:w="2285" w:type="dxa"/>
            <w:gridSpan w:val="5"/>
          </w:tcPr>
          <w:p>
            <w:pPr>
              <w:pStyle w:val="TableParagraph"/>
              <w:spacing w:line="225" w:lineRule="exact"/>
              <w:ind w:left="715"/>
              <w:rPr>
                <w:sz w:val="20"/>
              </w:rPr>
            </w:pPr>
            <w:r>
              <w:rPr>
                <w:sz w:val="20"/>
              </w:rPr>
              <w:t>Medicinal</w:t>
            </w:r>
          </w:p>
        </w:tc>
      </w:tr>
      <w:tr>
        <w:trPr>
          <w:trHeight w:val="302" w:hRule="exact"/>
        </w:trPr>
        <w:tc>
          <w:tcPr>
            <w:tcW w:w="2521" w:type="dxa"/>
            <w:gridSpan w:val="6"/>
            <w:vMerge/>
          </w:tcPr>
          <w:p>
            <w:pPr/>
          </w:p>
        </w:tc>
        <w:tc>
          <w:tcPr>
            <w:tcW w:w="1959" w:type="dxa"/>
            <w:gridSpan w:val="2"/>
          </w:tcPr>
          <w:p>
            <w:pPr>
              <w:pStyle w:val="TableParagraph"/>
              <w:spacing w:line="225" w:lineRule="exact"/>
              <w:ind w:left="641" w:right="635"/>
              <w:jc w:val="center"/>
              <w:rPr>
                <w:sz w:val="20"/>
              </w:rPr>
            </w:pPr>
            <w:r>
              <w:rPr>
                <w:sz w:val="20"/>
              </w:rPr>
              <w:t>Forraje</w:t>
            </w:r>
          </w:p>
        </w:tc>
        <w:tc>
          <w:tcPr>
            <w:tcW w:w="2295" w:type="dxa"/>
            <w:gridSpan w:val="5"/>
          </w:tcPr>
          <w:p>
            <w:pPr>
              <w:pStyle w:val="TableParagraph"/>
              <w:spacing w:line="225" w:lineRule="exact"/>
              <w:ind w:left="777" w:right="772"/>
              <w:jc w:val="center"/>
              <w:rPr>
                <w:sz w:val="20"/>
              </w:rPr>
            </w:pPr>
            <w:r>
              <w:rPr>
                <w:sz w:val="20"/>
              </w:rPr>
              <w:t>Ritual</w:t>
            </w:r>
          </w:p>
        </w:tc>
        <w:tc>
          <w:tcPr>
            <w:tcW w:w="2285" w:type="dxa"/>
            <w:gridSpan w:val="5"/>
          </w:tcPr>
          <w:p>
            <w:pPr>
              <w:pStyle w:val="TableParagraph"/>
              <w:spacing w:line="225" w:lineRule="exact"/>
              <w:ind w:left="753"/>
              <w:rPr>
                <w:sz w:val="20"/>
              </w:rPr>
            </w:pPr>
            <w:r>
              <w:rPr>
                <w:sz w:val="20"/>
              </w:rPr>
              <w:t>Utensilio</w:t>
            </w:r>
          </w:p>
        </w:tc>
      </w:tr>
      <w:tr>
        <w:trPr>
          <w:trHeight w:val="298" w:hRule="exact"/>
        </w:trPr>
        <w:tc>
          <w:tcPr>
            <w:tcW w:w="2521" w:type="dxa"/>
            <w:gridSpan w:val="6"/>
            <w:vMerge/>
          </w:tcPr>
          <w:p>
            <w:pPr/>
          </w:p>
        </w:tc>
        <w:tc>
          <w:tcPr>
            <w:tcW w:w="6540" w:type="dxa"/>
            <w:gridSpan w:val="12"/>
          </w:tcPr>
          <w:p>
            <w:pPr>
              <w:pStyle w:val="TableParagraph"/>
              <w:spacing w:line="225" w:lineRule="exact"/>
              <w:ind w:left="105"/>
              <w:rPr>
                <w:sz w:val="20"/>
              </w:rPr>
            </w:pPr>
            <w:r>
              <w:rPr>
                <w:sz w:val="20"/>
              </w:rPr>
              <w:t>Otro:</w:t>
            </w:r>
          </w:p>
        </w:tc>
      </w:tr>
      <w:tr>
        <w:trPr>
          <w:trHeight w:val="302" w:hRule="exact"/>
        </w:trPr>
        <w:tc>
          <w:tcPr>
            <w:tcW w:w="2521" w:type="dxa"/>
            <w:gridSpan w:val="6"/>
            <w:vMerge w:val="restart"/>
          </w:tcPr>
          <w:p>
            <w:pPr>
              <w:pStyle w:val="TableParagraph"/>
              <w:spacing w:before="9"/>
              <w:rPr>
                <w:rFonts w:ascii="Times New Roman"/>
                <w:sz w:val="15"/>
              </w:rPr>
            </w:pPr>
          </w:p>
          <w:p>
            <w:pPr>
              <w:pStyle w:val="TableParagraph"/>
              <w:ind w:left="105" w:right="102"/>
              <w:rPr>
                <w:sz w:val="20"/>
              </w:rPr>
            </w:pPr>
            <w:r>
              <w:rPr>
                <w:sz w:val="20"/>
              </w:rPr>
              <w:t>Partes de la planta  que se utiliza:</w:t>
            </w:r>
          </w:p>
        </w:tc>
        <w:tc>
          <w:tcPr>
            <w:tcW w:w="2180" w:type="dxa"/>
            <w:gridSpan w:val="3"/>
          </w:tcPr>
          <w:p>
            <w:pPr>
              <w:pStyle w:val="TableParagraph"/>
              <w:spacing w:line="225" w:lineRule="exact"/>
              <w:ind w:left="105"/>
              <w:rPr>
                <w:sz w:val="20"/>
              </w:rPr>
            </w:pPr>
            <w:r>
              <w:rPr>
                <w:sz w:val="20"/>
              </w:rPr>
              <w:t>Hojas</w:t>
            </w:r>
          </w:p>
        </w:tc>
        <w:tc>
          <w:tcPr>
            <w:tcW w:w="2180" w:type="dxa"/>
            <w:gridSpan w:val="5"/>
          </w:tcPr>
          <w:p>
            <w:pPr>
              <w:pStyle w:val="TableParagraph"/>
              <w:spacing w:line="225" w:lineRule="exact"/>
              <w:ind w:left="105"/>
              <w:rPr>
                <w:sz w:val="20"/>
              </w:rPr>
            </w:pPr>
            <w:r>
              <w:rPr>
                <w:sz w:val="20"/>
              </w:rPr>
              <w:t>Flores</w:t>
            </w:r>
          </w:p>
        </w:tc>
        <w:tc>
          <w:tcPr>
            <w:tcW w:w="2180" w:type="dxa"/>
            <w:gridSpan w:val="4"/>
          </w:tcPr>
          <w:p>
            <w:pPr>
              <w:pStyle w:val="TableParagraph"/>
              <w:spacing w:line="225" w:lineRule="exact"/>
              <w:ind w:left="105"/>
              <w:rPr>
                <w:sz w:val="20"/>
              </w:rPr>
            </w:pPr>
            <w:r>
              <w:rPr>
                <w:sz w:val="20"/>
              </w:rPr>
              <w:t>Fruto</w:t>
            </w:r>
          </w:p>
        </w:tc>
      </w:tr>
      <w:tr>
        <w:trPr>
          <w:trHeight w:val="298" w:hRule="exact"/>
        </w:trPr>
        <w:tc>
          <w:tcPr>
            <w:tcW w:w="2521" w:type="dxa"/>
            <w:gridSpan w:val="6"/>
            <w:vMerge/>
          </w:tcPr>
          <w:p>
            <w:pPr/>
          </w:p>
        </w:tc>
        <w:tc>
          <w:tcPr>
            <w:tcW w:w="2180" w:type="dxa"/>
            <w:gridSpan w:val="3"/>
            <w:tcBorders>
              <w:bottom w:val="single" w:sz="4" w:space="0" w:color="000000"/>
            </w:tcBorders>
          </w:tcPr>
          <w:p>
            <w:pPr>
              <w:pStyle w:val="TableParagraph"/>
              <w:spacing w:line="225" w:lineRule="exact"/>
              <w:ind w:left="105"/>
              <w:rPr>
                <w:sz w:val="20"/>
              </w:rPr>
            </w:pPr>
            <w:r>
              <w:rPr>
                <w:sz w:val="20"/>
              </w:rPr>
              <w:t>Corteza</w:t>
            </w:r>
          </w:p>
        </w:tc>
        <w:tc>
          <w:tcPr>
            <w:tcW w:w="2180" w:type="dxa"/>
            <w:gridSpan w:val="5"/>
            <w:tcBorders>
              <w:bottom w:val="single" w:sz="4" w:space="0" w:color="000000"/>
            </w:tcBorders>
          </w:tcPr>
          <w:p>
            <w:pPr>
              <w:pStyle w:val="TableParagraph"/>
              <w:spacing w:line="225" w:lineRule="exact"/>
              <w:ind w:left="105"/>
              <w:rPr>
                <w:sz w:val="20"/>
              </w:rPr>
            </w:pPr>
            <w:r>
              <w:rPr>
                <w:sz w:val="20"/>
              </w:rPr>
              <w:t>Toda la planta</w:t>
            </w:r>
          </w:p>
        </w:tc>
        <w:tc>
          <w:tcPr>
            <w:tcW w:w="2180" w:type="dxa"/>
            <w:gridSpan w:val="4"/>
            <w:tcBorders>
              <w:bottom w:val="single" w:sz="4" w:space="0" w:color="000000"/>
            </w:tcBorders>
          </w:tcPr>
          <w:p>
            <w:pPr>
              <w:pStyle w:val="TableParagraph"/>
              <w:spacing w:line="225" w:lineRule="exact"/>
              <w:ind w:left="105"/>
              <w:rPr>
                <w:sz w:val="20"/>
              </w:rPr>
            </w:pPr>
            <w:r>
              <w:rPr>
                <w:sz w:val="20"/>
              </w:rPr>
              <w:t>Semillas</w:t>
            </w:r>
          </w:p>
        </w:tc>
      </w:tr>
      <w:tr>
        <w:trPr>
          <w:trHeight w:val="303" w:hRule="exact"/>
        </w:trPr>
        <w:tc>
          <w:tcPr>
            <w:tcW w:w="2521" w:type="dxa"/>
            <w:gridSpan w:val="6"/>
            <w:vMerge/>
          </w:tcPr>
          <w:p>
            <w:pPr/>
          </w:p>
        </w:tc>
        <w:tc>
          <w:tcPr>
            <w:tcW w:w="6540" w:type="dxa"/>
            <w:gridSpan w:val="12"/>
            <w:tcBorders>
              <w:top w:val="single" w:sz="4" w:space="0" w:color="000000"/>
            </w:tcBorders>
          </w:tcPr>
          <w:p>
            <w:pPr>
              <w:pStyle w:val="TableParagraph"/>
              <w:spacing w:line="225" w:lineRule="exact"/>
              <w:ind w:left="105"/>
              <w:rPr>
                <w:sz w:val="20"/>
              </w:rPr>
            </w:pPr>
            <w:r>
              <w:rPr>
                <w:sz w:val="20"/>
              </w:rPr>
              <w:t>Otro:</w:t>
            </w:r>
          </w:p>
        </w:tc>
      </w:tr>
      <w:tr>
        <w:trPr>
          <w:trHeight w:val="298" w:hRule="exact"/>
        </w:trPr>
        <w:tc>
          <w:tcPr>
            <w:tcW w:w="2521" w:type="dxa"/>
            <w:gridSpan w:val="6"/>
            <w:vMerge w:val="restart"/>
          </w:tcPr>
          <w:p>
            <w:pPr>
              <w:pStyle w:val="TableParagraph"/>
              <w:spacing w:before="8"/>
              <w:rPr>
                <w:rFonts w:ascii="Times New Roman"/>
                <w:sz w:val="28"/>
              </w:rPr>
            </w:pPr>
          </w:p>
          <w:p>
            <w:pPr>
              <w:pStyle w:val="TableParagraph"/>
              <w:spacing w:before="1"/>
              <w:ind w:left="105" w:right="102"/>
              <w:rPr>
                <w:sz w:val="20"/>
              </w:rPr>
            </w:pPr>
            <w:r>
              <w:rPr>
                <w:sz w:val="20"/>
              </w:rPr>
              <w:t>Atribuciones o finalidad del uso:</w:t>
            </w:r>
          </w:p>
        </w:tc>
        <w:tc>
          <w:tcPr>
            <w:tcW w:w="6540" w:type="dxa"/>
            <w:gridSpan w:val="12"/>
          </w:tcPr>
          <w:p>
            <w:pPr/>
          </w:p>
        </w:tc>
      </w:tr>
      <w:tr>
        <w:trPr>
          <w:trHeight w:val="302" w:hRule="exact"/>
        </w:trPr>
        <w:tc>
          <w:tcPr>
            <w:tcW w:w="2521" w:type="dxa"/>
            <w:gridSpan w:val="6"/>
            <w:vMerge/>
          </w:tcPr>
          <w:p>
            <w:pPr/>
          </w:p>
        </w:tc>
        <w:tc>
          <w:tcPr>
            <w:tcW w:w="6540" w:type="dxa"/>
            <w:gridSpan w:val="12"/>
          </w:tcPr>
          <w:p>
            <w:pPr/>
          </w:p>
        </w:tc>
      </w:tr>
      <w:tr>
        <w:trPr>
          <w:trHeight w:val="298" w:hRule="exact"/>
        </w:trPr>
        <w:tc>
          <w:tcPr>
            <w:tcW w:w="2521" w:type="dxa"/>
            <w:gridSpan w:val="6"/>
            <w:vMerge/>
          </w:tcPr>
          <w:p>
            <w:pPr/>
          </w:p>
        </w:tc>
        <w:tc>
          <w:tcPr>
            <w:tcW w:w="6540" w:type="dxa"/>
            <w:gridSpan w:val="12"/>
          </w:tcPr>
          <w:p>
            <w:pPr/>
          </w:p>
        </w:tc>
      </w:tr>
      <w:tr>
        <w:trPr>
          <w:trHeight w:val="302" w:hRule="exact"/>
        </w:trPr>
        <w:tc>
          <w:tcPr>
            <w:tcW w:w="2521" w:type="dxa"/>
            <w:gridSpan w:val="6"/>
            <w:vMerge/>
          </w:tcPr>
          <w:p>
            <w:pPr/>
          </w:p>
        </w:tc>
        <w:tc>
          <w:tcPr>
            <w:tcW w:w="6540" w:type="dxa"/>
            <w:gridSpan w:val="12"/>
          </w:tcPr>
          <w:p>
            <w:pPr/>
          </w:p>
        </w:tc>
      </w:tr>
      <w:tr>
        <w:trPr>
          <w:trHeight w:val="298" w:hRule="exact"/>
        </w:trPr>
        <w:tc>
          <w:tcPr>
            <w:tcW w:w="2521" w:type="dxa"/>
            <w:gridSpan w:val="6"/>
          </w:tcPr>
          <w:p>
            <w:pPr>
              <w:pStyle w:val="TableParagraph"/>
              <w:spacing w:line="225" w:lineRule="exact"/>
              <w:ind w:left="105" w:right="102"/>
              <w:rPr>
                <w:sz w:val="20"/>
              </w:rPr>
            </w:pPr>
            <w:r>
              <w:rPr>
                <w:sz w:val="20"/>
              </w:rPr>
              <w:t>Modo de preparación:</w:t>
            </w:r>
          </w:p>
        </w:tc>
        <w:tc>
          <w:tcPr>
            <w:tcW w:w="6540" w:type="dxa"/>
            <w:gridSpan w:val="12"/>
          </w:tcPr>
          <w:p>
            <w:pPr/>
          </w:p>
        </w:tc>
      </w:tr>
      <w:tr>
        <w:trPr>
          <w:trHeight w:val="302" w:hRule="exact"/>
        </w:trPr>
        <w:tc>
          <w:tcPr>
            <w:tcW w:w="2521" w:type="dxa"/>
            <w:gridSpan w:val="6"/>
            <w:vMerge w:val="restart"/>
          </w:tcPr>
          <w:p>
            <w:pPr>
              <w:pStyle w:val="TableParagraph"/>
              <w:spacing w:before="148"/>
              <w:ind w:left="105" w:right="102"/>
              <w:rPr>
                <w:sz w:val="20"/>
              </w:rPr>
            </w:pPr>
            <w:r>
              <w:rPr>
                <w:sz w:val="20"/>
              </w:rPr>
              <w:t>Procedencia</w:t>
            </w:r>
          </w:p>
        </w:tc>
        <w:tc>
          <w:tcPr>
            <w:tcW w:w="3121" w:type="dxa"/>
            <w:gridSpan w:val="5"/>
          </w:tcPr>
          <w:p>
            <w:pPr>
              <w:pStyle w:val="TableParagraph"/>
              <w:spacing w:line="225" w:lineRule="exact"/>
              <w:ind w:left="1152" w:right="1151"/>
              <w:jc w:val="center"/>
              <w:rPr>
                <w:sz w:val="20"/>
              </w:rPr>
            </w:pPr>
            <w:r>
              <w:rPr>
                <w:sz w:val="20"/>
              </w:rPr>
              <w:t>Silvestre</w:t>
            </w:r>
          </w:p>
        </w:tc>
        <w:tc>
          <w:tcPr>
            <w:tcW w:w="3419" w:type="dxa"/>
            <w:gridSpan w:val="7"/>
          </w:tcPr>
          <w:p>
            <w:pPr>
              <w:pStyle w:val="TableParagraph"/>
              <w:spacing w:line="225" w:lineRule="exact"/>
              <w:ind w:left="1268" w:right="1267"/>
              <w:jc w:val="center"/>
              <w:rPr>
                <w:sz w:val="20"/>
              </w:rPr>
            </w:pPr>
            <w:r>
              <w:rPr>
                <w:sz w:val="20"/>
              </w:rPr>
              <w:t>Cultivada</w:t>
            </w:r>
          </w:p>
        </w:tc>
      </w:tr>
      <w:tr>
        <w:trPr>
          <w:trHeight w:val="298" w:hRule="exact"/>
        </w:trPr>
        <w:tc>
          <w:tcPr>
            <w:tcW w:w="2521" w:type="dxa"/>
            <w:gridSpan w:val="6"/>
            <w:vMerge/>
          </w:tcPr>
          <w:p>
            <w:pPr/>
          </w:p>
        </w:tc>
        <w:tc>
          <w:tcPr>
            <w:tcW w:w="6540" w:type="dxa"/>
            <w:gridSpan w:val="12"/>
          </w:tcPr>
          <w:p>
            <w:pPr>
              <w:pStyle w:val="TableParagraph"/>
              <w:spacing w:line="225" w:lineRule="exact"/>
              <w:ind w:left="105"/>
              <w:rPr>
                <w:sz w:val="20"/>
              </w:rPr>
            </w:pPr>
            <w:r>
              <w:rPr>
                <w:sz w:val="20"/>
              </w:rPr>
              <w:t>Otra:</w:t>
            </w:r>
          </w:p>
        </w:tc>
      </w:tr>
    </w:tbl>
    <w:p>
      <w:pPr>
        <w:spacing w:after="0" w:line="225" w:lineRule="exact"/>
        <w:rPr>
          <w:sz w:val="20"/>
        </w:rPr>
        <w:sectPr>
          <w:footerReference w:type="default" r:id="rId213"/>
          <w:pgSz w:w="12240" w:h="15840"/>
          <w:pgMar w:footer="1146" w:header="685" w:top="880" w:bottom="1340" w:left="1200" w:right="1320"/>
          <w:pgNumType w:start="19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06"/>
        <w:ind w:left="89" w:right="346"/>
      </w:pPr>
      <w:r>
        <w:rPr/>
        <w:t>ANEXO 3</w:t>
      </w:r>
    </w:p>
    <w:p>
      <w:pPr>
        <w:spacing w:line="273" w:lineRule="auto" w:before="261"/>
        <w:ind w:left="89" w:right="354" w:firstLine="0"/>
        <w:jc w:val="center"/>
        <w:rPr>
          <w:b/>
          <w:sz w:val="32"/>
        </w:rPr>
      </w:pPr>
      <w:r>
        <w:rPr>
          <w:b/>
          <w:sz w:val="32"/>
        </w:rPr>
        <w:t>Listado de especies identificadas del Parque Universitario “Las Orquídeas”</w:t>
      </w:r>
    </w:p>
    <w:p>
      <w:pPr>
        <w:spacing w:after="0" w:line="273" w:lineRule="auto"/>
        <w:jc w:val="center"/>
        <w:rPr>
          <w:sz w:val="32"/>
        </w:rPr>
        <w:sectPr>
          <w:pgSz w:w="12240" w:h="15840"/>
          <w:pgMar w:header="685" w:footer="1146" w:top="880" w:bottom="1340" w:left="1580" w:right="1320"/>
        </w:sectPr>
      </w:pPr>
    </w:p>
    <w:p>
      <w:pPr>
        <w:pStyle w:val="BodyText"/>
        <w:rPr>
          <w:b/>
          <w:sz w:val="20"/>
        </w:rPr>
      </w:pPr>
    </w:p>
    <w:p>
      <w:pPr>
        <w:pStyle w:val="BodyText"/>
        <w:rPr>
          <w:b/>
          <w:sz w:val="20"/>
        </w:rPr>
      </w:pPr>
    </w:p>
    <w:p>
      <w:pPr>
        <w:pStyle w:val="BodyText"/>
        <w:spacing w:before="5"/>
        <w:rPr>
          <w:b/>
          <w:sz w:val="29"/>
        </w:rPr>
      </w:pPr>
    </w:p>
    <w:p>
      <w:pPr>
        <w:pStyle w:val="BodyText"/>
        <w:spacing w:line="360" w:lineRule="auto" w:before="69"/>
        <w:ind w:left="116" w:right="110"/>
        <w:jc w:val="both"/>
      </w:pPr>
      <w:r>
        <w:rPr/>
        <w:t>El listado de las especies presenta un orden alfabético a partir del nombre de la Familia. Aquellas señaladas con un asterisco (*) corresponde a las Monocotyledoneae, con dos asteriscos a las Coniferophyta y aquellas que no presentan ninguna marca pertenecen  a las</w:t>
      </w:r>
      <w:r>
        <w:rPr>
          <w:spacing w:val="-8"/>
        </w:rPr>
        <w:t> </w:t>
      </w:r>
      <w:r>
        <w:rPr/>
        <w:t>Dicotyledoneae.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pPr>
    </w:p>
    <w:tbl>
      <w:tblPr>
        <w:tblW w:w="0" w:type="auto"/>
        <w:jc w:val="left"/>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5"/>
        <w:gridCol w:w="4864"/>
        <w:gridCol w:w="2003"/>
      </w:tblGrid>
      <w:tr>
        <w:trPr>
          <w:trHeight w:val="312" w:hRule="exact"/>
        </w:trPr>
        <w:tc>
          <w:tcPr>
            <w:tcW w:w="9062" w:type="dxa"/>
            <w:gridSpan w:val="3"/>
          </w:tcPr>
          <w:p>
            <w:pPr>
              <w:pStyle w:val="TableParagraph"/>
              <w:spacing w:line="220" w:lineRule="exact"/>
              <w:ind w:left="480"/>
              <w:rPr>
                <w:b/>
                <w:i/>
                <w:sz w:val="20"/>
              </w:rPr>
            </w:pPr>
            <w:r>
              <w:rPr>
                <w:b/>
                <w:sz w:val="20"/>
              </w:rPr>
              <w:t>Anexo 3. </w:t>
            </w:r>
            <w:r>
              <w:rPr>
                <w:b/>
                <w:i/>
                <w:sz w:val="20"/>
              </w:rPr>
              <w:t>Listado de especies identificadas del parque universitario “Las Orquídeas”.</w:t>
            </w:r>
          </w:p>
        </w:tc>
      </w:tr>
      <w:tr>
        <w:trPr>
          <w:trHeight w:val="312" w:hRule="exact"/>
        </w:trPr>
        <w:tc>
          <w:tcPr>
            <w:tcW w:w="2195" w:type="dxa"/>
          </w:tcPr>
          <w:p>
            <w:pPr>
              <w:pStyle w:val="TableParagraph"/>
              <w:spacing w:line="243" w:lineRule="exact"/>
              <w:ind w:left="715"/>
              <w:rPr>
                <w:b/>
                <w:sz w:val="22"/>
              </w:rPr>
            </w:pPr>
            <w:r>
              <w:rPr>
                <w:b/>
                <w:sz w:val="22"/>
              </w:rPr>
              <w:t>Familia</w:t>
            </w:r>
          </w:p>
        </w:tc>
        <w:tc>
          <w:tcPr>
            <w:tcW w:w="4864" w:type="dxa"/>
          </w:tcPr>
          <w:p>
            <w:pPr>
              <w:pStyle w:val="TableParagraph"/>
              <w:spacing w:line="243" w:lineRule="exact"/>
              <w:ind w:left="1992" w:right="1990"/>
              <w:jc w:val="center"/>
              <w:rPr>
                <w:b/>
                <w:sz w:val="22"/>
              </w:rPr>
            </w:pPr>
            <w:r>
              <w:rPr>
                <w:b/>
                <w:sz w:val="22"/>
              </w:rPr>
              <w:t>Especie</w:t>
            </w:r>
          </w:p>
        </w:tc>
        <w:tc>
          <w:tcPr>
            <w:tcW w:w="2003" w:type="dxa"/>
          </w:tcPr>
          <w:p>
            <w:pPr>
              <w:pStyle w:val="TableParagraph"/>
              <w:spacing w:line="243" w:lineRule="exact"/>
              <w:ind w:left="127" w:right="126"/>
              <w:jc w:val="center"/>
              <w:rPr>
                <w:b/>
                <w:sz w:val="22"/>
              </w:rPr>
            </w:pPr>
            <w:r>
              <w:rPr>
                <w:b/>
                <w:sz w:val="22"/>
              </w:rPr>
              <w:t>Forma biológica</w:t>
            </w:r>
          </w:p>
        </w:tc>
      </w:tr>
      <w:tr>
        <w:trPr>
          <w:trHeight w:val="308" w:hRule="exact"/>
        </w:trPr>
        <w:tc>
          <w:tcPr>
            <w:tcW w:w="2195" w:type="dxa"/>
          </w:tcPr>
          <w:p>
            <w:pPr>
              <w:pStyle w:val="TableParagraph"/>
              <w:spacing w:line="272" w:lineRule="exact"/>
              <w:ind w:left="105"/>
              <w:rPr>
                <w:sz w:val="24"/>
              </w:rPr>
            </w:pPr>
            <w:r>
              <w:rPr>
                <w:sz w:val="24"/>
              </w:rPr>
              <w:t>Acanthaceae</w:t>
            </w:r>
          </w:p>
        </w:tc>
        <w:tc>
          <w:tcPr>
            <w:tcW w:w="4864" w:type="dxa"/>
          </w:tcPr>
          <w:p>
            <w:pPr>
              <w:pStyle w:val="TableParagraph"/>
              <w:spacing w:line="272" w:lineRule="exact"/>
              <w:ind w:left="105"/>
              <w:rPr>
                <w:sz w:val="24"/>
              </w:rPr>
            </w:pPr>
            <w:r>
              <w:rPr>
                <w:i/>
                <w:sz w:val="24"/>
              </w:rPr>
              <w:t>Dicliptera inaequalis </w:t>
            </w:r>
            <w:r>
              <w:rPr>
                <w:sz w:val="24"/>
              </w:rPr>
              <w:t>Greenm.</w:t>
            </w:r>
          </w:p>
        </w:tc>
        <w:tc>
          <w:tcPr>
            <w:tcW w:w="2003" w:type="dxa"/>
          </w:tcPr>
          <w:p>
            <w:pPr>
              <w:pStyle w:val="TableParagraph"/>
              <w:spacing w:line="272" w:lineRule="exact"/>
              <w:ind w:left="127" w:right="126"/>
              <w:jc w:val="center"/>
              <w:rPr>
                <w:sz w:val="24"/>
              </w:rPr>
            </w:pPr>
            <w:r>
              <w:rPr>
                <w:sz w:val="24"/>
              </w:rPr>
              <w:t>Herbácea</w:t>
            </w:r>
          </w:p>
        </w:tc>
      </w:tr>
      <w:tr>
        <w:trPr>
          <w:trHeight w:val="307" w:hRule="exact"/>
        </w:trPr>
        <w:tc>
          <w:tcPr>
            <w:tcW w:w="2195" w:type="dxa"/>
            <w:vMerge w:val="restart"/>
          </w:tcPr>
          <w:p>
            <w:pPr>
              <w:pStyle w:val="TableParagraph"/>
              <w:spacing w:line="272" w:lineRule="exact"/>
              <w:ind w:left="105"/>
              <w:rPr>
                <w:sz w:val="24"/>
              </w:rPr>
            </w:pPr>
            <w:r>
              <w:rPr>
                <w:sz w:val="24"/>
              </w:rPr>
              <w:t>Anacardiaceae</w:t>
            </w:r>
          </w:p>
        </w:tc>
        <w:tc>
          <w:tcPr>
            <w:tcW w:w="4864" w:type="dxa"/>
            <w:tcBorders>
              <w:bottom w:val="nil"/>
            </w:tcBorders>
          </w:tcPr>
          <w:p>
            <w:pPr>
              <w:pStyle w:val="TableParagraph"/>
              <w:spacing w:line="272" w:lineRule="exact"/>
              <w:ind w:left="105"/>
              <w:rPr>
                <w:sz w:val="24"/>
              </w:rPr>
            </w:pPr>
            <w:r>
              <w:rPr>
                <w:i/>
                <w:sz w:val="24"/>
              </w:rPr>
              <w:t>Mangifera indica </w:t>
            </w:r>
            <w:r>
              <w:rPr>
                <w:sz w:val="24"/>
              </w:rPr>
              <w:t>L.</w:t>
            </w:r>
          </w:p>
        </w:tc>
        <w:tc>
          <w:tcPr>
            <w:tcW w:w="2003" w:type="dxa"/>
            <w:tcBorders>
              <w:bottom w:val="nil"/>
            </w:tcBorders>
          </w:tcPr>
          <w:p>
            <w:pPr>
              <w:pStyle w:val="TableParagraph"/>
              <w:spacing w:line="272" w:lineRule="exact"/>
              <w:ind w:left="126" w:right="126"/>
              <w:jc w:val="center"/>
              <w:rPr>
                <w:sz w:val="24"/>
              </w:rPr>
            </w:pPr>
            <w:r>
              <w:rPr>
                <w:sz w:val="24"/>
              </w:rPr>
              <w:t>Árbol</w:t>
            </w:r>
          </w:p>
        </w:tc>
      </w:tr>
      <w:tr>
        <w:trPr>
          <w:trHeight w:val="312" w:hRule="exact"/>
        </w:trPr>
        <w:tc>
          <w:tcPr>
            <w:tcW w:w="2195" w:type="dxa"/>
            <w:vMerge/>
          </w:tcPr>
          <w:p>
            <w:pPr/>
          </w:p>
        </w:tc>
        <w:tc>
          <w:tcPr>
            <w:tcW w:w="4864" w:type="dxa"/>
            <w:tcBorders>
              <w:top w:val="nil"/>
            </w:tcBorders>
          </w:tcPr>
          <w:p>
            <w:pPr>
              <w:pStyle w:val="TableParagraph"/>
              <w:spacing w:before="5"/>
              <w:ind w:left="105"/>
              <w:rPr>
                <w:sz w:val="24"/>
              </w:rPr>
            </w:pPr>
            <w:r>
              <w:rPr>
                <w:i/>
                <w:sz w:val="24"/>
              </w:rPr>
              <w:t>Spondias mombin </w:t>
            </w:r>
            <w:r>
              <w:rPr>
                <w:sz w:val="24"/>
              </w:rPr>
              <w:t>L.</w:t>
            </w:r>
          </w:p>
        </w:tc>
        <w:tc>
          <w:tcPr>
            <w:tcW w:w="2003" w:type="dxa"/>
            <w:tcBorders>
              <w:top w:val="nil"/>
            </w:tcBorders>
          </w:tcPr>
          <w:p>
            <w:pPr>
              <w:pStyle w:val="TableParagraph"/>
              <w:spacing w:before="5"/>
              <w:ind w:left="126" w:right="126"/>
              <w:jc w:val="center"/>
              <w:rPr>
                <w:sz w:val="24"/>
              </w:rPr>
            </w:pPr>
            <w:r>
              <w:rPr>
                <w:sz w:val="24"/>
              </w:rPr>
              <w:t>Árbol</w:t>
            </w:r>
          </w:p>
        </w:tc>
      </w:tr>
      <w:tr>
        <w:trPr>
          <w:trHeight w:val="312" w:hRule="exact"/>
        </w:trPr>
        <w:tc>
          <w:tcPr>
            <w:tcW w:w="2195" w:type="dxa"/>
          </w:tcPr>
          <w:p>
            <w:pPr>
              <w:pStyle w:val="TableParagraph"/>
              <w:spacing w:line="272" w:lineRule="exact"/>
              <w:ind w:left="105"/>
              <w:rPr>
                <w:sz w:val="24"/>
              </w:rPr>
            </w:pPr>
            <w:r>
              <w:rPr>
                <w:sz w:val="24"/>
              </w:rPr>
              <w:t>Apiaceae</w:t>
            </w:r>
          </w:p>
        </w:tc>
        <w:tc>
          <w:tcPr>
            <w:tcW w:w="4864" w:type="dxa"/>
          </w:tcPr>
          <w:p>
            <w:pPr>
              <w:pStyle w:val="TableParagraph"/>
              <w:spacing w:line="272" w:lineRule="exact"/>
              <w:ind w:left="105"/>
              <w:rPr>
                <w:sz w:val="24"/>
              </w:rPr>
            </w:pPr>
            <w:r>
              <w:rPr>
                <w:i/>
                <w:sz w:val="24"/>
              </w:rPr>
              <w:t>Foeniculum vulgare </w:t>
            </w:r>
            <w:r>
              <w:rPr>
                <w:sz w:val="24"/>
              </w:rPr>
              <w:t>Mill.</w:t>
            </w:r>
          </w:p>
        </w:tc>
        <w:tc>
          <w:tcPr>
            <w:tcW w:w="2003" w:type="dxa"/>
          </w:tcPr>
          <w:p>
            <w:pPr>
              <w:pStyle w:val="TableParagraph"/>
              <w:spacing w:line="272" w:lineRule="exact"/>
              <w:ind w:left="127" w:right="126"/>
              <w:jc w:val="center"/>
              <w:rPr>
                <w:sz w:val="24"/>
              </w:rPr>
            </w:pPr>
            <w:r>
              <w:rPr>
                <w:sz w:val="24"/>
              </w:rPr>
              <w:t>Herbácea</w:t>
            </w:r>
          </w:p>
        </w:tc>
      </w:tr>
      <w:tr>
        <w:trPr>
          <w:trHeight w:val="307" w:hRule="exact"/>
        </w:trPr>
        <w:tc>
          <w:tcPr>
            <w:tcW w:w="2195" w:type="dxa"/>
          </w:tcPr>
          <w:p>
            <w:pPr>
              <w:pStyle w:val="TableParagraph"/>
              <w:spacing w:line="272" w:lineRule="exact"/>
              <w:ind w:left="105"/>
              <w:rPr>
                <w:sz w:val="24"/>
              </w:rPr>
            </w:pPr>
            <w:r>
              <w:rPr>
                <w:sz w:val="24"/>
              </w:rPr>
              <w:t>Asclepiadaceae</w:t>
            </w:r>
          </w:p>
        </w:tc>
        <w:tc>
          <w:tcPr>
            <w:tcW w:w="4864" w:type="dxa"/>
          </w:tcPr>
          <w:p>
            <w:pPr>
              <w:pStyle w:val="TableParagraph"/>
              <w:spacing w:line="272" w:lineRule="exact"/>
              <w:ind w:left="105"/>
              <w:rPr>
                <w:sz w:val="24"/>
              </w:rPr>
            </w:pPr>
            <w:r>
              <w:rPr>
                <w:i/>
                <w:sz w:val="24"/>
              </w:rPr>
              <w:t>Asclepias curassavica </w:t>
            </w:r>
            <w:r>
              <w:rPr>
                <w:sz w:val="24"/>
              </w:rPr>
              <w:t>L.</w:t>
            </w:r>
          </w:p>
        </w:tc>
        <w:tc>
          <w:tcPr>
            <w:tcW w:w="2003" w:type="dxa"/>
          </w:tcPr>
          <w:p>
            <w:pPr>
              <w:pStyle w:val="TableParagraph"/>
              <w:spacing w:line="272" w:lineRule="exact"/>
              <w:ind w:left="127" w:right="126"/>
              <w:jc w:val="center"/>
              <w:rPr>
                <w:sz w:val="24"/>
              </w:rPr>
            </w:pPr>
            <w:r>
              <w:rPr>
                <w:sz w:val="24"/>
              </w:rPr>
              <w:t>Herbácea</w:t>
            </w:r>
          </w:p>
        </w:tc>
      </w:tr>
      <w:tr>
        <w:trPr>
          <w:trHeight w:val="312" w:hRule="exact"/>
        </w:trPr>
        <w:tc>
          <w:tcPr>
            <w:tcW w:w="2195" w:type="dxa"/>
            <w:vMerge w:val="restart"/>
          </w:tcPr>
          <w:p>
            <w:pPr>
              <w:pStyle w:val="TableParagraph"/>
              <w:rPr>
                <w:sz w:val="24"/>
              </w:rPr>
            </w:pPr>
          </w:p>
          <w:p>
            <w:pPr>
              <w:pStyle w:val="TableParagraph"/>
              <w:rPr>
                <w:sz w:val="24"/>
              </w:rPr>
            </w:pPr>
          </w:p>
          <w:p>
            <w:pPr>
              <w:pStyle w:val="TableParagraph"/>
              <w:spacing w:before="4"/>
              <w:rPr>
                <w:sz w:val="31"/>
              </w:rPr>
            </w:pPr>
          </w:p>
          <w:p>
            <w:pPr>
              <w:pStyle w:val="TableParagraph"/>
              <w:ind w:left="105"/>
              <w:rPr>
                <w:sz w:val="24"/>
              </w:rPr>
            </w:pPr>
            <w:r>
              <w:rPr>
                <w:sz w:val="24"/>
              </w:rPr>
              <w:t>Asteraceae</w:t>
            </w:r>
          </w:p>
        </w:tc>
        <w:tc>
          <w:tcPr>
            <w:tcW w:w="4864" w:type="dxa"/>
          </w:tcPr>
          <w:p>
            <w:pPr>
              <w:pStyle w:val="TableParagraph"/>
              <w:spacing w:before="1"/>
              <w:ind w:left="105"/>
              <w:rPr>
                <w:sz w:val="24"/>
              </w:rPr>
            </w:pPr>
            <w:r>
              <w:rPr>
                <w:i/>
                <w:sz w:val="24"/>
              </w:rPr>
              <w:t>Artemisia absinthium </w:t>
            </w:r>
            <w:r>
              <w:rPr>
                <w:sz w:val="24"/>
              </w:rPr>
              <w:t>L.</w:t>
            </w:r>
          </w:p>
        </w:tc>
        <w:tc>
          <w:tcPr>
            <w:tcW w:w="2003" w:type="dxa"/>
          </w:tcPr>
          <w:p>
            <w:pPr>
              <w:pStyle w:val="TableParagraph"/>
              <w:spacing w:before="1"/>
              <w:ind w:left="127" w:right="126"/>
              <w:jc w:val="center"/>
              <w:rPr>
                <w:sz w:val="24"/>
              </w:rPr>
            </w:pPr>
            <w:r>
              <w:rPr>
                <w:sz w:val="24"/>
              </w:rPr>
              <w:t>Herbácea</w:t>
            </w:r>
          </w:p>
        </w:tc>
      </w:tr>
      <w:tr>
        <w:trPr>
          <w:trHeight w:val="562" w:hRule="exact"/>
        </w:trPr>
        <w:tc>
          <w:tcPr>
            <w:tcW w:w="2195" w:type="dxa"/>
            <w:vMerge/>
          </w:tcPr>
          <w:p>
            <w:pPr/>
          </w:p>
        </w:tc>
        <w:tc>
          <w:tcPr>
            <w:tcW w:w="4864" w:type="dxa"/>
          </w:tcPr>
          <w:p>
            <w:pPr>
              <w:pStyle w:val="TableParagraph"/>
              <w:spacing w:line="272" w:lineRule="exact"/>
              <w:ind w:left="105"/>
              <w:rPr>
                <w:sz w:val="24"/>
              </w:rPr>
            </w:pPr>
            <w:r>
              <w:rPr>
                <w:i/>
                <w:sz w:val="24"/>
              </w:rPr>
              <w:t>Ageratina grandifolia </w:t>
            </w:r>
            <w:r>
              <w:rPr>
                <w:sz w:val="24"/>
              </w:rPr>
              <w:t>(Regel) R. M. King   &amp;</w:t>
            </w:r>
          </w:p>
          <w:p>
            <w:pPr>
              <w:pStyle w:val="TableParagraph"/>
              <w:spacing w:before="2"/>
              <w:ind w:left="105"/>
              <w:rPr>
                <w:sz w:val="24"/>
              </w:rPr>
            </w:pPr>
            <w:r>
              <w:rPr>
                <w:sz w:val="24"/>
              </w:rPr>
              <w:t>H. Rob.</w:t>
            </w:r>
          </w:p>
        </w:tc>
        <w:tc>
          <w:tcPr>
            <w:tcW w:w="2003" w:type="dxa"/>
          </w:tcPr>
          <w:p>
            <w:pPr>
              <w:pStyle w:val="TableParagraph"/>
              <w:spacing w:line="272" w:lineRule="exact"/>
              <w:ind w:left="127" w:right="121"/>
              <w:jc w:val="center"/>
              <w:rPr>
                <w:sz w:val="24"/>
              </w:rPr>
            </w:pPr>
            <w:r>
              <w:rPr>
                <w:sz w:val="24"/>
              </w:rPr>
              <w:t>Arbusto</w:t>
            </w:r>
          </w:p>
        </w:tc>
      </w:tr>
      <w:tr>
        <w:trPr>
          <w:trHeight w:val="312" w:hRule="exact"/>
        </w:trPr>
        <w:tc>
          <w:tcPr>
            <w:tcW w:w="2195" w:type="dxa"/>
            <w:vMerge/>
          </w:tcPr>
          <w:p>
            <w:pPr/>
          </w:p>
        </w:tc>
        <w:tc>
          <w:tcPr>
            <w:tcW w:w="4864" w:type="dxa"/>
          </w:tcPr>
          <w:p>
            <w:pPr>
              <w:pStyle w:val="TableParagraph"/>
              <w:spacing w:line="272" w:lineRule="exact"/>
              <w:ind w:left="105"/>
              <w:rPr>
                <w:sz w:val="24"/>
              </w:rPr>
            </w:pPr>
            <w:r>
              <w:rPr>
                <w:i/>
                <w:sz w:val="24"/>
              </w:rPr>
              <w:t>Critoniopsis salicifolia </w:t>
            </w:r>
            <w:r>
              <w:rPr>
                <w:sz w:val="24"/>
              </w:rPr>
              <w:t>(D.C.) H. Rob</w:t>
            </w:r>
          </w:p>
        </w:tc>
        <w:tc>
          <w:tcPr>
            <w:tcW w:w="2003" w:type="dxa"/>
          </w:tcPr>
          <w:p>
            <w:pPr>
              <w:pStyle w:val="TableParagraph"/>
              <w:spacing w:line="272" w:lineRule="exact"/>
              <w:ind w:left="127" w:right="121"/>
              <w:jc w:val="center"/>
              <w:rPr>
                <w:sz w:val="24"/>
              </w:rPr>
            </w:pPr>
            <w:r>
              <w:rPr>
                <w:sz w:val="24"/>
              </w:rPr>
              <w:t>Arbusto</w:t>
            </w:r>
          </w:p>
        </w:tc>
      </w:tr>
      <w:tr>
        <w:trPr>
          <w:trHeight w:val="307" w:hRule="exact"/>
        </w:trPr>
        <w:tc>
          <w:tcPr>
            <w:tcW w:w="2195" w:type="dxa"/>
            <w:vMerge/>
          </w:tcPr>
          <w:p>
            <w:pPr/>
          </w:p>
        </w:tc>
        <w:tc>
          <w:tcPr>
            <w:tcW w:w="4864" w:type="dxa"/>
          </w:tcPr>
          <w:p>
            <w:pPr>
              <w:pStyle w:val="TableParagraph"/>
              <w:spacing w:line="272" w:lineRule="exact"/>
              <w:ind w:left="105"/>
              <w:rPr>
                <w:sz w:val="24"/>
              </w:rPr>
            </w:pPr>
            <w:r>
              <w:rPr>
                <w:i/>
                <w:sz w:val="24"/>
              </w:rPr>
              <w:t>Lasianthaea ceanothifolia </w:t>
            </w:r>
            <w:r>
              <w:rPr>
                <w:sz w:val="24"/>
              </w:rPr>
              <w:t>(Willd.) K.</w:t>
            </w:r>
          </w:p>
        </w:tc>
        <w:tc>
          <w:tcPr>
            <w:tcW w:w="2003" w:type="dxa"/>
          </w:tcPr>
          <w:p>
            <w:pPr>
              <w:pStyle w:val="TableParagraph"/>
              <w:spacing w:line="272" w:lineRule="exact"/>
              <w:ind w:left="127" w:right="121"/>
              <w:jc w:val="center"/>
              <w:rPr>
                <w:sz w:val="24"/>
              </w:rPr>
            </w:pPr>
            <w:r>
              <w:rPr>
                <w:sz w:val="24"/>
              </w:rPr>
              <w:t>Arbusto</w:t>
            </w:r>
          </w:p>
        </w:tc>
      </w:tr>
      <w:tr>
        <w:trPr>
          <w:trHeight w:val="312" w:hRule="exact"/>
        </w:trPr>
        <w:tc>
          <w:tcPr>
            <w:tcW w:w="2195" w:type="dxa"/>
            <w:vMerge/>
          </w:tcPr>
          <w:p>
            <w:pPr/>
          </w:p>
        </w:tc>
        <w:tc>
          <w:tcPr>
            <w:tcW w:w="4864" w:type="dxa"/>
          </w:tcPr>
          <w:p>
            <w:pPr>
              <w:pStyle w:val="TableParagraph"/>
              <w:spacing w:line="272" w:lineRule="exact"/>
              <w:ind w:left="105"/>
              <w:rPr>
                <w:sz w:val="24"/>
              </w:rPr>
            </w:pPr>
            <w:r>
              <w:rPr>
                <w:i/>
                <w:sz w:val="24"/>
              </w:rPr>
              <w:t>Tagetes lunulata </w:t>
            </w:r>
            <w:r>
              <w:rPr>
                <w:sz w:val="24"/>
              </w:rPr>
              <w:t>Ortega</w:t>
            </w:r>
          </w:p>
        </w:tc>
        <w:tc>
          <w:tcPr>
            <w:tcW w:w="2003" w:type="dxa"/>
          </w:tcPr>
          <w:p>
            <w:pPr>
              <w:pStyle w:val="TableParagraph"/>
              <w:spacing w:line="272" w:lineRule="exact"/>
              <w:ind w:left="127" w:right="126"/>
              <w:jc w:val="center"/>
              <w:rPr>
                <w:sz w:val="24"/>
              </w:rPr>
            </w:pPr>
            <w:r>
              <w:rPr>
                <w:sz w:val="24"/>
              </w:rPr>
              <w:t>Herbácea</w:t>
            </w:r>
          </w:p>
        </w:tc>
      </w:tr>
      <w:tr>
        <w:trPr>
          <w:trHeight w:val="307" w:hRule="exact"/>
        </w:trPr>
        <w:tc>
          <w:tcPr>
            <w:tcW w:w="2195" w:type="dxa"/>
            <w:vMerge/>
          </w:tcPr>
          <w:p>
            <w:pPr/>
          </w:p>
        </w:tc>
        <w:tc>
          <w:tcPr>
            <w:tcW w:w="4864" w:type="dxa"/>
          </w:tcPr>
          <w:p>
            <w:pPr>
              <w:pStyle w:val="TableParagraph"/>
              <w:spacing w:line="272" w:lineRule="exact"/>
              <w:ind w:left="105"/>
              <w:rPr>
                <w:sz w:val="24"/>
              </w:rPr>
            </w:pPr>
            <w:r>
              <w:rPr>
                <w:i/>
                <w:sz w:val="24"/>
              </w:rPr>
              <w:t>Verbesina fastigiata </w:t>
            </w:r>
            <w:r>
              <w:rPr>
                <w:sz w:val="24"/>
              </w:rPr>
              <w:t>B.L. Rob &amp; Greenm.</w:t>
            </w:r>
          </w:p>
        </w:tc>
        <w:tc>
          <w:tcPr>
            <w:tcW w:w="2003" w:type="dxa"/>
          </w:tcPr>
          <w:p>
            <w:pPr>
              <w:pStyle w:val="TableParagraph"/>
              <w:spacing w:line="272" w:lineRule="exact"/>
              <w:ind w:left="127" w:right="121"/>
              <w:jc w:val="center"/>
              <w:rPr>
                <w:sz w:val="24"/>
              </w:rPr>
            </w:pPr>
            <w:r>
              <w:rPr>
                <w:sz w:val="24"/>
              </w:rPr>
              <w:t>Arbusto</w:t>
            </w:r>
          </w:p>
        </w:tc>
      </w:tr>
      <w:tr>
        <w:trPr>
          <w:trHeight w:val="312" w:hRule="exact"/>
        </w:trPr>
        <w:tc>
          <w:tcPr>
            <w:tcW w:w="2195" w:type="dxa"/>
          </w:tcPr>
          <w:p>
            <w:pPr>
              <w:pStyle w:val="TableParagraph"/>
              <w:ind w:left="105"/>
              <w:rPr>
                <w:sz w:val="24"/>
              </w:rPr>
            </w:pPr>
            <w:r>
              <w:rPr>
                <w:sz w:val="24"/>
              </w:rPr>
              <w:t>Begoniaceae</w:t>
            </w:r>
          </w:p>
        </w:tc>
        <w:tc>
          <w:tcPr>
            <w:tcW w:w="4864" w:type="dxa"/>
          </w:tcPr>
          <w:p>
            <w:pPr>
              <w:pStyle w:val="TableParagraph"/>
              <w:ind w:left="105"/>
              <w:rPr>
                <w:i/>
                <w:sz w:val="24"/>
              </w:rPr>
            </w:pPr>
            <w:r>
              <w:rPr>
                <w:i/>
                <w:sz w:val="24"/>
              </w:rPr>
              <w:t>Begonia sp.</w:t>
            </w:r>
          </w:p>
        </w:tc>
        <w:tc>
          <w:tcPr>
            <w:tcW w:w="2003" w:type="dxa"/>
          </w:tcPr>
          <w:p>
            <w:pPr>
              <w:pStyle w:val="TableParagraph"/>
              <w:ind w:left="127" w:right="126"/>
              <w:jc w:val="center"/>
              <w:rPr>
                <w:sz w:val="24"/>
              </w:rPr>
            </w:pPr>
            <w:r>
              <w:rPr>
                <w:sz w:val="24"/>
              </w:rPr>
              <w:t>Herbácea</w:t>
            </w:r>
          </w:p>
        </w:tc>
      </w:tr>
      <w:tr>
        <w:trPr>
          <w:trHeight w:val="312" w:hRule="exact"/>
        </w:trPr>
        <w:tc>
          <w:tcPr>
            <w:tcW w:w="2195" w:type="dxa"/>
          </w:tcPr>
          <w:p>
            <w:pPr>
              <w:pStyle w:val="TableParagraph"/>
              <w:spacing w:line="272" w:lineRule="exact"/>
              <w:ind w:left="105"/>
              <w:rPr>
                <w:sz w:val="24"/>
              </w:rPr>
            </w:pPr>
            <w:r>
              <w:rPr>
                <w:sz w:val="24"/>
              </w:rPr>
              <w:t>Betulaceae</w:t>
            </w:r>
          </w:p>
        </w:tc>
        <w:tc>
          <w:tcPr>
            <w:tcW w:w="4864" w:type="dxa"/>
          </w:tcPr>
          <w:p>
            <w:pPr>
              <w:pStyle w:val="TableParagraph"/>
              <w:spacing w:line="272" w:lineRule="exact"/>
              <w:ind w:left="105"/>
              <w:rPr>
                <w:i/>
                <w:sz w:val="24"/>
              </w:rPr>
            </w:pPr>
            <w:r>
              <w:rPr>
                <w:i/>
                <w:sz w:val="24"/>
              </w:rPr>
              <w:t>Alnus jorullensis </w:t>
            </w:r>
            <w:r>
              <w:rPr>
                <w:sz w:val="24"/>
              </w:rPr>
              <w:t>H.B.K. </w:t>
            </w:r>
            <w:r>
              <w:rPr>
                <w:i/>
                <w:sz w:val="24"/>
              </w:rPr>
              <w:t>ssp jorullensis</w:t>
            </w:r>
          </w:p>
        </w:tc>
        <w:tc>
          <w:tcPr>
            <w:tcW w:w="2003" w:type="dxa"/>
          </w:tcPr>
          <w:p>
            <w:pPr>
              <w:pStyle w:val="TableParagraph"/>
              <w:spacing w:line="272" w:lineRule="exact"/>
              <w:ind w:left="126" w:right="126"/>
              <w:jc w:val="center"/>
              <w:rPr>
                <w:sz w:val="24"/>
              </w:rPr>
            </w:pPr>
            <w:r>
              <w:rPr>
                <w:sz w:val="24"/>
              </w:rPr>
              <w:t>Árbol</w:t>
            </w:r>
          </w:p>
        </w:tc>
      </w:tr>
      <w:tr>
        <w:trPr>
          <w:trHeight w:val="307" w:hRule="exact"/>
        </w:trPr>
        <w:tc>
          <w:tcPr>
            <w:tcW w:w="2195" w:type="dxa"/>
          </w:tcPr>
          <w:p>
            <w:pPr>
              <w:pStyle w:val="TableParagraph"/>
              <w:spacing w:line="272" w:lineRule="exact"/>
              <w:ind w:left="105"/>
              <w:rPr>
                <w:sz w:val="24"/>
              </w:rPr>
            </w:pPr>
            <w:r>
              <w:rPr>
                <w:sz w:val="24"/>
              </w:rPr>
              <w:t>Capparidaceae</w:t>
            </w:r>
          </w:p>
        </w:tc>
        <w:tc>
          <w:tcPr>
            <w:tcW w:w="4864" w:type="dxa"/>
          </w:tcPr>
          <w:p>
            <w:pPr>
              <w:pStyle w:val="TableParagraph"/>
              <w:spacing w:line="272" w:lineRule="exact"/>
              <w:ind w:left="105"/>
              <w:rPr>
                <w:sz w:val="24"/>
              </w:rPr>
            </w:pPr>
            <w:r>
              <w:rPr>
                <w:i/>
                <w:sz w:val="24"/>
              </w:rPr>
              <w:t>Cleome speciosa </w:t>
            </w:r>
            <w:r>
              <w:rPr>
                <w:sz w:val="24"/>
              </w:rPr>
              <w:t>Raf.</w:t>
            </w:r>
          </w:p>
        </w:tc>
        <w:tc>
          <w:tcPr>
            <w:tcW w:w="2003" w:type="dxa"/>
          </w:tcPr>
          <w:p>
            <w:pPr>
              <w:pStyle w:val="TableParagraph"/>
              <w:spacing w:line="272" w:lineRule="exact"/>
              <w:ind w:left="127" w:right="125"/>
              <w:jc w:val="center"/>
              <w:rPr>
                <w:sz w:val="24"/>
              </w:rPr>
            </w:pPr>
            <w:r>
              <w:rPr>
                <w:sz w:val="24"/>
              </w:rPr>
              <w:t>Herbácea</w:t>
            </w:r>
          </w:p>
        </w:tc>
      </w:tr>
      <w:tr>
        <w:trPr>
          <w:trHeight w:val="562" w:hRule="exact"/>
        </w:trPr>
        <w:tc>
          <w:tcPr>
            <w:tcW w:w="2195" w:type="dxa"/>
          </w:tcPr>
          <w:p>
            <w:pPr>
              <w:pStyle w:val="TableParagraph"/>
              <w:spacing w:line="272" w:lineRule="exact"/>
              <w:ind w:left="105"/>
              <w:rPr>
                <w:sz w:val="24"/>
              </w:rPr>
            </w:pPr>
            <w:r>
              <w:rPr>
                <w:sz w:val="24"/>
              </w:rPr>
              <w:t>Caprifoliaceae</w:t>
            </w:r>
          </w:p>
        </w:tc>
        <w:tc>
          <w:tcPr>
            <w:tcW w:w="4864" w:type="dxa"/>
          </w:tcPr>
          <w:p>
            <w:pPr>
              <w:pStyle w:val="TableParagraph"/>
              <w:spacing w:line="242" w:lineRule="auto"/>
              <w:ind w:left="105"/>
              <w:rPr>
                <w:sz w:val="24"/>
              </w:rPr>
            </w:pPr>
            <w:r>
              <w:rPr>
                <w:i/>
                <w:sz w:val="24"/>
              </w:rPr>
              <w:t>Sambucus nigra </w:t>
            </w:r>
            <w:r>
              <w:rPr>
                <w:sz w:val="24"/>
              </w:rPr>
              <w:t>L. </w:t>
            </w:r>
            <w:r>
              <w:rPr>
                <w:i/>
                <w:sz w:val="24"/>
              </w:rPr>
              <w:t>subsp. canadensis </w:t>
            </w:r>
            <w:r>
              <w:rPr>
                <w:sz w:val="24"/>
              </w:rPr>
              <w:t>(L.) Bolli</w:t>
            </w:r>
          </w:p>
        </w:tc>
        <w:tc>
          <w:tcPr>
            <w:tcW w:w="2003" w:type="dxa"/>
          </w:tcPr>
          <w:p>
            <w:pPr>
              <w:pStyle w:val="TableParagraph"/>
              <w:spacing w:line="272" w:lineRule="exact"/>
              <w:ind w:left="127" w:right="121"/>
              <w:jc w:val="center"/>
              <w:rPr>
                <w:sz w:val="24"/>
              </w:rPr>
            </w:pPr>
            <w:r>
              <w:rPr>
                <w:sz w:val="24"/>
              </w:rPr>
              <w:t>Arbusto</w:t>
            </w:r>
          </w:p>
        </w:tc>
      </w:tr>
      <w:tr>
        <w:trPr>
          <w:trHeight w:val="312" w:hRule="exact"/>
        </w:trPr>
        <w:tc>
          <w:tcPr>
            <w:tcW w:w="2195" w:type="dxa"/>
          </w:tcPr>
          <w:p>
            <w:pPr>
              <w:pStyle w:val="TableParagraph"/>
              <w:spacing w:line="272" w:lineRule="exact"/>
              <w:ind w:left="105"/>
              <w:rPr>
                <w:sz w:val="24"/>
              </w:rPr>
            </w:pPr>
            <w:r>
              <w:rPr>
                <w:sz w:val="24"/>
              </w:rPr>
              <w:t>Caricaceae</w:t>
            </w:r>
          </w:p>
        </w:tc>
        <w:tc>
          <w:tcPr>
            <w:tcW w:w="4864" w:type="dxa"/>
          </w:tcPr>
          <w:p>
            <w:pPr>
              <w:pStyle w:val="TableParagraph"/>
              <w:spacing w:line="272" w:lineRule="exact"/>
              <w:ind w:left="105"/>
              <w:rPr>
                <w:sz w:val="24"/>
              </w:rPr>
            </w:pPr>
            <w:r>
              <w:rPr>
                <w:i/>
                <w:sz w:val="24"/>
              </w:rPr>
              <w:t>Carica papaya </w:t>
            </w:r>
            <w:r>
              <w:rPr>
                <w:sz w:val="24"/>
              </w:rPr>
              <w:t>L.</w:t>
            </w:r>
          </w:p>
        </w:tc>
        <w:tc>
          <w:tcPr>
            <w:tcW w:w="2003" w:type="dxa"/>
          </w:tcPr>
          <w:p>
            <w:pPr>
              <w:pStyle w:val="TableParagraph"/>
              <w:spacing w:line="272" w:lineRule="exact"/>
              <w:ind w:left="127" w:right="121"/>
              <w:jc w:val="center"/>
              <w:rPr>
                <w:sz w:val="24"/>
              </w:rPr>
            </w:pPr>
            <w:r>
              <w:rPr>
                <w:sz w:val="24"/>
              </w:rPr>
              <w:t>Arbusto</w:t>
            </w:r>
          </w:p>
        </w:tc>
      </w:tr>
      <w:tr>
        <w:trPr>
          <w:trHeight w:val="307" w:hRule="exact"/>
        </w:trPr>
        <w:tc>
          <w:tcPr>
            <w:tcW w:w="2195" w:type="dxa"/>
          </w:tcPr>
          <w:p>
            <w:pPr>
              <w:pStyle w:val="TableParagraph"/>
              <w:spacing w:line="272" w:lineRule="exact"/>
              <w:ind w:left="105"/>
              <w:rPr>
                <w:sz w:val="24"/>
              </w:rPr>
            </w:pPr>
            <w:r>
              <w:rPr>
                <w:sz w:val="24"/>
              </w:rPr>
              <w:t>Celastraceae</w:t>
            </w:r>
          </w:p>
        </w:tc>
        <w:tc>
          <w:tcPr>
            <w:tcW w:w="4864" w:type="dxa"/>
          </w:tcPr>
          <w:p>
            <w:pPr>
              <w:pStyle w:val="TableParagraph"/>
              <w:spacing w:line="272" w:lineRule="exact"/>
              <w:ind w:left="105"/>
              <w:rPr>
                <w:sz w:val="24"/>
              </w:rPr>
            </w:pPr>
            <w:r>
              <w:rPr>
                <w:i/>
                <w:sz w:val="24"/>
              </w:rPr>
              <w:t>Euonymus corymbosus </w:t>
            </w:r>
            <w:r>
              <w:rPr>
                <w:sz w:val="24"/>
              </w:rPr>
              <w:t>Sprague &amp; Bullock</w:t>
            </w:r>
          </w:p>
        </w:tc>
        <w:tc>
          <w:tcPr>
            <w:tcW w:w="2003" w:type="dxa"/>
          </w:tcPr>
          <w:p>
            <w:pPr>
              <w:pStyle w:val="TableParagraph"/>
              <w:spacing w:line="272" w:lineRule="exact"/>
              <w:ind w:left="126" w:right="126"/>
              <w:jc w:val="center"/>
              <w:rPr>
                <w:sz w:val="24"/>
              </w:rPr>
            </w:pPr>
            <w:r>
              <w:rPr>
                <w:sz w:val="24"/>
              </w:rPr>
              <w:t>Árbol</w:t>
            </w:r>
          </w:p>
        </w:tc>
      </w:tr>
      <w:tr>
        <w:trPr>
          <w:trHeight w:val="312" w:hRule="exact"/>
        </w:trPr>
        <w:tc>
          <w:tcPr>
            <w:tcW w:w="2195" w:type="dxa"/>
          </w:tcPr>
          <w:p>
            <w:pPr>
              <w:pStyle w:val="TableParagraph"/>
              <w:ind w:left="105"/>
              <w:rPr>
                <w:sz w:val="24"/>
              </w:rPr>
            </w:pPr>
            <w:r>
              <w:rPr>
                <w:sz w:val="24"/>
              </w:rPr>
              <w:t>Clethraceae</w:t>
            </w:r>
          </w:p>
        </w:tc>
        <w:tc>
          <w:tcPr>
            <w:tcW w:w="4864" w:type="dxa"/>
          </w:tcPr>
          <w:p>
            <w:pPr>
              <w:pStyle w:val="TableParagraph"/>
              <w:ind w:left="105"/>
              <w:rPr>
                <w:i/>
                <w:sz w:val="24"/>
              </w:rPr>
            </w:pPr>
            <w:r>
              <w:rPr>
                <w:i/>
                <w:sz w:val="24"/>
              </w:rPr>
              <w:t>Clethra sp.</w:t>
            </w:r>
          </w:p>
        </w:tc>
        <w:tc>
          <w:tcPr>
            <w:tcW w:w="2003" w:type="dxa"/>
          </w:tcPr>
          <w:p>
            <w:pPr>
              <w:pStyle w:val="TableParagraph"/>
              <w:ind w:left="126" w:right="126"/>
              <w:jc w:val="center"/>
              <w:rPr>
                <w:sz w:val="24"/>
              </w:rPr>
            </w:pPr>
            <w:r>
              <w:rPr>
                <w:sz w:val="24"/>
              </w:rPr>
              <w:t>Árbol</w:t>
            </w:r>
          </w:p>
        </w:tc>
      </w:tr>
      <w:tr>
        <w:trPr>
          <w:trHeight w:val="312" w:hRule="exact"/>
        </w:trPr>
        <w:tc>
          <w:tcPr>
            <w:tcW w:w="2195" w:type="dxa"/>
          </w:tcPr>
          <w:p>
            <w:pPr>
              <w:pStyle w:val="TableParagraph"/>
              <w:spacing w:line="272" w:lineRule="exact"/>
              <w:ind w:left="105"/>
              <w:rPr>
                <w:sz w:val="24"/>
              </w:rPr>
            </w:pPr>
            <w:r>
              <w:rPr>
                <w:sz w:val="24"/>
              </w:rPr>
              <w:t>Clusiaceae</w:t>
            </w:r>
          </w:p>
        </w:tc>
        <w:tc>
          <w:tcPr>
            <w:tcW w:w="4864" w:type="dxa"/>
          </w:tcPr>
          <w:p>
            <w:pPr>
              <w:pStyle w:val="TableParagraph"/>
              <w:spacing w:line="272" w:lineRule="exact"/>
              <w:ind w:left="105"/>
              <w:rPr>
                <w:sz w:val="24"/>
              </w:rPr>
            </w:pPr>
            <w:r>
              <w:rPr>
                <w:i/>
                <w:sz w:val="24"/>
              </w:rPr>
              <w:t>Clusia salvinii </w:t>
            </w:r>
            <w:r>
              <w:rPr>
                <w:sz w:val="24"/>
              </w:rPr>
              <w:t>Donn. Sm.</w:t>
            </w:r>
          </w:p>
        </w:tc>
        <w:tc>
          <w:tcPr>
            <w:tcW w:w="2003" w:type="dxa"/>
          </w:tcPr>
          <w:p>
            <w:pPr>
              <w:pStyle w:val="TableParagraph"/>
              <w:spacing w:line="272" w:lineRule="exact"/>
              <w:ind w:left="126" w:right="126"/>
              <w:jc w:val="center"/>
              <w:rPr>
                <w:sz w:val="24"/>
              </w:rPr>
            </w:pPr>
            <w:r>
              <w:rPr>
                <w:sz w:val="24"/>
              </w:rPr>
              <w:t>Árbol</w:t>
            </w:r>
          </w:p>
        </w:tc>
      </w:tr>
      <w:tr>
        <w:trPr>
          <w:trHeight w:val="307" w:hRule="exact"/>
        </w:trPr>
        <w:tc>
          <w:tcPr>
            <w:tcW w:w="2195" w:type="dxa"/>
            <w:vMerge w:val="restart"/>
          </w:tcPr>
          <w:p>
            <w:pPr>
              <w:pStyle w:val="TableParagraph"/>
              <w:spacing w:before="159"/>
              <w:ind w:left="105"/>
              <w:rPr>
                <w:sz w:val="24"/>
              </w:rPr>
            </w:pPr>
            <w:r>
              <w:rPr>
                <w:sz w:val="24"/>
              </w:rPr>
              <w:t>Crassulaceae</w:t>
            </w:r>
          </w:p>
        </w:tc>
        <w:tc>
          <w:tcPr>
            <w:tcW w:w="4864" w:type="dxa"/>
          </w:tcPr>
          <w:p>
            <w:pPr>
              <w:pStyle w:val="TableParagraph"/>
              <w:spacing w:line="272" w:lineRule="exact"/>
              <w:ind w:left="105"/>
              <w:rPr>
                <w:sz w:val="24"/>
              </w:rPr>
            </w:pPr>
            <w:r>
              <w:rPr>
                <w:i/>
                <w:sz w:val="24"/>
              </w:rPr>
              <w:t>Kalanchoe pinnata </w:t>
            </w:r>
            <w:r>
              <w:rPr>
                <w:sz w:val="24"/>
              </w:rPr>
              <w:t>(Lam.) Pers.</w:t>
            </w:r>
          </w:p>
        </w:tc>
        <w:tc>
          <w:tcPr>
            <w:tcW w:w="2003" w:type="dxa"/>
          </w:tcPr>
          <w:p>
            <w:pPr>
              <w:pStyle w:val="TableParagraph"/>
              <w:spacing w:line="272" w:lineRule="exact"/>
              <w:ind w:left="127" w:right="126"/>
              <w:jc w:val="center"/>
              <w:rPr>
                <w:sz w:val="24"/>
              </w:rPr>
            </w:pPr>
            <w:r>
              <w:rPr>
                <w:sz w:val="24"/>
              </w:rPr>
              <w:t>Herbácea</w:t>
            </w:r>
          </w:p>
        </w:tc>
      </w:tr>
      <w:tr>
        <w:trPr>
          <w:trHeight w:val="312" w:hRule="exact"/>
        </w:trPr>
        <w:tc>
          <w:tcPr>
            <w:tcW w:w="2195" w:type="dxa"/>
            <w:vMerge/>
          </w:tcPr>
          <w:p>
            <w:pPr/>
          </w:p>
        </w:tc>
        <w:tc>
          <w:tcPr>
            <w:tcW w:w="4864" w:type="dxa"/>
          </w:tcPr>
          <w:p>
            <w:pPr>
              <w:pStyle w:val="TableParagraph"/>
              <w:spacing w:line="272" w:lineRule="exact"/>
              <w:ind w:left="105"/>
              <w:rPr>
                <w:sz w:val="24"/>
              </w:rPr>
            </w:pPr>
            <w:r>
              <w:rPr>
                <w:i/>
                <w:sz w:val="24"/>
              </w:rPr>
              <w:t>Kalanchoe blossfeldiana </w:t>
            </w:r>
            <w:r>
              <w:rPr>
                <w:sz w:val="24"/>
              </w:rPr>
              <w:t>Poelln.</w:t>
            </w:r>
          </w:p>
        </w:tc>
        <w:tc>
          <w:tcPr>
            <w:tcW w:w="2003" w:type="dxa"/>
          </w:tcPr>
          <w:p>
            <w:pPr>
              <w:pStyle w:val="TableParagraph"/>
              <w:spacing w:line="272" w:lineRule="exact"/>
              <w:ind w:left="127" w:right="126"/>
              <w:jc w:val="center"/>
              <w:rPr>
                <w:sz w:val="24"/>
              </w:rPr>
            </w:pPr>
            <w:r>
              <w:rPr>
                <w:sz w:val="24"/>
              </w:rPr>
              <w:t>Herbácea</w:t>
            </w:r>
          </w:p>
        </w:tc>
      </w:tr>
      <w:tr>
        <w:trPr>
          <w:trHeight w:val="307" w:hRule="exact"/>
        </w:trPr>
        <w:tc>
          <w:tcPr>
            <w:tcW w:w="2195" w:type="dxa"/>
            <w:vMerge w:val="restart"/>
          </w:tcPr>
          <w:p>
            <w:pPr>
              <w:pStyle w:val="TableParagraph"/>
              <w:spacing w:before="6"/>
              <w:rPr>
                <w:sz w:val="27"/>
              </w:rPr>
            </w:pPr>
          </w:p>
          <w:p>
            <w:pPr>
              <w:pStyle w:val="TableParagraph"/>
              <w:spacing w:before="1"/>
              <w:ind w:left="105"/>
              <w:rPr>
                <w:sz w:val="24"/>
              </w:rPr>
            </w:pPr>
            <w:r>
              <w:rPr>
                <w:sz w:val="24"/>
              </w:rPr>
              <w:t>**Cupressaceae</w:t>
            </w:r>
          </w:p>
        </w:tc>
        <w:tc>
          <w:tcPr>
            <w:tcW w:w="4864" w:type="dxa"/>
          </w:tcPr>
          <w:p>
            <w:pPr>
              <w:pStyle w:val="TableParagraph"/>
              <w:spacing w:line="272" w:lineRule="exact"/>
              <w:ind w:left="105"/>
              <w:rPr>
                <w:sz w:val="24"/>
              </w:rPr>
            </w:pPr>
            <w:r>
              <w:rPr>
                <w:i/>
                <w:sz w:val="24"/>
              </w:rPr>
              <w:t>Taxodium mucronatum </w:t>
            </w:r>
            <w:r>
              <w:rPr>
                <w:sz w:val="24"/>
              </w:rPr>
              <w:t>Ten.</w:t>
            </w:r>
          </w:p>
        </w:tc>
        <w:tc>
          <w:tcPr>
            <w:tcW w:w="2003" w:type="dxa"/>
          </w:tcPr>
          <w:p>
            <w:pPr>
              <w:pStyle w:val="TableParagraph"/>
              <w:spacing w:line="272" w:lineRule="exact"/>
              <w:ind w:left="126" w:right="126"/>
              <w:jc w:val="center"/>
              <w:rPr>
                <w:sz w:val="24"/>
              </w:rPr>
            </w:pPr>
            <w:r>
              <w:rPr>
                <w:sz w:val="24"/>
              </w:rPr>
              <w:t>Árbol</w:t>
            </w:r>
          </w:p>
        </w:tc>
      </w:tr>
      <w:tr>
        <w:trPr>
          <w:trHeight w:val="312" w:hRule="exact"/>
        </w:trPr>
        <w:tc>
          <w:tcPr>
            <w:tcW w:w="2195" w:type="dxa"/>
            <w:vMerge/>
          </w:tcPr>
          <w:p>
            <w:pPr/>
          </w:p>
        </w:tc>
        <w:tc>
          <w:tcPr>
            <w:tcW w:w="4864" w:type="dxa"/>
          </w:tcPr>
          <w:p>
            <w:pPr>
              <w:pStyle w:val="TableParagraph"/>
              <w:spacing w:line="272" w:lineRule="exact"/>
              <w:ind w:left="105"/>
              <w:rPr>
                <w:sz w:val="24"/>
              </w:rPr>
            </w:pPr>
            <w:r>
              <w:rPr>
                <w:i/>
                <w:sz w:val="24"/>
              </w:rPr>
              <w:t>Cupressus lusitanica </w:t>
            </w:r>
            <w:r>
              <w:rPr>
                <w:sz w:val="24"/>
              </w:rPr>
              <w:t>Mill.</w:t>
            </w:r>
          </w:p>
        </w:tc>
        <w:tc>
          <w:tcPr>
            <w:tcW w:w="2003" w:type="dxa"/>
          </w:tcPr>
          <w:p>
            <w:pPr>
              <w:pStyle w:val="TableParagraph"/>
              <w:spacing w:line="272" w:lineRule="exact"/>
              <w:ind w:left="126" w:right="126"/>
              <w:jc w:val="center"/>
              <w:rPr>
                <w:sz w:val="24"/>
              </w:rPr>
            </w:pPr>
            <w:r>
              <w:rPr>
                <w:sz w:val="24"/>
              </w:rPr>
              <w:t>Árbol</w:t>
            </w:r>
          </w:p>
        </w:tc>
      </w:tr>
      <w:tr>
        <w:trPr>
          <w:trHeight w:val="313" w:hRule="exact"/>
        </w:trPr>
        <w:tc>
          <w:tcPr>
            <w:tcW w:w="2195" w:type="dxa"/>
            <w:vMerge/>
          </w:tcPr>
          <w:p>
            <w:pPr/>
          </w:p>
        </w:tc>
        <w:tc>
          <w:tcPr>
            <w:tcW w:w="4864" w:type="dxa"/>
          </w:tcPr>
          <w:p>
            <w:pPr>
              <w:pStyle w:val="TableParagraph"/>
              <w:spacing w:line="272" w:lineRule="exact"/>
              <w:ind w:left="105"/>
              <w:rPr>
                <w:sz w:val="24"/>
              </w:rPr>
            </w:pPr>
            <w:r>
              <w:rPr>
                <w:i/>
                <w:sz w:val="24"/>
              </w:rPr>
              <w:t>Juniperus flaccida </w:t>
            </w:r>
            <w:r>
              <w:rPr>
                <w:sz w:val="24"/>
              </w:rPr>
              <w:t>Schltdl</w:t>
            </w:r>
          </w:p>
        </w:tc>
        <w:tc>
          <w:tcPr>
            <w:tcW w:w="2003" w:type="dxa"/>
          </w:tcPr>
          <w:p>
            <w:pPr>
              <w:pStyle w:val="TableParagraph"/>
              <w:spacing w:line="272" w:lineRule="exact"/>
              <w:ind w:left="126" w:right="126"/>
              <w:jc w:val="center"/>
              <w:rPr>
                <w:sz w:val="24"/>
              </w:rPr>
            </w:pPr>
            <w:r>
              <w:rPr>
                <w:sz w:val="24"/>
              </w:rPr>
              <w:t>Árbol</w:t>
            </w:r>
          </w:p>
        </w:tc>
      </w:tr>
    </w:tbl>
    <w:p>
      <w:pPr>
        <w:spacing w:after="0" w:line="272" w:lineRule="exact"/>
        <w:jc w:val="center"/>
        <w:rPr>
          <w:sz w:val="24"/>
        </w:rPr>
        <w:sectPr>
          <w:pgSz w:w="12240" w:h="15840"/>
          <w:pgMar w:header="685" w:footer="1146" w:top="880" w:bottom="13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5"/>
        <w:gridCol w:w="4960"/>
        <w:gridCol w:w="2147"/>
      </w:tblGrid>
      <w:tr>
        <w:trPr>
          <w:trHeight w:val="471" w:hRule="exact"/>
        </w:trPr>
        <w:tc>
          <w:tcPr>
            <w:tcW w:w="9062" w:type="dxa"/>
            <w:gridSpan w:val="3"/>
            <w:tcBorders>
              <w:bottom w:val="single" w:sz="4" w:space="0" w:color="000000"/>
            </w:tcBorders>
          </w:tcPr>
          <w:p>
            <w:pPr>
              <w:pStyle w:val="TableParagraph"/>
              <w:ind w:left="4014" w:right="473" w:hanging="3525"/>
              <w:rPr>
                <w:b/>
                <w:i/>
                <w:sz w:val="20"/>
              </w:rPr>
            </w:pPr>
            <w:r>
              <w:rPr>
                <w:b/>
                <w:i/>
                <w:sz w:val="20"/>
              </w:rPr>
              <w:t>Anexo 3. Listado de especies identificadas del Parque Universitario “Las Orquídeas” </w:t>
            </w:r>
            <w:r>
              <w:rPr>
                <w:b/>
                <w:i/>
                <w:sz w:val="20"/>
              </w:rPr>
              <w:t>(continúa).</w:t>
            </w:r>
          </w:p>
        </w:tc>
      </w:tr>
      <w:tr>
        <w:trPr>
          <w:trHeight w:val="307" w:hRule="exact"/>
        </w:trPr>
        <w:tc>
          <w:tcPr>
            <w:tcW w:w="1955" w:type="dxa"/>
            <w:tcBorders>
              <w:top w:val="single" w:sz="4" w:space="0" w:color="000000"/>
            </w:tcBorders>
          </w:tcPr>
          <w:p>
            <w:pPr>
              <w:pStyle w:val="TableParagraph"/>
              <w:spacing w:line="248" w:lineRule="exact"/>
              <w:ind w:left="590"/>
              <w:rPr>
                <w:b/>
                <w:i/>
                <w:sz w:val="22"/>
              </w:rPr>
            </w:pPr>
            <w:r>
              <w:rPr>
                <w:b/>
                <w:i/>
                <w:sz w:val="22"/>
              </w:rPr>
              <w:t>Familia</w:t>
            </w:r>
          </w:p>
        </w:tc>
        <w:tc>
          <w:tcPr>
            <w:tcW w:w="4960" w:type="dxa"/>
            <w:tcBorders>
              <w:top w:val="single" w:sz="4" w:space="0" w:color="000000"/>
            </w:tcBorders>
          </w:tcPr>
          <w:p>
            <w:pPr>
              <w:pStyle w:val="TableParagraph"/>
              <w:spacing w:line="248" w:lineRule="exact"/>
              <w:ind w:left="2045" w:right="2034"/>
              <w:jc w:val="center"/>
              <w:rPr>
                <w:b/>
                <w:i/>
                <w:sz w:val="22"/>
              </w:rPr>
            </w:pPr>
            <w:r>
              <w:rPr>
                <w:b/>
                <w:i/>
                <w:sz w:val="22"/>
              </w:rPr>
              <w:t>Especie</w:t>
            </w:r>
          </w:p>
        </w:tc>
        <w:tc>
          <w:tcPr>
            <w:tcW w:w="2147" w:type="dxa"/>
            <w:tcBorders>
              <w:top w:val="single" w:sz="4" w:space="0" w:color="000000"/>
            </w:tcBorders>
          </w:tcPr>
          <w:p>
            <w:pPr>
              <w:pStyle w:val="TableParagraph"/>
              <w:spacing w:line="248" w:lineRule="exact"/>
              <w:ind w:left="198" w:right="199"/>
              <w:jc w:val="center"/>
              <w:rPr>
                <w:b/>
                <w:i/>
                <w:sz w:val="22"/>
              </w:rPr>
            </w:pPr>
            <w:r>
              <w:rPr>
                <w:b/>
                <w:i/>
                <w:sz w:val="22"/>
              </w:rPr>
              <w:t>Forma biológica</w:t>
            </w:r>
          </w:p>
        </w:tc>
      </w:tr>
      <w:tr>
        <w:trPr>
          <w:trHeight w:val="307" w:hRule="exact"/>
        </w:trPr>
        <w:tc>
          <w:tcPr>
            <w:tcW w:w="1955" w:type="dxa"/>
            <w:vMerge w:val="restart"/>
          </w:tcPr>
          <w:p>
            <w:pPr>
              <w:pStyle w:val="TableParagraph"/>
              <w:spacing w:line="272" w:lineRule="exact"/>
              <w:ind w:left="105"/>
              <w:rPr>
                <w:sz w:val="24"/>
              </w:rPr>
            </w:pPr>
            <w:r>
              <w:rPr>
                <w:sz w:val="24"/>
              </w:rPr>
              <w:t>Euphorbiaceae</w:t>
            </w:r>
          </w:p>
        </w:tc>
        <w:tc>
          <w:tcPr>
            <w:tcW w:w="4960" w:type="dxa"/>
            <w:tcBorders>
              <w:bottom w:val="nil"/>
            </w:tcBorders>
          </w:tcPr>
          <w:p>
            <w:pPr>
              <w:pStyle w:val="TableParagraph"/>
              <w:spacing w:line="272" w:lineRule="exact"/>
              <w:ind w:left="105"/>
              <w:rPr>
                <w:sz w:val="24"/>
              </w:rPr>
            </w:pPr>
            <w:r>
              <w:rPr>
                <w:i/>
                <w:sz w:val="24"/>
              </w:rPr>
              <w:t>Ricinus communis </w:t>
            </w:r>
            <w:r>
              <w:rPr>
                <w:sz w:val="24"/>
              </w:rPr>
              <w:t>L.</w:t>
            </w:r>
          </w:p>
        </w:tc>
        <w:tc>
          <w:tcPr>
            <w:tcW w:w="2147" w:type="dxa"/>
            <w:tcBorders>
              <w:bottom w:val="nil"/>
            </w:tcBorders>
          </w:tcPr>
          <w:p>
            <w:pPr>
              <w:pStyle w:val="TableParagraph"/>
              <w:spacing w:line="272" w:lineRule="exact"/>
              <w:ind w:left="198" w:right="199"/>
              <w:jc w:val="center"/>
              <w:rPr>
                <w:sz w:val="24"/>
              </w:rPr>
            </w:pPr>
            <w:r>
              <w:rPr>
                <w:sz w:val="24"/>
              </w:rPr>
              <w:t>Arbusto</w:t>
            </w:r>
          </w:p>
        </w:tc>
      </w:tr>
      <w:tr>
        <w:trPr>
          <w:trHeight w:val="310" w:hRule="exact"/>
        </w:trPr>
        <w:tc>
          <w:tcPr>
            <w:tcW w:w="1955" w:type="dxa"/>
            <w:vMerge/>
          </w:tcPr>
          <w:p>
            <w:pPr/>
          </w:p>
        </w:tc>
        <w:tc>
          <w:tcPr>
            <w:tcW w:w="4960" w:type="dxa"/>
            <w:tcBorders>
              <w:top w:val="nil"/>
              <w:bottom w:val="nil"/>
            </w:tcBorders>
          </w:tcPr>
          <w:p>
            <w:pPr>
              <w:pStyle w:val="TableParagraph"/>
              <w:spacing w:before="5"/>
              <w:ind w:left="105"/>
              <w:rPr>
                <w:sz w:val="24"/>
              </w:rPr>
            </w:pPr>
            <w:r>
              <w:rPr>
                <w:i/>
                <w:sz w:val="24"/>
              </w:rPr>
              <w:t>Cnidoscolus chayamansa </w:t>
            </w:r>
            <w:r>
              <w:rPr>
                <w:sz w:val="24"/>
              </w:rPr>
              <w:t>McVaugh</w:t>
            </w:r>
          </w:p>
        </w:tc>
        <w:tc>
          <w:tcPr>
            <w:tcW w:w="2147" w:type="dxa"/>
            <w:tcBorders>
              <w:top w:val="nil"/>
              <w:bottom w:val="nil"/>
            </w:tcBorders>
          </w:tcPr>
          <w:p>
            <w:pPr>
              <w:pStyle w:val="TableParagraph"/>
              <w:spacing w:before="5"/>
              <w:ind w:left="198" w:right="197"/>
              <w:jc w:val="center"/>
              <w:rPr>
                <w:sz w:val="24"/>
              </w:rPr>
            </w:pPr>
            <w:r>
              <w:rPr>
                <w:sz w:val="24"/>
              </w:rPr>
              <w:t>Herbácea</w:t>
            </w:r>
          </w:p>
        </w:tc>
      </w:tr>
      <w:tr>
        <w:trPr>
          <w:trHeight w:val="310" w:hRule="exact"/>
        </w:trPr>
        <w:tc>
          <w:tcPr>
            <w:tcW w:w="1955" w:type="dxa"/>
            <w:vMerge/>
          </w:tcPr>
          <w:p>
            <w:pPr/>
          </w:p>
        </w:tc>
        <w:tc>
          <w:tcPr>
            <w:tcW w:w="4960" w:type="dxa"/>
            <w:tcBorders>
              <w:top w:val="nil"/>
              <w:bottom w:val="nil"/>
            </w:tcBorders>
          </w:tcPr>
          <w:p>
            <w:pPr>
              <w:pStyle w:val="TableParagraph"/>
              <w:spacing w:before="3"/>
              <w:ind w:left="105"/>
              <w:rPr>
                <w:sz w:val="24"/>
              </w:rPr>
            </w:pPr>
            <w:r>
              <w:rPr>
                <w:i/>
                <w:sz w:val="24"/>
              </w:rPr>
              <w:t>Euphorbia cotinifolia </w:t>
            </w:r>
            <w:r>
              <w:rPr>
                <w:sz w:val="24"/>
              </w:rPr>
              <w:t>L.</w:t>
            </w:r>
          </w:p>
        </w:tc>
        <w:tc>
          <w:tcPr>
            <w:tcW w:w="2147" w:type="dxa"/>
            <w:tcBorders>
              <w:top w:val="nil"/>
              <w:bottom w:val="nil"/>
            </w:tcBorders>
          </w:tcPr>
          <w:p>
            <w:pPr>
              <w:pStyle w:val="TableParagraph"/>
              <w:spacing w:before="3"/>
              <w:ind w:left="198" w:right="199"/>
              <w:jc w:val="center"/>
              <w:rPr>
                <w:sz w:val="24"/>
              </w:rPr>
            </w:pPr>
            <w:r>
              <w:rPr>
                <w:sz w:val="24"/>
              </w:rPr>
              <w:t>Arbusto</w:t>
            </w:r>
          </w:p>
        </w:tc>
      </w:tr>
      <w:tr>
        <w:trPr>
          <w:trHeight w:val="312" w:hRule="exact"/>
        </w:trPr>
        <w:tc>
          <w:tcPr>
            <w:tcW w:w="1955" w:type="dxa"/>
            <w:vMerge/>
          </w:tcPr>
          <w:p>
            <w:pPr/>
          </w:p>
        </w:tc>
        <w:tc>
          <w:tcPr>
            <w:tcW w:w="4960" w:type="dxa"/>
            <w:tcBorders>
              <w:top w:val="nil"/>
            </w:tcBorders>
          </w:tcPr>
          <w:p>
            <w:pPr>
              <w:pStyle w:val="TableParagraph"/>
              <w:spacing w:before="5"/>
              <w:ind w:left="105"/>
              <w:rPr>
                <w:sz w:val="24"/>
              </w:rPr>
            </w:pPr>
            <w:r>
              <w:rPr>
                <w:i/>
                <w:sz w:val="24"/>
              </w:rPr>
              <w:t>Euphorbia pulcherrima </w:t>
            </w:r>
            <w:r>
              <w:rPr>
                <w:sz w:val="24"/>
              </w:rPr>
              <w:t>Willd. ex Klotzsch</w:t>
            </w:r>
          </w:p>
        </w:tc>
        <w:tc>
          <w:tcPr>
            <w:tcW w:w="2147" w:type="dxa"/>
            <w:tcBorders>
              <w:top w:val="nil"/>
            </w:tcBorders>
          </w:tcPr>
          <w:p>
            <w:pPr>
              <w:pStyle w:val="TableParagraph"/>
              <w:spacing w:before="5"/>
              <w:ind w:left="198" w:right="199"/>
              <w:jc w:val="center"/>
              <w:rPr>
                <w:sz w:val="24"/>
              </w:rPr>
            </w:pPr>
            <w:r>
              <w:rPr>
                <w:sz w:val="24"/>
              </w:rPr>
              <w:t>Arbusto</w:t>
            </w:r>
          </w:p>
        </w:tc>
      </w:tr>
      <w:tr>
        <w:trPr>
          <w:trHeight w:val="312" w:hRule="exact"/>
        </w:trPr>
        <w:tc>
          <w:tcPr>
            <w:tcW w:w="1955" w:type="dxa"/>
            <w:vMerge w:val="restart"/>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1"/>
              </w:rPr>
            </w:pPr>
          </w:p>
          <w:p>
            <w:pPr>
              <w:pStyle w:val="TableParagraph"/>
              <w:ind w:left="105"/>
              <w:rPr>
                <w:sz w:val="24"/>
              </w:rPr>
            </w:pPr>
            <w:r>
              <w:rPr>
                <w:sz w:val="24"/>
              </w:rPr>
              <w:t>Fabaceae</w:t>
            </w:r>
          </w:p>
        </w:tc>
        <w:tc>
          <w:tcPr>
            <w:tcW w:w="4960" w:type="dxa"/>
          </w:tcPr>
          <w:p>
            <w:pPr>
              <w:pStyle w:val="TableParagraph"/>
              <w:ind w:left="105"/>
              <w:rPr>
                <w:sz w:val="24"/>
              </w:rPr>
            </w:pPr>
            <w:r>
              <w:rPr>
                <w:i/>
                <w:sz w:val="24"/>
              </w:rPr>
              <w:t>Acacia farnesiana </w:t>
            </w:r>
            <w:r>
              <w:rPr>
                <w:sz w:val="24"/>
              </w:rPr>
              <w:t>(L.) Willd.</w:t>
            </w:r>
          </w:p>
        </w:tc>
        <w:tc>
          <w:tcPr>
            <w:tcW w:w="2147" w:type="dxa"/>
          </w:tcPr>
          <w:p>
            <w:pPr>
              <w:pStyle w:val="TableParagraph"/>
              <w:ind w:left="198" w:right="199"/>
              <w:jc w:val="center"/>
              <w:rPr>
                <w:sz w:val="24"/>
              </w:rPr>
            </w:pPr>
            <w:r>
              <w:rPr>
                <w:sz w:val="24"/>
              </w:rPr>
              <w:t>Arbusto</w:t>
            </w:r>
          </w:p>
        </w:tc>
      </w:tr>
      <w:tr>
        <w:trPr>
          <w:trHeight w:val="312" w:hRule="exact"/>
        </w:trPr>
        <w:tc>
          <w:tcPr>
            <w:tcW w:w="1955" w:type="dxa"/>
            <w:vMerge/>
          </w:tcPr>
          <w:p>
            <w:pPr/>
          </w:p>
        </w:tc>
        <w:tc>
          <w:tcPr>
            <w:tcW w:w="4960" w:type="dxa"/>
          </w:tcPr>
          <w:p>
            <w:pPr>
              <w:pStyle w:val="TableParagraph"/>
              <w:spacing w:before="19"/>
              <w:ind w:left="105"/>
              <w:rPr>
                <w:sz w:val="24"/>
              </w:rPr>
            </w:pPr>
            <w:r>
              <w:rPr>
                <w:i/>
                <w:sz w:val="24"/>
              </w:rPr>
              <w:t>Amicia zygomeris </w:t>
            </w:r>
            <w:r>
              <w:rPr>
                <w:sz w:val="24"/>
              </w:rPr>
              <w:t>DC.</w:t>
            </w:r>
          </w:p>
        </w:tc>
        <w:tc>
          <w:tcPr>
            <w:tcW w:w="2147" w:type="dxa"/>
          </w:tcPr>
          <w:p>
            <w:pPr>
              <w:pStyle w:val="TableParagraph"/>
              <w:spacing w:line="272" w:lineRule="exact"/>
              <w:ind w:left="198" w:right="197"/>
              <w:jc w:val="center"/>
              <w:rPr>
                <w:sz w:val="24"/>
              </w:rPr>
            </w:pPr>
            <w:r>
              <w:rPr>
                <w:sz w:val="24"/>
              </w:rPr>
              <w:t>Herbácea</w:t>
            </w:r>
          </w:p>
        </w:tc>
      </w:tr>
      <w:tr>
        <w:trPr>
          <w:trHeight w:val="562" w:hRule="exact"/>
        </w:trPr>
        <w:tc>
          <w:tcPr>
            <w:tcW w:w="1955" w:type="dxa"/>
            <w:vMerge/>
          </w:tcPr>
          <w:p>
            <w:pPr/>
          </w:p>
        </w:tc>
        <w:tc>
          <w:tcPr>
            <w:tcW w:w="4960" w:type="dxa"/>
          </w:tcPr>
          <w:p>
            <w:pPr>
              <w:pStyle w:val="TableParagraph"/>
              <w:spacing w:line="270" w:lineRule="exact"/>
              <w:ind w:left="105"/>
              <w:rPr>
                <w:i/>
                <w:sz w:val="24"/>
              </w:rPr>
            </w:pPr>
            <w:r>
              <w:rPr>
                <w:i/>
                <w:sz w:val="24"/>
              </w:rPr>
              <w:t>Acaciella   angustissima   var.  angustissima</w:t>
            </w:r>
          </w:p>
          <w:p>
            <w:pPr>
              <w:pStyle w:val="TableParagraph"/>
              <w:spacing w:line="275" w:lineRule="exact"/>
              <w:ind w:left="105"/>
              <w:rPr>
                <w:sz w:val="24"/>
              </w:rPr>
            </w:pPr>
            <w:r>
              <w:rPr>
                <w:sz w:val="24"/>
              </w:rPr>
              <w:t>(Mill) Britton y Rose</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Lysiloma acapulcense </w:t>
            </w:r>
            <w:r>
              <w:rPr>
                <w:sz w:val="24"/>
              </w:rPr>
              <w:t>(Kunth) Benth.</w:t>
            </w:r>
          </w:p>
        </w:tc>
        <w:tc>
          <w:tcPr>
            <w:tcW w:w="2147" w:type="dxa"/>
          </w:tcPr>
          <w:p>
            <w:pPr>
              <w:pStyle w:val="TableParagraph"/>
              <w:spacing w:line="272" w:lineRule="exact"/>
              <w:ind w:left="198" w:right="198"/>
              <w:jc w:val="center"/>
              <w:rPr>
                <w:sz w:val="24"/>
              </w:rPr>
            </w:pPr>
            <w:r>
              <w:rPr>
                <w:sz w:val="24"/>
              </w:rPr>
              <w:t>Árbol</w:t>
            </w:r>
          </w:p>
        </w:tc>
      </w:tr>
      <w:tr>
        <w:trPr>
          <w:trHeight w:val="313" w:hRule="exact"/>
        </w:trPr>
        <w:tc>
          <w:tcPr>
            <w:tcW w:w="1955" w:type="dxa"/>
            <w:vMerge/>
          </w:tcPr>
          <w:p>
            <w:pPr/>
          </w:p>
        </w:tc>
        <w:tc>
          <w:tcPr>
            <w:tcW w:w="4960" w:type="dxa"/>
          </w:tcPr>
          <w:p>
            <w:pPr>
              <w:pStyle w:val="TableParagraph"/>
              <w:spacing w:before="20"/>
              <w:ind w:left="105"/>
              <w:rPr>
                <w:sz w:val="24"/>
              </w:rPr>
            </w:pPr>
            <w:r>
              <w:rPr>
                <w:i/>
                <w:sz w:val="24"/>
              </w:rPr>
              <w:t>Calliandra grandiflora </w:t>
            </w:r>
            <w:r>
              <w:rPr>
                <w:sz w:val="24"/>
              </w:rPr>
              <w:t>(L' Hér.) Benth</w:t>
            </w:r>
          </w:p>
        </w:tc>
        <w:tc>
          <w:tcPr>
            <w:tcW w:w="2147" w:type="dxa"/>
          </w:tcPr>
          <w:p>
            <w:pPr>
              <w:pStyle w:val="TableParagraph"/>
              <w:spacing w:line="272" w:lineRule="exact"/>
              <w:ind w:left="198" w:right="199"/>
              <w:jc w:val="center"/>
              <w:rPr>
                <w:sz w:val="24"/>
              </w:rPr>
            </w:pPr>
            <w:r>
              <w:rPr>
                <w:sz w:val="24"/>
              </w:rPr>
              <w:t>Arbusto</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Inga hintonii </w:t>
            </w:r>
            <w:r>
              <w:rPr>
                <w:sz w:val="24"/>
              </w:rPr>
              <w:t>Sandwith</w:t>
            </w:r>
          </w:p>
        </w:tc>
        <w:tc>
          <w:tcPr>
            <w:tcW w:w="2147" w:type="dxa"/>
          </w:tcPr>
          <w:p>
            <w:pPr>
              <w:pStyle w:val="TableParagraph"/>
              <w:spacing w:line="272" w:lineRule="exact"/>
              <w:ind w:left="198" w:right="198"/>
              <w:jc w:val="center"/>
              <w:rPr>
                <w:sz w:val="24"/>
              </w:rPr>
            </w:pPr>
            <w:r>
              <w:rPr>
                <w:sz w:val="24"/>
              </w:rPr>
              <w:t>Árbol</w:t>
            </w:r>
          </w:p>
        </w:tc>
      </w:tr>
      <w:tr>
        <w:trPr>
          <w:trHeight w:val="566" w:hRule="exact"/>
        </w:trPr>
        <w:tc>
          <w:tcPr>
            <w:tcW w:w="1955" w:type="dxa"/>
            <w:vMerge/>
          </w:tcPr>
          <w:p>
            <w:pPr/>
          </w:p>
        </w:tc>
        <w:tc>
          <w:tcPr>
            <w:tcW w:w="4960" w:type="dxa"/>
          </w:tcPr>
          <w:p>
            <w:pPr>
              <w:pStyle w:val="TableParagraph"/>
              <w:spacing w:line="274" w:lineRule="exact" w:before="6"/>
              <w:ind w:left="105"/>
              <w:rPr>
                <w:sz w:val="24"/>
              </w:rPr>
            </w:pPr>
            <w:r>
              <w:rPr>
                <w:i/>
                <w:sz w:val="24"/>
              </w:rPr>
              <w:t>Mimosa albida var. albida </w:t>
            </w:r>
            <w:r>
              <w:rPr>
                <w:sz w:val="24"/>
              </w:rPr>
              <w:t>Humb &amp; Bonpl. ex Willd.</w:t>
            </w:r>
          </w:p>
        </w:tc>
        <w:tc>
          <w:tcPr>
            <w:tcW w:w="2147" w:type="dxa"/>
          </w:tcPr>
          <w:p>
            <w:pPr>
              <w:pStyle w:val="TableParagraph"/>
              <w:ind w:left="198" w:right="197"/>
              <w:jc w:val="center"/>
              <w:rPr>
                <w:sz w:val="24"/>
              </w:rPr>
            </w:pPr>
            <w:r>
              <w:rPr>
                <w:sz w:val="24"/>
              </w:rPr>
              <w:t>Herbácea</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Aeschynomene petraea </w:t>
            </w:r>
            <w:r>
              <w:rPr>
                <w:sz w:val="24"/>
              </w:rPr>
              <w:t>B.L. Rob.</w:t>
            </w:r>
          </w:p>
        </w:tc>
        <w:tc>
          <w:tcPr>
            <w:tcW w:w="2147" w:type="dxa"/>
          </w:tcPr>
          <w:p>
            <w:pPr>
              <w:pStyle w:val="TableParagraph"/>
              <w:spacing w:line="272" w:lineRule="exact"/>
              <w:ind w:left="198" w:right="199"/>
              <w:jc w:val="center"/>
              <w:rPr>
                <w:sz w:val="24"/>
              </w:rPr>
            </w:pPr>
            <w:r>
              <w:rPr>
                <w:sz w:val="24"/>
              </w:rPr>
              <w:t>Arbusto</w:t>
            </w:r>
          </w:p>
        </w:tc>
      </w:tr>
      <w:tr>
        <w:trPr>
          <w:trHeight w:val="312" w:hRule="exact"/>
        </w:trPr>
        <w:tc>
          <w:tcPr>
            <w:tcW w:w="1955" w:type="dxa"/>
            <w:vMerge w:val="restart"/>
          </w:tcPr>
          <w:p>
            <w:pPr>
              <w:pStyle w:val="TableParagraph"/>
              <w:spacing w:line="272" w:lineRule="exact"/>
              <w:ind w:left="105"/>
              <w:rPr>
                <w:sz w:val="24"/>
              </w:rPr>
            </w:pPr>
            <w:r>
              <w:rPr>
                <w:sz w:val="24"/>
              </w:rPr>
              <w:t>Fagaceaea</w:t>
            </w:r>
          </w:p>
        </w:tc>
        <w:tc>
          <w:tcPr>
            <w:tcW w:w="4960" w:type="dxa"/>
          </w:tcPr>
          <w:p>
            <w:pPr>
              <w:pStyle w:val="TableParagraph"/>
              <w:spacing w:line="272" w:lineRule="exact"/>
              <w:ind w:left="105"/>
              <w:rPr>
                <w:sz w:val="24"/>
              </w:rPr>
            </w:pPr>
            <w:r>
              <w:rPr>
                <w:i/>
                <w:sz w:val="24"/>
              </w:rPr>
              <w:t>Quercus peduncularis </w:t>
            </w:r>
            <w:r>
              <w:rPr>
                <w:sz w:val="24"/>
              </w:rPr>
              <w:t>Née</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vMerge/>
          </w:tcPr>
          <w:p>
            <w:pPr/>
          </w:p>
        </w:tc>
        <w:tc>
          <w:tcPr>
            <w:tcW w:w="4960" w:type="dxa"/>
          </w:tcPr>
          <w:p>
            <w:pPr>
              <w:pStyle w:val="TableParagraph"/>
              <w:spacing w:line="272" w:lineRule="exact"/>
              <w:ind w:left="105"/>
              <w:rPr>
                <w:sz w:val="24"/>
              </w:rPr>
            </w:pPr>
            <w:r>
              <w:rPr>
                <w:i/>
                <w:sz w:val="24"/>
              </w:rPr>
              <w:t>Quercus scytophylla </w:t>
            </w:r>
            <w:r>
              <w:rPr>
                <w:sz w:val="24"/>
              </w:rPr>
              <w:t>Liebm</w:t>
            </w:r>
          </w:p>
        </w:tc>
        <w:tc>
          <w:tcPr>
            <w:tcW w:w="2147" w:type="dxa"/>
          </w:tcPr>
          <w:p>
            <w:pPr>
              <w:pStyle w:val="TableParagraph"/>
              <w:spacing w:line="272" w:lineRule="exact"/>
              <w:ind w:left="198" w:right="198"/>
              <w:jc w:val="center"/>
              <w:rPr>
                <w:sz w:val="24"/>
              </w:rPr>
            </w:pPr>
            <w:r>
              <w:rPr>
                <w:sz w:val="24"/>
              </w:rPr>
              <w:t>Árbol</w:t>
            </w:r>
          </w:p>
        </w:tc>
      </w:tr>
      <w:tr>
        <w:trPr>
          <w:trHeight w:val="312" w:hRule="exact"/>
        </w:trPr>
        <w:tc>
          <w:tcPr>
            <w:tcW w:w="1955" w:type="dxa"/>
            <w:vMerge/>
          </w:tcPr>
          <w:p>
            <w:pPr/>
          </w:p>
        </w:tc>
        <w:tc>
          <w:tcPr>
            <w:tcW w:w="4960" w:type="dxa"/>
          </w:tcPr>
          <w:p>
            <w:pPr>
              <w:pStyle w:val="TableParagraph"/>
              <w:spacing w:line="243" w:lineRule="exact"/>
              <w:ind w:left="105"/>
              <w:rPr>
                <w:i/>
                <w:sz w:val="22"/>
              </w:rPr>
            </w:pPr>
            <w:r>
              <w:rPr>
                <w:i/>
                <w:sz w:val="22"/>
              </w:rPr>
              <w:t>Quercus sp.</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tcPr>
          <w:p>
            <w:pPr>
              <w:pStyle w:val="TableParagraph"/>
              <w:spacing w:line="272" w:lineRule="exact"/>
              <w:ind w:left="105"/>
              <w:rPr>
                <w:sz w:val="24"/>
              </w:rPr>
            </w:pPr>
            <w:r>
              <w:rPr>
                <w:sz w:val="24"/>
              </w:rPr>
              <w:t>Flacourtiaceae</w:t>
            </w:r>
          </w:p>
        </w:tc>
        <w:tc>
          <w:tcPr>
            <w:tcW w:w="4960" w:type="dxa"/>
          </w:tcPr>
          <w:p>
            <w:pPr>
              <w:pStyle w:val="TableParagraph"/>
              <w:spacing w:line="272" w:lineRule="exact"/>
              <w:ind w:left="105"/>
              <w:rPr>
                <w:sz w:val="24"/>
              </w:rPr>
            </w:pPr>
            <w:r>
              <w:rPr>
                <w:i/>
                <w:sz w:val="24"/>
              </w:rPr>
              <w:t>Xylosma flexuosum </w:t>
            </w:r>
            <w:r>
              <w:rPr>
                <w:sz w:val="24"/>
              </w:rPr>
              <w:t>(H. B. K.) Hemsl.</w:t>
            </w:r>
          </w:p>
        </w:tc>
        <w:tc>
          <w:tcPr>
            <w:tcW w:w="2147" w:type="dxa"/>
          </w:tcPr>
          <w:p>
            <w:pPr>
              <w:pStyle w:val="TableParagraph"/>
              <w:spacing w:line="272" w:lineRule="exact"/>
              <w:ind w:left="198" w:right="198"/>
              <w:jc w:val="center"/>
              <w:rPr>
                <w:sz w:val="24"/>
              </w:rPr>
            </w:pPr>
            <w:r>
              <w:rPr>
                <w:sz w:val="24"/>
              </w:rPr>
              <w:t>Árbol</w:t>
            </w:r>
          </w:p>
        </w:tc>
      </w:tr>
      <w:tr>
        <w:trPr>
          <w:trHeight w:val="312" w:hRule="exact"/>
        </w:trPr>
        <w:tc>
          <w:tcPr>
            <w:tcW w:w="1955" w:type="dxa"/>
          </w:tcPr>
          <w:p>
            <w:pPr>
              <w:pStyle w:val="TableParagraph"/>
              <w:spacing w:before="24"/>
              <w:ind w:left="105"/>
              <w:rPr>
                <w:sz w:val="24"/>
              </w:rPr>
            </w:pPr>
            <w:r>
              <w:rPr>
                <w:sz w:val="24"/>
              </w:rPr>
              <w:t>*Iridaceae</w:t>
            </w:r>
          </w:p>
        </w:tc>
        <w:tc>
          <w:tcPr>
            <w:tcW w:w="4960" w:type="dxa"/>
          </w:tcPr>
          <w:p>
            <w:pPr>
              <w:pStyle w:val="TableParagraph"/>
              <w:spacing w:before="24"/>
              <w:ind w:left="105"/>
              <w:rPr>
                <w:sz w:val="24"/>
              </w:rPr>
            </w:pPr>
            <w:r>
              <w:rPr>
                <w:i/>
                <w:sz w:val="24"/>
              </w:rPr>
              <w:t>Tigridia pavonia </w:t>
            </w:r>
            <w:r>
              <w:rPr>
                <w:sz w:val="24"/>
              </w:rPr>
              <w:t>(L. f.) DC.</w:t>
            </w:r>
          </w:p>
        </w:tc>
        <w:tc>
          <w:tcPr>
            <w:tcW w:w="2147" w:type="dxa"/>
          </w:tcPr>
          <w:p>
            <w:pPr>
              <w:pStyle w:val="TableParagraph"/>
              <w:ind w:left="198" w:right="197"/>
              <w:jc w:val="center"/>
              <w:rPr>
                <w:sz w:val="24"/>
              </w:rPr>
            </w:pPr>
            <w:r>
              <w:rPr>
                <w:sz w:val="24"/>
              </w:rPr>
              <w:t>Herbácea</w:t>
            </w:r>
          </w:p>
        </w:tc>
      </w:tr>
      <w:tr>
        <w:trPr>
          <w:trHeight w:val="312" w:hRule="exact"/>
        </w:trPr>
        <w:tc>
          <w:tcPr>
            <w:tcW w:w="1955"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105"/>
              <w:rPr>
                <w:sz w:val="24"/>
              </w:rPr>
            </w:pPr>
            <w:r>
              <w:rPr>
                <w:sz w:val="24"/>
              </w:rPr>
              <w:t>Lamiaceae</w:t>
            </w:r>
          </w:p>
        </w:tc>
        <w:tc>
          <w:tcPr>
            <w:tcW w:w="4960" w:type="dxa"/>
          </w:tcPr>
          <w:p>
            <w:pPr>
              <w:pStyle w:val="TableParagraph"/>
              <w:spacing w:before="20"/>
              <w:ind w:left="105"/>
              <w:rPr>
                <w:sz w:val="24"/>
              </w:rPr>
            </w:pPr>
            <w:r>
              <w:rPr>
                <w:i/>
                <w:sz w:val="24"/>
              </w:rPr>
              <w:t>Ocimum basilicum </w:t>
            </w:r>
            <w:r>
              <w:rPr>
                <w:sz w:val="24"/>
              </w:rPr>
              <w:t>L.</w:t>
            </w:r>
          </w:p>
        </w:tc>
        <w:tc>
          <w:tcPr>
            <w:tcW w:w="2147" w:type="dxa"/>
          </w:tcPr>
          <w:p>
            <w:pPr>
              <w:pStyle w:val="TableParagraph"/>
              <w:spacing w:line="272" w:lineRule="exact"/>
              <w:ind w:left="198" w:right="197"/>
              <w:jc w:val="center"/>
              <w:rPr>
                <w:sz w:val="24"/>
              </w:rPr>
            </w:pPr>
            <w:r>
              <w:rPr>
                <w:sz w:val="24"/>
              </w:rPr>
              <w:t>Herbácea</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Mentha arvensis </w:t>
            </w:r>
            <w:r>
              <w:rPr>
                <w:sz w:val="24"/>
              </w:rPr>
              <w:t>L.</w:t>
            </w:r>
          </w:p>
        </w:tc>
        <w:tc>
          <w:tcPr>
            <w:tcW w:w="2147" w:type="dxa"/>
          </w:tcPr>
          <w:p>
            <w:pPr>
              <w:pStyle w:val="TableParagraph"/>
              <w:spacing w:line="272" w:lineRule="exact"/>
              <w:ind w:left="198" w:right="197"/>
              <w:jc w:val="center"/>
              <w:rPr>
                <w:sz w:val="24"/>
              </w:rPr>
            </w:pPr>
            <w:r>
              <w:rPr>
                <w:sz w:val="24"/>
              </w:rPr>
              <w:t>Herbácea</w:t>
            </w:r>
          </w:p>
        </w:tc>
      </w:tr>
      <w:tr>
        <w:trPr>
          <w:trHeight w:val="312" w:hRule="exact"/>
        </w:trPr>
        <w:tc>
          <w:tcPr>
            <w:tcW w:w="1955" w:type="dxa"/>
            <w:vMerge/>
          </w:tcPr>
          <w:p>
            <w:pPr/>
          </w:p>
        </w:tc>
        <w:tc>
          <w:tcPr>
            <w:tcW w:w="4960" w:type="dxa"/>
          </w:tcPr>
          <w:p>
            <w:pPr>
              <w:pStyle w:val="TableParagraph"/>
              <w:spacing w:before="19"/>
              <w:ind w:left="105"/>
              <w:rPr>
                <w:sz w:val="24"/>
              </w:rPr>
            </w:pPr>
            <w:r>
              <w:rPr>
                <w:i/>
                <w:sz w:val="24"/>
              </w:rPr>
              <w:t>Origanum majorana </w:t>
            </w:r>
            <w:r>
              <w:rPr>
                <w:sz w:val="24"/>
              </w:rPr>
              <w:t>L.</w:t>
            </w:r>
          </w:p>
        </w:tc>
        <w:tc>
          <w:tcPr>
            <w:tcW w:w="2147" w:type="dxa"/>
          </w:tcPr>
          <w:p>
            <w:pPr>
              <w:pStyle w:val="TableParagraph"/>
              <w:spacing w:line="272" w:lineRule="exact"/>
              <w:ind w:left="198" w:right="197"/>
              <w:jc w:val="center"/>
              <w:rPr>
                <w:sz w:val="24"/>
              </w:rPr>
            </w:pPr>
            <w:r>
              <w:rPr>
                <w:sz w:val="24"/>
              </w:rPr>
              <w:t>Herbácea</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Rosmarinus officinalis </w:t>
            </w:r>
            <w:r>
              <w:rPr>
                <w:sz w:val="24"/>
              </w:rPr>
              <w:t>L.</w:t>
            </w:r>
          </w:p>
        </w:tc>
        <w:tc>
          <w:tcPr>
            <w:tcW w:w="2147" w:type="dxa"/>
          </w:tcPr>
          <w:p>
            <w:pPr>
              <w:pStyle w:val="TableParagraph"/>
              <w:spacing w:line="272" w:lineRule="exact"/>
              <w:ind w:left="198" w:right="197"/>
              <w:jc w:val="center"/>
              <w:rPr>
                <w:sz w:val="24"/>
              </w:rPr>
            </w:pPr>
            <w:r>
              <w:rPr>
                <w:sz w:val="24"/>
              </w:rPr>
              <w:t>Herbácea</w:t>
            </w:r>
          </w:p>
        </w:tc>
      </w:tr>
      <w:tr>
        <w:trPr>
          <w:trHeight w:val="313" w:hRule="exact"/>
        </w:trPr>
        <w:tc>
          <w:tcPr>
            <w:tcW w:w="1955" w:type="dxa"/>
            <w:vMerge/>
          </w:tcPr>
          <w:p>
            <w:pPr/>
          </w:p>
        </w:tc>
        <w:tc>
          <w:tcPr>
            <w:tcW w:w="4960" w:type="dxa"/>
          </w:tcPr>
          <w:p>
            <w:pPr>
              <w:pStyle w:val="TableParagraph"/>
              <w:spacing w:before="19"/>
              <w:ind w:left="105"/>
              <w:rPr>
                <w:sz w:val="24"/>
              </w:rPr>
            </w:pPr>
            <w:r>
              <w:rPr>
                <w:i/>
                <w:sz w:val="24"/>
              </w:rPr>
              <w:t>Melissa Officinalis </w:t>
            </w:r>
            <w:r>
              <w:rPr>
                <w:sz w:val="24"/>
              </w:rPr>
              <w:t>L.</w:t>
            </w:r>
          </w:p>
        </w:tc>
        <w:tc>
          <w:tcPr>
            <w:tcW w:w="2147" w:type="dxa"/>
          </w:tcPr>
          <w:p>
            <w:pPr>
              <w:pStyle w:val="TableParagraph"/>
              <w:spacing w:line="272" w:lineRule="exact"/>
              <w:ind w:left="198" w:right="196"/>
              <w:jc w:val="center"/>
              <w:rPr>
                <w:sz w:val="24"/>
              </w:rPr>
            </w:pPr>
            <w:r>
              <w:rPr>
                <w:sz w:val="24"/>
              </w:rPr>
              <w:t>Herbácea</w:t>
            </w:r>
          </w:p>
        </w:tc>
      </w:tr>
      <w:tr>
        <w:trPr>
          <w:trHeight w:val="312" w:hRule="exact"/>
        </w:trPr>
        <w:tc>
          <w:tcPr>
            <w:tcW w:w="1955" w:type="dxa"/>
            <w:vMerge/>
          </w:tcPr>
          <w:p>
            <w:pPr/>
          </w:p>
        </w:tc>
        <w:tc>
          <w:tcPr>
            <w:tcW w:w="4960" w:type="dxa"/>
          </w:tcPr>
          <w:p>
            <w:pPr>
              <w:pStyle w:val="TableParagraph"/>
              <w:spacing w:before="19"/>
              <w:ind w:left="105"/>
              <w:rPr>
                <w:sz w:val="24"/>
              </w:rPr>
            </w:pPr>
            <w:r>
              <w:rPr>
                <w:i/>
                <w:sz w:val="24"/>
              </w:rPr>
              <w:t>Salvia elegans </w:t>
            </w:r>
            <w:r>
              <w:rPr>
                <w:sz w:val="24"/>
              </w:rPr>
              <w:t>Vahl</w:t>
            </w:r>
          </w:p>
        </w:tc>
        <w:tc>
          <w:tcPr>
            <w:tcW w:w="2147" w:type="dxa"/>
          </w:tcPr>
          <w:p>
            <w:pPr>
              <w:pStyle w:val="TableParagraph"/>
              <w:spacing w:line="272" w:lineRule="exact"/>
              <w:ind w:left="198" w:right="197"/>
              <w:jc w:val="center"/>
              <w:rPr>
                <w:sz w:val="24"/>
              </w:rPr>
            </w:pPr>
            <w:r>
              <w:rPr>
                <w:sz w:val="24"/>
              </w:rPr>
              <w:t>Herbácea</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Agastache mexicana </w:t>
            </w:r>
            <w:r>
              <w:rPr>
                <w:sz w:val="24"/>
              </w:rPr>
              <w:t>(Kunth.) Lint &amp; Epling</w:t>
            </w:r>
          </w:p>
        </w:tc>
        <w:tc>
          <w:tcPr>
            <w:tcW w:w="2147" w:type="dxa"/>
          </w:tcPr>
          <w:p>
            <w:pPr>
              <w:pStyle w:val="TableParagraph"/>
              <w:spacing w:line="272" w:lineRule="exact"/>
              <w:ind w:left="198" w:right="197"/>
              <w:jc w:val="center"/>
              <w:rPr>
                <w:sz w:val="24"/>
              </w:rPr>
            </w:pPr>
            <w:r>
              <w:rPr>
                <w:sz w:val="24"/>
              </w:rPr>
              <w:t>Herbácea</w:t>
            </w:r>
          </w:p>
        </w:tc>
      </w:tr>
      <w:tr>
        <w:trPr>
          <w:trHeight w:val="312" w:hRule="exact"/>
        </w:trPr>
        <w:tc>
          <w:tcPr>
            <w:tcW w:w="1955" w:type="dxa"/>
            <w:vMerge w:val="restart"/>
          </w:tcPr>
          <w:p>
            <w:pPr>
              <w:pStyle w:val="TableParagraph"/>
              <w:spacing w:before="6"/>
              <w:rPr>
                <w:rFonts w:ascii="Times New Roman"/>
                <w:sz w:val="27"/>
              </w:rPr>
            </w:pPr>
          </w:p>
          <w:p>
            <w:pPr>
              <w:pStyle w:val="TableParagraph"/>
              <w:spacing w:before="1"/>
              <w:ind w:left="105"/>
              <w:rPr>
                <w:sz w:val="24"/>
              </w:rPr>
            </w:pPr>
            <w:r>
              <w:rPr>
                <w:sz w:val="24"/>
              </w:rPr>
              <w:t>Lauraceae</w:t>
            </w:r>
          </w:p>
        </w:tc>
        <w:tc>
          <w:tcPr>
            <w:tcW w:w="4960" w:type="dxa"/>
          </w:tcPr>
          <w:p>
            <w:pPr>
              <w:pStyle w:val="TableParagraph"/>
              <w:spacing w:before="19"/>
              <w:ind w:left="105"/>
              <w:rPr>
                <w:sz w:val="24"/>
              </w:rPr>
            </w:pPr>
            <w:r>
              <w:rPr>
                <w:i/>
                <w:sz w:val="24"/>
              </w:rPr>
              <w:t>Persea americana </w:t>
            </w:r>
            <w:r>
              <w:rPr>
                <w:sz w:val="24"/>
              </w:rPr>
              <w:t>Mill.</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Ocotea bourgeauviana </w:t>
            </w:r>
            <w:r>
              <w:rPr>
                <w:sz w:val="24"/>
              </w:rPr>
              <w:t>(Mez) van der Werff</w:t>
            </w:r>
          </w:p>
        </w:tc>
        <w:tc>
          <w:tcPr>
            <w:tcW w:w="2147" w:type="dxa"/>
          </w:tcPr>
          <w:p>
            <w:pPr>
              <w:pStyle w:val="TableParagraph"/>
              <w:spacing w:line="272" w:lineRule="exact"/>
              <w:ind w:left="198" w:right="198"/>
              <w:jc w:val="center"/>
              <w:rPr>
                <w:sz w:val="24"/>
              </w:rPr>
            </w:pPr>
            <w:r>
              <w:rPr>
                <w:sz w:val="24"/>
              </w:rPr>
              <w:t>Árbol</w:t>
            </w:r>
          </w:p>
        </w:tc>
      </w:tr>
      <w:tr>
        <w:trPr>
          <w:trHeight w:val="312" w:hRule="exact"/>
        </w:trPr>
        <w:tc>
          <w:tcPr>
            <w:tcW w:w="1955" w:type="dxa"/>
            <w:vMerge/>
          </w:tcPr>
          <w:p>
            <w:pPr/>
          </w:p>
        </w:tc>
        <w:tc>
          <w:tcPr>
            <w:tcW w:w="4960" w:type="dxa"/>
          </w:tcPr>
          <w:p>
            <w:pPr>
              <w:pStyle w:val="TableParagraph"/>
              <w:spacing w:before="19"/>
              <w:ind w:left="105"/>
              <w:rPr>
                <w:sz w:val="24"/>
              </w:rPr>
            </w:pPr>
            <w:r>
              <w:rPr>
                <w:i/>
                <w:sz w:val="24"/>
              </w:rPr>
              <w:t>Phoebe pachypoda </w:t>
            </w:r>
            <w:r>
              <w:rPr>
                <w:sz w:val="24"/>
              </w:rPr>
              <w:t>(Nees) Mez</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tcPr>
          <w:p>
            <w:pPr>
              <w:pStyle w:val="TableParagraph"/>
              <w:spacing w:before="19"/>
              <w:ind w:left="105"/>
              <w:rPr>
                <w:sz w:val="24"/>
              </w:rPr>
            </w:pPr>
            <w:r>
              <w:rPr>
                <w:sz w:val="24"/>
              </w:rPr>
              <w:t>*Liliaceae</w:t>
            </w:r>
          </w:p>
        </w:tc>
        <w:tc>
          <w:tcPr>
            <w:tcW w:w="4960" w:type="dxa"/>
          </w:tcPr>
          <w:p>
            <w:pPr>
              <w:pStyle w:val="TableParagraph"/>
              <w:spacing w:before="19"/>
              <w:ind w:left="105"/>
              <w:rPr>
                <w:sz w:val="24"/>
              </w:rPr>
            </w:pPr>
            <w:r>
              <w:rPr>
                <w:i/>
                <w:sz w:val="24"/>
              </w:rPr>
              <w:t>Agapanthus africanus </w:t>
            </w:r>
            <w:r>
              <w:rPr>
                <w:sz w:val="24"/>
              </w:rPr>
              <w:t>(L.) Hoffmanns.</w:t>
            </w:r>
          </w:p>
        </w:tc>
        <w:tc>
          <w:tcPr>
            <w:tcW w:w="2147" w:type="dxa"/>
          </w:tcPr>
          <w:p>
            <w:pPr>
              <w:pStyle w:val="TableParagraph"/>
              <w:spacing w:line="272" w:lineRule="exact"/>
              <w:ind w:left="198" w:right="197"/>
              <w:jc w:val="center"/>
              <w:rPr>
                <w:sz w:val="24"/>
              </w:rPr>
            </w:pPr>
            <w:r>
              <w:rPr>
                <w:sz w:val="24"/>
              </w:rPr>
              <w:t>Herbácea</w:t>
            </w:r>
          </w:p>
        </w:tc>
      </w:tr>
      <w:tr>
        <w:trPr>
          <w:trHeight w:val="312" w:hRule="exact"/>
        </w:trPr>
        <w:tc>
          <w:tcPr>
            <w:tcW w:w="1955" w:type="dxa"/>
            <w:vMerge w:val="restart"/>
          </w:tcPr>
          <w:p>
            <w:pPr>
              <w:pStyle w:val="TableParagraph"/>
              <w:spacing w:before="163"/>
              <w:ind w:left="105"/>
              <w:rPr>
                <w:sz w:val="24"/>
              </w:rPr>
            </w:pPr>
            <w:r>
              <w:rPr>
                <w:sz w:val="24"/>
              </w:rPr>
              <w:t>Malpighiaceae</w:t>
            </w:r>
          </w:p>
        </w:tc>
        <w:tc>
          <w:tcPr>
            <w:tcW w:w="4960" w:type="dxa"/>
          </w:tcPr>
          <w:p>
            <w:pPr>
              <w:pStyle w:val="TableParagraph"/>
              <w:spacing w:before="24"/>
              <w:ind w:left="105"/>
              <w:rPr>
                <w:sz w:val="24"/>
              </w:rPr>
            </w:pPr>
            <w:r>
              <w:rPr>
                <w:i/>
                <w:sz w:val="24"/>
              </w:rPr>
              <w:t>Galphimia glauca </w:t>
            </w:r>
            <w:r>
              <w:rPr>
                <w:sz w:val="24"/>
              </w:rPr>
              <w:t>Cav.</w:t>
            </w:r>
          </w:p>
        </w:tc>
        <w:tc>
          <w:tcPr>
            <w:tcW w:w="2147" w:type="dxa"/>
          </w:tcPr>
          <w:p>
            <w:pPr>
              <w:pStyle w:val="TableParagraph"/>
              <w:ind w:left="198" w:right="199"/>
              <w:jc w:val="center"/>
              <w:rPr>
                <w:sz w:val="24"/>
              </w:rPr>
            </w:pPr>
            <w:r>
              <w:rPr>
                <w:sz w:val="24"/>
              </w:rPr>
              <w:t>Arbusto</w:t>
            </w:r>
          </w:p>
        </w:tc>
      </w:tr>
      <w:tr>
        <w:trPr>
          <w:trHeight w:val="312" w:hRule="exact"/>
        </w:trPr>
        <w:tc>
          <w:tcPr>
            <w:tcW w:w="1955" w:type="dxa"/>
            <w:vMerge/>
          </w:tcPr>
          <w:p>
            <w:pPr/>
          </w:p>
        </w:tc>
        <w:tc>
          <w:tcPr>
            <w:tcW w:w="4960" w:type="dxa"/>
          </w:tcPr>
          <w:p>
            <w:pPr>
              <w:pStyle w:val="TableParagraph"/>
              <w:spacing w:before="19"/>
              <w:ind w:left="105"/>
              <w:rPr>
                <w:sz w:val="24"/>
              </w:rPr>
            </w:pPr>
            <w:r>
              <w:rPr>
                <w:i/>
                <w:sz w:val="24"/>
              </w:rPr>
              <w:t>Byrsonima crassifolia </w:t>
            </w:r>
            <w:r>
              <w:rPr>
                <w:sz w:val="24"/>
              </w:rPr>
              <w:t>(L.) Kunth</w:t>
            </w:r>
          </w:p>
        </w:tc>
        <w:tc>
          <w:tcPr>
            <w:tcW w:w="2147" w:type="dxa"/>
          </w:tcPr>
          <w:p>
            <w:pPr>
              <w:pStyle w:val="TableParagraph"/>
              <w:spacing w:line="272" w:lineRule="exact"/>
              <w:ind w:left="198" w:right="198"/>
              <w:jc w:val="center"/>
              <w:rPr>
                <w:sz w:val="24"/>
              </w:rPr>
            </w:pPr>
            <w:r>
              <w:rPr>
                <w:sz w:val="24"/>
              </w:rPr>
              <w:t>Árbol</w:t>
            </w:r>
          </w:p>
        </w:tc>
      </w:tr>
      <w:tr>
        <w:trPr>
          <w:trHeight w:val="307" w:hRule="exact"/>
        </w:trPr>
        <w:tc>
          <w:tcPr>
            <w:tcW w:w="1955" w:type="dxa"/>
            <w:vMerge w:val="restart"/>
          </w:tcPr>
          <w:p>
            <w:pPr>
              <w:pStyle w:val="TableParagraph"/>
              <w:spacing w:before="6"/>
              <w:rPr>
                <w:rFonts w:ascii="Times New Roman"/>
                <w:sz w:val="27"/>
              </w:rPr>
            </w:pPr>
          </w:p>
          <w:p>
            <w:pPr>
              <w:pStyle w:val="TableParagraph"/>
              <w:spacing w:before="1"/>
              <w:ind w:left="105"/>
              <w:rPr>
                <w:sz w:val="24"/>
              </w:rPr>
            </w:pPr>
            <w:r>
              <w:rPr>
                <w:sz w:val="24"/>
              </w:rPr>
              <w:t>Malvaceae</w:t>
            </w:r>
          </w:p>
        </w:tc>
        <w:tc>
          <w:tcPr>
            <w:tcW w:w="4960" w:type="dxa"/>
          </w:tcPr>
          <w:p>
            <w:pPr>
              <w:pStyle w:val="TableParagraph"/>
              <w:spacing w:before="19"/>
              <w:ind w:left="105"/>
              <w:rPr>
                <w:sz w:val="24"/>
              </w:rPr>
            </w:pPr>
            <w:r>
              <w:rPr>
                <w:i/>
                <w:sz w:val="24"/>
              </w:rPr>
              <w:t>Hibiscus sabdariffa </w:t>
            </w:r>
            <w:r>
              <w:rPr>
                <w:sz w:val="24"/>
              </w:rPr>
              <w:t>L.</w:t>
            </w:r>
          </w:p>
        </w:tc>
        <w:tc>
          <w:tcPr>
            <w:tcW w:w="2147" w:type="dxa"/>
          </w:tcPr>
          <w:p>
            <w:pPr>
              <w:pStyle w:val="TableParagraph"/>
              <w:spacing w:line="272" w:lineRule="exact"/>
              <w:ind w:left="198" w:right="199"/>
              <w:jc w:val="center"/>
              <w:rPr>
                <w:sz w:val="24"/>
              </w:rPr>
            </w:pPr>
            <w:r>
              <w:rPr>
                <w:sz w:val="24"/>
              </w:rPr>
              <w:t>Arbusto</w:t>
            </w:r>
          </w:p>
        </w:tc>
      </w:tr>
      <w:tr>
        <w:trPr>
          <w:trHeight w:val="313" w:hRule="exact"/>
        </w:trPr>
        <w:tc>
          <w:tcPr>
            <w:tcW w:w="1955" w:type="dxa"/>
            <w:vMerge/>
          </w:tcPr>
          <w:p>
            <w:pPr/>
          </w:p>
        </w:tc>
        <w:tc>
          <w:tcPr>
            <w:tcW w:w="4960" w:type="dxa"/>
          </w:tcPr>
          <w:p>
            <w:pPr>
              <w:pStyle w:val="TableParagraph"/>
              <w:spacing w:before="19"/>
              <w:ind w:left="105"/>
              <w:rPr>
                <w:i/>
                <w:sz w:val="24"/>
              </w:rPr>
            </w:pPr>
            <w:r>
              <w:rPr>
                <w:i/>
                <w:sz w:val="24"/>
              </w:rPr>
              <w:t>Hibiscus sp.</w:t>
            </w:r>
          </w:p>
        </w:tc>
        <w:tc>
          <w:tcPr>
            <w:tcW w:w="2147" w:type="dxa"/>
          </w:tcPr>
          <w:p>
            <w:pPr>
              <w:pStyle w:val="TableParagraph"/>
              <w:spacing w:line="272" w:lineRule="exact"/>
              <w:ind w:left="198" w:right="199"/>
              <w:jc w:val="center"/>
              <w:rPr>
                <w:sz w:val="24"/>
              </w:rPr>
            </w:pPr>
            <w:r>
              <w:rPr>
                <w:sz w:val="24"/>
              </w:rPr>
              <w:t>Arbusto</w:t>
            </w:r>
          </w:p>
        </w:tc>
      </w:tr>
      <w:tr>
        <w:trPr>
          <w:trHeight w:val="307" w:hRule="exact"/>
        </w:trPr>
        <w:tc>
          <w:tcPr>
            <w:tcW w:w="1955" w:type="dxa"/>
            <w:vMerge/>
          </w:tcPr>
          <w:p>
            <w:pPr/>
          </w:p>
        </w:tc>
        <w:tc>
          <w:tcPr>
            <w:tcW w:w="4960" w:type="dxa"/>
          </w:tcPr>
          <w:p>
            <w:pPr>
              <w:pStyle w:val="TableParagraph"/>
              <w:spacing w:before="19"/>
              <w:ind w:left="105"/>
              <w:rPr>
                <w:sz w:val="24"/>
              </w:rPr>
            </w:pPr>
            <w:r>
              <w:rPr>
                <w:i/>
                <w:sz w:val="24"/>
              </w:rPr>
              <w:t>Malvaviscus arboreus </w:t>
            </w:r>
            <w:r>
              <w:rPr>
                <w:sz w:val="24"/>
              </w:rPr>
              <w:t>Cav.</w:t>
            </w:r>
          </w:p>
        </w:tc>
        <w:tc>
          <w:tcPr>
            <w:tcW w:w="2147" w:type="dxa"/>
          </w:tcPr>
          <w:p>
            <w:pPr>
              <w:pStyle w:val="TableParagraph"/>
              <w:spacing w:line="272" w:lineRule="exact"/>
              <w:ind w:left="198" w:right="199"/>
              <w:jc w:val="center"/>
              <w:rPr>
                <w:sz w:val="24"/>
              </w:rPr>
            </w:pPr>
            <w:r>
              <w:rPr>
                <w:sz w:val="24"/>
              </w:rPr>
              <w:t>Arbusto</w:t>
            </w:r>
          </w:p>
        </w:tc>
      </w:tr>
      <w:tr>
        <w:trPr>
          <w:trHeight w:val="312" w:hRule="exact"/>
        </w:trPr>
        <w:tc>
          <w:tcPr>
            <w:tcW w:w="1955" w:type="dxa"/>
          </w:tcPr>
          <w:p>
            <w:pPr>
              <w:pStyle w:val="TableParagraph"/>
              <w:spacing w:before="19"/>
              <w:ind w:left="105"/>
              <w:rPr>
                <w:sz w:val="24"/>
              </w:rPr>
            </w:pPr>
            <w:r>
              <w:rPr>
                <w:sz w:val="24"/>
              </w:rPr>
              <w:t>Meliaceae</w:t>
            </w:r>
          </w:p>
        </w:tc>
        <w:tc>
          <w:tcPr>
            <w:tcW w:w="4960" w:type="dxa"/>
          </w:tcPr>
          <w:p>
            <w:pPr>
              <w:pStyle w:val="TableParagraph"/>
              <w:spacing w:before="19"/>
              <w:ind w:left="105"/>
              <w:rPr>
                <w:sz w:val="24"/>
              </w:rPr>
            </w:pPr>
            <w:r>
              <w:rPr>
                <w:i/>
                <w:sz w:val="24"/>
              </w:rPr>
              <w:t>Trichilia havanensis </w:t>
            </w:r>
            <w:r>
              <w:rPr>
                <w:sz w:val="24"/>
              </w:rPr>
              <w:t>Jacq.</w:t>
            </w:r>
          </w:p>
        </w:tc>
        <w:tc>
          <w:tcPr>
            <w:tcW w:w="2147" w:type="dxa"/>
          </w:tcPr>
          <w:p>
            <w:pPr>
              <w:pStyle w:val="TableParagraph"/>
              <w:spacing w:line="272" w:lineRule="exact"/>
              <w:ind w:left="198" w:right="198"/>
              <w:jc w:val="center"/>
              <w:rPr>
                <w:sz w:val="24"/>
              </w:rPr>
            </w:pPr>
            <w:r>
              <w:rPr>
                <w:sz w:val="24"/>
              </w:rPr>
              <w:t>Árbol</w:t>
            </w:r>
          </w:p>
        </w:tc>
      </w:tr>
    </w:tbl>
    <w:p>
      <w:pPr>
        <w:spacing w:after="0" w:line="272" w:lineRule="exact"/>
        <w:jc w:val="center"/>
        <w:rPr>
          <w:sz w:val="24"/>
        </w:rPr>
        <w:sectPr>
          <w:pgSz w:w="12240" w:h="15840"/>
          <w:pgMar w:header="685" w:footer="1146" w:top="880" w:bottom="1340" w:left="14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3"/>
        <w:gridCol w:w="4658"/>
        <w:gridCol w:w="2281"/>
      </w:tblGrid>
      <w:tr>
        <w:trPr>
          <w:trHeight w:val="668" w:hRule="exact"/>
        </w:trPr>
        <w:tc>
          <w:tcPr>
            <w:tcW w:w="9052" w:type="dxa"/>
            <w:gridSpan w:val="3"/>
          </w:tcPr>
          <w:p>
            <w:pPr>
              <w:pStyle w:val="TableParagraph"/>
              <w:ind w:left="3995" w:hanging="3506"/>
              <w:rPr>
                <w:b/>
                <w:i/>
                <w:sz w:val="20"/>
              </w:rPr>
            </w:pPr>
            <w:r>
              <w:rPr>
                <w:b/>
                <w:i/>
                <w:sz w:val="20"/>
              </w:rPr>
              <w:t>Anexo 3. Listado de especies identificadas del Parque Universitario “Las Orquídeas” </w:t>
            </w:r>
            <w:r>
              <w:rPr>
                <w:b/>
                <w:i/>
                <w:sz w:val="20"/>
              </w:rPr>
              <w:t>(Continúa).</w:t>
            </w:r>
          </w:p>
        </w:tc>
      </w:tr>
      <w:tr>
        <w:trPr>
          <w:trHeight w:val="504" w:hRule="exact"/>
        </w:trPr>
        <w:tc>
          <w:tcPr>
            <w:tcW w:w="2113" w:type="dxa"/>
          </w:tcPr>
          <w:p>
            <w:pPr>
              <w:pStyle w:val="TableParagraph"/>
              <w:spacing w:line="248" w:lineRule="exact"/>
              <w:ind w:left="672"/>
              <w:rPr>
                <w:b/>
                <w:i/>
                <w:sz w:val="22"/>
              </w:rPr>
            </w:pPr>
            <w:r>
              <w:rPr>
                <w:b/>
                <w:i/>
                <w:sz w:val="22"/>
              </w:rPr>
              <w:t>Familia</w:t>
            </w:r>
          </w:p>
        </w:tc>
        <w:tc>
          <w:tcPr>
            <w:tcW w:w="4658" w:type="dxa"/>
          </w:tcPr>
          <w:p>
            <w:pPr>
              <w:pStyle w:val="TableParagraph"/>
              <w:spacing w:line="248" w:lineRule="exact"/>
              <w:ind w:left="1891" w:right="1885"/>
              <w:jc w:val="center"/>
              <w:rPr>
                <w:b/>
                <w:i/>
                <w:sz w:val="22"/>
              </w:rPr>
            </w:pPr>
            <w:r>
              <w:rPr>
                <w:b/>
                <w:i/>
                <w:sz w:val="22"/>
              </w:rPr>
              <w:t>Especie</w:t>
            </w:r>
          </w:p>
        </w:tc>
        <w:tc>
          <w:tcPr>
            <w:tcW w:w="2281" w:type="dxa"/>
          </w:tcPr>
          <w:p>
            <w:pPr>
              <w:pStyle w:val="TableParagraph"/>
              <w:spacing w:line="248" w:lineRule="exact"/>
              <w:ind w:left="268" w:right="263"/>
              <w:jc w:val="center"/>
              <w:rPr>
                <w:b/>
                <w:i/>
                <w:sz w:val="22"/>
              </w:rPr>
            </w:pPr>
            <w:r>
              <w:rPr>
                <w:b/>
                <w:i/>
                <w:sz w:val="22"/>
              </w:rPr>
              <w:t>Forma biológica</w:t>
            </w:r>
          </w:p>
        </w:tc>
      </w:tr>
      <w:tr>
        <w:trPr>
          <w:trHeight w:val="307" w:hRule="exact"/>
        </w:trPr>
        <w:tc>
          <w:tcPr>
            <w:tcW w:w="2113" w:type="dxa"/>
          </w:tcPr>
          <w:p>
            <w:pPr>
              <w:pStyle w:val="TableParagraph"/>
              <w:spacing w:before="19"/>
              <w:ind w:left="67"/>
              <w:rPr>
                <w:sz w:val="24"/>
              </w:rPr>
            </w:pPr>
            <w:r>
              <w:rPr>
                <w:sz w:val="24"/>
              </w:rPr>
              <w:t>Moraceae</w:t>
            </w:r>
          </w:p>
        </w:tc>
        <w:tc>
          <w:tcPr>
            <w:tcW w:w="4658" w:type="dxa"/>
          </w:tcPr>
          <w:p>
            <w:pPr>
              <w:pStyle w:val="TableParagraph"/>
              <w:spacing w:before="19"/>
              <w:ind w:left="67"/>
              <w:rPr>
                <w:sz w:val="24"/>
              </w:rPr>
            </w:pPr>
            <w:r>
              <w:rPr>
                <w:i/>
                <w:sz w:val="24"/>
              </w:rPr>
              <w:t>Morus nigra </w:t>
            </w:r>
            <w:r>
              <w:rPr>
                <w:sz w:val="24"/>
              </w:rPr>
              <w:t>L.</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vMerge w:val="restart"/>
          </w:tcPr>
          <w:p>
            <w:pPr>
              <w:pStyle w:val="TableParagraph"/>
              <w:spacing w:before="163"/>
              <w:ind w:left="67"/>
              <w:rPr>
                <w:sz w:val="24"/>
              </w:rPr>
            </w:pPr>
            <w:r>
              <w:rPr>
                <w:sz w:val="24"/>
              </w:rPr>
              <w:t>Myrsinaceae</w:t>
            </w:r>
          </w:p>
        </w:tc>
        <w:tc>
          <w:tcPr>
            <w:tcW w:w="4658" w:type="dxa"/>
          </w:tcPr>
          <w:p>
            <w:pPr>
              <w:pStyle w:val="TableParagraph"/>
              <w:spacing w:before="19"/>
              <w:ind w:left="67"/>
              <w:rPr>
                <w:sz w:val="24"/>
              </w:rPr>
            </w:pPr>
            <w:r>
              <w:rPr>
                <w:i/>
                <w:sz w:val="24"/>
              </w:rPr>
              <w:t>Ardisia compressa </w:t>
            </w:r>
            <w:r>
              <w:rPr>
                <w:sz w:val="24"/>
              </w:rPr>
              <w:t>Kunth</w:t>
            </w:r>
          </w:p>
        </w:tc>
        <w:tc>
          <w:tcPr>
            <w:tcW w:w="2281" w:type="dxa"/>
          </w:tcPr>
          <w:p>
            <w:pPr>
              <w:pStyle w:val="TableParagraph"/>
              <w:spacing w:line="272" w:lineRule="exact"/>
              <w:ind w:left="268" w:right="262"/>
              <w:jc w:val="center"/>
              <w:rPr>
                <w:sz w:val="24"/>
              </w:rPr>
            </w:pPr>
            <w:r>
              <w:rPr>
                <w:sz w:val="24"/>
              </w:rPr>
              <w:t>Arbusto</w:t>
            </w:r>
          </w:p>
        </w:tc>
      </w:tr>
      <w:tr>
        <w:trPr>
          <w:trHeight w:val="308" w:hRule="exact"/>
        </w:trPr>
        <w:tc>
          <w:tcPr>
            <w:tcW w:w="2113" w:type="dxa"/>
            <w:vMerge/>
          </w:tcPr>
          <w:p>
            <w:pPr/>
          </w:p>
        </w:tc>
        <w:tc>
          <w:tcPr>
            <w:tcW w:w="4658" w:type="dxa"/>
          </w:tcPr>
          <w:p>
            <w:pPr>
              <w:pStyle w:val="TableParagraph"/>
              <w:spacing w:before="20"/>
              <w:ind w:left="67"/>
              <w:rPr>
                <w:sz w:val="24"/>
              </w:rPr>
            </w:pPr>
            <w:r>
              <w:rPr>
                <w:i/>
                <w:sz w:val="24"/>
              </w:rPr>
              <w:t>Myrsine myricoides </w:t>
            </w:r>
            <w:r>
              <w:rPr>
                <w:sz w:val="24"/>
              </w:rPr>
              <w:t>Schltdl</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vMerge w:val="restart"/>
          </w:tcPr>
          <w:p>
            <w:pPr>
              <w:pStyle w:val="TableParagraph"/>
              <w:spacing w:before="163"/>
              <w:ind w:left="67"/>
              <w:rPr>
                <w:sz w:val="24"/>
              </w:rPr>
            </w:pPr>
            <w:r>
              <w:rPr>
                <w:sz w:val="24"/>
              </w:rPr>
              <w:t>Myrtaceae</w:t>
            </w:r>
          </w:p>
        </w:tc>
        <w:tc>
          <w:tcPr>
            <w:tcW w:w="4658" w:type="dxa"/>
          </w:tcPr>
          <w:p>
            <w:pPr>
              <w:pStyle w:val="TableParagraph"/>
              <w:spacing w:before="19"/>
              <w:ind w:left="67"/>
              <w:rPr>
                <w:sz w:val="24"/>
              </w:rPr>
            </w:pPr>
            <w:r>
              <w:rPr>
                <w:i/>
                <w:sz w:val="24"/>
              </w:rPr>
              <w:t>Eugenia Oerstediana </w:t>
            </w:r>
            <w:r>
              <w:rPr>
                <w:sz w:val="24"/>
              </w:rPr>
              <w:t>O. Berg.</w:t>
            </w:r>
          </w:p>
        </w:tc>
        <w:tc>
          <w:tcPr>
            <w:tcW w:w="2281" w:type="dxa"/>
          </w:tcPr>
          <w:p>
            <w:pPr>
              <w:pStyle w:val="TableParagraph"/>
              <w:spacing w:line="272" w:lineRule="exact"/>
              <w:ind w:left="262" w:right="263"/>
              <w:jc w:val="center"/>
              <w:rPr>
                <w:sz w:val="24"/>
              </w:rPr>
            </w:pPr>
            <w:r>
              <w:rPr>
                <w:sz w:val="24"/>
              </w:rPr>
              <w:t>Árbol</w:t>
            </w:r>
          </w:p>
        </w:tc>
      </w:tr>
      <w:tr>
        <w:trPr>
          <w:trHeight w:val="307" w:hRule="exact"/>
        </w:trPr>
        <w:tc>
          <w:tcPr>
            <w:tcW w:w="2113" w:type="dxa"/>
            <w:vMerge/>
          </w:tcPr>
          <w:p>
            <w:pPr/>
          </w:p>
        </w:tc>
        <w:tc>
          <w:tcPr>
            <w:tcW w:w="4658" w:type="dxa"/>
          </w:tcPr>
          <w:p>
            <w:pPr>
              <w:pStyle w:val="TableParagraph"/>
              <w:spacing w:before="19"/>
              <w:ind w:left="67"/>
              <w:rPr>
                <w:sz w:val="24"/>
              </w:rPr>
            </w:pPr>
            <w:r>
              <w:rPr>
                <w:i/>
                <w:sz w:val="24"/>
              </w:rPr>
              <w:t>Psidium guajava </w:t>
            </w:r>
            <w:r>
              <w:rPr>
                <w:sz w:val="24"/>
              </w:rPr>
              <w:t>L.</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tcPr>
          <w:p>
            <w:pPr>
              <w:pStyle w:val="TableParagraph"/>
              <w:spacing w:before="10"/>
              <w:ind w:left="67"/>
              <w:rPr>
                <w:sz w:val="24"/>
              </w:rPr>
            </w:pPr>
            <w:r>
              <w:rPr>
                <w:sz w:val="24"/>
              </w:rPr>
              <w:t>Olacaceae</w:t>
            </w:r>
          </w:p>
        </w:tc>
        <w:tc>
          <w:tcPr>
            <w:tcW w:w="4658" w:type="dxa"/>
          </w:tcPr>
          <w:p>
            <w:pPr>
              <w:pStyle w:val="TableParagraph"/>
              <w:spacing w:before="24"/>
              <w:ind w:left="67"/>
              <w:rPr>
                <w:sz w:val="24"/>
              </w:rPr>
            </w:pPr>
            <w:r>
              <w:rPr>
                <w:i/>
                <w:sz w:val="24"/>
              </w:rPr>
              <w:t>Schoepfia pringlei </w:t>
            </w:r>
            <w:r>
              <w:rPr>
                <w:sz w:val="24"/>
              </w:rPr>
              <w:t>B.L. Rob</w:t>
            </w:r>
          </w:p>
        </w:tc>
        <w:tc>
          <w:tcPr>
            <w:tcW w:w="2281" w:type="dxa"/>
          </w:tcPr>
          <w:p>
            <w:pPr>
              <w:pStyle w:val="TableParagraph"/>
              <w:ind w:left="262" w:right="263"/>
              <w:jc w:val="center"/>
              <w:rPr>
                <w:sz w:val="24"/>
              </w:rPr>
            </w:pPr>
            <w:r>
              <w:rPr>
                <w:sz w:val="24"/>
              </w:rPr>
              <w:t>Árbol</w:t>
            </w:r>
          </w:p>
        </w:tc>
      </w:tr>
      <w:tr>
        <w:trPr>
          <w:trHeight w:val="312" w:hRule="exact"/>
        </w:trPr>
        <w:tc>
          <w:tcPr>
            <w:tcW w:w="2113" w:type="dxa"/>
          </w:tcPr>
          <w:p>
            <w:pPr>
              <w:pStyle w:val="TableParagraph"/>
              <w:spacing w:before="19"/>
              <w:ind w:left="67"/>
              <w:rPr>
                <w:sz w:val="24"/>
              </w:rPr>
            </w:pPr>
            <w:r>
              <w:rPr>
                <w:sz w:val="24"/>
              </w:rPr>
              <w:t>Oleaceae</w:t>
            </w:r>
          </w:p>
        </w:tc>
        <w:tc>
          <w:tcPr>
            <w:tcW w:w="4658" w:type="dxa"/>
          </w:tcPr>
          <w:p>
            <w:pPr>
              <w:pStyle w:val="TableParagraph"/>
              <w:spacing w:before="19"/>
              <w:ind w:left="67"/>
              <w:rPr>
                <w:sz w:val="24"/>
              </w:rPr>
            </w:pPr>
            <w:r>
              <w:rPr>
                <w:i/>
                <w:sz w:val="24"/>
              </w:rPr>
              <w:t>Fraxinus uhdei </w:t>
            </w:r>
            <w:r>
              <w:rPr>
                <w:sz w:val="24"/>
              </w:rPr>
              <w:t>(Wenz.) Lingelsh</w:t>
            </w:r>
          </w:p>
        </w:tc>
        <w:tc>
          <w:tcPr>
            <w:tcW w:w="2281" w:type="dxa"/>
          </w:tcPr>
          <w:p>
            <w:pPr>
              <w:pStyle w:val="TableParagraph"/>
              <w:spacing w:line="272" w:lineRule="exact"/>
              <w:ind w:left="262" w:right="263"/>
              <w:jc w:val="center"/>
              <w:rPr>
                <w:sz w:val="24"/>
              </w:rPr>
            </w:pPr>
            <w:r>
              <w:rPr>
                <w:sz w:val="24"/>
              </w:rPr>
              <w:t>Árbol</w:t>
            </w:r>
          </w:p>
        </w:tc>
      </w:tr>
      <w:tr>
        <w:trPr>
          <w:trHeight w:val="308" w:hRule="exact"/>
        </w:trPr>
        <w:tc>
          <w:tcPr>
            <w:tcW w:w="2113" w:type="dxa"/>
          </w:tcPr>
          <w:p>
            <w:pPr>
              <w:pStyle w:val="TableParagraph"/>
              <w:spacing w:before="20"/>
              <w:ind w:left="67"/>
              <w:rPr>
                <w:sz w:val="24"/>
              </w:rPr>
            </w:pPr>
            <w:r>
              <w:rPr>
                <w:sz w:val="24"/>
              </w:rPr>
              <w:t>Papaveraceae</w:t>
            </w:r>
          </w:p>
        </w:tc>
        <w:tc>
          <w:tcPr>
            <w:tcW w:w="4658" w:type="dxa"/>
          </w:tcPr>
          <w:p>
            <w:pPr>
              <w:pStyle w:val="TableParagraph"/>
              <w:spacing w:before="20"/>
              <w:ind w:left="67"/>
              <w:rPr>
                <w:sz w:val="24"/>
              </w:rPr>
            </w:pPr>
            <w:r>
              <w:rPr>
                <w:i/>
                <w:sz w:val="24"/>
              </w:rPr>
              <w:t>Bocconia arborea </w:t>
            </w:r>
            <w:r>
              <w:rPr>
                <w:sz w:val="24"/>
              </w:rPr>
              <w:t>S. Watson</w:t>
            </w:r>
          </w:p>
        </w:tc>
        <w:tc>
          <w:tcPr>
            <w:tcW w:w="2281" w:type="dxa"/>
          </w:tcPr>
          <w:p>
            <w:pPr>
              <w:pStyle w:val="TableParagraph"/>
              <w:spacing w:line="272" w:lineRule="exact"/>
              <w:ind w:left="268" w:right="262"/>
              <w:jc w:val="center"/>
              <w:rPr>
                <w:sz w:val="24"/>
              </w:rPr>
            </w:pPr>
            <w:r>
              <w:rPr>
                <w:sz w:val="24"/>
              </w:rPr>
              <w:t>Arbusto</w:t>
            </w:r>
          </w:p>
        </w:tc>
      </w:tr>
      <w:tr>
        <w:trPr>
          <w:trHeight w:val="312" w:hRule="exact"/>
        </w:trPr>
        <w:tc>
          <w:tcPr>
            <w:tcW w:w="2113" w:type="dxa"/>
          </w:tcPr>
          <w:p>
            <w:pPr>
              <w:pStyle w:val="TableParagraph"/>
              <w:spacing w:before="19"/>
              <w:ind w:left="67"/>
              <w:rPr>
                <w:sz w:val="24"/>
              </w:rPr>
            </w:pPr>
            <w:r>
              <w:rPr>
                <w:sz w:val="24"/>
              </w:rPr>
              <w:t>*Poaceae</w:t>
            </w:r>
          </w:p>
        </w:tc>
        <w:tc>
          <w:tcPr>
            <w:tcW w:w="4658" w:type="dxa"/>
          </w:tcPr>
          <w:p>
            <w:pPr>
              <w:pStyle w:val="TableParagraph"/>
              <w:spacing w:before="19"/>
              <w:ind w:left="67"/>
              <w:rPr>
                <w:sz w:val="24"/>
              </w:rPr>
            </w:pPr>
            <w:r>
              <w:rPr>
                <w:i/>
                <w:sz w:val="24"/>
              </w:rPr>
              <w:t>Cymbopogon citratus </w:t>
            </w:r>
            <w:r>
              <w:rPr>
                <w:sz w:val="24"/>
              </w:rPr>
              <w:t>(DC.) Staff.</w:t>
            </w:r>
          </w:p>
        </w:tc>
        <w:tc>
          <w:tcPr>
            <w:tcW w:w="2281" w:type="dxa"/>
          </w:tcPr>
          <w:p>
            <w:pPr>
              <w:pStyle w:val="TableParagraph"/>
              <w:spacing w:line="272" w:lineRule="exact"/>
              <w:ind w:left="264" w:right="263"/>
              <w:jc w:val="center"/>
              <w:rPr>
                <w:sz w:val="24"/>
              </w:rPr>
            </w:pPr>
            <w:r>
              <w:rPr>
                <w:sz w:val="24"/>
              </w:rPr>
              <w:t>Herbácea</w:t>
            </w:r>
          </w:p>
        </w:tc>
      </w:tr>
      <w:tr>
        <w:trPr>
          <w:trHeight w:val="307" w:hRule="exact"/>
        </w:trPr>
        <w:tc>
          <w:tcPr>
            <w:tcW w:w="2113" w:type="dxa"/>
          </w:tcPr>
          <w:p>
            <w:pPr>
              <w:pStyle w:val="TableParagraph"/>
              <w:spacing w:before="19"/>
              <w:ind w:left="67"/>
              <w:rPr>
                <w:sz w:val="24"/>
              </w:rPr>
            </w:pPr>
            <w:r>
              <w:rPr>
                <w:sz w:val="24"/>
              </w:rPr>
              <w:t>Proteaceae</w:t>
            </w:r>
          </w:p>
        </w:tc>
        <w:tc>
          <w:tcPr>
            <w:tcW w:w="4658" w:type="dxa"/>
          </w:tcPr>
          <w:p>
            <w:pPr>
              <w:pStyle w:val="TableParagraph"/>
              <w:spacing w:before="19"/>
              <w:ind w:left="67"/>
              <w:rPr>
                <w:i/>
                <w:sz w:val="24"/>
              </w:rPr>
            </w:pPr>
            <w:r>
              <w:rPr>
                <w:i/>
                <w:sz w:val="24"/>
              </w:rPr>
              <w:t>Macadamia sp.</w:t>
            </w:r>
          </w:p>
        </w:tc>
        <w:tc>
          <w:tcPr>
            <w:tcW w:w="2281" w:type="dxa"/>
          </w:tcPr>
          <w:p>
            <w:pPr>
              <w:pStyle w:val="TableParagraph"/>
              <w:spacing w:line="272" w:lineRule="exact"/>
              <w:ind w:left="262" w:right="263"/>
              <w:jc w:val="center"/>
              <w:rPr>
                <w:sz w:val="24"/>
              </w:rPr>
            </w:pPr>
            <w:r>
              <w:rPr>
                <w:sz w:val="24"/>
              </w:rPr>
              <w:t>Árbol</w:t>
            </w:r>
          </w:p>
        </w:tc>
      </w:tr>
      <w:tr>
        <w:trPr>
          <w:trHeight w:val="562" w:hRule="exact"/>
        </w:trPr>
        <w:tc>
          <w:tcPr>
            <w:tcW w:w="2113" w:type="dxa"/>
          </w:tcPr>
          <w:p>
            <w:pPr>
              <w:pStyle w:val="TableParagraph"/>
              <w:spacing w:before="9"/>
              <w:rPr>
                <w:rFonts w:ascii="Times New Roman"/>
                <w:sz w:val="23"/>
              </w:rPr>
            </w:pPr>
          </w:p>
          <w:p>
            <w:pPr>
              <w:pStyle w:val="TableParagraph"/>
              <w:ind w:left="67"/>
              <w:rPr>
                <w:sz w:val="24"/>
              </w:rPr>
            </w:pPr>
            <w:r>
              <w:rPr>
                <w:sz w:val="24"/>
              </w:rPr>
              <w:t>Rhamnaceae</w:t>
            </w:r>
          </w:p>
        </w:tc>
        <w:tc>
          <w:tcPr>
            <w:tcW w:w="4658" w:type="dxa"/>
          </w:tcPr>
          <w:p>
            <w:pPr>
              <w:pStyle w:val="TableParagraph"/>
              <w:spacing w:line="242" w:lineRule="auto"/>
              <w:ind w:left="67"/>
              <w:rPr>
                <w:sz w:val="24"/>
              </w:rPr>
            </w:pPr>
            <w:r>
              <w:rPr>
                <w:i/>
                <w:sz w:val="24"/>
              </w:rPr>
              <w:t>Rhamnus hintonii </w:t>
            </w:r>
            <w:r>
              <w:rPr>
                <w:sz w:val="24"/>
              </w:rPr>
              <w:t>M. C. Johnst. &amp; L. A. Johnst.</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vMerge w:val="restart"/>
          </w:tcPr>
          <w:p>
            <w:pPr>
              <w:pStyle w:val="TableParagraph"/>
              <w:spacing w:before="6"/>
              <w:rPr>
                <w:rFonts w:ascii="Times New Roman"/>
                <w:sz w:val="25"/>
              </w:rPr>
            </w:pPr>
          </w:p>
          <w:p>
            <w:pPr>
              <w:pStyle w:val="TableParagraph"/>
              <w:ind w:left="67"/>
              <w:rPr>
                <w:sz w:val="24"/>
              </w:rPr>
            </w:pPr>
            <w:r>
              <w:rPr>
                <w:sz w:val="24"/>
              </w:rPr>
              <w:t>Rosaceae</w:t>
            </w:r>
          </w:p>
        </w:tc>
        <w:tc>
          <w:tcPr>
            <w:tcW w:w="4658" w:type="dxa"/>
          </w:tcPr>
          <w:p>
            <w:pPr>
              <w:pStyle w:val="TableParagraph"/>
              <w:spacing w:before="25"/>
              <w:ind w:left="67"/>
              <w:rPr>
                <w:sz w:val="24"/>
              </w:rPr>
            </w:pPr>
            <w:r>
              <w:rPr>
                <w:i/>
                <w:sz w:val="24"/>
              </w:rPr>
              <w:t>Eriobotrya japonica </w:t>
            </w:r>
            <w:r>
              <w:rPr>
                <w:sz w:val="24"/>
              </w:rPr>
              <w:t>(Thunb. Lindl.)</w:t>
            </w:r>
          </w:p>
        </w:tc>
        <w:tc>
          <w:tcPr>
            <w:tcW w:w="2281" w:type="dxa"/>
          </w:tcPr>
          <w:p>
            <w:pPr>
              <w:pStyle w:val="TableParagraph"/>
              <w:spacing w:before="1"/>
              <w:ind w:left="262" w:right="263"/>
              <w:jc w:val="center"/>
              <w:rPr>
                <w:sz w:val="24"/>
              </w:rPr>
            </w:pPr>
            <w:r>
              <w:rPr>
                <w:sz w:val="24"/>
              </w:rPr>
              <w:t>Árbol</w:t>
            </w:r>
          </w:p>
        </w:tc>
      </w:tr>
      <w:tr>
        <w:trPr>
          <w:trHeight w:val="562" w:hRule="exact"/>
        </w:trPr>
        <w:tc>
          <w:tcPr>
            <w:tcW w:w="2113" w:type="dxa"/>
            <w:vMerge/>
          </w:tcPr>
          <w:p>
            <w:pPr/>
          </w:p>
        </w:tc>
        <w:tc>
          <w:tcPr>
            <w:tcW w:w="4658" w:type="dxa"/>
          </w:tcPr>
          <w:p>
            <w:pPr>
              <w:pStyle w:val="TableParagraph"/>
              <w:spacing w:line="272" w:lineRule="exact"/>
              <w:ind w:left="67"/>
              <w:rPr>
                <w:i/>
                <w:sz w:val="24"/>
              </w:rPr>
            </w:pPr>
            <w:r>
              <w:rPr>
                <w:i/>
                <w:sz w:val="24"/>
              </w:rPr>
              <w:t>Photinia  microcarpa  </w:t>
            </w:r>
            <w:r>
              <w:rPr>
                <w:sz w:val="24"/>
              </w:rPr>
              <w:t>Standl.  </w:t>
            </w:r>
            <w:r>
              <w:rPr>
                <w:i/>
                <w:sz w:val="24"/>
              </w:rPr>
              <w:t>ssp. hintonii</w:t>
            </w:r>
          </w:p>
          <w:p>
            <w:pPr>
              <w:pStyle w:val="TableParagraph"/>
              <w:spacing w:before="2"/>
              <w:ind w:left="67"/>
              <w:rPr>
                <w:i/>
                <w:sz w:val="24"/>
              </w:rPr>
            </w:pPr>
            <w:r>
              <w:rPr>
                <w:sz w:val="24"/>
              </w:rPr>
              <w:t>Phipss </w:t>
            </w:r>
            <w:r>
              <w:rPr>
                <w:i/>
                <w:sz w:val="24"/>
              </w:rPr>
              <w:t>var. hitonii</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vMerge w:val="restart"/>
          </w:tcPr>
          <w:p>
            <w:pPr>
              <w:pStyle w:val="TableParagraph"/>
              <w:spacing w:before="163"/>
              <w:ind w:left="67"/>
              <w:rPr>
                <w:sz w:val="24"/>
              </w:rPr>
            </w:pPr>
            <w:r>
              <w:rPr>
                <w:sz w:val="24"/>
              </w:rPr>
              <w:t>Rubiaceae</w:t>
            </w:r>
          </w:p>
        </w:tc>
        <w:tc>
          <w:tcPr>
            <w:tcW w:w="4658" w:type="dxa"/>
          </w:tcPr>
          <w:p>
            <w:pPr>
              <w:pStyle w:val="TableParagraph"/>
              <w:spacing w:before="19"/>
              <w:ind w:left="67"/>
              <w:rPr>
                <w:sz w:val="24"/>
              </w:rPr>
            </w:pPr>
            <w:r>
              <w:rPr>
                <w:i/>
                <w:sz w:val="24"/>
              </w:rPr>
              <w:t>Randia monantha </w:t>
            </w:r>
            <w:r>
              <w:rPr>
                <w:sz w:val="24"/>
              </w:rPr>
              <w:t>Benth</w:t>
            </w:r>
          </w:p>
        </w:tc>
        <w:tc>
          <w:tcPr>
            <w:tcW w:w="2281" w:type="dxa"/>
          </w:tcPr>
          <w:p>
            <w:pPr>
              <w:pStyle w:val="TableParagraph"/>
              <w:spacing w:line="272" w:lineRule="exact"/>
              <w:ind w:left="262" w:right="263"/>
              <w:jc w:val="center"/>
              <w:rPr>
                <w:sz w:val="24"/>
              </w:rPr>
            </w:pPr>
            <w:r>
              <w:rPr>
                <w:sz w:val="24"/>
              </w:rPr>
              <w:t>Árbol</w:t>
            </w:r>
          </w:p>
        </w:tc>
      </w:tr>
      <w:tr>
        <w:trPr>
          <w:trHeight w:val="307" w:hRule="exact"/>
        </w:trPr>
        <w:tc>
          <w:tcPr>
            <w:tcW w:w="2113" w:type="dxa"/>
            <w:vMerge/>
          </w:tcPr>
          <w:p>
            <w:pPr/>
          </w:p>
        </w:tc>
        <w:tc>
          <w:tcPr>
            <w:tcW w:w="4658" w:type="dxa"/>
          </w:tcPr>
          <w:p>
            <w:pPr>
              <w:pStyle w:val="TableParagraph"/>
              <w:spacing w:before="19"/>
              <w:ind w:left="67"/>
              <w:rPr>
                <w:sz w:val="24"/>
              </w:rPr>
            </w:pPr>
            <w:r>
              <w:rPr>
                <w:i/>
                <w:sz w:val="24"/>
              </w:rPr>
              <w:t>Coffea arabica </w:t>
            </w:r>
            <w:r>
              <w:rPr>
                <w:sz w:val="24"/>
              </w:rPr>
              <w:t>L.</w:t>
            </w:r>
          </w:p>
        </w:tc>
        <w:tc>
          <w:tcPr>
            <w:tcW w:w="2281" w:type="dxa"/>
          </w:tcPr>
          <w:p>
            <w:pPr>
              <w:pStyle w:val="TableParagraph"/>
              <w:spacing w:line="272" w:lineRule="exact"/>
              <w:ind w:left="268" w:right="262"/>
              <w:jc w:val="center"/>
              <w:rPr>
                <w:sz w:val="24"/>
              </w:rPr>
            </w:pPr>
            <w:r>
              <w:rPr>
                <w:sz w:val="24"/>
              </w:rPr>
              <w:t>Arbusto</w:t>
            </w:r>
          </w:p>
        </w:tc>
      </w:tr>
      <w:tr>
        <w:trPr>
          <w:trHeight w:val="312" w:hRule="exact"/>
        </w:trPr>
        <w:tc>
          <w:tcPr>
            <w:tcW w:w="2113" w:type="dxa"/>
            <w:vMerge w:val="restart"/>
          </w:tcPr>
          <w:p>
            <w:pPr>
              <w:pStyle w:val="TableParagraph"/>
              <w:spacing w:before="7"/>
              <w:rPr>
                <w:rFonts w:ascii="Times New Roman"/>
                <w:sz w:val="27"/>
              </w:rPr>
            </w:pPr>
          </w:p>
          <w:p>
            <w:pPr>
              <w:pStyle w:val="TableParagraph"/>
              <w:ind w:left="67"/>
              <w:rPr>
                <w:sz w:val="24"/>
              </w:rPr>
            </w:pPr>
            <w:r>
              <w:rPr>
                <w:sz w:val="24"/>
              </w:rPr>
              <w:t>Rutaceae</w:t>
            </w:r>
          </w:p>
        </w:tc>
        <w:tc>
          <w:tcPr>
            <w:tcW w:w="4658" w:type="dxa"/>
          </w:tcPr>
          <w:p>
            <w:pPr>
              <w:pStyle w:val="TableParagraph"/>
              <w:spacing w:before="20"/>
              <w:ind w:left="67"/>
              <w:rPr>
                <w:sz w:val="24"/>
              </w:rPr>
            </w:pPr>
            <w:r>
              <w:rPr>
                <w:i/>
                <w:sz w:val="24"/>
              </w:rPr>
              <w:t>Citrus aurantium </w:t>
            </w:r>
            <w:r>
              <w:rPr>
                <w:sz w:val="24"/>
              </w:rPr>
              <w:t>L.</w:t>
            </w:r>
          </w:p>
        </w:tc>
        <w:tc>
          <w:tcPr>
            <w:tcW w:w="2281" w:type="dxa"/>
          </w:tcPr>
          <w:p>
            <w:pPr>
              <w:pStyle w:val="TableParagraph"/>
              <w:spacing w:line="272" w:lineRule="exact"/>
              <w:ind w:left="262" w:right="263"/>
              <w:jc w:val="center"/>
              <w:rPr>
                <w:sz w:val="24"/>
              </w:rPr>
            </w:pPr>
            <w:r>
              <w:rPr>
                <w:sz w:val="24"/>
              </w:rPr>
              <w:t>Árbol</w:t>
            </w:r>
          </w:p>
        </w:tc>
      </w:tr>
      <w:tr>
        <w:trPr>
          <w:trHeight w:val="307" w:hRule="exact"/>
        </w:trPr>
        <w:tc>
          <w:tcPr>
            <w:tcW w:w="2113" w:type="dxa"/>
            <w:vMerge/>
          </w:tcPr>
          <w:p>
            <w:pPr/>
          </w:p>
        </w:tc>
        <w:tc>
          <w:tcPr>
            <w:tcW w:w="4658" w:type="dxa"/>
          </w:tcPr>
          <w:p>
            <w:pPr>
              <w:pStyle w:val="TableParagraph"/>
              <w:spacing w:before="19"/>
              <w:ind w:left="67"/>
              <w:rPr>
                <w:sz w:val="24"/>
              </w:rPr>
            </w:pPr>
            <w:r>
              <w:rPr>
                <w:i/>
                <w:sz w:val="24"/>
              </w:rPr>
              <w:t>Citrus sinensis </w:t>
            </w:r>
            <w:r>
              <w:rPr>
                <w:sz w:val="24"/>
              </w:rPr>
              <w:t>(L.) Osbeck</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vMerge/>
          </w:tcPr>
          <w:p>
            <w:pPr/>
          </w:p>
        </w:tc>
        <w:tc>
          <w:tcPr>
            <w:tcW w:w="4658" w:type="dxa"/>
          </w:tcPr>
          <w:p>
            <w:pPr>
              <w:pStyle w:val="TableParagraph"/>
              <w:spacing w:before="24"/>
              <w:ind w:left="67"/>
              <w:rPr>
                <w:sz w:val="24"/>
              </w:rPr>
            </w:pPr>
            <w:r>
              <w:rPr>
                <w:i/>
                <w:sz w:val="24"/>
              </w:rPr>
              <w:t>Ruta chalepensis </w:t>
            </w:r>
            <w:r>
              <w:rPr>
                <w:sz w:val="24"/>
              </w:rPr>
              <w:t>L.</w:t>
            </w:r>
          </w:p>
        </w:tc>
        <w:tc>
          <w:tcPr>
            <w:tcW w:w="2281" w:type="dxa"/>
          </w:tcPr>
          <w:p>
            <w:pPr>
              <w:pStyle w:val="TableParagraph"/>
              <w:ind w:left="264" w:right="263"/>
              <w:jc w:val="center"/>
              <w:rPr>
                <w:sz w:val="24"/>
              </w:rPr>
            </w:pPr>
            <w:r>
              <w:rPr>
                <w:sz w:val="24"/>
              </w:rPr>
              <w:t>Herbácea</w:t>
            </w:r>
          </w:p>
        </w:tc>
      </w:tr>
      <w:tr>
        <w:trPr>
          <w:trHeight w:val="312" w:hRule="exact"/>
        </w:trPr>
        <w:tc>
          <w:tcPr>
            <w:tcW w:w="2113" w:type="dxa"/>
          </w:tcPr>
          <w:p>
            <w:pPr>
              <w:pStyle w:val="TableParagraph"/>
              <w:spacing w:before="19"/>
              <w:ind w:left="67"/>
              <w:rPr>
                <w:sz w:val="24"/>
              </w:rPr>
            </w:pPr>
            <w:r>
              <w:rPr>
                <w:sz w:val="24"/>
              </w:rPr>
              <w:t>Salicaceae</w:t>
            </w:r>
          </w:p>
        </w:tc>
        <w:tc>
          <w:tcPr>
            <w:tcW w:w="4658" w:type="dxa"/>
          </w:tcPr>
          <w:p>
            <w:pPr>
              <w:pStyle w:val="TableParagraph"/>
              <w:spacing w:before="19"/>
              <w:ind w:left="67"/>
              <w:rPr>
                <w:sz w:val="24"/>
              </w:rPr>
            </w:pPr>
            <w:r>
              <w:rPr>
                <w:i/>
                <w:sz w:val="24"/>
              </w:rPr>
              <w:t>Salix bonplandiana </w:t>
            </w:r>
            <w:r>
              <w:rPr>
                <w:sz w:val="24"/>
              </w:rPr>
              <w:t>Kunth</w:t>
            </w:r>
          </w:p>
        </w:tc>
        <w:tc>
          <w:tcPr>
            <w:tcW w:w="2281" w:type="dxa"/>
          </w:tcPr>
          <w:p>
            <w:pPr>
              <w:pStyle w:val="TableParagraph"/>
              <w:spacing w:line="272" w:lineRule="exact"/>
              <w:ind w:left="262" w:right="263"/>
              <w:jc w:val="center"/>
              <w:rPr>
                <w:sz w:val="24"/>
              </w:rPr>
            </w:pPr>
            <w:r>
              <w:rPr>
                <w:sz w:val="24"/>
              </w:rPr>
              <w:t>Árbol</w:t>
            </w:r>
          </w:p>
        </w:tc>
      </w:tr>
      <w:tr>
        <w:trPr>
          <w:trHeight w:val="307" w:hRule="exact"/>
        </w:trPr>
        <w:tc>
          <w:tcPr>
            <w:tcW w:w="2113" w:type="dxa"/>
          </w:tcPr>
          <w:p>
            <w:pPr>
              <w:pStyle w:val="TableParagraph"/>
              <w:spacing w:before="19"/>
              <w:ind w:left="67"/>
              <w:rPr>
                <w:sz w:val="24"/>
              </w:rPr>
            </w:pPr>
            <w:r>
              <w:rPr>
                <w:sz w:val="24"/>
              </w:rPr>
              <w:t>Sapindaceae</w:t>
            </w:r>
          </w:p>
        </w:tc>
        <w:tc>
          <w:tcPr>
            <w:tcW w:w="4658" w:type="dxa"/>
          </w:tcPr>
          <w:p>
            <w:pPr>
              <w:pStyle w:val="TableParagraph"/>
              <w:spacing w:before="19"/>
              <w:ind w:left="67"/>
              <w:rPr>
                <w:sz w:val="24"/>
              </w:rPr>
            </w:pPr>
            <w:r>
              <w:rPr>
                <w:i/>
                <w:sz w:val="24"/>
              </w:rPr>
              <w:t>Paullinia fuscescens </w:t>
            </w:r>
            <w:r>
              <w:rPr>
                <w:sz w:val="24"/>
              </w:rPr>
              <w:t>Kunth</w:t>
            </w:r>
          </w:p>
        </w:tc>
        <w:tc>
          <w:tcPr>
            <w:tcW w:w="2281" w:type="dxa"/>
          </w:tcPr>
          <w:p>
            <w:pPr>
              <w:pStyle w:val="TableParagraph"/>
              <w:spacing w:line="272" w:lineRule="exact"/>
              <w:ind w:left="264" w:right="263"/>
              <w:jc w:val="center"/>
              <w:rPr>
                <w:sz w:val="24"/>
              </w:rPr>
            </w:pPr>
            <w:r>
              <w:rPr>
                <w:sz w:val="24"/>
              </w:rPr>
              <w:t>Herbácea</w:t>
            </w:r>
          </w:p>
        </w:tc>
      </w:tr>
      <w:tr>
        <w:trPr>
          <w:trHeight w:val="313" w:hRule="exact"/>
        </w:trPr>
        <w:tc>
          <w:tcPr>
            <w:tcW w:w="2113" w:type="dxa"/>
            <w:vMerge w:val="restart"/>
          </w:tcPr>
          <w:p>
            <w:pPr>
              <w:pStyle w:val="TableParagraph"/>
              <w:spacing w:before="7"/>
              <w:rPr>
                <w:rFonts w:ascii="Times New Roman"/>
                <w:sz w:val="27"/>
              </w:rPr>
            </w:pPr>
          </w:p>
          <w:p>
            <w:pPr>
              <w:pStyle w:val="TableParagraph"/>
              <w:ind w:left="67"/>
              <w:rPr>
                <w:sz w:val="24"/>
              </w:rPr>
            </w:pPr>
            <w:r>
              <w:rPr>
                <w:sz w:val="24"/>
              </w:rPr>
              <w:t>Solanaceae</w:t>
            </w:r>
          </w:p>
        </w:tc>
        <w:tc>
          <w:tcPr>
            <w:tcW w:w="4658" w:type="dxa"/>
          </w:tcPr>
          <w:p>
            <w:pPr>
              <w:pStyle w:val="TableParagraph"/>
              <w:spacing w:before="20"/>
              <w:ind w:left="67"/>
              <w:rPr>
                <w:sz w:val="24"/>
              </w:rPr>
            </w:pPr>
            <w:r>
              <w:rPr>
                <w:i/>
                <w:sz w:val="24"/>
              </w:rPr>
              <w:t>Capsicum pubescens </w:t>
            </w:r>
            <w:r>
              <w:rPr>
                <w:sz w:val="24"/>
              </w:rPr>
              <w:t>Ruiz &amp; Pav.</w:t>
            </w:r>
          </w:p>
        </w:tc>
        <w:tc>
          <w:tcPr>
            <w:tcW w:w="2281" w:type="dxa"/>
          </w:tcPr>
          <w:p>
            <w:pPr>
              <w:pStyle w:val="TableParagraph"/>
              <w:spacing w:line="272" w:lineRule="exact"/>
              <w:ind w:left="264" w:right="263"/>
              <w:jc w:val="center"/>
              <w:rPr>
                <w:sz w:val="24"/>
              </w:rPr>
            </w:pPr>
            <w:r>
              <w:rPr>
                <w:sz w:val="24"/>
              </w:rPr>
              <w:t>Herbácea</w:t>
            </w:r>
          </w:p>
        </w:tc>
      </w:tr>
      <w:tr>
        <w:trPr>
          <w:trHeight w:val="307" w:hRule="exact"/>
        </w:trPr>
        <w:tc>
          <w:tcPr>
            <w:tcW w:w="2113" w:type="dxa"/>
            <w:vMerge/>
          </w:tcPr>
          <w:p>
            <w:pPr/>
          </w:p>
        </w:tc>
        <w:tc>
          <w:tcPr>
            <w:tcW w:w="4658" w:type="dxa"/>
          </w:tcPr>
          <w:p>
            <w:pPr>
              <w:pStyle w:val="TableParagraph"/>
              <w:spacing w:before="19"/>
              <w:ind w:left="67"/>
              <w:rPr>
                <w:sz w:val="24"/>
              </w:rPr>
            </w:pPr>
            <w:r>
              <w:rPr>
                <w:i/>
                <w:sz w:val="24"/>
              </w:rPr>
              <w:t>Physalis Philadelphica </w:t>
            </w:r>
            <w:r>
              <w:rPr>
                <w:sz w:val="24"/>
              </w:rPr>
              <w:t>Lam.</w:t>
            </w:r>
          </w:p>
        </w:tc>
        <w:tc>
          <w:tcPr>
            <w:tcW w:w="2281" w:type="dxa"/>
          </w:tcPr>
          <w:p>
            <w:pPr>
              <w:pStyle w:val="TableParagraph"/>
              <w:spacing w:line="272" w:lineRule="exact"/>
              <w:ind w:left="264" w:right="263"/>
              <w:jc w:val="center"/>
              <w:rPr>
                <w:sz w:val="24"/>
              </w:rPr>
            </w:pPr>
            <w:r>
              <w:rPr>
                <w:sz w:val="24"/>
              </w:rPr>
              <w:t>Herbácea</w:t>
            </w:r>
          </w:p>
        </w:tc>
      </w:tr>
      <w:tr>
        <w:trPr>
          <w:trHeight w:val="312" w:hRule="exact"/>
        </w:trPr>
        <w:tc>
          <w:tcPr>
            <w:tcW w:w="2113" w:type="dxa"/>
            <w:vMerge/>
          </w:tcPr>
          <w:p>
            <w:pPr/>
          </w:p>
        </w:tc>
        <w:tc>
          <w:tcPr>
            <w:tcW w:w="4658" w:type="dxa"/>
          </w:tcPr>
          <w:p>
            <w:pPr>
              <w:pStyle w:val="TableParagraph"/>
              <w:spacing w:before="19"/>
              <w:ind w:left="67"/>
              <w:rPr>
                <w:sz w:val="24"/>
              </w:rPr>
            </w:pPr>
            <w:r>
              <w:rPr>
                <w:i/>
                <w:sz w:val="24"/>
              </w:rPr>
              <w:t>Solanum aphyodendron </w:t>
            </w:r>
            <w:r>
              <w:rPr>
                <w:sz w:val="24"/>
              </w:rPr>
              <w:t>S. Knapp</w:t>
            </w:r>
          </w:p>
        </w:tc>
        <w:tc>
          <w:tcPr>
            <w:tcW w:w="2281" w:type="dxa"/>
          </w:tcPr>
          <w:p>
            <w:pPr>
              <w:pStyle w:val="TableParagraph"/>
              <w:spacing w:line="272" w:lineRule="exact"/>
              <w:ind w:left="262" w:right="263"/>
              <w:jc w:val="center"/>
              <w:rPr>
                <w:sz w:val="24"/>
              </w:rPr>
            </w:pPr>
            <w:r>
              <w:rPr>
                <w:sz w:val="24"/>
              </w:rPr>
              <w:t>Árbol</w:t>
            </w:r>
          </w:p>
        </w:tc>
      </w:tr>
      <w:tr>
        <w:trPr>
          <w:trHeight w:val="312" w:hRule="exact"/>
        </w:trPr>
        <w:tc>
          <w:tcPr>
            <w:tcW w:w="2113" w:type="dxa"/>
          </w:tcPr>
          <w:p>
            <w:pPr>
              <w:pStyle w:val="TableParagraph"/>
              <w:spacing w:before="19"/>
              <w:ind w:left="67"/>
              <w:rPr>
                <w:sz w:val="24"/>
              </w:rPr>
            </w:pPr>
            <w:r>
              <w:rPr>
                <w:sz w:val="24"/>
              </w:rPr>
              <w:t>Ulmaceae</w:t>
            </w:r>
          </w:p>
        </w:tc>
        <w:tc>
          <w:tcPr>
            <w:tcW w:w="4658" w:type="dxa"/>
          </w:tcPr>
          <w:p>
            <w:pPr>
              <w:pStyle w:val="TableParagraph"/>
              <w:spacing w:before="19"/>
              <w:ind w:left="67"/>
              <w:rPr>
                <w:sz w:val="24"/>
              </w:rPr>
            </w:pPr>
            <w:r>
              <w:rPr>
                <w:i/>
                <w:sz w:val="24"/>
              </w:rPr>
              <w:t>Trema micrantha </w:t>
            </w:r>
            <w:r>
              <w:rPr>
                <w:sz w:val="24"/>
              </w:rPr>
              <w:t>(L.) Blume</w:t>
            </w:r>
          </w:p>
        </w:tc>
        <w:tc>
          <w:tcPr>
            <w:tcW w:w="2281" w:type="dxa"/>
          </w:tcPr>
          <w:p>
            <w:pPr>
              <w:pStyle w:val="TableParagraph"/>
              <w:spacing w:line="272" w:lineRule="exact"/>
              <w:ind w:left="262" w:right="263"/>
              <w:jc w:val="center"/>
              <w:rPr>
                <w:sz w:val="24"/>
              </w:rPr>
            </w:pPr>
            <w:r>
              <w:rPr>
                <w:sz w:val="24"/>
              </w:rPr>
              <w:t>Árbol</w:t>
            </w:r>
          </w:p>
        </w:tc>
      </w:tr>
      <w:tr>
        <w:trPr>
          <w:trHeight w:val="307" w:hRule="exact"/>
        </w:trPr>
        <w:tc>
          <w:tcPr>
            <w:tcW w:w="2113" w:type="dxa"/>
          </w:tcPr>
          <w:p>
            <w:pPr>
              <w:pStyle w:val="TableParagraph"/>
              <w:spacing w:before="19"/>
              <w:ind w:left="67"/>
              <w:rPr>
                <w:sz w:val="24"/>
              </w:rPr>
            </w:pPr>
            <w:r>
              <w:rPr>
                <w:sz w:val="24"/>
              </w:rPr>
              <w:t>Verbenaceae</w:t>
            </w:r>
          </w:p>
        </w:tc>
        <w:tc>
          <w:tcPr>
            <w:tcW w:w="4658" w:type="dxa"/>
          </w:tcPr>
          <w:p>
            <w:pPr>
              <w:pStyle w:val="TableParagraph"/>
              <w:spacing w:before="19"/>
              <w:ind w:left="67"/>
              <w:rPr>
                <w:sz w:val="24"/>
              </w:rPr>
            </w:pPr>
            <w:r>
              <w:rPr>
                <w:i/>
                <w:sz w:val="24"/>
              </w:rPr>
              <w:t>Lippia umbellata </w:t>
            </w:r>
            <w:r>
              <w:rPr>
                <w:sz w:val="24"/>
              </w:rPr>
              <w:t>Cav.</w:t>
            </w:r>
          </w:p>
        </w:tc>
        <w:tc>
          <w:tcPr>
            <w:tcW w:w="2281" w:type="dxa"/>
          </w:tcPr>
          <w:p>
            <w:pPr>
              <w:pStyle w:val="TableParagraph"/>
              <w:spacing w:line="272" w:lineRule="exact"/>
              <w:ind w:left="262" w:right="263"/>
              <w:jc w:val="center"/>
              <w:rPr>
                <w:sz w:val="24"/>
              </w:rPr>
            </w:pPr>
            <w:r>
              <w:rPr>
                <w:sz w:val="24"/>
              </w:rPr>
              <w:t>Árbol</w:t>
            </w:r>
          </w:p>
        </w:tc>
      </w:tr>
    </w:tbl>
    <w:p>
      <w:pPr>
        <w:spacing w:after="0" w:line="272" w:lineRule="exact"/>
        <w:jc w:val="center"/>
        <w:rPr>
          <w:sz w:val="24"/>
        </w:rPr>
        <w:sectPr>
          <w:pgSz w:w="12240" w:h="15840"/>
          <w:pgMar w:header="685" w:footer="1146" w:top="880" w:bottom="1340" w:left="14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Heading1"/>
        <w:spacing w:before="60"/>
        <w:ind w:left="396"/>
      </w:pPr>
      <w:r>
        <w:rPr/>
        <w:t>ANEXO 4</w:t>
      </w:r>
    </w:p>
    <w:p>
      <w:pPr>
        <w:spacing w:before="256"/>
        <w:ind w:left="396" w:right="794" w:firstLine="0"/>
        <w:jc w:val="center"/>
        <w:rPr>
          <w:b/>
          <w:sz w:val="32"/>
        </w:rPr>
      </w:pPr>
      <w:r>
        <w:rPr>
          <w:b/>
          <w:sz w:val="32"/>
        </w:rPr>
        <w:t>Oficio de entrega de ejemplares montados</w:t>
      </w:r>
    </w:p>
    <w:p>
      <w:pPr>
        <w:spacing w:after="0"/>
        <w:jc w:val="center"/>
        <w:rPr>
          <w:sz w:val="32"/>
        </w:rPr>
        <w:sectPr>
          <w:pgSz w:w="12240" w:h="15840"/>
          <w:pgMar w:header="685" w:footer="1146" w:top="880" w:bottom="1340" w:left="1720" w:right="1320"/>
        </w:sectPr>
      </w:pPr>
    </w:p>
    <w:p>
      <w:pPr>
        <w:pStyle w:val="BodyText"/>
        <w:rPr>
          <w:rFonts w:ascii="Times New Roman"/>
          <w:sz w:val="20"/>
        </w:rPr>
      </w:pPr>
    </w:p>
    <w:p>
      <w:pPr>
        <w:pStyle w:val="BodyText"/>
        <w:spacing w:before="10" w:after="1"/>
        <w:rPr>
          <w:rFonts w:ascii="Times New Roman"/>
          <w:sz w:val="25"/>
        </w:rPr>
      </w:pPr>
    </w:p>
    <w:p>
      <w:pPr>
        <w:pStyle w:val="BodyText"/>
        <w:ind w:left="118"/>
        <w:rPr>
          <w:rFonts w:ascii="Times New Roman"/>
          <w:sz w:val="20"/>
        </w:rPr>
      </w:pPr>
      <w:r>
        <w:rPr>
          <w:rFonts w:ascii="Times New Roman"/>
          <w:sz w:val="20"/>
        </w:rPr>
        <w:drawing>
          <wp:inline distT="0" distB="0" distL="0" distR="0">
            <wp:extent cx="5967035" cy="7773733"/>
            <wp:effectExtent l="0" t="0" r="0" b="0"/>
            <wp:docPr id="117" name="image109.jpeg" descr=""/>
            <wp:cNvGraphicFramePr>
              <a:graphicFrameLocks noChangeAspect="1"/>
            </wp:cNvGraphicFramePr>
            <a:graphic>
              <a:graphicData uri="http://schemas.openxmlformats.org/drawingml/2006/picture">
                <pic:pic>
                  <pic:nvPicPr>
                    <pic:cNvPr id="118" name="image109.jpeg"/>
                    <pic:cNvPicPr/>
                  </pic:nvPicPr>
                  <pic:blipFill>
                    <a:blip r:embed="rId214" cstate="print"/>
                    <a:stretch>
                      <a:fillRect/>
                    </a:stretch>
                  </pic:blipFill>
                  <pic:spPr>
                    <a:xfrm>
                      <a:off x="0" y="0"/>
                      <a:ext cx="5967035" cy="7773733"/>
                    </a:xfrm>
                    <a:prstGeom prst="rect">
                      <a:avLst/>
                    </a:prstGeom>
                  </pic:spPr>
                </pic:pic>
              </a:graphicData>
            </a:graphic>
          </wp:inline>
        </w:drawing>
      </w:r>
      <w:r>
        <w:rPr>
          <w:rFonts w:ascii="Times New Roman"/>
          <w:sz w:val="20"/>
        </w:rPr>
      </w:r>
    </w:p>
    <w:sectPr>
      <w:pgSz w:w="12240" w:h="15840"/>
      <w:pgMar w:header="685" w:footer="1146" w:top="880" w:bottom="1340" w:left="1300" w:right="1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659973pt;margin-top:723.679993pt;width:9.8pt;height:13.05pt;mso-position-horizontal-relative:page;mso-position-vertical-relative:page;z-index:-354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r>
      <w:rPr/>
      <w:pict>
        <v:shape style="position:absolute;margin-left:187.470001pt;margin-top:735.849915pt;width:236.7pt;height:21.45pt;mso-position-horizontal-relative:page;mso-position-vertical-relative:page;z-index:-354784" type="#_x0000_t202" filled="false" stroked="false">
          <v:textbox inset="0,0,0,0">
            <w:txbxContent>
              <w:p>
                <w:pPr>
                  <w:spacing w:before="0"/>
                  <w:ind w:left="154" w:right="2"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35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28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20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418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r>
      <w:rPr/>
      <w:pict>
        <v:shape style="position:absolute;margin-left:187.470001pt;margin-top:735.849915pt;width:236.45pt;height:21.45pt;mso-position-horizontal-relative:page;mso-position-vertical-relative:page;z-index:-35416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539978pt;margin-top:723.679993pt;width:18.9pt;height:13.05pt;mso-position-horizontal-relative:page;mso-position-vertical-relative:page;z-index:-354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r>
      <w:rPr/>
      <w:pict>
        <v:shape style="position:absolute;margin-left:187.470001pt;margin-top:735.849915pt;width:236.7pt;height:21.45pt;mso-position-horizontal-relative:page;mso-position-vertical-relative:page;z-index:-354736" type="#_x0000_t202" filled="false" stroked="false">
          <v:textbox inset="0,0,0,0">
            <w:txbxContent>
              <w:p>
                <w:pPr>
                  <w:spacing w:before="0"/>
                  <w:ind w:left="154" w:right="2"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11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4088"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r>
      <w:rPr/>
      <w:pict>
        <v:shape style="position:absolute;margin-left:187.470001pt;margin-top:735.849915pt;width:236.45pt;height:21.45pt;mso-position-horizontal-relative:page;mso-position-vertical-relative:page;z-index:-354064"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016"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140015pt;margin-top:543.656006pt;width:15.05pt;height:13.05pt;mso-position-horizontal-relative:page;mso-position-vertical-relative:page;z-index:-353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r>
      <w:rPr/>
      <w:pict>
        <v:shape style="position:absolute;margin-left:277.5pt;margin-top:555.825928pt;width:236.65pt;height:21.45pt;mso-position-horizontal-relative:page;mso-position-vertical-relative:page;z-index:-353944" type="#_x0000_t202" filled="false" stroked="false">
          <v:textbox inset="0,0,0,0">
            <w:txbxContent>
              <w:p>
                <w:pPr>
                  <w:spacing w:before="0"/>
                  <w:ind w:left="154" w:right="1"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140015pt;margin-top:543.656006pt;width:13.05pt;height:13.05pt;mso-position-horizontal-relative:page;mso-position-vertical-relative:page;z-index:-353920"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r>
      <w:rPr/>
      <w:pict>
        <v:shape style="position:absolute;margin-left:277.5pt;margin-top:555.825928pt;width:236.65pt;height:21.45pt;mso-position-horizontal-relative:page;mso-position-vertical-relative:page;z-index:-353896" type="#_x0000_t202" filled="false" stroked="false">
          <v:textbox inset="0,0,0,0">
            <w:txbxContent>
              <w:p>
                <w:pPr>
                  <w:spacing w:before="0"/>
                  <w:ind w:left="154" w:right="1"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140015pt;margin-top:543.656006pt;width:15.05pt;height:13.05pt;mso-position-horizontal-relative:page;mso-position-vertical-relative:page;z-index:-353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r>
      <w:rPr/>
      <w:pict>
        <v:shape style="position:absolute;margin-left:277.5pt;margin-top:555.825928pt;width:236.65pt;height:21.45pt;mso-position-horizontal-relative:page;mso-position-vertical-relative:page;z-index:-353848" type="#_x0000_t202" filled="false" stroked="false">
          <v:textbox inset="0,0,0,0">
            <w:txbxContent>
              <w:p>
                <w:pPr>
                  <w:spacing w:before="0"/>
                  <w:ind w:left="154" w:right="1"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140015pt;margin-top:543.656006pt;width:13.05pt;height:13.05pt;mso-position-horizontal-relative:page;mso-position-vertical-relative:page;z-index:-353824"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r>
      <w:rPr/>
      <w:pict>
        <v:shape style="position:absolute;margin-left:277.5pt;margin-top:555.825928pt;width:236.65pt;height:21.45pt;mso-position-horizontal-relative:page;mso-position-vertical-relative:page;z-index:-353800" type="#_x0000_t202" filled="false" stroked="false">
          <v:textbox inset="0,0,0,0">
            <w:txbxContent>
              <w:p>
                <w:pPr>
                  <w:spacing w:before="0"/>
                  <w:ind w:left="154" w:right="1"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140015pt;margin-top:543.656006pt;width:15.05pt;height:13.05pt;mso-position-horizontal-relative:page;mso-position-vertical-relative:page;z-index:-353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r>
      <w:rPr/>
      <w:pict>
        <v:shape style="position:absolute;margin-left:277.5pt;margin-top:555.825928pt;width:236.65pt;height:21.45pt;mso-position-horizontal-relative:page;mso-position-vertical-relative:page;z-index:-353752" type="#_x0000_t202" filled="false" stroked="false">
          <v:textbox inset="0,0,0,0">
            <w:txbxContent>
              <w:p>
                <w:pPr>
                  <w:spacing w:before="0"/>
                  <w:ind w:left="154" w:right="1"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3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r>
      <w:rPr/>
      <w:pict>
        <v:shape style="position:absolute;margin-left:187.470001pt;margin-top:735.849915pt;width:236.45pt;height:21.45pt;mso-position-horizontal-relative:page;mso-position-vertical-relative:page;z-index:-35368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3656"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r>
      <w:rPr/>
      <w:pict>
        <v:shape style="position:absolute;margin-left:187.470001pt;margin-top:735.849915pt;width:236.45pt;height:21.45pt;mso-position-horizontal-relative:page;mso-position-vertical-relative:page;z-index:-35363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26001pt;margin-top:723.679993pt;width:18.25pt;height:13.05pt;mso-position-horizontal-relative:page;mso-position-vertical-relative:page;z-index:-354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XIII</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68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140015pt;margin-top:543.656006pt;width:15.05pt;height:13.05pt;mso-position-horizontal-relative:page;mso-position-vertical-relative:page;z-index:-353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r>
      <w:rPr/>
      <w:pict>
        <v:shape style="position:absolute;margin-left:277.739990pt;margin-top:555.825928pt;width:236.45pt;height:21.45pt;mso-position-horizontal-relative:page;mso-position-vertical-relative:page;z-index:-353560" type="#_x0000_t202" filled="false" stroked="false">
          <v:textbox inset="0,0,0,0">
            <w:txbxContent>
              <w:p>
                <w:pPr>
                  <w:spacing w:before="0"/>
                  <w:ind w:left="149" w:right="-3" w:hanging="130"/>
                  <w:jc w:val="left"/>
                  <w:rPr>
                    <w:sz w:val="18"/>
                  </w:rPr>
                </w:pPr>
                <w:r>
                  <w:rPr>
                    <w:sz w:val="18"/>
                  </w:rPr>
                  <w:t>Estudio florístico del Parque Universitario “Las Orquídeas”, como base para la conservación y educación ambiental</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1.52002pt;width:15.05pt;height:13.05pt;mso-position-horizontal-relative:page;mso-position-vertical-relative:page;z-index:-353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r>
      <w:rPr/>
      <w:pict>
        <v:shape style="position:absolute;margin-left:174.509995pt;margin-top:733.872009pt;width:262.5pt;height:23.6pt;mso-position-horizontal-relative:page;mso-position-vertical-relative:page;z-index:-353488" type="#_x0000_t202" filled="false" stroked="false">
          <v:textbox inset="0,0,0,0">
            <w:txbxContent>
              <w:p>
                <w:pPr>
                  <w:spacing w:line="240" w:lineRule="auto" w:before="0"/>
                  <w:ind w:left="164" w:right="-4"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1.52002pt;width:18.6pt;height:13.05pt;mso-position-horizontal-relative:page;mso-position-vertical-relative:page;z-index:-353464"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r>
      <w:rPr/>
      <w:pict>
        <v:shape style="position:absolute;margin-left:174.509995pt;margin-top:733.872009pt;width:262.5pt;height:23.6pt;mso-position-horizontal-relative:page;mso-position-vertical-relative:page;z-index:-353440" type="#_x0000_t202" filled="false" stroked="false">
          <v:textbox inset="0,0,0,0">
            <w:txbxContent>
              <w:p>
                <w:pPr>
                  <w:spacing w:line="240" w:lineRule="auto" w:before="0"/>
                  <w:ind w:left="164" w:right="-4"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1.52002pt;width:20.6pt;height:13.05pt;mso-position-horizontal-relative:page;mso-position-vertical-relative:page;z-index:-353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r>
      <w:rPr/>
      <w:pict>
        <v:shape style="position:absolute;margin-left:174.509995pt;margin-top:733.872009pt;width:262.5pt;height:23.6pt;mso-position-horizontal-relative:page;mso-position-vertical-relative:page;z-index:-353392" type="#_x0000_t202" filled="false" stroked="false">
          <v:textbox inset="0,0,0,0">
            <w:txbxContent>
              <w:p>
                <w:pPr>
                  <w:spacing w:line="240" w:lineRule="auto" w:before="0"/>
                  <w:ind w:left="164" w:right="-4"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380005pt;margin-top:541.495972pt;width:20.6pt;height:13.05pt;mso-position-horizontal-relative:page;mso-position-vertical-relative:page;z-index:-353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r>
      <w:rPr/>
      <w:pict>
        <v:shape style="position:absolute;margin-left:264.540009pt;margin-top:553.848022pt;width:262.650pt;height:23.6pt;mso-position-horizontal-relative:page;mso-position-vertical-relative:page;z-index:-353320" type="#_x0000_t202" filled="false" stroked="false">
          <v:textbox inset="0,0,0,0">
            <w:txbxContent>
              <w:p>
                <w:pPr>
                  <w:spacing w:line="240" w:lineRule="auto" w:before="0"/>
                  <w:ind w:left="163" w:right="0"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1.52002pt;width:19.6pt;height:13.05pt;mso-position-horizontal-relative:page;mso-position-vertical-relative:page;z-index:-353272" type="#_x0000_t202" filled="false" stroked="false">
          <v:textbox inset="0,0,0,0">
            <w:txbxContent>
              <w:p>
                <w:pPr>
                  <w:spacing w:line="245" w:lineRule="exact" w:before="0"/>
                  <w:ind w:left="40" w:right="-3" w:firstLine="0"/>
                  <w:jc w:val="left"/>
                  <w:rPr>
                    <w:rFonts w:ascii="Calibri"/>
                    <w:sz w:val="22"/>
                  </w:rPr>
                </w:pPr>
                <w:r>
                  <w:rPr/>
                  <w:fldChar w:fldCharType="begin"/>
                </w:r>
                <w:r>
                  <w:rPr>
                    <w:rFonts w:ascii="Calibri"/>
                    <w:sz w:val="22"/>
                  </w:rPr>
                  <w:instrText> PAGE </w:instrText>
                </w:r>
                <w:r>
                  <w:rPr/>
                  <w:fldChar w:fldCharType="separate"/>
                </w:r>
                <w:r>
                  <w:rPr/>
                  <w:t>10</w:t>
                </w:r>
                <w:r>
                  <w:rPr/>
                  <w:fldChar w:fldCharType="end"/>
                </w:r>
                <w:r>
                  <w:rPr>
                    <w:rFonts w:ascii="Calibri"/>
                    <w:sz w:val="22"/>
                  </w:rPr>
                  <w:t>9</w:t>
                </w:r>
              </w:p>
            </w:txbxContent>
          </v:textbox>
          <w10:wrap type="none"/>
        </v:shape>
      </w:pict>
    </w:r>
    <w:r>
      <w:rPr/>
      <w:pict>
        <v:shape style="position:absolute;margin-left:174.509995pt;margin-top:733.872009pt;width:262.650pt;height:23.6pt;mso-position-horizontal-relative:page;mso-position-vertical-relative:page;z-index:-353248" type="#_x0000_t202" filled="false" stroked="false">
          <v:textbox inset="0,0,0,0">
            <w:txbxContent>
              <w:p>
                <w:pPr>
                  <w:spacing w:line="240" w:lineRule="auto" w:before="0"/>
                  <w:ind w:left="164" w:right="-1"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1.52002pt;width:20.6pt;height:13.05pt;mso-position-horizontal-relative:page;mso-position-vertical-relative:page;z-index:-353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r>
      <w:rPr/>
      <w:pict>
        <v:shape style="position:absolute;margin-left:174.509995pt;margin-top:733.872009pt;width:262.650pt;height:23.6pt;mso-position-horizontal-relative:page;mso-position-vertical-relative:page;z-index:-353200" type="#_x0000_t202" filled="false" stroked="false">
          <v:textbox inset="0,0,0,0">
            <w:txbxContent>
              <w:p>
                <w:pPr>
                  <w:spacing w:line="240" w:lineRule="auto" w:before="0"/>
                  <w:ind w:left="164" w:right="-1"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1.52002pt;width:20.6pt;height:13.05pt;mso-position-horizontal-relative:page;mso-position-vertical-relative:page;z-index:-353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114</w:t>
                </w:r>
                <w:r>
                  <w:rPr/>
                  <w:fldChar w:fldCharType="end"/>
                </w:r>
              </w:p>
            </w:txbxContent>
          </v:textbox>
          <w10:wrap type="none"/>
        </v:shape>
      </w:pict>
    </w:r>
    <w:r>
      <w:rPr/>
      <w:pict>
        <v:shape style="position:absolute;margin-left:174.509995pt;margin-top:733.872009pt;width:262.5pt;height:23.6pt;mso-position-horizontal-relative:page;mso-position-vertical-relative:page;z-index:-353128" type="#_x0000_t202" filled="false" stroked="false">
          <v:textbox inset="0,0,0,0">
            <w:txbxContent>
              <w:p>
                <w:pPr>
                  <w:spacing w:line="240" w:lineRule="auto" w:before="0"/>
                  <w:ind w:left="164" w:right="-4"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1.52002pt;width:18.6pt;height:13.05pt;mso-position-horizontal-relative:page;mso-position-vertical-relative:page;z-index:-353104"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r>
      <w:rPr/>
      <w:pict>
        <v:shape style="position:absolute;margin-left:174.509995pt;margin-top:733.872009pt;width:262.5pt;height:23.6pt;mso-position-horizontal-relative:page;mso-position-vertical-relative:page;z-index:-353080" type="#_x0000_t202" filled="false" stroked="false">
          <v:textbox inset="0,0,0,0">
            <w:txbxContent>
              <w:p>
                <w:pPr>
                  <w:spacing w:line="240" w:lineRule="auto" w:before="0"/>
                  <w:ind w:left="164" w:right="-4" w:hanging="144"/>
                  <w:jc w:val="left"/>
                  <w:rPr>
                    <w:sz w:val="20"/>
                  </w:rPr>
                </w:pPr>
                <w:r>
                  <w:rPr>
                    <w:sz w:val="20"/>
                  </w:rPr>
                  <w:t>Estudio florístico del Parque Universitario “Las Orquídeas”, como base para la conservación y educación ambiental</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659973pt;margin-top:723.679993pt;width:9.6pt;height:13.05pt;mso-position-horizontal-relative:page;mso-position-vertical-relative:page;z-index:-354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64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1.52002pt;width:20.6pt;height:15.2pt;mso-position-horizontal-relative:page;mso-position-vertical-relative:page;z-index:-353056" type="#_x0000_t202" filled="false" stroked="false">
          <v:textbox inset="0,0,0,0">
            <w:txbxContent>
              <w:p>
                <w:pPr>
                  <w:spacing w:before="19"/>
                  <w:ind w:left="40" w:right="0" w:firstLine="0"/>
                  <w:jc w:val="left"/>
                  <w:rPr>
                    <w:rFonts w:ascii="Calibri"/>
                    <w:sz w:val="22"/>
                  </w:rPr>
                </w:pPr>
                <w:r>
                  <w:rPr/>
                  <w:fldChar w:fldCharType="begin"/>
                </w:r>
                <w:r>
                  <w:rPr>
                    <w:rFonts w:ascii="Calibri"/>
                    <w:sz w:val="22"/>
                  </w:rPr>
                  <w:instrText> PAGE </w:instrText>
                </w:r>
                <w:r>
                  <w:rPr/>
                  <w:fldChar w:fldCharType="separate"/>
                </w:r>
                <w:r>
                  <w:rPr/>
                  <w:t>123</w:t>
                </w:r>
                <w:r>
                  <w:rPr/>
                  <w:fldChar w:fldCharType="end"/>
                </w:r>
              </w:p>
            </w:txbxContent>
          </v:textbox>
          <w10:wrap type="none"/>
        </v:shape>
      </w:pict>
    </w:r>
    <w:r>
      <w:rPr/>
      <w:pict>
        <v:shape style="position:absolute;margin-left:187.470001pt;margin-top:735.849915pt;width:236.45pt;height:21.45pt;mso-position-horizontal-relative:page;mso-position-vertical-relative:page;z-index:-35303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3008"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r>
      <w:rPr/>
      <w:pict>
        <v:shape style="position:absolute;margin-left:187.470001pt;margin-top:735.849915pt;width:236.45pt;height:21.45pt;mso-position-horizontal-relative:page;mso-position-vertical-relative:page;z-index:-352984"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936"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912" type="#_x0000_t202" filled="false" stroked="false">
          <v:textbox inset="0,0,0,0">
            <w:txbxContent>
              <w:p>
                <w:pPr>
                  <w:spacing w:line="245" w:lineRule="exact" w:before="0"/>
                  <w:ind w:left="20" w:right="-3" w:firstLine="0"/>
                  <w:jc w:val="left"/>
                  <w:rPr>
                    <w:rFonts w:ascii="Calibri"/>
                    <w:sz w:val="22"/>
                  </w:rPr>
                </w:pPr>
                <w:r>
                  <w:rPr>
                    <w:rFonts w:ascii="Calibri"/>
                    <w:sz w:val="22"/>
                  </w:rPr>
                  <w:t>140</w:t>
                </w:r>
              </w:p>
            </w:txbxContent>
          </v:textbox>
          <w10:wrap type="none"/>
        </v:shape>
      </w:pict>
    </w:r>
    <w:r>
      <w:rPr/>
      <w:pict>
        <v:shape style="position:absolute;margin-left:187.470001pt;margin-top:735.849915pt;width:236.45pt;height:21.45pt;mso-position-horizontal-relative:page;mso-position-vertical-relative:page;z-index:-35288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84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816" type="#_x0000_t202" filled="false" stroked="false">
          <v:textbox inset="0,0,0,0">
            <w:txbxContent>
              <w:p>
                <w:pPr>
                  <w:spacing w:line="245" w:lineRule="exact" w:before="0"/>
                  <w:ind w:left="20" w:right="-3" w:firstLine="0"/>
                  <w:jc w:val="left"/>
                  <w:rPr>
                    <w:rFonts w:ascii="Calibri"/>
                    <w:sz w:val="22"/>
                  </w:rPr>
                </w:pPr>
                <w:r>
                  <w:rPr>
                    <w:rFonts w:ascii="Calibri"/>
                    <w:sz w:val="22"/>
                  </w:rPr>
                  <w:t>150</w:t>
                </w:r>
              </w:p>
            </w:txbxContent>
          </v:textbox>
          <w10:wrap type="none"/>
        </v:shape>
      </w:pict>
    </w:r>
    <w:r>
      <w:rPr/>
      <w:pict>
        <v:shape style="position:absolute;margin-left:187.470001pt;margin-top:735.849915pt;width:236.45pt;height:21.45pt;mso-position-horizontal-relative:page;mso-position-vertical-relative:page;z-index:-35279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744"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720" type="#_x0000_t202" filled="false" stroked="false">
          <v:textbox inset="0,0,0,0">
            <w:txbxContent>
              <w:p>
                <w:pPr>
                  <w:spacing w:line="245" w:lineRule="exact" w:before="0"/>
                  <w:ind w:left="20" w:right="-3" w:firstLine="0"/>
                  <w:jc w:val="left"/>
                  <w:rPr>
                    <w:rFonts w:ascii="Calibri"/>
                    <w:sz w:val="22"/>
                  </w:rPr>
                </w:pPr>
                <w:r>
                  <w:rPr>
                    <w:rFonts w:ascii="Calibri"/>
                    <w:sz w:val="22"/>
                  </w:rPr>
                  <w:t>160</w:t>
                </w:r>
              </w:p>
            </w:txbxContent>
          </v:textbox>
          <w10:wrap type="none"/>
        </v:shape>
      </w:pict>
    </w:r>
    <w:r>
      <w:rPr/>
      <w:pict>
        <v:shape style="position:absolute;margin-left:187.470001pt;margin-top:735.849915pt;width:236.45pt;height:21.45pt;mso-position-horizontal-relative:page;mso-position-vertical-relative:page;z-index:-352696"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64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624" type="#_x0000_t202" filled="false" stroked="false">
          <v:textbox inset="0,0,0,0">
            <w:txbxContent>
              <w:p>
                <w:pPr>
                  <w:spacing w:line="245" w:lineRule="exact" w:before="0"/>
                  <w:ind w:left="20" w:right="-3" w:firstLine="0"/>
                  <w:jc w:val="left"/>
                  <w:rPr>
                    <w:rFonts w:ascii="Calibri"/>
                    <w:sz w:val="22"/>
                  </w:rPr>
                </w:pPr>
                <w:r>
                  <w:rPr>
                    <w:rFonts w:ascii="Calibri"/>
                    <w:sz w:val="22"/>
                  </w:rPr>
                  <w:t>170</w:t>
                </w:r>
              </w:p>
            </w:txbxContent>
          </v:textbox>
          <w10:wrap type="none"/>
        </v:shape>
      </w:pict>
    </w:r>
    <w:r>
      <w:rPr/>
      <w:pict>
        <v:shape style="position:absolute;margin-left:187.470001pt;margin-top:735.849915pt;width:236.45pt;height:21.45pt;mso-position-horizontal-relative:page;mso-position-vertical-relative:page;z-index:-35260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461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r>
      <w:rPr/>
      <w:pict>
        <v:shape style="position:absolute;margin-left:187.470001pt;margin-top:735.849915pt;width:236.45pt;height:21.45pt;mso-position-horizontal-relative:page;mso-position-vertical-relative:page;z-index:-35459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552"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528" type="#_x0000_t202" filled="false" stroked="false">
          <v:textbox inset="0,0,0,0">
            <w:txbxContent>
              <w:p>
                <w:pPr>
                  <w:spacing w:line="245" w:lineRule="exact" w:before="0"/>
                  <w:ind w:left="20" w:right="-3" w:firstLine="0"/>
                  <w:jc w:val="left"/>
                  <w:rPr>
                    <w:rFonts w:ascii="Calibri"/>
                    <w:sz w:val="22"/>
                  </w:rPr>
                </w:pPr>
                <w:r>
                  <w:rPr>
                    <w:rFonts w:ascii="Calibri"/>
                    <w:sz w:val="22"/>
                  </w:rPr>
                  <w:t>180</w:t>
                </w:r>
              </w:p>
            </w:txbxContent>
          </v:textbox>
          <w10:wrap type="none"/>
        </v:shape>
      </w:pict>
    </w:r>
    <w:r>
      <w:rPr/>
      <w:pict>
        <v:shape style="position:absolute;margin-left:187.470001pt;margin-top:735.849915pt;width:236.45pt;height:21.45pt;mso-position-horizontal-relative:page;mso-position-vertical-relative:page;z-index:-352504"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456"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49976pt;margin-top:723.679993pt;width:18.6pt;height:13.05pt;mso-position-horizontal-relative:page;mso-position-vertical-relative:page;z-index:-352432" type="#_x0000_t202" filled="false" stroked="false">
          <v:textbox inset="0,0,0,0">
            <w:txbxContent>
              <w:p>
                <w:pPr>
                  <w:spacing w:line="245" w:lineRule="exact" w:before="0"/>
                  <w:ind w:left="20" w:right="-3" w:firstLine="0"/>
                  <w:jc w:val="left"/>
                  <w:rPr>
                    <w:rFonts w:ascii="Calibri"/>
                    <w:sz w:val="22"/>
                  </w:rPr>
                </w:pPr>
                <w:r>
                  <w:rPr>
                    <w:rFonts w:ascii="Calibri"/>
                    <w:sz w:val="22"/>
                  </w:rPr>
                  <w:t>190</w:t>
                </w:r>
              </w:p>
            </w:txbxContent>
          </v:textbox>
          <w10:wrap type="none"/>
        </v:shape>
      </w:pict>
    </w:r>
    <w:r>
      <w:rPr/>
      <w:pict>
        <v:shape style="position:absolute;margin-left:187.470001pt;margin-top:735.849915pt;width:236.45pt;height:21.45pt;mso-position-horizontal-relative:page;mso-position-vertical-relative:page;z-index:-35240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23.679993pt;width:20.6pt;height:13.05pt;mso-position-horizontal-relative:page;mso-position-vertical-relative:page;z-index:-352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236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544"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452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r>
      <w:rPr/>
      <w:pict>
        <v:shape style="position:absolute;margin-left:187.470001pt;margin-top:735.849915pt;width:236.45pt;height:21.45pt;mso-position-horizontal-relative:page;mso-position-vertical-relative:page;z-index:-354496"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23.679993pt;width:15.05pt;height:13.05pt;mso-position-horizontal-relative:page;mso-position-vertical-relative:page;z-index:-354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r>
      <w:rPr/>
      <w:pict>
        <v:shape style="position:absolute;margin-left:187.470001pt;margin-top:735.849915pt;width:236.45pt;height:21.45pt;mso-position-horizontal-relative:page;mso-position-vertical-relative:page;z-index:-354448"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40015pt;margin-top:723.679993pt;width:13.05pt;height:13.05pt;mso-position-horizontal-relative:page;mso-position-vertical-relative:page;z-index:-354424"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r>
      <w:rPr/>
      <w:pict>
        <v:shape style="position:absolute;margin-left:187.470001pt;margin-top:735.849915pt;width:236.45pt;height:21.45pt;mso-position-horizontal-relative:page;mso-position-vertical-relative:page;z-index:-354400" type="#_x0000_t202" filled="false" stroked="false">
          <v:textbox inset="0,0,0,0">
            <w:txbxContent>
              <w:p>
                <w:pPr>
                  <w:spacing w:before="0"/>
                  <w:ind w:left="154" w:right="-3" w:hanging="135"/>
                  <w:jc w:val="left"/>
                  <w:rPr>
                    <w:sz w:val="18"/>
                  </w:rPr>
                </w:pPr>
                <w:r>
                  <w:rPr>
                    <w:sz w:val="18"/>
                  </w:rPr>
                  <w:t>Estudio florístico del Parque Universitario “Las Orquídeas”, como base para la conservación y educación ambiental</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52.899994pt;margin-top:35.562309pt;width:188.95pt;height:9.950pt;mso-position-horizontal-relative:page;mso-position-vertical-relative:page;z-index:-354832" type="#_x0000_t202" filled="false" stroked="false">
          <v:textbox inset="0,0,0,0">
            <w:txbxContent>
              <w:p>
                <w:pPr>
                  <w:spacing w:line="182" w:lineRule="exact" w:before="0"/>
                  <w:ind w:left="20" w:right="-4" w:firstLine="0"/>
                  <w:jc w:val="left"/>
                  <w:rPr>
                    <w:sz w:val="16"/>
                  </w:rPr>
                </w:pPr>
                <w:r>
                  <w:rPr>
                    <w:sz w:val="16"/>
                  </w:rPr>
                  <w:t>BIOL. CRISTINA BERENICE MONSALVO JIMÉNEZ</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929993pt;margin-top:35.562309pt;width:188.85pt;height:9.950pt;mso-position-horizontal-relative:page;mso-position-vertical-relative:page;z-index:-353992"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322308pt;width:188.85pt;height:9.950pt;mso-position-horizontal-relative:page;mso-position-vertical-relative:page;z-index:-353728"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929993pt;margin-top:35.562309pt;width:188.85pt;height:9.950pt;mso-position-horizontal-relative:page;mso-position-vertical-relative:page;z-index:-353608"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322308pt;width:188.85pt;height:9.950pt;mso-position-horizontal-relative:page;mso-position-vertical-relative:page;z-index:-353536"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929993pt;margin-top:35.322308pt;width:188.85pt;height:9.950pt;mso-position-horizontal-relative:page;mso-position-vertical-relative:page;z-index:-353368"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322308pt;width:188.85pt;height:9.950pt;mso-position-horizontal-relative:page;mso-position-vertical-relative:page;z-index:-353296"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322308pt;width:188.9pt;height:9.950pt;mso-position-horizontal-relative:page;mso-position-vertical-relative:page;z-index:-353176" type="#_x0000_t202" filled="false" stroked="false">
          <v:textbox inset="0,0,0,0">
            <w:txbxContent>
              <w:p>
                <w:pPr>
                  <w:spacing w:line="182" w:lineRule="exact" w:before="0"/>
                  <w:ind w:left="20" w:right="-5" w:firstLine="0"/>
                  <w:jc w:val="left"/>
                  <w:rPr>
                    <w:sz w:val="16"/>
                  </w:rPr>
                </w:pPr>
                <w:r>
                  <w:rPr>
                    <w:sz w:val="16"/>
                  </w:rPr>
                  <w:t>BIOL. CRISTINA BERENICE MONSALVO JIMÉNEZ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562309pt;width:188.85pt;height:9.950pt;mso-position-horizontal-relative:page;mso-position-vertical-relative:page;z-index:-354328"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2.899994pt;margin-top:35.562309pt;width:188.85pt;height:9.950pt;mso-position-horizontal-relative:page;mso-position-vertical-relative:page;z-index:-354256" type="#_x0000_t202" filled="false" stroked="false">
          <v:textbox inset="0,0,0,0">
            <w:txbxContent>
              <w:p>
                <w:pPr>
                  <w:spacing w:line="182" w:lineRule="exact" w:before="0"/>
                  <w:ind w:left="20" w:right="-6" w:firstLine="0"/>
                  <w:jc w:val="left"/>
                  <w:rPr>
                    <w:sz w:val="16"/>
                  </w:rPr>
                </w:pPr>
                <w:r>
                  <w:rPr>
                    <w:sz w:val="16"/>
                  </w:rPr>
                  <w:t>BIOL. CRISTINA BERENICE MONSALVO JIMÉNEZ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5">
    <w:multiLevelType w:val="hybridMultilevel"/>
    <w:lvl w:ilvl="0">
      <w:start w:val="13"/>
      <w:numFmt w:val="upperLetter"/>
      <w:lvlText w:val="%1."/>
      <w:lvlJc w:val="left"/>
      <w:pPr>
        <w:ind w:left="116"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837" w:hanging="361"/>
      </w:pPr>
      <w:rPr>
        <w:rFonts w:hint="default" w:ascii="Symbol" w:hAnsi="Symbol" w:eastAsia="Symbol" w:cs="Symbol"/>
        <w:w w:val="100"/>
        <w:sz w:val="24"/>
        <w:szCs w:val="24"/>
      </w:rPr>
    </w:lvl>
    <w:lvl w:ilvl="2">
      <w:start w:val="1"/>
      <w:numFmt w:val="bullet"/>
      <w:lvlText w:val="•"/>
      <w:lvlJc w:val="left"/>
      <w:pPr>
        <w:ind w:left="1817" w:hanging="361"/>
      </w:pPr>
      <w:rPr>
        <w:rFonts w:hint="default"/>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24">
    <w:multiLevelType w:val="hybridMultilevel"/>
    <w:lvl w:ilvl="0">
      <w:start w:val="1"/>
      <w:numFmt w:val="decimal"/>
      <w:lvlText w:val="%1."/>
      <w:lvlJc w:val="left"/>
      <w:pPr>
        <w:ind w:left="837" w:hanging="361"/>
        <w:jc w:val="left"/>
      </w:pPr>
      <w:rPr>
        <w:rFonts w:hint="default" w:ascii="Arial" w:hAnsi="Arial" w:eastAsia="Arial" w:cs="Arial"/>
        <w:spacing w:val="-5"/>
        <w:w w:val="99"/>
        <w:sz w:val="24"/>
        <w:szCs w:val="24"/>
      </w:rPr>
    </w:lvl>
    <w:lvl w:ilvl="1">
      <w:start w:val="1"/>
      <w:numFmt w:val="bullet"/>
      <w:lvlText w:val="•"/>
      <w:lvlJc w:val="left"/>
      <w:pPr>
        <w:ind w:left="1220" w:hanging="361"/>
      </w:pPr>
      <w:rPr>
        <w:rFonts w:hint="default"/>
      </w:rPr>
    </w:lvl>
    <w:lvl w:ilvl="2">
      <w:start w:val="1"/>
      <w:numFmt w:val="bullet"/>
      <w:lvlText w:val="•"/>
      <w:lvlJc w:val="left"/>
      <w:pPr>
        <w:ind w:left="2153" w:hanging="361"/>
      </w:pPr>
      <w:rPr>
        <w:rFonts w:hint="default"/>
      </w:rPr>
    </w:lvl>
    <w:lvl w:ilvl="3">
      <w:start w:val="1"/>
      <w:numFmt w:val="bullet"/>
      <w:lvlText w:val="•"/>
      <w:lvlJc w:val="left"/>
      <w:pPr>
        <w:ind w:left="3086" w:hanging="361"/>
      </w:pPr>
      <w:rPr>
        <w:rFonts w:hint="default"/>
      </w:rPr>
    </w:lvl>
    <w:lvl w:ilvl="4">
      <w:start w:val="1"/>
      <w:numFmt w:val="bullet"/>
      <w:lvlText w:val="•"/>
      <w:lvlJc w:val="left"/>
      <w:pPr>
        <w:ind w:left="4020" w:hanging="361"/>
      </w:pPr>
      <w:rPr>
        <w:rFonts w:hint="default"/>
      </w:rPr>
    </w:lvl>
    <w:lvl w:ilvl="5">
      <w:start w:val="1"/>
      <w:numFmt w:val="bullet"/>
      <w:lvlText w:val="•"/>
      <w:lvlJc w:val="left"/>
      <w:pPr>
        <w:ind w:left="4953" w:hanging="361"/>
      </w:pPr>
      <w:rPr>
        <w:rFonts w:hint="default"/>
      </w:rPr>
    </w:lvl>
    <w:lvl w:ilvl="6">
      <w:start w:val="1"/>
      <w:numFmt w:val="bullet"/>
      <w:lvlText w:val="•"/>
      <w:lvlJc w:val="left"/>
      <w:pPr>
        <w:ind w:left="5886" w:hanging="361"/>
      </w:pPr>
      <w:rPr>
        <w:rFonts w:hint="default"/>
      </w:rPr>
    </w:lvl>
    <w:lvl w:ilvl="7">
      <w:start w:val="1"/>
      <w:numFmt w:val="bullet"/>
      <w:lvlText w:val="•"/>
      <w:lvlJc w:val="left"/>
      <w:pPr>
        <w:ind w:left="6820" w:hanging="361"/>
      </w:pPr>
      <w:rPr>
        <w:rFonts w:hint="default"/>
      </w:rPr>
    </w:lvl>
    <w:lvl w:ilvl="8">
      <w:start w:val="1"/>
      <w:numFmt w:val="bullet"/>
      <w:lvlText w:val="•"/>
      <w:lvlJc w:val="left"/>
      <w:pPr>
        <w:ind w:left="7753" w:hanging="361"/>
      </w:pPr>
      <w:rPr>
        <w:rFonts w:hint="default"/>
      </w:rPr>
    </w:lvl>
  </w:abstractNum>
  <w:abstractNum w:abstractNumId="23">
    <w:multiLevelType w:val="hybridMultilevel"/>
    <w:lvl w:ilvl="0">
      <w:start w:val="1"/>
      <w:numFmt w:val="decimal"/>
      <w:lvlText w:val="%1."/>
      <w:lvlJc w:val="left"/>
      <w:pPr>
        <w:ind w:left="837" w:hanging="361"/>
        <w:jc w:val="left"/>
      </w:pPr>
      <w:rPr>
        <w:rFonts w:hint="default" w:ascii="Arial" w:hAnsi="Arial" w:eastAsia="Arial" w:cs="Arial"/>
        <w:spacing w:val="-10"/>
        <w:w w:val="99"/>
        <w:sz w:val="24"/>
        <w:szCs w:val="24"/>
      </w:rPr>
    </w:lvl>
    <w:lvl w:ilvl="1">
      <w:start w:val="1"/>
      <w:numFmt w:val="bullet"/>
      <w:lvlText w:val="•"/>
      <w:lvlJc w:val="left"/>
      <w:pPr>
        <w:ind w:left="1718" w:hanging="361"/>
      </w:pPr>
      <w:rPr>
        <w:rFonts w:hint="default"/>
      </w:rPr>
    </w:lvl>
    <w:lvl w:ilvl="2">
      <w:start w:val="1"/>
      <w:numFmt w:val="bullet"/>
      <w:lvlText w:val="•"/>
      <w:lvlJc w:val="left"/>
      <w:pPr>
        <w:ind w:left="25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352" w:hanging="361"/>
      </w:pPr>
      <w:rPr>
        <w:rFonts w:hint="default"/>
      </w:rPr>
    </w:lvl>
    <w:lvl w:ilvl="5">
      <w:start w:val="1"/>
      <w:numFmt w:val="bullet"/>
      <w:lvlText w:val="•"/>
      <w:lvlJc w:val="left"/>
      <w:pPr>
        <w:ind w:left="5230" w:hanging="361"/>
      </w:pPr>
      <w:rPr>
        <w:rFonts w:hint="default"/>
      </w:rPr>
    </w:lvl>
    <w:lvl w:ilvl="6">
      <w:start w:val="1"/>
      <w:numFmt w:val="bullet"/>
      <w:lvlText w:val="•"/>
      <w:lvlJc w:val="left"/>
      <w:pPr>
        <w:ind w:left="6108" w:hanging="361"/>
      </w:pPr>
      <w:rPr>
        <w:rFonts w:hint="default"/>
      </w:rPr>
    </w:lvl>
    <w:lvl w:ilvl="7">
      <w:start w:val="1"/>
      <w:numFmt w:val="bullet"/>
      <w:lvlText w:val="•"/>
      <w:lvlJc w:val="left"/>
      <w:pPr>
        <w:ind w:left="6986" w:hanging="361"/>
      </w:pPr>
      <w:rPr>
        <w:rFonts w:hint="default"/>
      </w:rPr>
    </w:lvl>
    <w:lvl w:ilvl="8">
      <w:start w:val="1"/>
      <w:numFmt w:val="bullet"/>
      <w:lvlText w:val="•"/>
      <w:lvlJc w:val="left"/>
      <w:pPr>
        <w:ind w:left="7864" w:hanging="361"/>
      </w:pPr>
      <w:rPr>
        <w:rFonts w:hint="default"/>
      </w:rPr>
    </w:lvl>
  </w:abstractNum>
  <w:abstractNum w:abstractNumId="22">
    <w:multiLevelType w:val="hybridMultilevel"/>
    <w:lvl w:ilvl="0">
      <w:start w:val="1"/>
      <w:numFmt w:val="decimal"/>
      <w:lvlText w:val="%1."/>
      <w:lvlJc w:val="left"/>
      <w:pPr>
        <w:ind w:left="837" w:hanging="361"/>
        <w:jc w:val="left"/>
      </w:pPr>
      <w:rPr>
        <w:rFonts w:hint="default" w:ascii="Arial" w:hAnsi="Arial" w:eastAsia="Arial" w:cs="Arial"/>
        <w:spacing w:val="-32"/>
        <w:w w:val="99"/>
        <w:sz w:val="24"/>
        <w:szCs w:val="24"/>
      </w:rPr>
    </w:lvl>
    <w:lvl w:ilvl="1">
      <w:start w:val="1"/>
      <w:numFmt w:val="bullet"/>
      <w:lvlText w:val="•"/>
      <w:lvlJc w:val="left"/>
      <w:pPr>
        <w:ind w:left="1718" w:hanging="361"/>
      </w:pPr>
      <w:rPr>
        <w:rFonts w:hint="default"/>
      </w:rPr>
    </w:lvl>
    <w:lvl w:ilvl="2">
      <w:start w:val="1"/>
      <w:numFmt w:val="bullet"/>
      <w:lvlText w:val="•"/>
      <w:lvlJc w:val="left"/>
      <w:pPr>
        <w:ind w:left="25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352" w:hanging="361"/>
      </w:pPr>
      <w:rPr>
        <w:rFonts w:hint="default"/>
      </w:rPr>
    </w:lvl>
    <w:lvl w:ilvl="5">
      <w:start w:val="1"/>
      <w:numFmt w:val="bullet"/>
      <w:lvlText w:val="•"/>
      <w:lvlJc w:val="left"/>
      <w:pPr>
        <w:ind w:left="5230" w:hanging="361"/>
      </w:pPr>
      <w:rPr>
        <w:rFonts w:hint="default"/>
      </w:rPr>
    </w:lvl>
    <w:lvl w:ilvl="6">
      <w:start w:val="1"/>
      <w:numFmt w:val="bullet"/>
      <w:lvlText w:val="•"/>
      <w:lvlJc w:val="left"/>
      <w:pPr>
        <w:ind w:left="6108" w:hanging="361"/>
      </w:pPr>
      <w:rPr>
        <w:rFonts w:hint="default"/>
      </w:rPr>
    </w:lvl>
    <w:lvl w:ilvl="7">
      <w:start w:val="1"/>
      <w:numFmt w:val="bullet"/>
      <w:lvlText w:val="•"/>
      <w:lvlJc w:val="left"/>
      <w:pPr>
        <w:ind w:left="6986" w:hanging="361"/>
      </w:pPr>
      <w:rPr>
        <w:rFonts w:hint="default"/>
      </w:rPr>
    </w:lvl>
    <w:lvl w:ilvl="8">
      <w:start w:val="1"/>
      <w:numFmt w:val="bullet"/>
      <w:lvlText w:val="•"/>
      <w:lvlJc w:val="left"/>
      <w:pPr>
        <w:ind w:left="7864" w:hanging="361"/>
      </w:pPr>
      <w:rPr>
        <w:rFonts w:hint="default"/>
      </w:rPr>
    </w:lvl>
  </w:abstractNum>
  <w:abstractNum w:abstractNumId="21">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18" w:hanging="361"/>
      </w:pPr>
      <w:rPr>
        <w:rFonts w:hint="default"/>
      </w:rPr>
    </w:lvl>
    <w:lvl w:ilvl="2">
      <w:start w:val="1"/>
      <w:numFmt w:val="bullet"/>
      <w:lvlText w:val="•"/>
      <w:lvlJc w:val="left"/>
      <w:pPr>
        <w:ind w:left="25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352" w:hanging="361"/>
      </w:pPr>
      <w:rPr>
        <w:rFonts w:hint="default"/>
      </w:rPr>
    </w:lvl>
    <w:lvl w:ilvl="5">
      <w:start w:val="1"/>
      <w:numFmt w:val="bullet"/>
      <w:lvlText w:val="•"/>
      <w:lvlJc w:val="left"/>
      <w:pPr>
        <w:ind w:left="5230" w:hanging="361"/>
      </w:pPr>
      <w:rPr>
        <w:rFonts w:hint="default"/>
      </w:rPr>
    </w:lvl>
    <w:lvl w:ilvl="6">
      <w:start w:val="1"/>
      <w:numFmt w:val="bullet"/>
      <w:lvlText w:val="•"/>
      <w:lvlJc w:val="left"/>
      <w:pPr>
        <w:ind w:left="6108" w:hanging="361"/>
      </w:pPr>
      <w:rPr>
        <w:rFonts w:hint="default"/>
      </w:rPr>
    </w:lvl>
    <w:lvl w:ilvl="7">
      <w:start w:val="1"/>
      <w:numFmt w:val="bullet"/>
      <w:lvlText w:val="•"/>
      <w:lvlJc w:val="left"/>
      <w:pPr>
        <w:ind w:left="6986" w:hanging="361"/>
      </w:pPr>
      <w:rPr>
        <w:rFonts w:hint="default"/>
      </w:rPr>
    </w:lvl>
    <w:lvl w:ilvl="8">
      <w:start w:val="1"/>
      <w:numFmt w:val="bullet"/>
      <w:lvlText w:val="•"/>
      <w:lvlJc w:val="left"/>
      <w:pPr>
        <w:ind w:left="7864" w:hanging="361"/>
      </w:pPr>
      <w:rPr>
        <w:rFonts w:hint="default"/>
      </w:rPr>
    </w:lvl>
  </w:abstractNum>
  <w:abstractNum w:abstractNumId="20">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9">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8">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7">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18" w:hanging="361"/>
      </w:pPr>
      <w:rPr>
        <w:rFonts w:hint="default"/>
      </w:rPr>
    </w:lvl>
    <w:lvl w:ilvl="2">
      <w:start w:val="1"/>
      <w:numFmt w:val="bullet"/>
      <w:lvlText w:val="•"/>
      <w:lvlJc w:val="left"/>
      <w:pPr>
        <w:ind w:left="25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352" w:hanging="361"/>
      </w:pPr>
      <w:rPr>
        <w:rFonts w:hint="default"/>
      </w:rPr>
    </w:lvl>
    <w:lvl w:ilvl="5">
      <w:start w:val="1"/>
      <w:numFmt w:val="bullet"/>
      <w:lvlText w:val="•"/>
      <w:lvlJc w:val="left"/>
      <w:pPr>
        <w:ind w:left="5230" w:hanging="361"/>
      </w:pPr>
      <w:rPr>
        <w:rFonts w:hint="default"/>
      </w:rPr>
    </w:lvl>
    <w:lvl w:ilvl="6">
      <w:start w:val="1"/>
      <w:numFmt w:val="bullet"/>
      <w:lvlText w:val="•"/>
      <w:lvlJc w:val="left"/>
      <w:pPr>
        <w:ind w:left="6108" w:hanging="361"/>
      </w:pPr>
      <w:rPr>
        <w:rFonts w:hint="default"/>
      </w:rPr>
    </w:lvl>
    <w:lvl w:ilvl="7">
      <w:start w:val="1"/>
      <w:numFmt w:val="bullet"/>
      <w:lvlText w:val="•"/>
      <w:lvlJc w:val="left"/>
      <w:pPr>
        <w:ind w:left="6986" w:hanging="361"/>
      </w:pPr>
      <w:rPr>
        <w:rFonts w:hint="default"/>
      </w:rPr>
    </w:lvl>
    <w:lvl w:ilvl="8">
      <w:start w:val="1"/>
      <w:numFmt w:val="bullet"/>
      <w:lvlText w:val="•"/>
      <w:lvlJc w:val="left"/>
      <w:pPr>
        <w:ind w:left="7864" w:hanging="361"/>
      </w:pPr>
      <w:rPr>
        <w:rFonts w:hint="default"/>
      </w:rPr>
    </w:lvl>
  </w:abstractNum>
  <w:abstractNum w:abstractNumId="16">
    <w:multiLevelType w:val="hybridMultilevel"/>
    <w:lvl w:ilvl="0">
      <w:start w:val="1"/>
      <w:numFmt w:val="decimal"/>
      <w:lvlText w:val="%1"/>
      <w:lvlJc w:val="left"/>
      <w:pPr>
        <w:ind w:left="96" w:hanging="380"/>
        <w:jc w:val="left"/>
      </w:pPr>
      <w:rPr>
        <w:rFonts w:hint="default"/>
      </w:rPr>
    </w:lvl>
    <w:lvl w:ilvl="1">
      <w:start w:val="1"/>
      <w:numFmt w:val="decimal"/>
      <w:lvlText w:val="%1.%2"/>
      <w:lvlJc w:val="left"/>
      <w:pPr>
        <w:ind w:left="96" w:hanging="380"/>
        <w:jc w:val="left"/>
      </w:pPr>
      <w:rPr>
        <w:rFonts w:hint="default" w:ascii="Arial" w:hAnsi="Arial" w:eastAsia="Arial" w:cs="Arial"/>
        <w:spacing w:val="0"/>
        <w:w w:val="100"/>
        <w:sz w:val="22"/>
        <w:szCs w:val="22"/>
      </w:rPr>
    </w:lvl>
    <w:lvl w:ilvl="2">
      <w:start w:val="1"/>
      <w:numFmt w:val="decimal"/>
      <w:lvlText w:val="%3."/>
      <w:lvlJc w:val="left"/>
      <w:pPr>
        <w:ind w:left="240" w:hanging="428"/>
        <w:jc w:val="left"/>
      </w:pPr>
      <w:rPr>
        <w:rFonts w:hint="default" w:ascii="Arial" w:hAnsi="Arial" w:eastAsia="Arial" w:cs="Arial"/>
        <w:spacing w:val="0"/>
        <w:w w:val="100"/>
        <w:sz w:val="22"/>
        <w:szCs w:val="22"/>
      </w:rPr>
    </w:lvl>
    <w:lvl w:ilvl="3">
      <w:start w:val="1"/>
      <w:numFmt w:val="bullet"/>
      <w:lvlText w:val="•"/>
      <w:lvlJc w:val="left"/>
      <w:pPr>
        <w:ind w:left="2379" w:hanging="428"/>
      </w:pPr>
      <w:rPr>
        <w:rFonts w:hint="default"/>
      </w:rPr>
    </w:lvl>
    <w:lvl w:ilvl="4">
      <w:start w:val="1"/>
      <w:numFmt w:val="bullet"/>
      <w:lvlText w:val="•"/>
      <w:lvlJc w:val="left"/>
      <w:pPr>
        <w:ind w:left="3448" w:hanging="428"/>
      </w:pPr>
      <w:rPr>
        <w:rFonts w:hint="default"/>
      </w:rPr>
    </w:lvl>
    <w:lvl w:ilvl="5">
      <w:start w:val="1"/>
      <w:numFmt w:val="bullet"/>
      <w:lvlText w:val="•"/>
      <w:lvlJc w:val="left"/>
      <w:pPr>
        <w:ind w:left="4518" w:hanging="428"/>
      </w:pPr>
      <w:rPr>
        <w:rFonts w:hint="default"/>
      </w:rPr>
    </w:lvl>
    <w:lvl w:ilvl="6">
      <w:start w:val="1"/>
      <w:numFmt w:val="bullet"/>
      <w:lvlText w:val="•"/>
      <w:lvlJc w:val="left"/>
      <w:pPr>
        <w:ind w:left="5588" w:hanging="428"/>
      </w:pPr>
      <w:rPr>
        <w:rFonts w:hint="default"/>
      </w:rPr>
    </w:lvl>
    <w:lvl w:ilvl="7">
      <w:start w:val="1"/>
      <w:numFmt w:val="bullet"/>
      <w:lvlText w:val="•"/>
      <w:lvlJc w:val="left"/>
      <w:pPr>
        <w:ind w:left="6657" w:hanging="428"/>
      </w:pPr>
      <w:rPr>
        <w:rFonts w:hint="default"/>
      </w:rPr>
    </w:lvl>
    <w:lvl w:ilvl="8">
      <w:start w:val="1"/>
      <w:numFmt w:val="bullet"/>
      <w:lvlText w:val="•"/>
      <w:lvlJc w:val="left"/>
      <w:pPr>
        <w:ind w:left="7727" w:hanging="428"/>
      </w:pPr>
      <w:rPr>
        <w:rFonts w:hint="default"/>
      </w:rPr>
    </w:lvl>
  </w:abstractNum>
  <w:abstractNum w:abstractNumId="15">
    <w:multiLevelType w:val="hybridMultilevel"/>
    <w:lvl w:ilvl="0">
      <w:start w:val="3"/>
      <w:numFmt w:val="decimal"/>
      <w:lvlText w:val="%1"/>
      <w:lvlJc w:val="left"/>
      <w:pPr>
        <w:ind w:left="611" w:hanging="495"/>
        <w:jc w:val="left"/>
      </w:pPr>
      <w:rPr>
        <w:rFonts w:hint="default"/>
      </w:rPr>
    </w:lvl>
    <w:lvl w:ilvl="1">
      <w:start w:val="5"/>
      <w:numFmt w:val="decimal"/>
      <w:lvlText w:val="%1.%2."/>
      <w:lvlJc w:val="left"/>
      <w:pPr>
        <w:ind w:left="644" w:hanging="495"/>
        <w:jc w:val="right"/>
      </w:pPr>
      <w:rPr>
        <w:rFonts w:hint="default" w:ascii="Arial" w:hAnsi="Arial" w:eastAsia="Arial" w:cs="Arial"/>
        <w:b/>
        <w:bCs/>
        <w:spacing w:val="-41"/>
        <w:w w:val="99"/>
        <w:sz w:val="24"/>
        <w:szCs w:val="24"/>
      </w:rPr>
    </w:lvl>
    <w:lvl w:ilvl="2">
      <w:start w:val="1"/>
      <w:numFmt w:val="decimal"/>
      <w:lvlText w:val="%1.%2.%3."/>
      <w:lvlJc w:val="left"/>
      <w:pPr>
        <w:ind w:left="1110" w:hanging="711"/>
        <w:jc w:val="right"/>
      </w:pPr>
      <w:rPr>
        <w:rFonts w:hint="default" w:ascii="Arial" w:hAnsi="Arial" w:eastAsia="Arial" w:cs="Arial"/>
        <w:i/>
        <w:spacing w:val="-26"/>
        <w:w w:val="99"/>
        <w:sz w:val="24"/>
        <w:szCs w:val="24"/>
      </w:rPr>
    </w:lvl>
    <w:lvl w:ilvl="3">
      <w:start w:val="1"/>
      <w:numFmt w:val="decimal"/>
      <w:lvlText w:val="%1.%2.%3.%4."/>
      <w:lvlJc w:val="left"/>
      <w:pPr>
        <w:ind w:left="1533" w:hanging="1076"/>
        <w:jc w:val="right"/>
      </w:pPr>
      <w:rPr>
        <w:rFonts w:hint="default" w:ascii="Arial" w:hAnsi="Arial" w:eastAsia="Arial" w:cs="Arial"/>
        <w:i/>
        <w:spacing w:val="-6"/>
        <w:w w:val="99"/>
        <w:sz w:val="24"/>
        <w:szCs w:val="24"/>
      </w:rPr>
    </w:lvl>
    <w:lvl w:ilvl="4">
      <w:start w:val="1"/>
      <w:numFmt w:val="bullet"/>
      <w:lvlText w:val="•"/>
      <w:lvlJc w:val="left"/>
      <w:pPr>
        <w:ind w:left="1540" w:hanging="1076"/>
      </w:pPr>
      <w:rPr>
        <w:rFonts w:hint="default"/>
      </w:rPr>
    </w:lvl>
    <w:lvl w:ilvl="5">
      <w:start w:val="1"/>
      <w:numFmt w:val="bullet"/>
      <w:lvlText w:val="•"/>
      <w:lvlJc w:val="left"/>
      <w:pPr>
        <w:ind w:left="2886" w:hanging="1076"/>
      </w:pPr>
      <w:rPr>
        <w:rFonts w:hint="default"/>
      </w:rPr>
    </w:lvl>
    <w:lvl w:ilvl="6">
      <w:start w:val="1"/>
      <w:numFmt w:val="bullet"/>
      <w:lvlText w:val="•"/>
      <w:lvlJc w:val="left"/>
      <w:pPr>
        <w:ind w:left="4233" w:hanging="1076"/>
      </w:pPr>
      <w:rPr>
        <w:rFonts w:hint="default"/>
      </w:rPr>
    </w:lvl>
    <w:lvl w:ilvl="7">
      <w:start w:val="1"/>
      <w:numFmt w:val="bullet"/>
      <w:lvlText w:val="•"/>
      <w:lvlJc w:val="left"/>
      <w:pPr>
        <w:ind w:left="5580" w:hanging="1076"/>
      </w:pPr>
      <w:rPr>
        <w:rFonts w:hint="default"/>
      </w:rPr>
    </w:lvl>
    <w:lvl w:ilvl="8">
      <w:start w:val="1"/>
      <w:numFmt w:val="bullet"/>
      <w:lvlText w:val="•"/>
      <w:lvlJc w:val="left"/>
      <w:pPr>
        <w:ind w:left="6926" w:hanging="1076"/>
      </w:pPr>
      <w:rPr>
        <w:rFonts w:hint="default"/>
      </w:rPr>
    </w:lvl>
  </w:abstractNum>
  <w:abstractNum w:abstractNumId="14">
    <w:multiLevelType w:val="hybridMultilevel"/>
    <w:lvl w:ilvl="0">
      <w:start w:val="3"/>
      <w:numFmt w:val="decimal"/>
      <w:lvlText w:val="%1"/>
      <w:lvlJc w:val="left"/>
      <w:pPr>
        <w:ind w:left="518" w:hanging="403"/>
        <w:jc w:val="left"/>
      </w:pPr>
      <w:rPr>
        <w:rFonts w:hint="default"/>
      </w:rPr>
    </w:lvl>
    <w:lvl w:ilvl="1">
      <w:start w:val="4"/>
      <w:numFmt w:val="decimal"/>
      <w:lvlText w:val="%1.%2"/>
      <w:lvlJc w:val="left"/>
      <w:pPr>
        <w:ind w:left="518" w:hanging="403"/>
        <w:jc w:val="left"/>
      </w:pPr>
      <w:rPr>
        <w:rFonts w:hint="default" w:ascii="Arial" w:hAnsi="Arial" w:eastAsia="Arial" w:cs="Arial"/>
        <w:b/>
        <w:bCs/>
        <w:w w:val="99"/>
        <w:sz w:val="24"/>
        <w:szCs w:val="24"/>
      </w:rPr>
    </w:lvl>
    <w:lvl w:ilvl="2">
      <w:start w:val="1"/>
      <w:numFmt w:val="decimal"/>
      <w:lvlText w:val="%3."/>
      <w:lvlJc w:val="left"/>
      <w:pPr>
        <w:ind w:left="837" w:hanging="361"/>
        <w:jc w:val="left"/>
      </w:pPr>
      <w:rPr>
        <w:rFonts w:hint="default" w:ascii="Arial" w:hAnsi="Arial" w:eastAsia="Arial" w:cs="Arial"/>
        <w:spacing w:val="-6"/>
        <w:w w:val="99"/>
        <w:sz w:val="24"/>
        <w:szCs w:val="24"/>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13">
    <w:multiLevelType w:val="hybridMultilevel"/>
    <w:lvl w:ilvl="0">
      <w:start w:val="1"/>
      <w:numFmt w:val="decimal"/>
      <w:lvlText w:val="%1)"/>
      <w:lvlJc w:val="left"/>
      <w:pPr>
        <w:ind w:left="116" w:hanging="297"/>
        <w:jc w:val="left"/>
      </w:pPr>
      <w:rPr>
        <w:rFonts w:hint="default" w:ascii="Arial" w:hAnsi="Arial" w:eastAsia="Arial" w:cs="Arial"/>
        <w:w w:val="99"/>
        <w:sz w:val="24"/>
        <w:szCs w:val="24"/>
      </w:rPr>
    </w:lvl>
    <w:lvl w:ilvl="1">
      <w:start w:val="1"/>
      <w:numFmt w:val="bullet"/>
      <w:lvlText w:val="•"/>
      <w:lvlJc w:val="left"/>
      <w:pPr>
        <w:ind w:left="1072" w:hanging="297"/>
      </w:pPr>
      <w:rPr>
        <w:rFonts w:hint="default"/>
      </w:rPr>
    </w:lvl>
    <w:lvl w:ilvl="2">
      <w:start w:val="1"/>
      <w:numFmt w:val="bullet"/>
      <w:lvlText w:val="•"/>
      <w:lvlJc w:val="left"/>
      <w:pPr>
        <w:ind w:left="2024" w:hanging="297"/>
      </w:pPr>
      <w:rPr>
        <w:rFonts w:hint="default"/>
      </w:rPr>
    </w:lvl>
    <w:lvl w:ilvl="3">
      <w:start w:val="1"/>
      <w:numFmt w:val="bullet"/>
      <w:lvlText w:val="•"/>
      <w:lvlJc w:val="left"/>
      <w:pPr>
        <w:ind w:left="2976" w:hanging="297"/>
      </w:pPr>
      <w:rPr>
        <w:rFonts w:hint="default"/>
      </w:rPr>
    </w:lvl>
    <w:lvl w:ilvl="4">
      <w:start w:val="1"/>
      <w:numFmt w:val="bullet"/>
      <w:lvlText w:val="•"/>
      <w:lvlJc w:val="left"/>
      <w:pPr>
        <w:ind w:left="3928" w:hanging="297"/>
      </w:pPr>
      <w:rPr>
        <w:rFonts w:hint="default"/>
      </w:rPr>
    </w:lvl>
    <w:lvl w:ilvl="5">
      <w:start w:val="1"/>
      <w:numFmt w:val="bullet"/>
      <w:lvlText w:val="•"/>
      <w:lvlJc w:val="left"/>
      <w:pPr>
        <w:ind w:left="4880" w:hanging="297"/>
      </w:pPr>
      <w:rPr>
        <w:rFonts w:hint="default"/>
      </w:rPr>
    </w:lvl>
    <w:lvl w:ilvl="6">
      <w:start w:val="1"/>
      <w:numFmt w:val="bullet"/>
      <w:lvlText w:val="•"/>
      <w:lvlJc w:val="left"/>
      <w:pPr>
        <w:ind w:left="5832" w:hanging="297"/>
      </w:pPr>
      <w:rPr>
        <w:rFonts w:hint="default"/>
      </w:rPr>
    </w:lvl>
    <w:lvl w:ilvl="7">
      <w:start w:val="1"/>
      <w:numFmt w:val="bullet"/>
      <w:lvlText w:val="•"/>
      <w:lvlJc w:val="left"/>
      <w:pPr>
        <w:ind w:left="6784" w:hanging="297"/>
      </w:pPr>
      <w:rPr>
        <w:rFonts w:hint="default"/>
      </w:rPr>
    </w:lvl>
    <w:lvl w:ilvl="8">
      <w:start w:val="1"/>
      <w:numFmt w:val="bullet"/>
      <w:lvlText w:val="•"/>
      <w:lvlJc w:val="left"/>
      <w:pPr>
        <w:ind w:left="7736" w:hanging="297"/>
      </w:pPr>
      <w:rPr>
        <w:rFonts w:hint="default"/>
      </w:rPr>
    </w:lvl>
  </w:abstractNum>
  <w:abstractNum w:abstractNumId="12">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1">
    <w:multiLevelType w:val="hybridMultilevel"/>
    <w:lvl w:ilvl="0">
      <w:start w:val="3"/>
      <w:numFmt w:val="decimal"/>
      <w:lvlText w:val="%1"/>
      <w:lvlJc w:val="left"/>
      <w:pPr>
        <w:ind w:left="827" w:hanging="543"/>
        <w:jc w:val="left"/>
      </w:pPr>
      <w:rPr>
        <w:rFonts w:hint="default"/>
      </w:rPr>
    </w:lvl>
    <w:lvl w:ilvl="1">
      <w:start w:val="1"/>
      <w:numFmt w:val="decimal"/>
      <w:lvlText w:val="%1.%2."/>
      <w:lvlJc w:val="left"/>
      <w:pPr>
        <w:ind w:left="827" w:hanging="543"/>
        <w:jc w:val="left"/>
      </w:pPr>
      <w:rPr>
        <w:rFonts w:hint="default" w:ascii="Arial" w:hAnsi="Arial" w:eastAsia="Arial" w:cs="Arial"/>
        <w:b/>
        <w:bCs/>
        <w:spacing w:val="-4"/>
        <w:w w:val="99"/>
        <w:sz w:val="24"/>
        <w:szCs w:val="24"/>
      </w:rPr>
    </w:lvl>
    <w:lvl w:ilvl="2">
      <w:start w:val="1"/>
      <w:numFmt w:val="decimal"/>
      <w:lvlText w:val="%1.%2.%3."/>
      <w:lvlJc w:val="left"/>
      <w:pPr>
        <w:ind w:left="2263" w:hanging="1278"/>
        <w:jc w:val="right"/>
      </w:pPr>
      <w:rPr>
        <w:rFonts w:hint="default" w:ascii="Arial" w:hAnsi="Arial" w:eastAsia="Arial" w:cs="Arial"/>
        <w:i/>
        <w:spacing w:val="-5"/>
        <w:w w:val="99"/>
        <w:sz w:val="24"/>
        <w:szCs w:val="24"/>
      </w:rPr>
    </w:lvl>
    <w:lvl w:ilvl="3">
      <w:start w:val="1"/>
      <w:numFmt w:val="bullet"/>
      <w:lvlText w:val="•"/>
      <w:lvlJc w:val="left"/>
      <w:pPr>
        <w:ind w:left="3900" w:hanging="1278"/>
      </w:pPr>
      <w:rPr>
        <w:rFonts w:hint="default"/>
      </w:rPr>
    </w:lvl>
    <w:lvl w:ilvl="4">
      <w:start w:val="1"/>
      <w:numFmt w:val="bullet"/>
      <w:lvlText w:val="•"/>
      <w:lvlJc w:val="left"/>
      <w:pPr>
        <w:ind w:left="4720" w:hanging="1278"/>
      </w:pPr>
      <w:rPr>
        <w:rFonts w:hint="default"/>
      </w:rPr>
    </w:lvl>
    <w:lvl w:ilvl="5">
      <w:start w:val="1"/>
      <w:numFmt w:val="bullet"/>
      <w:lvlText w:val="•"/>
      <w:lvlJc w:val="left"/>
      <w:pPr>
        <w:ind w:left="5540" w:hanging="1278"/>
      </w:pPr>
      <w:rPr>
        <w:rFonts w:hint="default"/>
      </w:rPr>
    </w:lvl>
    <w:lvl w:ilvl="6">
      <w:start w:val="1"/>
      <w:numFmt w:val="bullet"/>
      <w:lvlText w:val="•"/>
      <w:lvlJc w:val="left"/>
      <w:pPr>
        <w:ind w:left="6360" w:hanging="1278"/>
      </w:pPr>
      <w:rPr>
        <w:rFonts w:hint="default"/>
      </w:rPr>
    </w:lvl>
    <w:lvl w:ilvl="7">
      <w:start w:val="1"/>
      <w:numFmt w:val="bullet"/>
      <w:lvlText w:val="•"/>
      <w:lvlJc w:val="left"/>
      <w:pPr>
        <w:ind w:left="7180" w:hanging="1278"/>
      </w:pPr>
      <w:rPr>
        <w:rFonts w:hint="default"/>
      </w:rPr>
    </w:lvl>
    <w:lvl w:ilvl="8">
      <w:start w:val="1"/>
      <w:numFmt w:val="bullet"/>
      <w:lvlText w:val="•"/>
      <w:lvlJc w:val="left"/>
      <w:pPr>
        <w:ind w:left="8000" w:hanging="1278"/>
      </w:pPr>
      <w:rPr>
        <w:rFonts w:hint="default"/>
      </w:rPr>
    </w:lvl>
  </w:abstractNum>
  <w:abstractNum w:abstractNumId="10">
    <w:multiLevelType w:val="hybridMultilevel"/>
    <w:lvl w:ilvl="0">
      <w:start w:val="1"/>
      <w:numFmt w:val="decimal"/>
      <w:lvlText w:val="%1."/>
      <w:lvlJc w:val="left"/>
      <w:pPr>
        <w:ind w:left="837" w:hanging="361"/>
        <w:jc w:val="right"/>
      </w:pPr>
      <w:rPr>
        <w:rFonts w:hint="default" w:ascii="Arial" w:hAnsi="Arial" w:eastAsia="Arial" w:cs="Arial"/>
        <w:spacing w:val="-33"/>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9">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8">
    <w:multiLevelType w:val="hybridMultilevel"/>
    <w:lvl w:ilvl="0">
      <w:start w:val="1"/>
      <w:numFmt w:val="bullet"/>
      <w:lvlText w:val=""/>
      <w:lvlJc w:val="left"/>
      <w:pPr>
        <w:ind w:left="966" w:hanging="707"/>
      </w:pPr>
      <w:rPr>
        <w:rFonts w:hint="default" w:ascii="Wingdings" w:hAnsi="Wingdings" w:eastAsia="Wingdings" w:cs="Wingdings"/>
        <w:w w:val="99"/>
        <w:sz w:val="24"/>
        <w:szCs w:val="24"/>
      </w:rPr>
    </w:lvl>
    <w:lvl w:ilvl="1">
      <w:start w:val="1"/>
      <w:numFmt w:val="bullet"/>
      <w:lvlText w:val=""/>
      <w:lvlJc w:val="left"/>
      <w:pPr>
        <w:ind w:left="837" w:hanging="361"/>
      </w:pPr>
      <w:rPr>
        <w:rFonts w:hint="default" w:ascii="Wingdings" w:hAnsi="Wingdings" w:eastAsia="Wingdings" w:cs="Wingdings"/>
        <w:w w:val="99"/>
        <w:sz w:val="24"/>
        <w:szCs w:val="24"/>
      </w:rPr>
    </w:lvl>
    <w:lvl w:ilvl="2">
      <w:start w:val="1"/>
      <w:numFmt w:val="bullet"/>
      <w:lvlText w:val="•"/>
      <w:lvlJc w:val="left"/>
      <w:pPr>
        <w:ind w:left="1924" w:hanging="361"/>
      </w:pPr>
      <w:rPr>
        <w:rFonts w:hint="default"/>
      </w:rPr>
    </w:lvl>
    <w:lvl w:ilvl="3">
      <w:start w:val="1"/>
      <w:numFmt w:val="bullet"/>
      <w:lvlText w:val="•"/>
      <w:lvlJc w:val="left"/>
      <w:pPr>
        <w:ind w:left="2888" w:hanging="361"/>
      </w:pPr>
      <w:rPr>
        <w:rFonts w:hint="default"/>
      </w:rPr>
    </w:lvl>
    <w:lvl w:ilvl="4">
      <w:start w:val="1"/>
      <w:numFmt w:val="bullet"/>
      <w:lvlText w:val="•"/>
      <w:lvlJc w:val="left"/>
      <w:pPr>
        <w:ind w:left="3853" w:hanging="361"/>
      </w:pPr>
      <w:rPr>
        <w:rFonts w:hint="default"/>
      </w:rPr>
    </w:lvl>
    <w:lvl w:ilvl="5">
      <w:start w:val="1"/>
      <w:numFmt w:val="bullet"/>
      <w:lvlText w:val="•"/>
      <w:lvlJc w:val="left"/>
      <w:pPr>
        <w:ind w:left="4817" w:hanging="361"/>
      </w:pPr>
      <w:rPr>
        <w:rFonts w:hint="default"/>
      </w:rPr>
    </w:lvl>
    <w:lvl w:ilvl="6">
      <w:start w:val="1"/>
      <w:numFmt w:val="bullet"/>
      <w:lvlText w:val="•"/>
      <w:lvlJc w:val="left"/>
      <w:pPr>
        <w:ind w:left="5782" w:hanging="361"/>
      </w:pPr>
      <w:rPr>
        <w:rFonts w:hint="default"/>
      </w:rPr>
    </w:lvl>
    <w:lvl w:ilvl="7">
      <w:start w:val="1"/>
      <w:numFmt w:val="bullet"/>
      <w:lvlText w:val="•"/>
      <w:lvlJc w:val="left"/>
      <w:pPr>
        <w:ind w:left="6746" w:hanging="361"/>
      </w:pPr>
      <w:rPr>
        <w:rFonts w:hint="default"/>
      </w:rPr>
    </w:lvl>
    <w:lvl w:ilvl="8">
      <w:start w:val="1"/>
      <w:numFmt w:val="bullet"/>
      <w:lvlText w:val="•"/>
      <w:lvlJc w:val="left"/>
      <w:pPr>
        <w:ind w:left="7711" w:hanging="361"/>
      </w:pPr>
      <w:rPr>
        <w:rFonts w:hint="default"/>
      </w:rPr>
    </w:lvl>
  </w:abstractNum>
  <w:abstractNum w:abstractNumId="7">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5">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4">
    <w:multiLevelType w:val="hybridMultilevel"/>
    <w:lvl w:ilvl="0">
      <w:start w:val="2"/>
      <w:numFmt w:val="decimal"/>
      <w:lvlText w:val="%1"/>
      <w:lvlJc w:val="left"/>
      <w:pPr>
        <w:ind w:left="827" w:hanging="543"/>
        <w:jc w:val="left"/>
      </w:pPr>
      <w:rPr>
        <w:rFonts w:hint="default"/>
      </w:rPr>
    </w:lvl>
    <w:lvl w:ilvl="1">
      <w:start w:val="1"/>
      <w:numFmt w:val="decimal"/>
      <w:lvlText w:val="%1.%2."/>
      <w:lvlJc w:val="left"/>
      <w:pPr>
        <w:ind w:left="644" w:hanging="543"/>
        <w:jc w:val="left"/>
      </w:pPr>
      <w:rPr>
        <w:rFonts w:hint="default" w:ascii="Arial" w:hAnsi="Arial" w:eastAsia="Arial" w:cs="Arial"/>
        <w:b/>
        <w:bCs/>
        <w:spacing w:val="-5"/>
        <w:w w:val="99"/>
        <w:sz w:val="24"/>
        <w:szCs w:val="24"/>
      </w:rPr>
    </w:lvl>
    <w:lvl w:ilvl="2">
      <w:start w:val="1"/>
      <w:numFmt w:val="bullet"/>
      <w:lvlText w:val="•"/>
      <w:lvlJc w:val="left"/>
      <w:pPr>
        <w:ind w:left="1800" w:hanging="543"/>
      </w:pPr>
      <w:rPr>
        <w:rFonts w:hint="default"/>
      </w:rPr>
    </w:lvl>
    <w:lvl w:ilvl="3">
      <w:start w:val="1"/>
      <w:numFmt w:val="bullet"/>
      <w:lvlText w:val="•"/>
      <w:lvlJc w:val="left"/>
      <w:pPr>
        <w:ind w:left="2780" w:hanging="543"/>
      </w:pPr>
      <w:rPr>
        <w:rFonts w:hint="default"/>
      </w:rPr>
    </w:lvl>
    <w:lvl w:ilvl="4">
      <w:start w:val="1"/>
      <w:numFmt w:val="bullet"/>
      <w:lvlText w:val="•"/>
      <w:lvlJc w:val="left"/>
      <w:pPr>
        <w:ind w:left="3760" w:hanging="543"/>
      </w:pPr>
      <w:rPr>
        <w:rFonts w:hint="default"/>
      </w:rPr>
    </w:lvl>
    <w:lvl w:ilvl="5">
      <w:start w:val="1"/>
      <w:numFmt w:val="bullet"/>
      <w:lvlText w:val="•"/>
      <w:lvlJc w:val="left"/>
      <w:pPr>
        <w:ind w:left="4740" w:hanging="543"/>
      </w:pPr>
      <w:rPr>
        <w:rFonts w:hint="default"/>
      </w:rPr>
    </w:lvl>
    <w:lvl w:ilvl="6">
      <w:start w:val="1"/>
      <w:numFmt w:val="bullet"/>
      <w:lvlText w:val="•"/>
      <w:lvlJc w:val="left"/>
      <w:pPr>
        <w:ind w:left="5720" w:hanging="543"/>
      </w:pPr>
      <w:rPr>
        <w:rFonts w:hint="default"/>
      </w:rPr>
    </w:lvl>
    <w:lvl w:ilvl="7">
      <w:start w:val="1"/>
      <w:numFmt w:val="bullet"/>
      <w:lvlText w:val="•"/>
      <w:lvlJc w:val="left"/>
      <w:pPr>
        <w:ind w:left="6700" w:hanging="543"/>
      </w:pPr>
      <w:rPr>
        <w:rFonts w:hint="default"/>
      </w:rPr>
    </w:lvl>
    <w:lvl w:ilvl="8">
      <w:start w:val="1"/>
      <w:numFmt w:val="bullet"/>
      <w:lvlText w:val="•"/>
      <w:lvlJc w:val="left"/>
      <w:pPr>
        <w:ind w:left="7680" w:hanging="543"/>
      </w:pPr>
      <w:rPr>
        <w:rFonts w:hint="default"/>
      </w:rPr>
    </w:lvl>
  </w:abstractNum>
  <w:abstractNum w:abstractNumId="3">
    <w:multiLevelType w:val="hybridMultilevel"/>
    <w:lvl w:ilvl="0">
      <w:start w:val="1"/>
      <w:numFmt w:val="bullet"/>
      <w:lvlText w:val=""/>
      <w:lvlJc w:val="left"/>
      <w:pPr>
        <w:ind w:left="837" w:hanging="361"/>
      </w:pPr>
      <w:rPr>
        <w:rFonts w:hint="default" w:ascii="Wingdings" w:hAnsi="Wingdings" w:eastAsia="Wingdings" w:cs="Wingdings"/>
        <w:w w:val="100"/>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
    <w:multiLevelType w:val="hybridMultilevel"/>
    <w:lvl w:ilvl="0">
      <w:start w:val="1"/>
      <w:numFmt w:val="decimal"/>
      <w:lvlText w:val="%1"/>
      <w:lvlJc w:val="left"/>
      <w:pPr>
        <w:ind w:left="827" w:hanging="543"/>
        <w:jc w:val="left"/>
      </w:pPr>
      <w:rPr>
        <w:rFonts w:hint="default"/>
      </w:rPr>
    </w:lvl>
    <w:lvl w:ilvl="1">
      <w:start w:val="1"/>
      <w:numFmt w:val="decimal"/>
      <w:lvlText w:val="%1.%2."/>
      <w:lvlJc w:val="left"/>
      <w:pPr>
        <w:ind w:left="827" w:hanging="543"/>
        <w:jc w:val="right"/>
      </w:pPr>
      <w:rPr>
        <w:rFonts w:hint="default" w:ascii="Arial" w:hAnsi="Arial" w:eastAsia="Arial" w:cs="Arial"/>
        <w:b/>
        <w:bCs/>
        <w:spacing w:val="-5"/>
        <w:w w:val="99"/>
        <w:sz w:val="24"/>
        <w:szCs w:val="24"/>
      </w:rPr>
    </w:lvl>
    <w:lvl w:ilvl="2">
      <w:start w:val="1"/>
      <w:numFmt w:val="bullet"/>
      <w:lvlText w:val=""/>
      <w:lvlJc w:val="left"/>
      <w:pPr>
        <w:ind w:left="837" w:hanging="361"/>
      </w:pPr>
      <w:rPr>
        <w:rFonts w:hint="default" w:ascii="Symbol" w:hAnsi="Symbol" w:eastAsia="Symbol" w:cs="Symbol"/>
        <w:w w:val="100"/>
        <w:sz w:val="24"/>
        <w:szCs w:val="24"/>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0">
    <w:multiLevelType w:val="hybridMultilevel"/>
    <w:lvl w:ilvl="0">
      <w:start w:val="1"/>
      <w:numFmt w:val="decimal"/>
      <w:lvlText w:val="%1."/>
      <w:lvlJc w:val="left"/>
      <w:pPr>
        <w:ind w:left="399" w:hanging="284"/>
        <w:jc w:val="left"/>
      </w:pPr>
      <w:rPr>
        <w:rFonts w:hint="default" w:ascii="Arial" w:hAnsi="Arial" w:eastAsia="Arial" w:cs="Arial"/>
        <w:w w:val="100"/>
        <w:sz w:val="24"/>
        <w:szCs w:val="24"/>
      </w:rPr>
    </w:lvl>
    <w:lvl w:ilvl="1">
      <w:start w:val="1"/>
      <w:numFmt w:val="bullet"/>
      <w:lvlText w:val=""/>
      <w:lvlJc w:val="left"/>
      <w:pPr>
        <w:ind w:left="837" w:hanging="361"/>
      </w:pPr>
      <w:rPr>
        <w:rFonts w:hint="default" w:ascii="Wingdings" w:hAnsi="Wingdings" w:eastAsia="Wingdings" w:cs="Wingdings"/>
        <w:w w:val="99"/>
        <w:sz w:val="24"/>
        <w:szCs w:val="24"/>
      </w:rPr>
    </w:lvl>
    <w:lvl w:ilvl="2">
      <w:start w:val="1"/>
      <w:numFmt w:val="bullet"/>
      <w:lvlText w:val=""/>
      <w:lvlJc w:val="left"/>
      <w:pPr>
        <w:ind w:left="1393" w:hanging="351"/>
      </w:pPr>
      <w:rPr>
        <w:rFonts w:hint="default" w:ascii="Symbol" w:hAnsi="Symbol" w:eastAsia="Symbol" w:cs="Symbol"/>
        <w:w w:val="100"/>
        <w:sz w:val="24"/>
        <w:szCs w:val="24"/>
      </w:rPr>
    </w:lvl>
    <w:lvl w:ilvl="3">
      <w:start w:val="1"/>
      <w:numFmt w:val="bullet"/>
      <w:lvlText w:val="•"/>
      <w:lvlJc w:val="left"/>
      <w:pPr>
        <w:ind w:left="2430" w:hanging="351"/>
      </w:pPr>
      <w:rPr>
        <w:rFonts w:hint="default"/>
      </w:rPr>
    </w:lvl>
    <w:lvl w:ilvl="4">
      <w:start w:val="1"/>
      <w:numFmt w:val="bullet"/>
      <w:lvlText w:val="•"/>
      <w:lvlJc w:val="left"/>
      <w:pPr>
        <w:ind w:left="3460" w:hanging="351"/>
      </w:pPr>
      <w:rPr>
        <w:rFonts w:hint="default"/>
      </w:rPr>
    </w:lvl>
    <w:lvl w:ilvl="5">
      <w:start w:val="1"/>
      <w:numFmt w:val="bullet"/>
      <w:lvlText w:val="•"/>
      <w:lvlJc w:val="left"/>
      <w:pPr>
        <w:ind w:left="4490" w:hanging="351"/>
      </w:pPr>
      <w:rPr>
        <w:rFonts w:hint="default"/>
      </w:rPr>
    </w:lvl>
    <w:lvl w:ilvl="6">
      <w:start w:val="1"/>
      <w:numFmt w:val="bullet"/>
      <w:lvlText w:val="•"/>
      <w:lvlJc w:val="left"/>
      <w:pPr>
        <w:ind w:left="5520" w:hanging="351"/>
      </w:pPr>
      <w:rPr>
        <w:rFonts w:hint="default"/>
      </w:rPr>
    </w:lvl>
    <w:lvl w:ilvl="7">
      <w:start w:val="1"/>
      <w:numFmt w:val="bullet"/>
      <w:lvlText w:val="•"/>
      <w:lvlJc w:val="left"/>
      <w:pPr>
        <w:ind w:left="6550" w:hanging="351"/>
      </w:pPr>
      <w:rPr>
        <w:rFonts w:hint="default"/>
      </w:rPr>
    </w:lvl>
    <w:lvl w:ilvl="8">
      <w:start w:val="1"/>
      <w:numFmt w:val="bullet"/>
      <w:lvlText w:val="•"/>
      <w:lvlJc w:val="left"/>
      <w:pPr>
        <w:ind w:left="7580" w:hanging="351"/>
      </w:pPr>
      <w:rPr>
        <w:rFonts w:hint="default"/>
      </w:rPr>
    </w:lvl>
  </w:abstractNum>
  <w:num w:numId="7">
    <w:abstractNumId w:val="6"/>
  </w:num>
  <w:num w:numId="3">
    <w:abstractNumId w:val="2"/>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56"/>
      <w:ind w:left="88" w:right="794"/>
      <w:jc w:val="center"/>
      <w:outlineLvl w:val="1"/>
    </w:pPr>
    <w:rPr>
      <w:rFonts w:ascii="Arial" w:hAnsi="Arial" w:eastAsia="Arial" w:cs="Arial"/>
      <w:b/>
      <w:bCs/>
      <w:sz w:val="32"/>
      <w:szCs w:val="32"/>
    </w:rPr>
  </w:style>
  <w:style w:styleId="Heading2" w:type="paragraph">
    <w:name w:val="Heading 2"/>
    <w:basedOn w:val="Normal"/>
    <w:uiPriority w:val="1"/>
    <w:qFormat/>
    <w:pPr>
      <w:ind w:left="116"/>
      <w:jc w:val="both"/>
      <w:outlineLvl w:val="2"/>
    </w:pPr>
    <w:rPr>
      <w:rFonts w:ascii="Arial" w:hAnsi="Arial" w:eastAsia="Arial" w:cs="Arial"/>
      <w:b/>
      <w:bCs/>
      <w:sz w:val="24"/>
      <w:szCs w:val="24"/>
    </w:rPr>
  </w:style>
  <w:style w:styleId="Heading3" w:type="paragraph">
    <w:name w:val="Heading 3"/>
    <w:basedOn w:val="Normal"/>
    <w:uiPriority w:val="1"/>
    <w:qFormat/>
    <w:pPr>
      <w:spacing w:before="144"/>
      <w:ind w:left="116"/>
      <w:jc w:val="both"/>
      <w:outlineLvl w:val="3"/>
    </w:pPr>
    <w:rPr>
      <w:rFonts w:ascii="Arial" w:hAnsi="Arial" w:eastAsia="Arial" w:cs="Arial"/>
      <w:b/>
      <w:bCs/>
      <w:i/>
      <w:sz w:val="24"/>
      <w:szCs w:val="24"/>
    </w:rPr>
  </w:style>
  <w:style w:styleId="ListParagraph" w:type="paragraph">
    <w:name w:val="List Paragraph"/>
    <w:basedOn w:val="Normal"/>
    <w:uiPriority w:val="1"/>
    <w:qFormat/>
    <w:pPr>
      <w:ind w:left="837" w:hanging="361"/>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image" Target="media/image3.jpeg"/><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header" Target="header2.xml"/><Relationship Id="rId20" Type="http://schemas.openxmlformats.org/officeDocument/2006/relationships/footer" Target="footer11.xml"/><Relationship Id="rId21" Type="http://schemas.openxmlformats.org/officeDocument/2006/relationships/image" Target="media/image4.jpeg"/><Relationship Id="rId22" Type="http://schemas.openxmlformats.org/officeDocument/2006/relationships/header" Target="header3.xml"/><Relationship Id="rId23" Type="http://schemas.openxmlformats.org/officeDocument/2006/relationships/footer" Target="footer12.xml"/><Relationship Id="rId24" Type="http://schemas.openxmlformats.org/officeDocument/2006/relationships/header" Target="header4.xml"/><Relationship Id="rId25" Type="http://schemas.openxmlformats.org/officeDocument/2006/relationships/footer" Target="footer13.xml"/><Relationship Id="rId26" Type="http://schemas.openxmlformats.org/officeDocument/2006/relationships/image" Target="media/image5.png"/><Relationship Id="rId27" Type="http://schemas.openxmlformats.org/officeDocument/2006/relationships/header" Target="header5.xml"/><Relationship Id="rId28" Type="http://schemas.openxmlformats.org/officeDocument/2006/relationships/footer" Target="footer14.xml"/><Relationship Id="rId29" Type="http://schemas.openxmlformats.org/officeDocument/2006/relationships/header" Target="header6.xml"/><Relationship Id="rId30" Type="http://schemas.openxmlformats.org/officeDocument/2006/relationships/footer" Target="footer15.xml"/><Relationship Id="rId31" Type="http://schemas.openxmlformats.org/officeDocument/2006/relationships/image" Target="media/image6.jpeg"/><Relationship Id="rId32" Type="http://schemas.openxmlformats.org/officeDocument/2006/relationships/header" Target="header7.xml"/><Relationship Id="rId33" Type="http://schemas.openxmlformats.org/officeDocument/2006/relationships/footer" Target="footer16.xml"/><Relationship Id="rId34" Type="http://schemas.openxmlformats.org/officeDocument/2006/relationships/image" Target="media/image7.png"/><Relationship Id="rId35" Type="http://schemas.openxmlformats.org/officeDocument/2006/relationships/header" Target="header8.xml"/><Relationship Id="rId36" Type="http://schemas.openxmlformats.org/officeDocument/2006/relationships/footer" Target="footer17.xml"/><Relationship Id="rId37" Type="http://schemas.openxmlformats.org/officeDocument/2006/relationships/image" Target="media/image8.jpeg"/><Relationship Id="rId38" Type="http://schemas.openxmlformats.org/officeDocument/2006/relationships/header" Target="header9.xml"/><Relationship Id="rId39" Type="http://schemas.openxmlformats.org/officeDocument/2006/relationships/footer" Target="footer18.xml"/><Relationship Id="rId40" Type="http://schemas.openxmlformats.org/officeDocument/2006/relationships/footer" Target="footer19.xml"/><Relationship Id="rId41" Type="http://schemas.openxmlformats.org/officeDocument/2006/relationships/footer" Target="footer20.xml"/><Relationship Id="rId42" Type="http://schemas.openxmlformats.org/officeDocument/2006/relationships/image" Target="media/image9.jpeg"/><Relationship Id="rId43" Type="http://schemas.openxmlformats.org/officeDocument/2006/relationships/image" Target="media/image10.jpeg"/><Relationship Id="rId44" Type="http://schemas.openxmlformats.org/officeDocument/2006/relationships/image" Target="media/image11.jpeg"/><Relationship Id="rId45" Type="http://schemas.openxmlformats.org/officeDocument/2006/relationships/image" Target="media/image12.jpeg"/><Relationship Id="rId46" Type="http://schemas.openxmlformats.org/officeDocument/2006/relationships/image" Target="media/image13.jpeg"/><Relationship Id="rId47" Type="http://schemas.openxmlformats.org/officeDocument/2006/relationships/image" Target="media/image14.jpeg"/><Relationship Id="rId48" Type="http://schemas.openxmlformats.org/officeDocument/2006/relationships/image" Target="media/image15.jpeg"/><Relationship Id="rId49" Type="http://schemas.openxmlformats.org/officeDocument/2006/relationships/footer" Target="footer21.xml"/><Relationship Id="rId50" Type="http://schemas.openxmlformats.org/officeDocument/2006/relationships/image" Target="media/image16.jpeg"/><Relationship Id="rId51" Type="http://schemas.openxmlformats.org/officeDocument/2006/relationships/image" Target="media/image17.jpeg"/><Relationship Id="rId52" Type="http://schemas.openxmlformats.org/officeDocument/2006/relationships/footer" Target="footer22.xml"/><Relationship Id="rId53" Type="http://schemas.openxmlformats.org/officeDocument/2006/relationships/image" Target="media/image18.jpeg"/><Relationship Id="rId54" Type="http://schemas.openxmlformats.org/officeDocument/2006/relationships/image" Target="media/image19.jpeg"/><Relationship Id="rId55" Type="http://schemas.openxmlformats.org/officeDocument/2006/relationships/image" Target="media/image20.jpeg"/><Relationship Id="rId56" Type="http://schemas.openxmlformats.org/officeDocument/2006/relationships/image" Target="media/image21.jpeg"/><Relationship Id="rId57" Type="http://schemas.openxmlformats.org/officeDocument/2006/relationships/image" Target="media/image22.jpeg"/><Relationship Id="rId58" Type="http://schemas.openxmlformats.org/officeDocument/2006/relationships/image" Target="media/image23.png"/><Relationship Id="rId59" Type="http://schemas.openxmlformats.org/officeDocument/2006/relationships/header" Target="header10.xml"/><Relationship Id="rId60" Type="http://schemas.openxmlformats.org/officeDocument/2006/relationships/footer" Target="footer23.xml"/><Relationship Id="rId61" Type="http://schemas.openxmlformats.org/officeDocument/2006/relationships/footer" Target="footer24.xml"/><Relationship Id="rId62" Type="http://schemas.openxmlformats.org/officeDocument/2006/relationships/footer" Target="footer25.xml"/><Relationship Id="rId63" Type="http://schemas.openxmlformats.org/officeDocument/2006/relationships/footer" Target="footer26.xml"/><Relationship Id="rId64" Type="http://schemas.openxmlformats.org/officeDocument/2006/relationships/footer" Target="footer27.xml"/><Relationship Id="rId65" Type="http://schemas.openxmlformats.org/officeDocument/2006/relationships/header" Target="header11.xml"/><Relationship Id="rId66" Type="http://schemas.openxmlformats.org/officeDocument/2006/relationships/footer" Target="footer28.xml"/><Relationship Id="rId67" Type="http://schemas.openxmlformats.org/officeDocument/2006/relationships/footer" Target="footer29.xml"/><Relationship Id="rId68" Type="http://schemas.openxmlformats.org/officeDocument/2006/relationships/header" Target="header12.xml"/><Relationship Id="rId69" Type="http://schemas.openxmlformats.org/officeDocument/2006/relationships/footer" Target="footer30.xml"/><Relationship Id="rId70" Type="http://schemas.openxmlformats.org/officeDocument/2006/relationships/header" Target="header13.xml"/><Relationship Id="rId71" Type="http://schemas.openxmlformats.org/officeDocument/2006/relationships/footer" Target="footer31.xml"/><Relationship Id="rId72" Type="http://schemas.openxmlformats.org/officeDocument/2006/relationships/image" Target="media/image24.png"/><Relationship Id="rId73" Type="http://schemas.openxmlformats.org/officeDocument/2006/relationships/image" Target="media/image25.png"/><Relationship Id="rId74" Type="http://schemas.openxmlformats.org/officeDocument/2006/relationships/image" Target="media/image26.png"/><Relationship Id="rId75" Type="http://schemas.openxmlformats.org/officeDocument/2006/relationships/image" Target="media/image27.png"/><Relationship Id="rId76" Type="http://schemas.openxmlformats.org/officeDocument/2006/relationships/image" Target="media/image28.png"/><Relationship Id="rId77" Type="http://schemas.openxmlformats.org/officeDocument/2006/relationships/image" Target="media/image29.png"/><Relationship Id="rId78" Type="http://schemas.openxmlformats.org/officeDocument/2006/relationships/image" Target="media/image30.png"/><Relationship Id="rId79" Type="http://schemas.openxmlformats.org/officeDocument/2006/relationships/image" Target="media/image31.png"/><Relationship Id="rId80" Type="http://schemas.openxmlformats.org/officeDocument/2006/relationships/image" Target="media/image32.png"/><Relationship Id="rId81" Type="http://schemas.openxmlformats.org/officeDocument/2006/relationships/image" Target="media/image33.png"/><Relationship Id="rId82" Type="http://schemas.openxmlformats.org/officeDocument/2006/relationships/image" Target="media/image34.png"/><Relationship Id="rId83" Type="http://schemas.openxmlformats.org/officeDocument/2006/relationships/image" Target="media/image35.png"/><Relationship Id="rId84" Type="http://schemas.openxmlformats.org/officeDocument/2006/relationships/image" Target="media/image36.png"/><Relationship Id="rId85" Type="http://schemas.openxmlformats.org/officeDocument/2006/relationships/image" Target="media/image37.png"/><Relationship Id="rId86" Type="http://schemas.openxmlformats.org/officeDocument/2006/relationships/image" Target="media/image38.png"/><Relationship Id="rId87" Type="http://schemas.openxmlformats.org/officeDocument/2006/relationships/image" Target="media/image39.png"/><Relationship Id="rId88" Type="http://schemas.openxmlformats.org/officeDocument/2006/relationships/image" Target="media/image40.png"/><Relationship Id="rId89" Type="http://schemas.openxmlformats.org/officeDocument/2006/relationships/image" Target="media/image41.png"/><Relationship Id="rId90" Type="http://schemas.openxmlformats.org/officeDocument/2006/relationships/image" Target="media/image42.png"/><Relationship Id="rId91" Type="http://schemas.openxmlformats.org/officeDocument/2006/relationships/image" Target="media/image43.png"/><Relationship Id="rId92" Type="http://schemas.openxmlformats.org/officeDocument/2006/relationships/image" Target="media/image44.png"/><Relationship Id="rId93" Type="http://schemas.openxmlformats.org/officeDocument/2006/relationships/image" Target="media/image45.png"/><Relationship Id="rId94" Type="http://schemas.openxmlformats.org/officeDocument/2006/relationships/image" Target="media/image46.png"/><Relationship Id="rId95" Type="http://schemas.openxmlformats.org/officeDocument/2006/relationships/image" Target="media/image47.png"/><Relationship Id="rId96" Type="http://schemas.openxmlformats.org/officeDocument/2006/relationships/image" Target="media/image48.png"/><Relationship Id="rId97" Type="http://schemas.openxmlformats.org/officeDocument/2006/relationships/image" Target="media/image49.png"/><Relationship Id="rId98" Type="http://schemas.openxmlformats.org/officeDocument/2006/relationships/image" Target="media/image50.png"/><Relationship Id="rId99" Type="http://schemas.openxmlformats.org/officeDocument/2006/relationships/image" Target="media/image51.png"/><Relationship Id="rId100" Type="http://schemas.openxmlformats.org/officeDocument/2006/relationships/image" Target="media/image52.png"/><Relationship Id="rId101" Type="http://schemas.openxmlformats.org/officeDocument/2006/relationships/image" Target="media/image53.png"/><Relationship Id="rId102" Type="http://schemas.openxmlformats.org/officeDocument/2006/relationships/image" Target="media/image54.png"/><Relationship Id="rId103" Type="http://schemas.openxmlformats.org/officeDocument/2006/relationships/image" Target="media/image55.png"/><Relationship Id="rId104" Type="http://schemas.openxmlformats.org/officeDocument/2006/relationships/image" Target="media/image56.png"/><Relationship Id="rId105" Type="http://schemas.openxmlformats.org/officeDocument/2006/relationships/image" Target="media/image57.png"/><Relationship Id="rId106" Type="http://schemas.openxmlformats.org/officeDocument/2006/relationships/image" Target="media/image58.png"/><Relationship Id="rId107" Type="http://schemas.openxmlformats.org/officeDocument/2006/relationships/image" Target="media/image59.png"/><Relationship Id="rId108" Type="http://schemas.openxmlformats.org/officeDocument/2006/relationships/image" Target="media/image60.png"/><Relationship Id="rId109" Type="http://schemas.openxmlformats.org/officeDocument/2006/relationships/image" Target="media/image61.png"/><Relationship Id="rId110" Type="http://schemas.openxmlformats.org/officeDocument/2006/relationships/image" Target="media/image62.png"/><Relationship Id="rId111" Type="http://schemas.openxmlformats.org/officeDocument/2006/relationships/image" Target="media/image63.png"/><Relationship Id="rId112" Type="http://schemas.openxmlformats.org/officeDocument/2006/relationships/image" Target="media/image64.png"/><Relationship Id="rId113" Type="http://schemas.openxmlformats.org/officeDocument/2006/relationships/image" Target="media/image65.png"/><Relationship Id="rId114" Type="http://schemas.openxmlformats.org/officeDocument/2006/relationships/image" Target="media/image66.png"/><Relationship Id="rId115" Type="http://schemas.openxmlformats.org/officeDocument/2006/relationships/image" Target="media/image67.png"/><Relationship Id="rId116" Type="http://schemas.openxmlformats.org/officeDocument/2006/relationships/image" Target="media/image68.png"/><Relationship Id="rId117" Type="http://schemas.openxmlformats.org/officeDocument/2006/relationships/image" Target="media/image69.png"/><Relationship Id="rId118" Type="http://schemas.openxmlformats.org/officeDocument/2006/relationships/image" Target="media/image70.png"/><Relationship Id="rId119" Type="http://schemas.openxmlformats.org/officeDocument/2006/relationships/footer" Target="footer32.xml"/><Relationship Id="rId120" Type="http://schemas.openxmlformats.org/officeDocument/2006/relationships/footer" Target="footer33.xml"/><Relationship Id="rId121" Type="http://schemas.openxmlformats.org/officeDocument/2006/relationships/header" Target="header14.xml"/><Relationship Id="rId122" Type="http://schemas.openxmlformats.org/officeDocument/2006/relationships/footer" Target="footer34.xml"/><Relationship Id="rId123" Type="http://schemas.openxmlformats.org/officeDocument/2006/relationships/header" Target="header15.xml"/><Relationship Id="rId124" Type="http://schemas.openxmlformats.org/officeDocument/2006/relationships/footer" Target="footer35.xml"/><Relationship Id="rId125" Type="http://schemas.openxmlformats.org/officeDocument/2006/relationships/footer" Target="footer36.xml"/><Relationship Id="rId126" Type="http://schemas.openxmlformats.org/officeDocument/2006/relationships/header" Target="header16.xml"/><Relationship Id="rId127" Type="http://schemas.openxmlformats.org/officeDocument/2006/relationships/footer" Target="footer37.xml"/><Relationship Id="rId128" Type="http://schemas.openxmlformats.org/officeDocument/2006/relationships/image" Target="media/image71.jpeg"/><Relationship Id="rId129" Type="http://schemas.openxmlformats.org/officeDocument/2006/relationships/header" Target="header17.xml"/><Relationship Id="rId130" Type="http://schemas.openxmlformats.org/officeDocument/2006/relationships/footer" Target="footer38.xml"/><Relationship Id="rId131" Type="http://schemas.openxmlformats.org/officeDocument/2006/relationships/image" Target="media/image72.jpeg"/><Relationship Id="rId132" Type="http://schemas.openxmlformats.org/officeDocument/2006/relationships/image" Target="media/image73.jpeg"/><Relationship Id="rId133" Type="http://schemas.openxmlformats.org/officeDocument/2006/relationships/image" Target="media/image74.jpeg"/><Relationship Id="rId134" Type="http://schemas.openxmlformats.org/officeDocument/2006/relationships/image" Target="media/image75.jpeg"/><Relationship Id="rId135" Type="http://schemas.openxmlformats.org/officeDocument/2006/relationships/image" Target="media/image76.jpeg"/><Relationship Id="rId136" Type="http://schemas.openxmlformats.org/officeDocument/2006/relationships/image" Target="media/image77.jpeg"/><Relationship Id="rId137" Type="http://schemas.openxmlformats.org/officeDocument/2006/relationships/image" Target="media/image78.jpeg"/><Relationship Id="rId138" Type="http://schemas.openxmlformats.org/officeDocument/2006/relationships/image" Target="media/image79.jpeg"/><Relationship Id="rId139" Type="http://schemas.openxmlformats.org/officeDocument/2006/relationships/image" Target="media/image80.jpeg"/><Relationship Id="rId140" Type="http://schemas.openxmlformats.org/officeDocument/2006/relationships/image" Target="media/image81.jpeg"/><Relationship Id="rId141" Type="http://schemas.openxmlformats.org/officeDocument/2006/relationships/footer" Target="footer39.xml"/><Relationship Id="rId142" Type="http://schemas.openxmlformats.org/officeDocument/2006/relationships/image" Target="media/image82.jpeg"/><Relationship Id="rId143" Type="http://schemas.openxmlformats.org/officeDocument/2006/relationships/image" Target="media/image83.jpeg"/><Relationship Id="rId144" Type="http://schemas.openxmlformats.org/officeDocument/2006/relationships/image" Target="media/image84.jpeg"/><Relationship Id="rId145" Type="http://schemas.openxmlformats.org/officeDocument/2006/relationships/image" Target="media/image85.jpeg"/><Relationship Id="rId146" Type="http://schemas.openxmlformats.org/officeDocument/2006/relationships/image" Target="media/image86.jpeg"/><Relationship Id="rId147" Type="http://schemas.openxmlformats.org/officeDocument/2006/relationships/image" Target="media/image87.jpeg"/><Relationship Id="rId148" Type="http://schemas.openxmlformats.org/officeDocument/2006/relationships/image" Target="media/image88.jpeg"/><Relationship Id="rId149" Type="http://schemas.openxmlformats.org/officeDocument/2006/relationships/image" Target="media/image89.jpeg"/><Relationship Id="rId150" Type="http://schemas.openxmlformats.org/officeDocument/2006/relationships/footer" Target="footer40.xml"/><Relationship Id="rId151" Type="http://schemas.openxmlformats.org/officeDocument/2006/relationships/image" Target="media/image90.png"/><Relationship Id="rId152" Type="http://schemas.openxmlformats.org/officeDocument/2006/relationships/image" Target="media/image91.png"/><Relationship Id="rId153" Type="http://schemas.openxmlformats.org/officeDocument/2006/relationships/image" Target="media/image92.png"/><Relationship Id="rId154" Type="http://schemas.openxmlformats.org/officeDocument/2006/relationships/image" Target="media/image93.png"/><Relationship Id="rId155" Type="http://schemas.openxmlformats.org/officeDocument/2006/relationships/image" Target="media/image94.png"/><Relationship Id="rId156" Type="http://schemas.openxmlformats.org/officeDocument/2006/relationships/image" Target="media/image95.png"/><Relationship Id="rId157" Type="http://schemas.openxmlformats.org/officeDocument/2006/relationships/image" Target="media/image96.png"/><Relationship Id="rId158" Type="http://schemas.openxmlformats.org/officeDocument/2006/relationships/image" Target="media/image97.png"/><Relationship Id="rId159" Type="http://schemas.openxmlformats.org/officeDocument/2006/relationships/image" Target="media/image98.png"/><Relationship Id="rId160" Type="http://schemas.openxmlformats.org/officeDocument/2006/relationships/image" Target="media/image99.png"/><Relationship Id="rId161" Type="http://schemas.openxmlformats.org/officeDocument/2006/relationships/image" Target="media/image100.png"/><Relationship Id="rId162" Type="http://schemas.openxmlformats.org/officeDocument/2006/relationships/image" Target="media/image101.png"/><Relationship Id="rId163" Type="http://schemas.openxmlformats.org/officeDocument/2006/relationships/image" Target="media/image102.png"/><Relationship Id="rId164" Type="http://schemas.openxmlformats.org/officeDocument/2006/relationships/image" Target="media/image103.png"/><Relationship Id="rId165" Type="http://schemas.openxmlformats.org/officeDocument/2006/relationships/image" Target="media/image104.png"/><Relationship Id="rId166" Type="http://schemas.openxmlformats.org/officeDocument/2006/relationships/image" Target="media/image105.png"/><Relationship Id="rId167" Type="http://schemas.openxmlformats.org/officeDocument/2006/relationships/image" Target="media/image106.png"/><Relationship Id="rId168" Type="http://schemas.openxmlformats.org/officeDocument/2006/relationships/image" Target="media/image107.png"/><Relationship Id="rId169" Type="http://schemas.openxmlformats.org/officeDocument/2006/relationships/image" Target="media/image108.jpeg"/><Relationship Id="rId170" Type="http://schemas.openxmlformats.org/officeDocument/2006/relationships/hyperlink" Target="mailto:cchavezm@uaemex.mx" TargetMode="External"/><Relationship Id="rId171" Type="http://schemas.openxmlformats.org/officeDocument/2006/relationships/footer" Target="footer41.xml"/><Relationship Id="rId172" Type="http://schemas.openxmlformats.org/officeDocument/2006/relationships/footer" Target="footer42.xml"/><Relationship Id="rId173" Type="http://schemas.openxmlformats.org/officeDocument/2006/relationships/footer" Target="footer43.xml"/><Relationship Id="rId174" Type="http://schemas.openxmlformats.org/officeDocument/2006/relationships/footer" Target="footer44.xml"/><Relationship Id="rId175" Type="http://schemas.openxmlformats.org/officeDocument/2006/relationships/footer" Target="footer45.xml"/><Relationship Id="rId176" Type="http://schemas.openxmlformats.org/officeDocument/2006/relationships/footer" Target="footer46.xml"/><Relationship Id="rId177" Type="http://schemas.openxmlformats.org/officeDocument/2006/relationships/footer" Target="footer47.xml"/><Relationship Id="rId178" Type="http://schemas.openxmlformats.org/officeDocument/2006/relationships/footer" Target="footer48.xml"/><Relationship Id="rId179" Type="http://schemas.openxmlformats.org/officeDocument/2006/relationships/hyperlink" Target="http://www.biodiversidad.gob.mx/pais/pdf/EMCV.pdf" TargetMode="External"/><Relationship Id="rId180" Type="http://schemas.openxmlformats.org/officeDocument/2006/relationships/hyperlink" Target="http://www.conabio.gob.mx/institucion/estudio_pais/INICIO.PDF" TargetMode="External"/><Relationship Id="rId181" Type="http://schemas.openxmlformats.org/officeDocument/2006/relationships/hyperlink" Target="http://www.conabio.gob.mx/conocimiento/info_especies/arboles/doctos/53-oleac1m.pdf" TargetMode="External"/><Relationship Id="rId182" Type="http://schemas.openxmlformats.org/officeDocument/2006/relationships/hyperlink" Target="http://igecem.edomex.gob.mx/descargas/estadistica/ESTADISTICABMUNI/ESTADISTICABASI/ARCHIVOS/Temascaltepec.pdf" TargetMode="External"/><Relationship Id="rId183" Type="http://schemas.openxmlformats.org/officeDocument/2006/relationships/hyperlink" Target="http://www.inegi.org.mx/" TargetMode="External"/><Relationship Id="rId184" Type="http://schemas.openxmlformats.org/officeDocument/2006/relationships/hyperlink" Target="http://www.microrregiones.gob.mx/zap/datGenerales.aspx?entra=pdzp&amp;amp;ent=15&amp;amp;mun=086" TargetMode="External"/><Relationship Id="rId185" Type="http://schemas.openxmlformats.org/officeDocument/2006/relationships/hyperlink" Target="http://www.tropicos.org/" TargetMode="External"/><Relationship Id="rId186" Type="http://schemas.openxmlformats.org/officeDocument/2006/relationships/hyperlink" Target="http://www.sev.gob.mx/servicios/publicaciones/serie_hcyt/jardines_botanicos.pdf" TargetMode="External"/><Relationship Id="rId187" Type="http://schemas.openxmlformats.org/officeDocument/2006/relationships/hyperlink" Target="http://temascaltepec.gob.mx/sites/temascaltepec.gob.mx/files/files/Bando2013.pdf" TargetMode="External"/><Relationship Id="rId188" Type="http://schemas.openxmlformats.org/officeDocument/2006/relationships/footer" Target="footer49.xml"/><Relationship Id="rId189" Type="http://schemas.openxmlformats.org/officeDocument/2006/relationships/hyperlink" Target="http://www3.cec.org/islandora/es/item/2350-north-american-monarch-conservation-plan-es.pdf" TargetMode="External"/><Relationship Id="rId190" Type="http://schemas.openxmlformats.org/officeDocument/2006/relationships/footer" Target="footer50.xml"/><Relationship Id="rId191" Type="http://schemas.openxmlformats.org/officeDocument/2006/relationships/hyperlink" Target="https://spc.conanp.gob.mx/FACTORES%20DE%20CAMBIO.pdf" TargetMode="External"/><Relationship Id="rId192" Type="http://schemas.openxmlformats.org/officeDocument/2006/relationships/hyperlink" Target="http://chge.med.harvard.edu/sites/default/files/resources/182945%20HMS%20Biodiversity%20booklet.pdf" TargetMode="External"/><Relationship Id="rId193" Type="http://schemas.openxmlformats.org/officeDocument/2006/relationships/hyperlink" Target="http://www.conafor.gob.mx/portal/docs/secciones/reforestacion/Fichas%20Tecnicas" TargetMode="External"/><Relationship Id="rId194" Type="http://schemas.openxmlformats.org/officeDocument/2006/relationships/hyperlink" Target="http://www.conafor.gob.mx/biblioteca/plantas_medicinales_de_la_farmacia_viviente-conafor.pdf" TargetMode="External"/><Relationship Id="rId195" Type="http://schemas.openxmlformats.org/officeDocument/2006/relationships/hyperlink" Target="http://www.naturalfibres2009.org/es/index.html" TargetMode="External"/><Relationship Id="rId196" Type="http://schemas.openxmlformats.org/officeDocument/2006/relationships/hyperlink" Target="http://www.iucnredlist.org/" TargetMode="External"/><Relationship Id="rId197" Type="http://schemas.openxmlformats.org/officeDocument/2006/relationships/hyperlink" Target="http://www.ciesin.org/docs/002-256c/002-256c.html" TargetMode="External"/><Relationship Id="rId198" Type="http://schemas.openxmlformats.org/officeDocument/2006/relationships/hyperlink" Target="http://pdf.wri.org/corporate_ecosystem_services_review_es.pdf" TargetMode="External"/><Relationship Id="rId199" Type="http://schemas.openxmlformats.org/officeDocument/2006/relationships/hyperlink" Target="http://www.snim.rami.gob.mx/" TargetMode="External"/><Relationship Id="rId200" Type="http://schemas.openxmlformats.org/officeDocument/2006/relationships/footer" Target="footer51.xml"/><Relationship Id="rId201" Type="http://schemas.openxmlformats.org/officeDocument/2006/relationships/footer" Target="footer52.xml"/><Relationship Id="rId202" Type="http://schemas.openxmlformats.org/officeDocument/2006/relationships/hyperlink" Target="http://pdf.wri.org/ecosystem_services_guide_for_decisionmakers.pdf" TargetMode="External"/><Relationship Id="rId203" Type="http://schemas.openxmlformats.org/officeDocument/2006/relationships/hyperlink" Target="http://www.conabio.gob.mx/institucion/cooperacion_internacional/doctos/b07/Estrategia%20de%20Conservacion%20para%20los%20jardines%20botanicos%20mexicanos%202000-1.pdf" TargetMode="External"/><Relationship Id="rId204" Type="http://schemas.openxmlformats.org/officeDocument/2006/relationships/hyperlink" Target="http://cdigital.uv.mx/bitstream/123456789/5234/2/199416P49.pdf" TargetMode="External"/><Relationship Id="rId205" Type="http://schemas.openxmlformats.org/officeDocument/2006/relationships/hyperlink" Target="http://www.unwater.org/downloads/wetlandsbrochurefinal.pdf" TargetMode="External"/><Relationship Id="rId206" Type="http://schemas.openxmlformats.org/officeDocument/2006/relationships/hyperlink" Target="http://www.sct.gob.mx/" TargetMode="External"/><Relationship Id="rId207" Type="http://schemas.openxmlformats.org/officeDocument/2006/relationships/hyperlink" Target="http://smn.cna.gob.mx/index.php?option=com_content&amp;amp;view=article&amp;amp;id=42&amp;amp;Itemid=75" TargetMode="External"/><Relationship Id="rId208" Type="http://schemas.openxmlformats.org/officeDocument/2006/relationships/hyperlink" Target="http://www.iucnredlist.org/documents/redlist_cats_crit_sp.pdf" TargetMode="External"/><Relationship Id="rId209" Type="http://schemas.openxmlformats.org/officeDocument/2006/relationships/hyperlink" Target="http://www.medicinatradicionalmexicana.unam.mx/indice_alfa.php?letra=A&amp;amp;dato=a" TargetMode="External"/><Relationship Id="rId210" Type="http://schemas.openxmlformats.org/officeDocument/2006/relationships/hyperlink" Target="http://pdf.wri.org/world_resources_2000-2001_people_and_ecosystems.pdf" TargetMode="External"/><Relationship Id="rId211" Type="http://schemas.openxmlformats.org/officeDocument/2006/relationships/hyperlink" Target="http://www.ciceana.org.mx/recursos/agenda_internacional_conservacion_jb.pdf" TargetMode="External"/><Relationship Id="rId212" Type="http://schemas.openxmlformats.org/officeDocument/2006/relationships/footer" Target="footer53.xml"/><Relationship Id="rId213" Type="http://schemas.openxmlformats.org/officeDocument/2006/relationships/footer" Target="footer54.xml"/><Relationship Id="rId214" Type="http://schemas.openxmlformats.org/officeDocument/2006/relationships/image" Target="media/image109.jpeg"/><Relationship Id="rId2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Cristy</dc:creator>
  <dcterms:created xsi:type="dcterms:W3CDTF">2017-05-26T16:38:01Z</dcterms:created>
  <dcterms:modified xsi:type="dcterms:W3CDTF">2017-05-26T16:38:01Z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2014-11-18T00:00:00Z</vt:filetime>
  </property>
  <property fmtid="{D5CDD505-2E9C-101B-9397-08002B2CF9AE}" pid="3" name="Creator">
    <vt:lpwstr>Microsoft® Word 2010</vt:lpwstr>
  </property>
  <property fmtid="{D5CDD505-2E9C-101B-9397-08002B2CF9AE}" pid="4" name="LastSaved">
    <vt:filetime>2017-05-26T00:00:00Z</vt:filetime>
  </property>
</Properties>
</file>